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theme/themeOverride1.xml" ContentType="application/vnd.openxmlformats-officedocument.themeOverride+xml"/>
  <Override PartName="/word/charts/chart15.xml" ContentType="application/vnd.openxmlformats-officedocument.drawingml.chart+xml"/>
  <Override PartName="/word/theme/themeOverride2.xml" ContentType="application/vnd.openxmlformats-officedocument.themeOverride+xml"/>
  <Override PartName="/word/charts/chart1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17.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4.xml" ContentType="application/vnd.openxmlformats-officedocument.themeOverride+xml"/>
  <Override PartName="/word/drawings/drawing1.xml" ContentType="application/vnd.openxmlformats-officedocument.drawingml.chartshapes+xml"/>
  <Override PartName="/word/charts/chart18.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9.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2.xml" ContentType="application/vnd.openxmlformats-officedocument.drawingml.chartshapes+xml"/>
  <Override PartName="/word/charts/chart20.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21.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22.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23.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24.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25.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6.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7.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8.xml" ContentType="application/vnd.openxmlformats-officedocument.drawingml.chart+xml"/>
  <Override PartName="/word/drawings/drawing3.xml" ContentType="application/vnd.openxmlformats-officedocument.drawingml.chartshapes+xml"/>
  <Override PartName="/word/charts/chart29.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30.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Ex1.xml" ContentType="application/vnd.ms-office.chartex+xml"/>
  <Override PartName="/word/charts/style16.xml" ContentType="application/vnd.ms-office.chartstyle+xml"/>
  <Override PartName="/word/charts/colors16.xml" ContentType="application/vnd.ms-office.chartcolorstyle+xml"/>
  <Override PartName="/word/charts/chart31.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Ex2.xml" ContentType="application/vnd.ms-office.chartex+xml"/>
  <Override PartName="/word/charts/style18.xml" ContentType="application/vnd.ms-office.chartstyle+xml"/>
  <Override PartName="/word/charts/colors18.xml" ContentType="application/vnd.ms-office.chartcolorstyle+xml"/>
  <Override PartName="/word/charts/chart32.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33.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34.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35.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36.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37.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38.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39.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40.xml" ContentType="application/vnd.openxmlformats-officedocument.drawingml.chart+xml"/>
  <Override PartName="/word/theme/themeOverride5.xml" ContentType="application/vnd.openxmlformats-officedocument.themeOverride+xml"/>
  <Override PartName="/word/charts/chart41.xml" ContentType="application/vnd.openxmlformats-officedocument.drawingml.chart+xml"/>
  <Override PartName="/word/theme/themeOverride6.xml" ContentType="application/vnd.openxmlformats-officedocument.themeOverride+xml"/>
  <Override PartName="/word/charts/chart42.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7.xml" ContentType="application/vnd.openxmlformats-officedocument.themeOverride+xml"/>
  <Override PartName="/word/charts/chart43.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8.xml" ContentType="application/vnd.openxmlformats-officedocument.themeOverride+xml"/>
  <Override PartName="/word/charts/chart44.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9.xml" ContentType="application/vnd.openxmlformats-officedocument.themeOverride+xml"/>
  <Override PartName="/word/charts/chart45.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10.xml" ContentType="application/vnd.openxmlformats-officedocument.themeOverride+xml"/>
  <Override PartName="/word/charts/chart46.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11.xml" ContentType="application/vnd.openxmlformats-officedocument.themeOverride+xml"/>
  <Override PartName="/word/charts/chart47.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12.xml" ContentType="application/vnd.openxmlformats-officedocument.themeOverride+xml"/>
  <Override PartName="/word/charts/chart48.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13.xml" ContentType="application/vnd.openxmlformats-officedocument.themeOverride+xml"/>
  <Override PartName="/word/charts/chart49.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14.xml" ContentType="application/vnd.openxmlformats-officedocument.themeOverride+xml"/>
  <Override PartName="/word/charts/chart50.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15.xml" ContentType="application/vnd.openxmlformats-officedocument.themeOverride+xml"/>
  <Override PartName="/word/charts/chart51.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16.xml" ContentType="application/vnd.openxmlformats-officedocument.themeOverride+xml"/>
  <Override PartName="/word/charts/chart52.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17.xml" ContentType="application/vnd.openxmlformats-officedocument.themeOverride+xml"/>
  <Override PartName="/word/charts/chart53.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18.xml" ContentType="application/vnd.openxmlformats-officedocument.themeOverride+xml"/>
  <Override PartName="/word/charts/chart54.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19.xml" ContentType="application/vnd.openxmlformats-officedocument.themeOverride+xml"/>
  <Override PartName="/word/charts/chart55.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20.xml" ContentType="application/vnd.openxmlformats-officedocument.themeOverride+xml"/>
  <Override PartName="/word/charts/chart56.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21.xml" ContentType="application/vnd.openxmlformats-officedocument.themeOverride+xml"/>
  <Override PartName="/word/charts/chart57.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58.xml" ContentType="application/vnd.openxmlformats-officedocument.drawingml.chart+xml"/>
  <Override PartName="/word/charts/style43.xml" ContentType="application/vnd.ms-office.chartstyle+xml"/>
  <Override PartName="/word/charts/colors43.xml" ContentType="application/vnd.ms-office.chartcolorstyle+xml"/>
  <Override PartName="/word/drawings/drawing4.xml" ContentType="application/vnd.openxmlformats-officedocument.drawingml.chartshapes+xml"/>
  <Override PartName="/word/charts/chart59.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60.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61.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22.xml" ContentType="application/vnd.openxmlformats-officedocument.themeOverride+xml"/>
  <Override PartName="/word/charts/chart62.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23.xml" ContentType="application/vnd.openxmlformats-officedocument.themeOverride+xml"/>
  <Override PartName="/word/charts/chart63.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24.xml" ContentType="application/vnd.openxmlformats-officedocument.themeOverride+xml"/>
  <Override PartName="/word/charts/chart64.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25.xml" ContentType="application/vnd.openxmlformats-officedocument.themeOverride+xml"/>
  <Override PartName="/word/charts/chart65.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26.xml" ContentType="application/vnd.openxmlformats-officedocument.themeOverride+xml"/>
  <Override PartName="/word/charts/chart66.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67.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68.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27.xml" ContentType="application/vnd.openxmlformats-officedocument.themeOverride+xml"/>
  <Override PartName="/word/drawings/drawing5.xml" ContentType="application/vnd.openxmlformats-officedocument.drawingml.chartshapes+xml"/>
  <Override PartName="/word/charts/chart69.xml" ContentType="application/vnd.openxmlformats-officedocument.drawingml.chart+xml"/>
  <Override PartName="/word/theme/themeOverride28.xml" ContentType="application/vnd.openxmlformats-officedocument.themeOverride+xml"/>
  <Override PartName="/word/charts/chart70.xml" ContentType="application/vnd.openxmlformats-officedocument.drawingml.chart+xml"/>
  <Override PartName="/word/theme/themeOverride29.xml" ContentType="application/vnd.openxmlformats-officedocument.themeOverride+xml"/>
  <Override PartName="/word/charts/chart71.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30.xml" ContentType="application/vnd.openxmlformats-officedocument.themeOverride+xml"/>
  <Override PartName="/word/charts/chart72.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31.xml" ContentType="application/vnd.openxmlformats-officedocument.themeOverride+xml"/>
  <Override PartName="/word/charts/chart73.xml" ContentType="application/vnd.openxmlformats-officedocument.drawingml.chart+xml"/>
  <Override PartName="/word/theme/themeOverride32.xml" ContentType="application/vnd.openxmlformats-officedocument.themeOverride+xml"/>
  <Override PartName="/word/charts/chart74.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33.xml" ContentType="application/vnd.openxmlformats-officedocument.themeOverride+xml"/>
  <Override PartName="/word/charts/chart75.xml" ContentType="application/vnd.openxmlformats-officedocument.drawingml.chart+xml"/>
  <Override PartName="/word/charts/style56.xml" ContentType="application/vnd.ms-office.chartstyle+xml"/>
  <Override PartName="/word/charts/colors56.xml" ContentType="application/vnd.ms-office.chartcolorstyle+xml"/>
  <Override PartName="/word/drawings/drawing6.xml" ContentType="application/vnd.openxmlformats-officedocument.drawingml.chartshapes+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charts/chart76.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77.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78.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79.xml" ContentType="application/vnd.openxmlformats-officedocument.drawingml.chart+xml"/>
  <Override PartName="/word/charts/style60.xml" ContentType="application/vnd.ms-office.chartstyle+xml"/>
  <Override PartName="/word/charts/colors60.xml" ContentType="application/vnd.ms-office.chartcolorstyle+xml"/>
  <Override PartName="/word/theme/themeOverride34.xml" ContentType="application/vnd.openxmlformats-officedocument.themeOverride+xml"/>
  <Override PartName="/word/charts/chart80.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35.xml" ContentType="application/vnd.openxmlformats-officedocument.themeOverride+xml"/>
  <Override PartName="/word/charts/chart81.xml" ContentType="application/vnd.openxmlformats-officedocument.drawingml.chart+xml"/>
  <Override PartName="/word/charts/style62.xml" ContentType="application/vnd.ms-office.chartstyle+xml"/>
  <Override PartName="/word/charts/colors62.xml" ContentType="application/vnd.ms-office.chartcolorstyle+xml"/>
  <Override PartName="/word/theme/themeOverride36.xml" ContentType="application/vnd.openxmlformats-officedocument.themeOverride+xml"/>
  <Override PartName="/word/charts/chartEx3.xml" ContentType="application/vnd.ms-office.chartex+xml"/>
  <Override PartName="/word/charts/style63.xml" ContentType="application/vnd.ms-office.chartstyle+xml"/>
  <Override PartName="/word/charts/colors63.xml" ContentType="application/vnd.ms-office.chartcolorstyle+xml"/>
  <Override PartName="/word/theme/themeOverride37.xml" ContentType="application/vnd.openxmlformats-officedocument.themeOverride+xml"/>
  <Override PartName="/word/charts/chart82.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38.xml" ContentType="application/vnd.openxmlformats-officedocument.themeOverride+xml"/>
  <Override PartName="/word/charts/chart83.xml" ContentType="application/vnd.openxmlformats-officedocument.drawingml.chart+xml"/>
  <Override PartName="/word/charts/style65.xml" ContentType="application/vnd.ms-office.chartstyle+xml"/>
  <Override PartName="/word/charts/colors65.xml" ContentType="application/vnd.ms-office.chartcolorstyle+xml"/>
  <Override PartName="/word/theme/themeOverride39.xml" ContentType="application/vnd.openxmlformats-officedocument.themeOverride+xml"/>
  <Override PartName="/word/charts/chart84.xml" ContentType="application/vnd.openxmlformats-officedocument.drawingml.chart+xml"/>
  <Override PartName="/word/charts/style66.xml" ContentType="application/vnd.ms-office.chartstyle+xml"/>
  <Override PartName="/word/charts/colors66.xml" ContentType="application/vnd.ms-office.chartcolorstyle+xml"/>
  <Override PartName="/word/theme/themeOverride40.xml" ContentType="application/vnd.openxmlformats-officedocument.themeOverride+xml"/>
  <Override PartName="/word/charts/chartEx4.xml" ContentType="application/vnd.ms-office.chartex+xml"/>
  <Override PartName="/word/charts/style67.xml" ContentType="application/vnd.ms-office.chartstyle+xml"/>
  <Override PartName="/word/charts/colors67.xml" ContentType="application/vnd.ms-office.chartcolorstyle+xml"/>
  <Override PartName="/word/theme/themeOverride41.xml" ContentType="application/vnd.openxmlformats-officedocument.themeOverride+xml"/>
  <Override PartName="/word/charts/chart85.xml" ContentType="application/vnd.openxmlformats-officedocument.drawingml.chart+xml"/>
  <Override PartName="/word/charts/style68.xml" ContentType="application/vnd.ms-office.chartstyle+xml"/>
  <Override PartName="/word/charts/colors68.xml" ContentType="application/vnd.ms-office.chartcolorstyle+xml"/>
  <Override PartName="/word/theme/themeOverride42.xml" ContentType="application/vnd.openxmlformats-officedocument.themeOverride+xml"/>
  <Override PartName="/word/charts/chart86.xml" ContentType="application/vnd.openxmlformats-officedocument.drawingml.chart+xml"/>
  <Override PartName="/word/charts/style69.xml" ContentType="application/vnd.ms-office.chartstyle+xml"/>
  <Override PartName="/word/charts/colors69.xml" ContentType="application/vnd.ms-office.chartcolorstyle+xml"/>
  <Override PartName="/word/theme/themeOverride43.xml" ContentType="application/vnd.openxmlformats-officedocument.themeOverride+xml"/>
  <Override PartName="/word/charts/chart87.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44.xml" ContentType="application/vnd.openxmlformats-officedocument.themeOverride+xml"/>
  <Override PartName="/word/charts/chartEx5.xml" ContentType="application/vnd.ms-office.chartex+xml"/>
  <Override PartName="/word/charts/style71.xml" ContentType="application/vnd.ms-office.chartstyle+xml"/>
  <Override PartName="/word/charts/colors71.xml" ContentType="application/vnd.ms-office.chartcolorstyle+xml"/>
  <Override PartName="/word/theme/themeOverride45.xml" ContentType="application/vnd.openxmlformats-officedocument.themeOverride+xml"/>
  <Override PartName="/word/charts/chart88.xml" ContentType="application/vnd.openxmlformats-officedocument.drawingml.chart+xml"/>
  <Override PartName="/word/charts/style72.xml" ContentType="application/vnd.ms-office.chartstyle+xml"/>
  <Override PartName="/word/charts/colors72.xml" ContentType="application/vnd.ms-office.chartcolorstyle+xml"/>
  <Override PartName="/word/theme/themeOverride46.xml" ContentType="application/vnd.openxmlformats-officedocument.themeOverride+xml"/>
  <Override PartName="/word/charts/chart89.xml" ContentType="application/vnd.openxmlformats-officedocument.drawingml.chart+xml"/>
  <Override PartName="/word/charts/style73.xml" ContentType="application/vnd.ms-office.chartstyle+xml"/>
  <Override PartName="/word/charts/colors73.xml" ContentType="application/vnd.ms-office.chartcolorstyle+xml"/>
  <Override PartName="/word/theme/themeOverride47.xml" ContentType="application/vnd.openxmlformats-officedocument.themeOverride+xml"/>
  <Override PartName="/word/charts/chart90.xml" ContentType="application/vnd.openxmlformats-officedocument.drawingml.chart+xml"/>
  <Override PartName="/word/charts/style74.xml" ContentType="application/vnd.ms-office.chartstyle+xml"/>
  <Override PartName="/word/charts/colors74.xml" ContentType="application/vnd.ms-office.chartcolorstyle+xml"/>
  <Override PartName="/word/theme/themeOverride48.xml" ContentType="application/vnd.openxmlformats-officedocument.themeOverride+xml"/>
  <Override PartName="/word/charts/chartEx6.xml" ContentType="application/vnd.ms-office.chartex+xml"/>
  <Override PartName="/word/charts/style75.xml" ContentType="application/vnd.ms-office.chartstyle+xml"/>
  <Override PartName="/word/charts/colors75.xml" ContentType="application/vnd.ms-office.chartcolorstyle+xml"/>
  <Override PartName="/word/theme/themeOverride49.xml" ContentType="application/vnd.openxmlformats-officedocument.themeOverride+xml"/>
  <Override PartName="/word/charts/chart91.xml" ContentType="application/vnd.openxmlformats-officedocument.drawingml.chart+xml"/>
  <Override PartName="/word/charts/style76.xml" ContentType="application/vnd.ms-office.chartstyle+xml"/>
  <Override PartName="/word/charts/colors76.xml" ContentType="application/vnd.ms-office.chartcolorstyle+xml"/>
  <Override PartName="/word/theme/themeOverride50.xml" ContentType="application/vnd.openxmlformats-officedocument.themeOverride+xml"/>
  <Override PartName="/word/charts/chart92.xml" ContentType="application/vnd.openxmlformats-officedocument.drawingml.chart+xml"/>
  <Override PartName="/word/charts/style77.xml" ContentType="application/vnd.ms-office.chartstyle+xml"/>
  <Override PartName="/word/charts/colors77.xml" ContentType="application/vnd.ms-office.chartcolorstyle+xml"/>
  <Override PartName="/word/theme/themeOverride51.xml" ContentType="application/vnd.openxmlformats-officedocument.themeOverride+xml"/>
  <Override PartName="/word/charts/chart93.xml" ContentType="application/vnd.openxmlformats-officedocument.drawingml.chart+xml"/>
  <Override PartName="/word/charts/style78.xml" ContentType="application/vnd.ms-office.chartstyle+xml"/>
  <Override PartName="/word/charts/colors78.xml" ContentType="application/vnd.ms-office.chartcolorstyle+xml"/>
  <Override PartName="/word/theme/themeOverride52.xml" ContentType="application/vnd.openxmlformats-officedocument.themeOverride+xml"/>
  <Override PartName="/word/charts/chart94.xml" ContentType="application/vnd.openxmlformats-officedocument.drawingml.chart+xml"/>
  <Override PartName="/word/charts/style79.xml" ContentType="application/vnd.ms-office.chartstyle+xml"/>
  <Override PartName="/word/charts/colors79.xml" ContentType="application/vnd.ms-office.chartcolorstyle+xml"/>
  <Override PartName="/word/theme/themeOverride53.xml" ContentType="application/vnd.openxmlformats-officedocument.themeOverride+xml"/>
  <Override PartName="/word/charts/chart95.xml" ContentType="application/vnd.openxmlformats-officedocument.drawingml.chart+xml"/>
  <Override PartName="/word/charts/style80.xml" ContentType="application/vnd.ms-office.chartstyle+xml"/>
  <Override PartName="/word/charts/colors80.xml" ContentType="application/vnd.ms-office.chartcolorstyle+xml"/>
  <Override PartName="/word/theme/themeOverride54.xml" ContentType="application/vnd.openxmlformats-officedocument.themeOverride+xml"/>
  <Override PartName="/word/charts/chart96.xml" ContentType="application/vnd.openxmlformats-officedocument.drawingml.chart+xml"/>
  <Override PartName="/word/charts/style81.xml" ContentType="application/vnd.ms-office.chartstyle+xml"/>
  <Override PartName="/word/charts/colors81.xml" ContentType="application/vnd.ms-office.chartcolorstyle+xml"/>
  <Override PartName="/word/theme/themeOverride55.xml" ContentType="application/vnd.openxmlformats-officedocument.themeOverride+xml"/>
  <Override PartName="/word/charts/chart97.xml" ContentType="application/vnd.openxmlformats-officedocument.drawingml.chart+xml"/>
  <Override PartName="/word/charts/style82.xml" ContentType="application/vnd.ms-office.chartstyle+xml"/>
  <Override PartName="/word/charts/colors82.xml" ContentType="application/vnd.ms-office.chartcolorstyle+xml"/>
  <Override PartName="/word/theme/themeOverride56.xml" ContentType="application/vnd.openxmlformats-officedocument.themeOverride+xml"/>
  <Override PartName="/word/charts/chart98.xml" ContentType="application/vnd.openxmlformats-officedocument.drawingml.chart+xml"/>
  <Override PartName="/word/charts/style83.xml" ContentType="application/vnd.ms-office.chartstyle+xml"/>
  <Override PartName="/word/charts/colors83.xml" ContentType="application/vnd.ms-office.chartcolorstyle+xml"/>
  <Override PartName="/word/theme/themeOverride57.xml" ContentType="application/vnd.openxmlformats-officedocument.themeOverride+xml"/>
  <Override PartName="/word/diagrams/data4.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99.xml" ContentType="application/vnd.openxmlformats-officedocument.drawingml.chart+xml"/>
  <Override PartName="/word/charts/style84.xml" ContentType="application/vnd.ms-office.chartstyle+xml"/>
  <Override PartName="/word/charts/colors84.xml" ContentType="application/vnd.ms-office.chartcolorstyle+xml"/>
  <Override PartName="/word/charts/chart100.xml" ContentType="application/vnd.openxmlformats-officedocument.drawingml.chart+xml"/>
  <Override PartName="/word/charts/style85.xml" ContentType="application/vnd.ms-office.chartstyle+xml"/>
  <Override PartName="/word/charts/colors85.xml" ContentType="application/vnd.ms-office.chartcolorstyle+xml"/>
  <Override PartName="/word/charts/chart101.xml" ContentType="application/vnd.openxmlformats-officedocument.drawingml.chart+xml"/>
  <Override PartName="/word/charts/style86.xml" ContentType="application/vnd.ms-office.chartstyle+xml"/>
  <Override PartName="/word/charts/colors86.xml" ContentType="application/vnd.ms-office.chartcolorstyle+xml"/>
  <Override PartName="/word/charts/chart102.xml" ContentType="application/vnd.openxmlformats-officedocument.drawingml.chart+xml"/>
  <Override PartName="/word/theme/themeOverride58.xml" ContentType="application/vnd.openxmlformats-officedocument.themeOverride+xml"/>
  <Override PartName="/word/charts/chart103.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104.xml" ContentType="application/vnd.openxmlformats-officedocument.drawingml.chart+xml"/>
  <Override PartName="/word/charts/style88.xml" ContentType="application/vnd.ms-office.chartstyle+xml"/>
  <Override PartName="/word/charts/colors88.xml" ContentType="application/vnd.ms-office.chartcolorstyle+xml"/>
  <Override PartName="/word/theme/themeOverride59.xml" ContentType="application/vnd.openxmlformats-officedocument.themeOverride+xml"/>
  <Override PartName="/word/charts/chart105.xml" ContentType="application/vnd.openxmlformats-officedocument.drawingml.chart+xml"/>
  <Override PartName="/word/theme/themeOverride60.xml" ContentType="application/vnd.openxmlformats-officedocument.themeOverride+xml"/>
  <Override PartName="/word/charts/chart106.xml" ContentType="application/vnd.openxmlformats-officedocument.drawingml.chart+xml"/>
  <Override PartName="/word/theme/themeOverride61.xml" ContentType="application/vnd.openxmlformats-officedocument.themeOverride+xml"/>
  <Override PartName="/word/charts/chart107.xml" ContentType="application/vnd.openxmlformats-officedocument.drawingml.chart+xml"/>
  <Override PartName="/word/theme/themeOverride62.xml" ContentType="application/vnd.openxmlformats-officedocument.themeOverride+xml"/>
  <Override PartName="/word/charts/chart108.xml" ContentType="application/vnd.openxmlformats-officedocument.drawingml.chart+xml"/>
  <Override PartName="/word/charts/style89.xml" ContentType="application/vnd.ms-office.chartstyle+xml"/>
  <Override PartName="/word/charts/colors89.xml" ContentType="application/vnd.ms-office.chartcolorstyle+xml"/>
  <Override PartName="/word/charts/chart109.xml" ContentType="application/vnd.openxmlformats-officedocument.drawingml.chart+xml"/>
  <Override PartName="/word/charts/style90.xml" ContentType="application/vnd.ms-office.chartstyle+xml"/>
  <Override PartName="/word/charts/colors90.xml" ContentType="application/vnd.ms-office.chartcolorstyle+xml"/>
  <Override PartName="/word/charts/chart110.xml" ContentType="application/vnd.openxmlformats-officedocument.drawingml.chart+xml"/>
  <Override PartName="/word/charts/style91.xml" ContentType="application/vnd.ms-office.chartstyle+xml"/>
  <Override PartName="/word/charts/colors91.xml" ContentType="application/vnd.ms-office.chartcolorstyle+xml"/>
  <Override PartName="/word/diagrams/data5.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11.xml" ContentType="application/vnd.openxmlformats-officedocument.drawingml.chart+xml"/>
  <Override PartName="/word/charts/style92.xml" ContentType="application/vnd.ms-office.chartstyle+xml"/>
  <Override PartName="/word/charts/colors92.xml" ContentType="application/vnd.ms-office.chartcolorstyle+xml"/>
  <Override PartName="/word/theme/themeOverride63.xml" ContentType="application/vnd.openxmlformats-officedocument.themeOverride+xml"/>
  <Override PartName="/word/charts/chart112.xml" ContentType="application/vnd.openxmlformats-officedocument.drawingml.chart+xml"/>
  <Override PartName="/word/charts/chart113.xml" ContentType="application/vnd.openxmlformats-officedocument.drawingml.chart+xml"/>
  <Override PartName="/word/charts/style93.xml" ContentType="application/vnd.ms-office.chartstyle+xml"/>
  <Override PartName="/word/charts/colors93.xml" ContentType="application/vnd.ms-office.chartcolorstyle+xml"/>
  <Override PartName="/word/theme/themeOverride64.xml" ContentType="application/vnd.openxmlformats-officedocument.themeOverride+xml"/>
  <Override PartName="/word/drawings/drawing7.xml" ContentType="application/vnd.openxmlformats-officedocument.drawingml.chartshapes+xml"/>
  <Override PartName="/word/charts/chart114.xml" ContentType="application/vnd.openxmlformats-officedocument.drawingml.chart+xml"/>
  <Override PartName="/word/charts/style94.xml" ContentType="application/vnd.ms-office.chartstyle+xml"/>
  <Override PartName="/word/charts/colors94.xml" ContentType="application/vnd.ms-office.chartcolorstyle+xml"/>
  <Override PartName="/word/charts/chart115.xml" ContentType="application/vnd.openxmlformats-officedocument.drawingml.chart+xml"/>
  <Override PartName="/word/charts/style95.xml" ContentType="application/vnd.ms-office.chartstyle+xml"/>
  <Override PartName="/word/charts/colors95.xml" ContentType="application/vnd.ms-office.chartcolorstyle+xml"/>
  <Override PartName="/word/diagrams/data6.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116.xml" ContentType="application/vnd.openxmlformats-officedocument.drawingml.chart+xml"/>
  <Override PartName="/word/theme/themeOverride65.xml" ContentType="application/vnd.openxmlformats-officedocument.themeOverride+xml"/>
  <Override PartName="/word/charts/chart117.xml" ContentType="application/vnd.openxmlformats-officedocument.drawingml.chart+xml"/>
  <Override PartName="/word/theme/themeOverride66.xml" ContentType="application/vnd.openxmlformats-officedocument.themeOverride+xml"/>
  <Override PartName="/word/drawings/drawing8.xml" ContentType="application/vnd.openxmlformats-officedocument.drawingml.chartshapes+xml"/>
  <Override PartName="/word/charts/chart118.xml" ContentType="application/vnd.openxmlformats-officedocument.drawingml.chart+xml"/>
  <Override PartName="/word/theme/themeOverride67.xml" ContentType="application/vnd.openxmlformats-officedocument.themeOverride+xml"/>
  <Override PartName="/word/drawings/drawing9.xml" ContentType="application/vnd.openxmlformats-officedocument.drawingml.chartshapes+xml"/>
  <Override PartName="/word/charts/chart119.xml" ContentType="application/vnd.openxmlformats-officedocument.drawingml.chart+xml"/>
  <Override PartName="/word/theme/themeOverride68.xml" ContentType="application/vnd.openxmlformats-officedocument.themeOverride+xml"/>
  <Override PartName="/word/drawings/drawing10.xml" ContentType="application/vnd.openxmlformats-officedocument.drawingml.chartshapes+xml"/>
  <Override PartName="/word/charts/chart120.xml" ContentType="application/vnd.openxmlformats-officedocument.drawingml.chart+xml"/>
  <Override PartName="/word/charts/style96.xml" ContentType="application/vnd.ms-office.chartstyle+xml"/>
  <Override PartName="/word/charts/colors96.xml" ContentType="application/vnd.ms-office.chartcolorstyle+xml"/>
  <Override PartName="/word/theme/themeOverride69.xml" ContentType="application/vnd.openxmlformats-officedocument.themeOverride+xml"/>
  <Override PartName="/word/drawings/drawing11.xml" ContentType="application/vnd.openxmlformats-officedocument.drawingml.chartshapes+xml"/>
  <Override PartName="/word/charts/chart121.xml" ContentType="application/vnd.openxmlformats-officedocument.drawingml.chart+xml"/>
  <Override PartName="/word/theme/themeOverride70.xml" ContentType="application/vnd.openxmlformats-officedocument.themeOverride+xml"/>
  <Override PartName="/word/charts/chart122.xml" ContentType="application/vnd.openxmlformats-officedocument.drawingml.chart+xml"/>
  <Override PartName="/word/charts/style97.xml" ContentType="application/vnd.ms-office.chartstyle+xml"/>
  <Override PartName="/word/charts/colors97.xml" ContentType="application/vnd.ms-office.chartcolorstyle+xml"/>
  <Override PartName="/word/theme/themeOverride71.xml" ContentType="application/vnd.openxmlformats-officedocument.themeOverride+xml"/>
  <Override PartName="/word/drawings/drawing12.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BA9AA8" w14:textId="77777777" w:rsidR="005954CA" w:rsidRDefault="005954CA" w:rsidP="00E47B4B">
      <w:pPr>
        <w:ind w:left="1416" w:right="2542" w:hanging="21"/>
        <w:jc w:val="both"/>
        <w:rPr>
          <w:sz w:val="56"/>
        </w:rPr>
      </w:pPr>
    </w:p>
    <w:p w14:paraId="6F9BBA3E" w14:textId="77777777" w:rsidR="005954CA" w:rsidRDefault="005954CA" w:rsidP="005954CA">
      <w:pPr>
        <w:ind w:left="1395" w:right="2542"/>
        <w:jc w:val="both"/>
        <w:rPr>
          <w:sz w:val="56"/>
        </w:rPr>
      </w:pPr>
    </w:p>
    <w:p w14:paraId="1E92D764" w14:textId="77777777" w:rsidR="005954CA" w:rsidRDefault="005954CA" w:rsidP="005954CA">
      <w:pPr>
        <w:ind w:left="1395" w:right="2542"/>
        <w:jc w:val="both"/>
        <w:rPr>
          <w:sz w:val="56"/>
        </w:rPr>
      </w:pPr>
    </w:p>
    <w:p w14:paraId="62E6B642" w14:textId="5F61B061" w:rsidR="005954CA" w:rsidRDefault="005954CA" w:rsidP="000F1270">
      <w:pPr>
        <w:ind w:right="-6"/>
        <w:jc w:val="both"/>
        <w:rPr>
          <w:sz w:val="56"/>
        </w:rPr>
      </w:pPr>
    </w:p>
    <w:p w14:paraId="41B86822" w14:textId="1003CD3E" w:rsidR="005954CA" w:rsidRDefault="005954CA" w:rsidP="000F1270">
      <w:pPr>
        <w:ind w:right="-6"/>
        <w:jc w:val="both"/>
        <w:rPr>
          <w:sz w:val="56"/>
        </w:rPr>
      </w:pPr>
    </w:p>
    <w:p w14:paraId="7CE583E2" w14:textId="77777777" w:rsidR="005954CA" w:rsidRPr="000470AA" w:rsidRDefault="005954CA" w:rsidP="000F1270">
      <w:pPr>
        <w:ind w:right="-6"/>
        <w:jc w:val="both"/>
      </w:pPr>
    </w:p>
    <w:p w14:paraId="756601E9" w14:textId="77777777" w:rsidR="000F1270" w:rsidRDefault="005954CA" w:rsidP="000F1270">
      <w:pPr>
        <w:ind w:right="-6"/>
        <w:jc w:val="center"/>
        <w:rPr>
          <w:sz w:val="52"/>
          <w:szCs w:val="52"/>
        </w:rPr>
      </w:pPr>
      <w:r w:rsidRPr="000470AA">
        <w:rPr>
          <w:sz w:val="52"/>
          <w:szCs w:val="52"/>
        </w:rPr>
        <w:t xml:space="preserve">Marco Fiscal de Mediano Plazo </w:t>
      </w:r>
    </w:p>
    <w:p w14:paraId="710F7D63" w14:textId="2C4886BE" w:rsidR="005954CA" w:rsidRDefault="005954CA" w:rsidP="000F1270">
      <w:pPr>
        <w:ind w:right="-6"/>
        <w:jc w:val="center"/>
        <w:rPr>
          <w:sz w:val="52"/>
          <w:szCs w:val="52"/>
        </w:rPr>
      </w:pPr>
      <w:r w:rsidRPr="000470AA">
        <w:rPr>
          <w:sz w:val="52"/>
          <w:szCs w:val="52"/>
        </w:rPr>
        <w:t>2024-2028</w:t>
      </w:r>
    </w:p>
    <w:p w14:paraId="75D80ECD" w14:textId="77777777" w:rsidR="000F1270" w:rsidRPr="000470AA" w:rsidRDefault="000F1270" w:rsidP="000F1270">
      <w:pPr>
        <w:ind w:right="-6"/>
        <w:jc w:val="center"/>
        <w:rPr>
          <w:sz w:val="52"/>
          <w:szCs w:val="52"/>
        </w:rPr>
      </w:pPr>
    </w:p>
    <w:p w14:paraId="35AF21FC" w14:textId="544BA709" w:rsidR="000F1270" w:rsidRDefault="000F1270" w:rsidP="000F1270">
      <w:pPr>
        <w:ind w:right="-6"/>
        <w:jc w:val="center"/>
      </w:pPr>
      <w:r w:rsidRPr="000470AA">
        <w:rPr>
          <w:noProof/>
          <w:sz w:val="52"/>
          <w:szCs w:val="52"/>
        </w:rPr>
        <mc:AlternateContent>
          <mc:Choice Requires="wps">
            <w:drawing>
              <wp:anchor distT="0" distB="0" distL="0" distR="0" simplePos="0" relativeHeight="251659264" behindDoc="1" locked="0" layoutInCell="1" allowOverlap="1" wp14:anchorId="4D0D9F12" wp14:editId="5C1B067F">
                <wp:simplePos x="0" y="0"/>
                <wp:positionH relativeFrom="page">
                  <wp:posOffset>968375</wp:posOffset>
                </wp:positionH>
                <wp:positionV relativeFrom="paragraph">
                  <wp:posOffset>198755</wp:posOffset>
                </wp:positionV>
                <wp:extent cx="5800090" cy="45085"/>
                <wp:effectExtent l="0" t="0" r="0" b="0"/>
                <wp:wrapTopAndBottom/>
                <wp:docPr id="261" name="Freeform 50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00090" cy="45085"/>
                        </a:xfrm>
                        <a:custGeom>
                          <a:avLst/>
                          <a:gdLst>
                            <a:gd name="T0" fmla="+- 0 2215 2215"/>
                            <a:gd name="T1" fmla="*/ T0 w 7965"/>
                            <a:gd name="T2" fmla="+- 0 10180 2215"/>
                            <a:gd name="T3" fmla="*/ T2 w 7965"/>
                          </a:gdLst>
                          <a:ahLst/>
                          <a:cxnLst>
                            <a:cxn ang="0">
                              <a:pos x="T1" y="0"/>
                            </a:cxn>
                            <a:cxn ang="0">
                              <a:pos x="T3" y="0"/>
                            </a:cxn>
                          </a:cxnLst>
                          <a:rect l="0" t="0" r="r" b="b"/>
                          <a:pathLst>
                            <a:path w="7965">
                              <a:moveTo>
                                <a:pt x="0" y="0"/>
                              </a:moveTo>
                              <a:lnTo>
                                <a:pt x="7965" y="0"/>
                              </a:lnTo>
                            </a:path>
                          </a:pathLst>
                        </a:custGeom>
                        <a:noFill/>
                        <a:ln w="6096">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255BBF" id="Freeform 5024" o:spid="_x0000_s1026" style="position:absolute;margin-left:76.25pt;margin-top:15.65pt;width:456.7pt;height:3.55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96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" path="m,l7965,e" filled="f" strokecolor="#5b9bd4" strokeweight=".48pt">
                <v:path arrowok="t" o:connecttype="custom" o:connectlocs="0,0;5800090,0" o:connectangles="0,0"/>
                <w10:wrap type="topAndBottom" anchorx="page"/>
              </v:shape>
            </w:pict>
          </mc:Fallback>
        </mc:AlternateContent>
      </w:r>
    </w:p>
    <w:p w14:paraId="55ACAC02" w14:textId="77777777" w:rsidR="000F1270" w:rsidRDefault="000F1270" w:rsidP="000F1270">
      <w:pPr>
        <w:ind w:right="-6"/>
        <w:jc w:val="center"/>
      </w:pPr>
    </w:p>
    <w:p w14:paraId="79977E41" w14:textId="77777777" w:rsidR="000F1270" w:rsidRDefault="000F1270" w:rsidP="000F1270">
      <w:pPr>
        <w:ind w:right="-6"/>
        <w:jc w:val="center"/>
      </w:pPr>
    </w:p>
    <w:p w14:paraId="7A4A3C2B" w14:textId="5C4FB9CB" w:rsidR="005954CA" w:rsidRPr="00615524" w:rsidRDefault="005954CA" w:rsidP="000F1270">
      <w:pPr>
        <w:ind w:right="-6"/>
        <w:jc w:val="center"/>
        <w:rPr>
          <w:sz w:val="36"/>
          <w:szCs w:val="36"/>
        </w:rPr>
      </w:pPr>
      <w:r w:rsidRPr="00615524">
        <w:rPr>
          <w:sz w:val="36"/>
          <w:szCs w:val="36"/>
        </w:rPr>
        <w:t>Ministerio de Finanzas Públicas</w:t>
      </w:r>
    </w:p>
    <w:p w14:paraId="0CF32B8B" w14:textId="77777777" w:rsidR="005954CA" w:rsidRPr="000470AA" w:rsidRDefault="005954CA" w:rsidP="000F1270">
      <w:pPr>
        <w:ind w:right="-6"/>
        <w:jc w:val="center"/>
      </w:pPr>
    </w:p>
    <w:p w14:paraId="67DA38F4" w14:textId="77777777" w:rsidR="005954CA" w:rsidRPr="000470AA" w:rsidRDefault="005954CA" w:rsidP="000F1270">
      <w:pPr>
        <w:ind w:right="-6"/>
        <w:jc w:val="center"/>
      </w:pPr>
    </w:p>
    <w:p w14:paraId="39C7D117" w14:textId="77777777" w:rsidR="005954CA" w:rsidRPr="000470AA" w:rsidRDefault="005954CA" w:rsidP="000F1270">
      <w:pPr>
        <w:ind w:right="-6"/>
        <w:jc w:val="center"/>
      </w:pPr>
    </w:p>
    <w:p w14:paraId="41AD4123" w14:textId="43D377D4" w:rsidR="005954CA" w:rsidRDefault="005954CA" w:rsidP="000F1270">
      <w:pPr>
        <w:ind w:right="-6"/>
        <w:jc w:val="center"/>
      </w:pPr>
    </w:p>
    <w:p w14:paraId="22A8CF5E" w14:textId="6CBF7FD4" w:rsidR="000F1270" w:rsidRDefault="000F1270" w:rsidP="000F1270">
      <w:pPr>
        <w:ind w:right="-6"/>
        <w:jc w:val="center"/>
      </w:pPr>
    </w:p>
    <w:p w14:paraId="0997E1ED" w14:textId="20A9F414" w:rsidR="000F1270" w:rsidRDefault="000F1270" w:rsidP="000F1270">
      <w:pPr>
        <w:ind w:right="-6"/>
        <w:jc w:val="center"/>
      </w:pPr>
    </w:p>
    <w:p w14:paraId="33056BA6" w14:textId="71FF849C" w:rsidR="000F1270" w:rsidRDefault="000F1270" w:rsidP="000F1270">
      <w:pPr>
        <w:ind w:right="-6"/>
        <w:jc w:val="center"/>
      </w:pPr>
    </w:p>
    <w:p w14:paraId="728F558C" w14:textId="7FD1C5E1" w:rsidR="000F1270" w:rsidRDefault="000F1270" w:rsidP="000F1270">
      <w:pPr>
        <w:ind w:right="-6"/>
        <w:jc w:val="center"/>
      </w:pPr>
    </w:p>
    <w:p w14:paraId="2DA149D7" w14:textId="1F9A95BF" w:rsidR="000F1270" w:rsidRDefault="000F1270" w:rsidP="000F1270">
      <w:pPr>
        <w:ind w:right="-6"/>
        <w:jc w:val="center"/>
      </w:pPr>
    </w:p>
    <w:p w14:paraId="086F95A9" w14:textId="3BCD1CA2" w:rsidR="000F1270" w:rsidRDefault="000F1270" w:rsidP="000F1270">
      <w:pPr>
        <w:ind w:right="-6"/>
        <w:jc w:val="center"/>
      </w:pPr>
    </w:p>
    <w:p w14:paraId="46D03B15" w14:textId="3D77725D" w:rsidR="000F1270" w:rsidRDefault="000F1270" w:rsidP="000F1270">
      <w:pPr>
        <w:ind w:right="-6"/>
        <w:jc w:val="center"/>
      </w:pPr>
    </w:p>
    <w:p w14:paraId="2A6B3C8B" w14:textId="6EFE6368" w:rsidR="000F1270" w:rsidRDefault="000F1270" w:rsidP="000F1270">
      <w:pPr>
        <w:ind w:right="-6"/>
        <w:jc w:val="center"/>
      </w:pPr>
    </w:p>
    <w:p w14:paraId="30386E7D" w14:textId="7FF385DA" w:rsidR="000F1270" w:rsidRDefault="000F1270" w:rsidP="000F1270">
      <w:pPr>
        <w:ind w:right="-6"/>
        <w:jc w:val="center"/>
      </w:pPr>
    </w:p>
    <w:p w14:paraId="3C62F13C" w14:textId="3ACD5A26" w:rsidR="000F1270" w:rsidRDefault="000F1270" w:rsidP="000F1270">
      <w:pPr>
        <w:ind w:right="-6"/>
        <w:jc w:val="center"/>
      </w:pPr>
    </w:p>
    <w:p w14:paraId="730824FD" w14:textId="1A7FFF2A" w:rsidR="000F1270" w:rsidRDefault="000F1270" w:rsidP="000F1270">
      <w:pPr>
        <w:ind w:right="-6"/>
        <w:jc w:val="center"/>
      </w:pPr>
    </w:p>
    <w:p w14:paraId="3B6CAE79" w14:textId="536E24FC" w:rsidR="000F1270" w:rsidRDefault="000F1270" w:rsidP="000F1270">
      <w:pPr>
        <w:ind w:right="-6"/>
        <w:jc w:val="center"/>
      </w:pPr>
    </w:p>
    <w:p w14:paraId="438DA6E5" w14:textId="77777777" w:rsidR="000F1270" w:rsidRPr="000470AA" w:rsidRDefault="000F1270" w:rsidP="000F1270">
      <w:pPr>
        <w:ind w:right="-6"/>
        <w:jc w:val="center"/>
      </w:pPr>
    </w:p>
    <w:p w14:paraId="2EA8B721" w14:textId="77777777" w:rsidR="005954CA" w:rsidRPr="000470AA" w:rsidRDefault="005954CA" w:rsidP="000F1270">
      <w:pPr>
        <w:ind w:right="-6"/>
        <w:jc w:val="center"/>
      </w:pPr>
    </w:p>
    <w:p w14:paraId="2140FB08" w14:textId="2F3B59E6" w:rsidR="000470AA" w:rsidRDefault="005954CA" w:rsidP="000F1270">
      <w:pPr>
        <w:ind w:right="-6"/>
        <w:jc w:val="center"/>
      </w:pPr>
      <w:r w:rsidRPr="000470AA">
        <w:t>Dirección de Análisis y</w:t>
      </w:r>
      <w:r w:rsidR="000F1270">
        <w:t xml:space="preserve"> </w:t>
      </w:r>
      <w:r w:rsidRPr="000470AA">
        <w:t xml:space="preserve">Política Fiscal </w:t>
      </w:r>
    </w:p>
    <w:p w14:paraId="76AB5E0B" w14:textId="25C21233" w:rsidR="005954CA" w:rsidRPr="000470AA" w:rsidRDefault="005954CA" w:rsidP="000F1270">
      <w:pPr>
        <w:ind w:right="-6"/>
        <w:jc w:val="center"/>
      </w:pPr>
      <w:r w:rsidRPr="000470AA">
        <w:t>2023</w:t>
      </w:r>
    </w:p>
    <w:p w14:paraId="6E459A8C" w14:textId="77777777" w:rsidR="000470AA" w:rsidRPr="000470AA" w:rsidRDefault="000470AA" w:rsidP="005954CA">
      <w:pPr>
        <w:ind w:left="2818" w:right="3962"/>
        <w:jc w:val="center"/>
      </w:pPr>
    </w:p>
    <w:p w14:paraId="5F436DA8" w14:textId="36F4CEE8" w:rsidR="000470AA" w:rsidRDefault="000470AA" w:rsidP="005954CA">
      <w:pPr>
        <w:ind w:left="2818" w:right="3962"/>
        <w:jc w:val="center"/>
      </w:pPr>
    </w:p>
    <w:p w14:paraId="68B27D8F" w14:textId="157E31C2" w:rsidR="00096808" w:rsidRDefault="00096808" w:rsidP="005954CA">
      <w:pPr>
        <w:ind w:left="2818" w:right="3962"/>
        <w:jc w:val="center"/>
      </w:pPr>
    </w:p>
    <w:p w14:paraId="25479580" w14:textId="77777777" w:rsidR="00096808" w:rsidRPr="000470AA" w:rsidRDefault="00096808" w:rsidP="005954CA">
      <w:pPr>
        <w:ind w:left="2818" w:right="3962"/>
        <w:jc w:val="center"/>
      </w:pPr>
    </w:p>
    <w:p w14:paraId="04C61AEF" w14:textId="77777777" w:rsidR="000470AA" w:rsidRDefault="000470AA" w:rsidP="00096808">
      <w:pPr>
        <w:ind w:right="3962"/>
        <w:rPr>
          <w:sz w:val="28"/>
        </w:rPr>
      </w:pPr>
    </w:p>
    <w:sdt>
      <w:sdtPr>
        <w:rPr>
          <w:rFonts w:ascii="Times New Roman" w:eastAsia="Times New Roman" w:hAnsi="Times New Roman" w:cs="Times New Roman"/>
          <w:color w:val="auto"/>
          <w:sz w:val="24"/>
          <w:szCs w:val="24"/>
          <w:lang w:val="es-ES"/>
        </w:rPr>
        <w:id w:val="13958049"/>
        <w:docPartObj>
          <w:docPartGallery w:val="Table of Contents"/>
          <w:docPartUnique/>
        </w:docPartObj>
      </w:sdtPr>
      <w:sdtEndPr>
        <w:rPr>
          <w:b/>
          <w:bCs/>
          <w:sz w:val="22"/>
          <w:szCs w:val="22"/>
        </w:rPr>
      </w:sdtEndPr>
      <w:sdtContent>
        <w:p w14:paraId="4F1965E7" w14:textId="08A3BE0D" w:rsidR="000470AA" w:rsidRPr="004B0E4D" w:rsidRDefault="000470AA" w:rsidP="000470AA">
          <w:pPr>
            <w:pStyle w:val="TtuloTDC"/>
            <w:spacing w:before="0" w:line="240" w:lineRule="auto"/>
            <w:jc w:val="center"/>
            <w:rPr>
              <w:rFonts w:ascii="Times New Roman" w:hAnsi="Times New Roman" w:cs="Times New Roman"/>
              <w:b/>
              <w:bCs/>
              <w:color w:val="auto"/>
              <w:sz w:val="24"/>
              <w:szCs w:val="24"/>
            </w:rPr>
          </w:pPr>
          <w:r w:rsidRPr="004B0E4D">
            <w:rPr>
              <w:rFonts w:ascii="Times New Roman" w:hAnsi="Times New Roman" w:cs="Times New Roman"/>
              <w:b/>
              <w:bCs/>
              <w:color w:val="auto"/>
              <w:sz w:val="24"/>
              <w:szCs w:val="24"/>
              <w:lang w:val="es-ES"/>
            </w:rPr>
            <w:t>Contenido</w:t>
          </w:r>
        </w:p>
        <w:p w14:paraId="4ADEF637" w14:textId="10D1167B" w:rsidR="00263E8A" w:rsidRPr="00096808" w:rsidRDefault="000470AA" w:rsidP="00A37A2D">
          <w:pPr>
            <w:pStyle w:val="TDC1"/>
            <w:rPr>
              <w:rFonts w:asciiTheme="minorHAnsi" w:eastAsiaTheme="minorEastAsia" w:hAnsiTheme="minorHAnsi" w:cstheme="minorBidi"/>
            </w:rPr>
          </w:pPr>
          <w:r w:rsidRPr="00263E8A">
            <w:rPr>
              <w:sz w:val="20"/>
              <w:szCs w:val="20"/>
            </w:rPr>
            <w:fldChar w:fldCharType="begin"/>
          </w:r>
          <w:r w:rsidRPr="00263E8A">
            <w:rPr>
              <w:sz w:val="20"/>
              <w:szCs w:val="20"/>
            </w:rPr>
            <w:instrText xml:space="preserve"> TOC \o "1-3" \h \z \u </w:instrText>
          </w:r>
          <w:r w:rsidRPr="00263E8A">
            <w:rPr>
              <w:sz w:val="20"/>
              <w:szCs w:val="20"/>
            </w:rPr>
            <w:fldChar w:fldCharType="separate"/>
          </w:r>
          <w:hyperlink w:anchor="_Toc143865768" w:history="1">
            <w:r w:rsidR="00263E8A" w:rsidRPr="00096808">
              <w:rPr>
                <w:rStyle w:val="Hipervnculo"/>
              </w:rPr>
              <w:t>Introducción</w:t>
            </w:r>
            <w:r w:rsidR="00263E8A" w:rsidRPr="00096808">
              <w:rPr>
                <w:webHidden/>
              </w:rPr>
              <w:tab/>
            </w:r>
            <w:r w:rsidR="00263E8A" w:rsidRPr="00096808">
              <w:rPr>
                <w:webHidden/>
              </w:rPr>
              <w:fldChar w:fldCharType="begin"/>
            </w:r>
            <w:r w:rsidR="00263E8A" w:rsidRPr="00096808">
              <w:rPr>
                <w:webHidden/>
              </w:rPr>
              <w:instrText xml:space="preserve"> PAGEREF _Toc143865768 \h </w:instrText>
            </w:r>
            <w:r w:rsidR="00263E8A" w:rsidRPr="00096808">
              <w:rPr>
                <w:webHidden/>
              </w:rPr>
            </w:r>
            <w:r w:rsidR="00263E8A" w:rsidRPr="00096808">
              <w:rPr>
                <w:webHidden/>
              </w:rPr>
              <w:fldChar w:fldCharType="separate"/>
            </w:r>
            <w:r w:rsidR="00D84E7F">
              <w:rPr>
                <w:webHidden/>
              </w:rPr>
              <w:t>1</w:t>
            </w:r>
            <w:r w:rsidR="00263E8A" w:rsidRPr="00096808">
              <w:rPr>
                <w:webHidden/>
              </w:rPr>
              <w:fldChar w:fldCharType="end"/>
            </w:r>
          </w:hyperlink>
        </w:p>
        <w:p w14:paraId="66986A47" w14:textId="28AD7E4D" w:rsidR="00263E8A" w:rsidRPr="00096808" w:rsidRDefault="005A30CD" w:rsidP="00A37A2D">
          <w:pPr>
            <w:pStyle w:val="TDC1"/>
            <w:rPr>
              <w:rFonts w:asciiTheme="minorHAnsi" w:eastAsiaTheme="minorEastAsia" w:hAnsiTheme="minorHAnsi" w:cstheme="minorBidi"/>
            </w:rPr>
          </w:pPr>
          <w:hyperlink w:anchor="_Toc143865769" w:history="1">
            <w:r w:rsidR="00263E8A" w:rsidRPr="00096808">
              <w:rPr>
                <w:rStyle w:val="Hipervnculo"/>
              </w:rPr>
              <w:t>I.</w:t>
            </w:r>
            <w:r w:rsidR="00263E8A" w:rsidRPr="00096808">
              <w:rPr>
                <w:rFonts w:asciiTheme="minorHAnsi" w:eastAsiaTheme="minorEastAsia" w:hAnsiTheme="minorHAnsi" w:cstheme="minorBidi"/>
              </w:rPr>
              <w:t xml:space="preserve">  </w:t>
            </w:r>
            <w:r w:rsidR="00263E8A" w:rsidRPr="00096808">
              <w:rPr>
                <w:rStyle w:val="Hipervnculo"/>
              </w:rPr>
              <w:t>Entorno macroeconómico</w:t>
            </w:r>
            <w:r w:rsidR="00263E8A" w:rsidRPr="00096808">
              <w:rPr>
                <w:webHidden/>
              </w:rPr>
              <w:tab/>
            </w:r>
            <w:r w:rsidR="00263E8A" w:rsidRPr="00096808">
              <w:rPr>
                <w:webHidden/>
              </w:rPr>
              <w:fldChar w:fldCharType="begin"/>
            </w:r>
            <w:r w:rsidR="00263E8A" w:rsidRPr="00096808">
              <w:rPr>
                <w:webHidden/>
              </w:rPr>
              <w:instrText xml:space="preserve"> PAGEREF _Toc143865769 \h </w:instrText>
            </w:r>
            <w:r w:rsidR="00263E8A" w:rsidRPr="00096808">
              <w:rPr>
                <w:webHidden/>
              </w:rPr>
            </w:r>
            <w:r w:rsidR="00263E8A" w:rsidRPr="00096808">
              <w:rPr>
                <w:webHidden/>
              </w:rPr>
              <w:fldChar w:fldCharType="separate"/>
            </w:r>
            <w:r w:rsidR="00D84E7F">
              <w:rPr>
                <w:webHidden/>
              </w:rPr>
              <w:t>3</w:t>
            </w:r>
            <w:r w:rsidR="00263E8A" w:rsidRPr="00096808">
              <w:rPr>
                <w:webHidden/>
              </w:rPr>
              <w:fldChar w:fldCharType="end"/>
            </w:r>
          </w:hyperlink>
        </w:p>
        <w:p w14:paraId="00321EE2" w14:textId="4CA8F14B"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770" w:history="1">
            <w:r w:rsidR="00263E8A" w:rsidRPr="00263E8A">
              <w:rPr>
                <w:rStyle w:val="Hipervnculo"/>
                <w:noProof/>
                <w:sz w:val="22"/>
                <w:szCs w:val="22"/>
                <w:lang w:val="es-MX"/>
              </w:rPr>
              <w:t>1.</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Contexto macroeconómico internacional 2022</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_Toc143865770 \h </w:instrText>
            </w:r>
            <w:r w:rsidR="00263E8A" w:rsidRPr="00263E8A">
              <w:rPr>
                <w:noProof/>
                <w:webHidden/>
              </w:rPr>
            </w:r>
            <w:r w:rsidR="00263E8A" w:rsidRPr="00263E8A">
              <w:rPr>
                <w:noProof/>
                <w:webHidden/>
              </w:rPr>
              <w:fldChar w:fldCharType="separate"/>
            </w:r>
            <w:r w:rsidR="00D84E7F">
              <w:rPr>
                <w:noProof/>
                <w:webHidden/>
              </w:rPr>
              <w:t>3</w:t>
            </w:r>
            <w:r w:rsidR="00263E8A" w:rsidRPr="00263E8A">
              <w:rPr>
                <w:noProof/>
                <w:webHidden/>
              </w:rPr>
              <w:fldChar w:fldCharType="end"/>
            </w:r>
          </w:hyperlink>
        </w:p>
        <w:p w14:paraId="1DD76599" w14:textId="792B6BBB"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71" w:history="1">
            <w:r w:rsidR="00263E8A" w:rsidRPr="00263E8A">
              <w:rPr>
                <w:rStyle w:val="Hipervnculo"/>
                <w:noProof/>
                <w:sz w:val="22"/>
                <w:szCs w:val="22"/>
                <w:lang w:val="es-MX"/>
              </w:rPr>
              <w:t>1.1</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La economía mundial</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_Toc143865771 \h </w:instrText>
            </w:r>
            <w:r w:rsidR="00263E8A" w:rsidRPr="00263E8A">
              <w:rPr>
                <w:noProof/>
                <w:webHidden/>
              </w:rPr>
            </w:r>
            <w:r w:rsidR="00263E8A" w:rsidRPr="00263E8A">
              <w:rPr>
                <w:noProof/>
                <w:webHidden/>
              </w:rPr>
              <w:fldChar w:fldCharType="separate"/>
            </w:r>
            <w:r w:rsidR="00D84E7F">
              <w:rPr>
                <w:noProof/>
                <w:webHidden/>
              </w:rPr>
              <w:t>3</w:t>
            </w:r>
            <w:r w:rsidR="00263E8A" w:rsidRPr="00263E8A">
              <w:rPr>
                <w:noProof/>
                <w:webHidden/>
              </w:rPr>
              <w:fldChar w:fldCharType="end"/>
            </w:r>
          </w:hyperlink>
        </w:p>
        <w:p w14:paraId="6B61597A" w14:textId="59C77910"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72" w:history="1">
            <w:r w:rsidR="00263E8A" w:rsidRPr="00263E8A">
              <w:rPr>
                <w:rStyle w:val="Hipervnculo"/>
                <w:noProof/>
                <w:sz w:val="22"/>
                <w:szCs w:val="22"/>
                <w:lang w:val="es-MX"/>
              </w:rPr>
              <w:t>1.2</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Evolución de los principales socios comerciales de Guatemala</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_Toc143865772 \h </w:instrText>
            </w:r>
            <w:r w:rsidR="00263E8A" w:rsidRPr="00263E8A">
              <w:rPr>
                <w:noProof/>
                <w:webHidden/>
              </w:rPr>
            </w:r>
            <w:r w:rsidR="00263E8A" w:rsidRPr="00263E8A">
              <w:rPr>
                <w:noProof/>
                <w:webHidden/>
              </w:rPr>
              <w:fldChar w:fldCharType="separate"/>
            </w:r>
            <w:r w:rsidR="00D84E7F">
              <w:rPr>
                <w:noProof/>
                <w:webHidden/>
              </w:rPr>
              <w:t>5</w:t>
            </w:r>
            <w:r w:rsidR="00263E8A" w:rsidRPr="00263E8A">
              <w:rPr>
                <w:noProof/>
                <w:webHidden/>
              </w:rPr>
              <w:fldChar w:fldCharType="end"/>
            </w:r>
          </w:hyperlink>
        </w:p>
        <w:p w14:paraId="10B27CB5" w14:textId="5DEC622F"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73" w:history="1">
            <w:r w:rsidR="00263E8A" w:rsidRPr="00263E8A">
              <w:rPr>
                <w:rStyle w:val="Hipervnculo"/>
                <w:noProof/>
                <w:sz w:val="22"/>
                <w:szCs w:val="22"/>
                <w:lang w:val="es-MX"/>
              </w:rPr>
              <w:t>1.2.1</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Estados Unidos de América</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_Toc143865773 \h </w:instrText>
            </w:r>
            <w:r w:rsidR="00263E8A" w:rsidRPr="00263E8A">
              <w:rPr>
                <w:noProof/>
                <w:webHidden/>
              </w:rPr>
            </w:r>
            <w:r w:rsidR="00263E8A" w:rsidRPr="00263E8A">
              <w:rPr>
                <w:noProof/>
                <w:webHidden/>
              </w:rPr>
              <w:fldChar w:fldCharType="separate"/>
            </w:r>
            <w:r w:rsidR="00D84E7F">
              <w:rPr>
                <w:noProof/>
                <w:webHidden/>
              </w:rPr>
              <w:t>6</w:t>
            </w:r>
            <w:r w:rsidR="00263E8A" w:rsidRPr="00263E8A">
              <w:rPr>
                <w:noProof/>
                <w:webHidden/>
              </w:rPr>
              <w:fldChar w:fldCharType="end"/>
            </w:r>
          </w:hyperlink>
        </w:p>
        <w:p w14:paraId="2A66E813" w14:textId="6D18D77E"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74" w:history="1">
            <w:r w:rsidR="00263E8A" w:rsidRPr="00263E8A">
              <w:rPr>
                <w:rStyle w:val="Hipervnculo"/>
                <w:noProof/>
                <w:sz w:val="22"/>
                <w:szCs w:val="22"/>
                <w:lang w:val="es-MX"/>
              </w:rPr>
              <w:t>1.2.2</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Centroamérica y República Dominicana</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_Toc143865774 \h </w:instrText>
            </w:r>
            <w:r w:rsidR="00263E8A" w:rsidRPr="00263E8A">
              <w:rPr>
                <w:noProof/>
                <w:webHidden/>
              </w:rPr>
            </w:r>
            <w:r w:rsidR="00263E8A" w:rsidRPr="00263E8A">
              <w:rPr>
                <w:noProof/>
                <w:webHidden/>
              </w:rPr>
              <w:fldChar w:fldCharType="separate"/>
            </w:r>
            <w:r w:rsidR="00D84E7F">
              <w:rPr>
                <w:noProof/>
                <w:webHidden/>
              </w:rPr>
              <w:t>7</w:t>
            </w:r>
            <w:r w:rsidR="00263E8A" w:rsidRPr="00263E8A">
              <w:rPr>
                <w:noProof/>
                <w:webHidden/>
              </w:rPr>
              <w:fldChar w:fldCharType="end"/>
            </w:r>
          </w:hyperlink>
        </w:p>
        <w:p w14:paraId="48E1DCD8" w14:textId="139E2881"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75" w:history="1">
            <w:r w:rsidR="00263E8A" w:rsidRPr="00263E8A">
              <w:rPr>
                <w:rStyle w:val="Hipervnculo"/>
                <w:noProof/>
                <w:sz w:val="22"/>
                <w:szCs w:val="22"/>
                <w:lang w:val="es-MX"/>
              </w:rPr>
              <w:t>1.2.3</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México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_Toc143865775 \h </w:instrText>
            </w:r>
            <w:r w:rsidR="00263E8A" w:rsidRPr="00263E8A">
              <w:rPr>
                <w:noProof/>
                <w:webHidden/>
              </w:rPr>
            </w:r>
            <w:r w:rsidR="00263E8A" w:rsidRPr="00263E8A">
              <w:rPr>
                <w:noProof/>
                <w:webHidden/>
              </w:rPr>
              <w:fldChar w:fldCharType="separate"/>
            </w:r>
            <w:r w:rsidR="00D84E7F">
              <w:rPr>
                <w:noProof/>
                <w:webHidden/>
              </w:rPr>
              <w:t>7</w:t>
            </w:r>
            <w:r w:rsidR="00263E8A" w:rsidRPr="00263E8A">
              <w:rPr>
                <w:noProof/>
                <w:webHidden/>
              </w:rPr>
              <w:fldChar w:fldCharType="end"/>
            </w:r>
          </w:hyperlink>
        </w:p>
        <w:p w14:paraId="1BE2304C" w14:textId="502C8605"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76" w:history="1">
            <w:r w:rsidR="00263E8A" w:rsidRPr="00263E8A">
              <w:rPr>
                <w:rStyle w:val="Hipervnculo"/>
                <w:noProof/>
                <w:sz w:val="22"/>
                <w:szCs w:val="22"/>
                <w:lang w:val="es-MX"/>
              </w:rPr>
              <w:t>1.2.4</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Zona del euro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_Toc143865776 \h </w:instrText>
            </w:r>
            <w:r w:rsidR="00263E8A" w:rsidRPr="00263E8A">
              <w:rPr>
                <w:noProof/>
                <w:webHidden/>
              </w:rPr>
            </w:r>
            <w:r w:rsidR="00263E8A" w:rsidRPr="00263E8A">
              <w:rPr>
                <w:noProof/>
                <w:webHidden/>
              </w:rPr>
              <w:fldChar w:fldCharType="separate"/>
            </w:r>
            <w:r w:rsidR="00D84E7F">
              <w:rPr>
                <w:noProof/>
                <w:webHidden/>
              </w:rPr>
              <w:t>8</w:t>
            </w:r>
            <w:r w:rsidR="00263E8A" w:rsidRPr="00263E8A">
              <w:rPr>
                <w:noProof/>
                <w:webHidden/>
              </w:rPr>
              <w:fldChar w:fldCharType="end"/>
            </w:r>
          </w:hyperlink>
        </w:p>
        <w:p w14:paraId="4F63A7AE" w14:textId="757F3BDE"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77" w:history="1">
            <w:r w:rsidR="00263E8A" w:rsidRPr="00263E8A">
              <w:rPr>
                <w:rStyle w:val="Hipervnculo"/>
                <w:noProof/>
                <w:sz w:val="22"/>
                <w:szCs w:val="22"/>
                <w:lang w:val="es-MX"/>
              </w:rPr>
              <w:t>1.3</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Comportamiento del precio del petróleo y de materias primas</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_Toc143865777 \h </w:instrText>
            </w:r>
            <w:r w:rsidR="00263E8A" w:rsidRPr="00263E8A">
              <w:rPr>
                <w:noProof/>
                <w:webHidden/>
              </w:rPr>
            </w:r>
            <w:r w:rsidR="00263E8A" w:rsidRPr="00263E8A">
              <w:rPr>
                <w:noProof/>
                <w:webHidden/>
              </w:rPr>
              <w:fldChar w:fldCharType="separate"/>
            </w:r>
            <w:r w:rsidR="00D84E7F">
              <w:rPr>
                <w:noProof/>
                <w:webHidden/>
              </w:rPr>
              <w:t>9</w:t>
            </w:r>
            <w:r w:rsidR="00263E8A" w:rsidRPr="00263E8A">
              <w:rPr>
                <w:noProof/>
                <w:webHidden/>
              </w:rPr>
              <w:fldChar w:fldCharType="end"/>
            </w:r>
          </w:hyperlink>
        </w:p>
        <w:p w14:paraId="3D249068" w14:textId="2FAA1434"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778" w:history="1">
            <w:r w:rsidR="00263E8A" w:rsidRPr="00263E8A">
              <w:rPr>
                <w:rStyle w:val="Hipervnculo"/>
                <w:noProof/>
                <w:sz w:val="22"/>
                <w:szCs w:val="22"/>
                <w:lang w:val="es-MX"/>
              </w:rPr>
              <w:t>2.</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Perspectivas de la economía mundial 2023</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_Toc143865778 \h </w:instrText>
            </w:r>
            <w:r w:rsidR="00263E8A" w:rsidRPr="00263E8A">
              <w:rPr>
                <w:noProof/>
                <w:webHidden/>
              </w:rPr>
            </w:r>
            <w:r w:rsidR="00263E8A" w:rsidRPr="00263E8A">
              <w:rPr>
                <w:noProof/>
                <w:webHidden/>
              </w:rPr>
              <w:fldChar w:fldCharType="separate"/>
            </w:r>
            <w:r w:rsidR="00D84E7F">
              <w:rPr>
                <w:noProof/>
                <w:webHidden/>
              </w:rPr>
              <w:t>10</w:t>
            </w:r>
            <w:r w:rsidR="00263E8A" w:rsidRPr="00263E8A">
              <w:rPr>
                <w:noProof/>
                <w:webHidden/>
              </w:rPr>
              <w:fldChar w:fldCharType="end"/>
            </w:r>
          </w:hyperlink>
        </w:p>
        <w:p w14:paraId="3EC4C996" w14:textId="085AD6C8"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79" w:history="1">
            <w:r w:rsidR="00263E8A" w:rsidRPr="00263E8A">
              <w:rPr>
                <w:rStyle w:val="Hipervnculo"/>
                <w:noProof/>
                <w:sz w:val="22"/>
                <w:szCs w:val="22"/>
                <w:lang w:val="es-MX"/>
              </w:rPr>
              <w:t>2.1</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Principales socios comerciales de Guatemala</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_Toc143865779 \h </w:instrText>
            </w:r>
            <w:r w:rsidR="00263E8A" w:rsidRPr="00263E8A">
              <w:rPr>
                <w:noProof/>
                <w:webHidden/>
              </w:rPr>
            </w:r>
            <w:r w:rsidR="00263E8A" w:rsidRPr="00263E8A">
              <w:rPr>
                <w:noProof/>
                <w:webHidden/>
              </w:rPr>
              <w:fldChar w:fldCharType="separate"/>
            </w:r>
            <w:r w:rsidR="00D84E7F">
              <w:rPr>
                <w:noProof/>
                <w:webHidden/>
              </w:rPr>
              <w:t>11</w:t>
            </w:r>
            <w:r w:rsidR="00263E8A" w:rsidRPr="00263E8A">
              <w:rPr>
                <w:noProof/>
                <w:webHidden/>
              </w:rPr>
              <w:fldChar w:fldCharType="end"/>
            </w:r>
          </w:hyperlink>
        </w:p>
        <w:p w14:paraId="1E76573C" w14:textId="72957EFF"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80" w:history="1">
            <w:r w:rsidR="00263E8A" w:rsidRPr="00263E8A">
              <w:rPr>
                <w:rStyle w:val="Hipervnculo"/>
                <w:noProof/>
                <w:sz w:val="22"/>
                <w:szCs w:val="22"/>
                <w:lang w:val="es-MX"/>
              </w:rPr>
              <w:t>2.1.1</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Estados Unidos de América</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_Toc143865780 \h </w:instrText>
            </w:r>
            <w:r w:rsidR="00263E8A" w:rsidRPr="00263E8A">
              <w:rPr>
                <w:noProof/>
                <w:webHidden/>
              </w:rPr>
            </w:r>
            <w:r w:rsidR="00263E8A" w:rsidRPr="00263E8A">
              <w:rPr>
                <w:noProof/>
                <w:webHidden/>
              </w:rPr>
              <w:fldChar w:fldCharType="separate"/>
            </w:r>
            <w:r w:rsidR="00D84E7F">
              <w:rPr>
                <w:noProof/>
                <w:webHidden/>
              </w:rPr>
              <w:t>12</w:t>
            </w:r>
            <w:r w:rsidR="00263E8A" w:rsidRPr="00263E8A">
              <w:rPr>
                <w:noProof/>
                <w:webHidden/>
              </w:rPr>
              <w:fldChar w:fldCharType="end"/>
            </w:r>
          </w:hyperlink>
        </w:p>
        <w:p w14:paraId="3CFD672C" w14:textId="013590B2"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81" w:history="1">
            <w:r w:rsidR="00263E8A" w:rsidRPr="00263E8A">
              <w:rPr>
                <w:rStyle w:val="Hipervnculo"/>
                <w:noProof/>
                <w:sz w:val="22"/>
                <w:szCs w:val="22"/>
              </w:rPr>
              <w:t>2.1.2</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Centroamérica y República Dominicana</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_Toc143865781 \h </w:instrText>
            </w:r>
            <w:r w:rsidR="00263E8A" w:rsidRPr="00263E8A">
              <w:rPr>
                <w:noProof/>
                <w:webHidden/>
              </w:rPr>
            </w:r>
            <w:r w:rsidR="00263E8A" w:rsidRPr="00263E8A">
              <w:rPr>
                <w:noProof/>
                <w:webHidden/>
              </w:rPr>
              <w:fldChar w:fldCharType="separate"/>
            </w:r>
            <w:r w:rsidR="00D84E7F">
              <w:rPr>
                <w:noProof/>
                <w:webHidden/>
              </w:rPr>
              <w:t>12</w:t>
            </w:r>
            <w:r w:rsidR="00263E8A" w:rsidRPr="00263E8A">
              <w:rPr>
                <w:noProof/>
                <w:webHidden/>
              </w:rPr>
              <w:fldChar w:fldCharType="end"/>
            </w:r>
          </w:hyperlink>
        </w:p>
        <w:p w14:paraId="606BDCAC" w14:textId="48BBF1AE"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82" w:history="1">
            <w:r w:rsidR="00263E8A" w:rsidRPr="00263E8A">
              <w:rPr>
                <w:rStyle w:val="Hipervnculo"/>
                <w:noProof/>
                <w:sz w:val="22"/>
                <w:szCs w:val="22"/>
                <w:lang w:val="es-MX"/>
              </w:rPr>
              <w:t>2.1.3</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México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_Toc143865782 \h </w:instrText>
            </w:r>
            <w:r w:rsidR="00263E8A" w:rsidRPr="00263E8A">
              <w:rPr>
                <w:noProof/>
                <w:webHidden/>
              </w:rPr>
            </w:r>
            <w:r w:rsidR="00263E8A" w:rsidRPr="00263E8A">
              <w:rPr>
                <w:noProof/>
                <w:webHidden/>
              </w:rPr>
              <w:fldChar w:fldCharType="separate"/>
            </w:r>
            <w:r w:rsidR="00D84E7F">
              <w:rPr>
                <w:noProof/>
                <w:webHidden/>
              </w:rPr>
              <w:t>13</w:t>
            </w:r>
            <w:r w:rsidR="00263E8A" w:rsidRPr="00263E8A">
              <w:rPr>
                <w:noProof/>
                <w:webHidden/>
              </w:rPr>
              <w:fldChar w:fldCharType="end"/>
            </w:r>
          </w:hyperlink>
        </w:p>
        <w:p w14:paraId="24FD9C96" w14:textId="70966FA5"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83" w:history="1">
            <w:r w:rsidR="00263E8A" w:rsidRPr="00263E8A">
              <w:rPr>
                <w:rStyle w:val="Hipervnculo"/>
                <w:noProof/>
                <w:sz w:val="22"/>
                <w:szCs w:val="22"/>
                <w:lang w:val="es-MX"/>
              </w:rPr>
              <w:t>2.1.4</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Zona del euro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_Toc143865783 \h </w:instrText>
            </w:r>
            <w:r w:rsidR="00263E8A" w:rsidRPr="00263E8A">
              <w:rPr>
                <w:noProof/>
                <w:webHidden/>
              </w:rPr>
            </w:r>
            <w:r w:rsidR="00263E8A" w:rsidRPr="00263E8A">
              <w:rPr>
                <w:noProof/>
                <w:webHidden/>
              </w:rPr>
              <w:fldChar w:fldCharType="separate"/>
            </w:r>
            <w:r w:rsidR="00D84E7F">
              <w:rPr>
                <w:noProof/>
                <w:webHidden/>
              </w:rPr>
              <w:t>13</w:t>
            </w:r>
            <w:r w:rsidR="00263E8A" w:rsidRPr="00263E8A">
              <w:rPr>
                <w:noProof/>
                <w:webHidden/>
              </w:rPr>
              <w:fldChar w:fldCharType="end"/>
            </w:r>
          </w:hyperlink>
        </w:p>
        <w:p w14:paraId="306CE1C3" w14:textId="2B628FE1"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84" w:history="1">
            <w:r w:rsidR="00263E8A" w:rsidRPr="00263E8A">
              <w:rPr>
                <w:rStyle w:val="Hipervnculo"/>
                <w:noProof/>
                <w:sz w:val="22"/>
                <w:szCs w:val="22"/>
                <w:lang w:val="es-MX"/>
              </w:rPr>
              <w:t>2.2</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Comportamiento del precio del petróleo y de materias primas</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_Toc143865784 \h </w:instrText>
            </w:r>
            <w:r w:rsidR="00263E8A" w:rsidRPr="00263E8A">
              <w:rPr>
                <w:noProof/>
                <w:webHidden/>
              </w:rPr>
            </w:r>
            <w:r w:rsidR="00263E8A" w:rsidRPr="00263E8A">
              <w:rPr>
                <w:noProof/>
                <w:webHidden/>
              </w:rPr>
              <w:fldChar w:fldCharType="separate"/>
            </w:r>
            <w:r w:rsidR="00D84E7F">
              <w:rPr>
                <w:noProof/>
                <w:webHidden/>
              </w:rPr>
              <w:t>13</w:t>
            </w:r>
            <w:r w:rsidR="00263E8A" w:rsidRPr="00263E8A">
              <w:rPr>
                <w:noProof/>
                <w:webHidden/>
              </w:rPr>
              <w:fldChar w:fldCharType="end"/>
            </w:r>
          </w:hyperlink>
        </w:p>
        <w:p w14:paraId="5C1DC350" w14:textId="34D1E4A7"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785" w:history="1">
            <w:r w:rsidR="00263E8A" w:rsidRPr="00263E8A">
              <w:rPr>
                <w:rStyle w:val="Hipervnculo"/>
                <w:noProof/>
                <w:sz w:val="22"/>
                <w:szCs w:val="22"/>
                <w:lang w:val="es-MX"/>
              </w:rPr>
              <w:t>3.</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Contexto económico nacional 2022</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_Toc143865785 \h </w:instrText>
            </w:r>
            <w:r w:rsidR="00263E8A" w:rsidRPr="00263E8A">
              <w:rPr>
                <w:noProof/>
                <w:webHidden/>
              </w:rPr>
            </w:r>
            <w:r w:rsidR="00263E8A" w:rsidRPr="00263E8A">
              <w:rPr>
                <w:noProof/>
                <w:webHidden/>
              </w:rPr>
              <w:fldChar w:fldCharType="separate"/>
            </w:r>
            <w:r w:rsidR="00D84E7F">
              <w:rPr>
                <w:noProof/>
                <w:webHidden/>
              </w:rPr>
              <w:t>14</w:t>
            </w:r>
            <w:r w:rsidR="00263E8A" w:rsidRPr="00263E8A">
              <w:rPr>
                <w:noProof/>
                <w:webHidden/>
              </w:rPr>
              <w:fldChar w:fldCharType="end"/>
            </w:r>
          </w:hyperlink>
        </w:p>
        <w:p w14:paraId="7CDACD38" w14:textId="41F554D0"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86" w:history="1">
            <w:r w:rsidR="00263E8A" w:rsidRPr="00263E8A">
              <w:rPr>
                <w:rStyle w:val="Hipervnculo"/>
                <w:noProof/>
                <w:sz w:val="22"/>
                <w:szCs w:val="22"/>
                <w:lang w:val="es-MX"/>
              </w:rPr>
              <w:t>3.1</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Sector real</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_Toc143865786 \h </w:instrText>
            </w:r>
            <w:r w:rsidR="00263E8A" w:rsidRPr="00263E8A">
              <w:rPr>
                <w:noProof/>
                <w:webHidden/>
              </w:rPr>
            </w:r>
            <w:r w:rsidR="00263E8A" w:rsidRPr="00263E8A">
              <w:rPr>
                <w:noProof/>
                <w:webHidden/>
              </w:rPr>
              <w:fldChar w:fldCharType="separate"/>
            </w:r>
            <w:r w:rsidR="00D84E7F">
              <w:rPr>
                <w:noProof/>
                <w:webHidden/>
              </w:rPr>
              <w:t>14</w:t>
            </w:r>
            <w:r w:rsidR="00263E8A" w:rsidRPr="00263E8A">
              <w:rPr>
                <w:noProof/>
                <w:webHidden/>
              </w:rPr>
              <w:fldChar w:fldCharType="end"/>
            </w:r>
          </w:hyperlink>
        </w:p>
        <w:p w14:paraId="70FFD287" w14:textId="1687FF98"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87" w:history="1">
            <w:r w:rsidR="00263E8A" w:rsidRPr="00263E8A">
              <w:rPr>
                <w:rStyle w:val="Hipervnculo"/>
                <w:noProof/>
                <w:sz w:val="22"/>
                <w:szCs w:val="22"/>
                <w:lang w:val="es-MX"/>
              </w:rPr>
              <w:t>3.1.1</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Producto Interno Bruto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_Toc143865787 \h </w:instrText>
            </w:r>
            <w:r w:rsidR="00263E8A" w:rsidRPr="00263E8A">
              <w:rPr>
                <w:noProof/>
                <w:webHidden/>
              </w:rPr>
            </w:r>
            <w:r w:rsidR="00263E8A" w:rsidRPr="00263E8A">
              <w:rPr>
                <w:noProof/>
                <w:webHidden/>
              </w:rPr>
              <w:fldChar w:fldCharType="separate"/>
            </w:r>
            <w:r w:rsidR="00D84E7F">
              <w:rPr>
                <w:noProof/>
                <w:webHidden/>
              </w:rPr>
              <w:t>15</w:t>
            </w:r>
            <w:r w:rsidR="00263E8A" w:rsidRPr="00263E8A">
              <w:rPr>
                <w:noProof/>
                <w:webHidden/>
              </w:rPr>
              <w:fldChar w:fldCharType="end"/>
            </w:r>
          </w:hyperlink>
        </w:p>
        <w:p w14:paraId="213C888B" w14:textId="6A7E7754"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88" w:history="1">
            <w:r w:rsidR="00263E8A" w:rsidRPr="00263E8A">
              <w:rPr>
                <w:rStyle w:val="Hipervnculo"/>
                <w:noProof/>
                <w:sz w:val="22"/>
                <w:szCs w:val="22"/>
                <w:lang w:val="es-MX"/>
              </w:rPr>
              <w:t>3.1.2</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Ritmo inflacionario y deflactores del PIB</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_Toc143865788 \h </w:instrText>
            </w:r>
            <w:r w:rsidR="00263E8A" w:rsidRPr="00263E8A">
              <w:rPr>
                <w:noProof/>
                <w:webHidden/>
              </w:rPr>
            </w:r>
            <w:r w:rsidR="00263E8A" w:rsidRPr="00263E8A">
              <w:rPr>
                <w:noProof/>
                <w:webHidden/>
              </w:rPr>
              <w:fldChar w:fldCharType="separate"/>
            </w:r>
            <w:r w:rsidR="00D84E7F">
              <w:rPr>
                <w:noProof/>
                <w:webHidden/>
              </w:rPr>
              <w:t>17</w:t>
            </w:r>
            <w:r w:rsidR="00263E8A" w:rsidRPr="00263E8A">
              <w:rPr>
                <w:noProof/>
                <w:webHidden/>
              </w:rPr>
              <w:fldChar w:fldCharType="end"/>
            </w:r>
          </w:hyperlink>
        </w:p>
        <w:p w14:paraId="2A4F0DF2" w14:textId="17453729"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89" w:history="1">
            <w:r w:rsidR="00263E8A" w:rsidRPr="00263E8A">
              <w:rPr>
                <w:rStyle w:val="Hipervnculo"/>
                <w:noProof/>
                <w:sz w:val="22"/>
                <w:szCs w:val="22"/>
                <w:lang w:val="es-MX"/>
              </w:rPr>
              <w:t>3.1.3</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Empleo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_Toc143865789 \h </w:instrText>
            </w:r>
            <w:r w:rsidR="00263E8A" w:rsidRPr="00263E8A">
              <w:rPr>
                <w:noProof/>
                <w:webHidden/>
              </w:rPr>
            </w:r>
            <w:r w:rsidR="00263E8A" w:rsidRPr="00263E8A">
              <w:rPr>
                <w:noProof/>
                <w:webHidden/>
              </w:rPr>
              <w:fldChar w:fldCharType="separate"/>
            </w:r>
            <w:r w:rsidR="00D84E7F">
              <w:rPr>
                <w:noProof/>
                <w:webHidden/>
              </w:rPr>
              <w:t>18</w:t>
            </w:r>
            <w:r w:rsidR="00263E8A" w:rsidRPr="00263E8A">
              <w:rPr>
                <w:noProof/>
                <w:webHidden/>
              </w:rPr>
              <w:fldChar w:fldCharType="end"/>
            </w:r>
          </w:hyperlink>
        </w:p>
        <w:p w14:paraId="35D6C166" w14:textId="58934858"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90" w:history="1">
            <w:r w:rsidR="00263E8A" w:rsidRPr="00263E8A">
              <w:rPr>
                <w:rStyle w:val="Hipervnculo"/>
                <w:noProof/>
                <w:sz w:val="22"/>
                <w:szCs w:val="22"/>
                <w:lang w:val="es-MX"/>
              </w:rPr>
              <w:t>3.2</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Sector monetario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_Toc143865790 \h </w:instrText>
            </w:r>
            <w:r w:rsidR="00263E8A" w:rsidRPr="00263E8A">
              <w:rPr>
                <w:noProof/>
                <w:webHidden/>
              </w:rPr>
            </w:r>
            <w:r w:rsidR="00263E8A" w:rsidRPr="00263E8A">
              <w:rPr>
                <w:noProof/>
                <w:webHidden/>
              </w:rPr>
              <w:fldChar w:fldCharType="separate"/>
            </w:r>
            <w:r w:rsidR="00D84E7F">
              <w:rPr>
                <w:noProof/>
                <w:webHidden/>
              </w:rPr>
              <w:t>19</w:t>
            </w:r>
            <w:r w:rsidR="00263E8A" w:rsidRPr="00263E8A">
              <w:rPr>
                <w:noProof/>
                <w:webHidden/>
              </w:rPr>
              <w:fldChar w:fldCharType="end"/>
            </w:r>
          </w:hyperlink>
        </w:p>
        <w:p w14:paraId="0AC640A6" w14:textId="79A7C4B9"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91" w:history="1">
            <w:r w:rsidR="00263E8A" w:rsidRPr="00263E8A">
              <w:rPr>
                <w:rStyle w:val="Hipervnculo"/>
                <w:noProof/>
                <w:sz w:val="22"/>
                <w:szCs w:val="22"/>
                <w:lang w:val="es-MX"/>
              </w:rPr>
              <w:t>3.2.1</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Emisión monetaria y los medios de pago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_Toc143865791 \h </w:instrText>
            </w:r>
            <w:r w:rsidR="00263E8A" w:rsidRPr="00263E8A">
              <w:rPr>
                <w:noProof/>
                <w:webHidden/>
              </w:rPr>
            </w:r>
            <w:r w:rsidR="00263E8A" w:rsidRPr="00263E8A">
              <w:rPr>
                <w:noProof/>
                <w:webHidden/>
              </w:rPr>
              <w:fldChar w:fldCharType="separate"/>
            </w:r>
            <w:r w:rsidR="00D84E7F">
              <w:rPr>
                <w:noProof/>
                <w:webHidden/>
              </w:rPr>
              <w:t>19</w:t>
            </w:r>
            <w:r w:rsidR="00263E8A" w:rsidRPr="00263E8A">
              <w:rPr>
                <w:noProof/>
                <w:webHidden/>
              </w:rPr>
              <w:fldChar w:fldCharType="end"/>
            </w:r>
          </w:hyperlink>
        </w:p>
        <w:p w14:paraId="72AAC491" w14:textId="137E72C9"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92" w:history="1">
            <w:r w:rsidR="00263E8A" w:rsidRPr="00263E8A">
              <w:rPr>
                <w:rStyle w:val="Hipervnculo"/>
                <w:noProof/>
                <w:sz w:val="22"/>
                <w:szCs w:val="22"/>
                <w:lang w:val="es-MX"/>
              </w:rPr>
              <w:t>3.2.2</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Crédito del sistema bancario al sector privado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_Toc143865792 \h </w:instrText>
            </w:r>
            <w:r w:rsidR="00263E8A" w:rsidRPr="00263E8A">
              <w:rPr>
                <w:noProof/>
                <w:webHidden/>
              </w:rPr>
            </w:r>
            <w:r w:rsidR="00263E8A" w:rsidRPr="00263E8A">
              <w:rPr>
                <w:noProof/>
                <w:webHidden/>
              </w:rPr>
              <w:fldChar w:fldCharType="separate"/>
            </w:r>
            <w:r w:rsidR="00D84E7F">
              <w:rPr>
                <w:noProof/>
                <w:webHidden/>
              </w:rPr>
              <w:t>20</w:t>
            </w:r>
            <w:r w:rsidR="00263E8A" w:rsidRPr="00263E8A">
              <w:rPr>
                <w:noProof/>
                <w:webHidden/>
              </w:rPr>
              <w:fldChar w:fldCharType="end"/>
            </w:r>
          </w:hyperlink>
        </w:p>
        <w:p w14:paraId="1C43EB95" w14:textId="5CA372AC"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93" w:history="1">
            <w:r w:rsidR="00263E8A" w:rsidRPr="00263E8A">
              <w:rPr>
                <w:rStyle w:val="Hipervnculo"/>
                <w:noProof/>
                <w:sz w:val="22"/>
                <w:szCs w:val="22"/>
                <w:lang w:val="es-MX"/>
              </w:rPr>
              <w:t>3.2.3</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Tasa de interés líder de política monetaria</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_Toc143865793 \h </w:instrText>
            </w:r>
            <w:r w:rsidR="00263E8A" w:rsidRPr="00263E8A">
              <w:rPr>
                <w:noProof/>
                <w:webHidden/>
              </w:rPr>
            </w:r>
            <w:r w:rsidR="00263E8A" w:rsidRPr="00263E8A">
              <w:rPr>
                <w:noProof/>
                <w:webHidden/>
              </w:rPr>
              <w:fldChar w:fldCharType="separate"/>
            </w:r>
            <w:r w:rsidR="00D84E7F">
              <w:rPr>
                <w:noProof/>
                <w:webHidden/>
              </w:rPr>
              <w:t>20</w:t>
            </w:r>
            <w:r w:rsidR="00263E8A" w:rsidRPr="00263E8A">
              <w:rPr>
                <w:noProof/>
                <w:webHidden/>
              </w:rPr>
              <w:fldChar w:fldCharType="end"/>
            </w:r>
          </w:hyperlink>
        </w:p>
        <w:p w14:paraId="74B1852C" w14:textId="6487B857"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94" w:history="1">
            <w:r w:rsidR="00263E8A" w:rsidRPr="00263E8A">
              <w:rPr>
                <w:rStyle w:val="Hipervnculo"/>
                <w:noProof/>
                <w:sz w:val="22"/>
                <w:szCs w:val="22"/>
                <w:lang w:val="es-MX"/>
              </w:rPr>
              <w:t>3.3</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Sector externo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_Toc143865794 \h </w:instrText>
            </w:r>
            <w:r w:rsidR="00263E8A" w:rsidRPr="00263E8A">
              <w:rPr>
                <w:noProof/>
                <w:webHidden/>
              </w:rPr>
            </w:r>
            <w:r w:rsidR="00263E8A" w:rsidRPr="00263E8A">
              <w:rPr>
                <w:noProof/>
                <w:webHidden/>
              </w:rPr>
              <w:fldChar w:fldCharType="separate"/>
            </w:r>
            <w:r w:rsidR="00D84E7F">
              <w:rPr>
                <w:noProof/>
                <w:webHidden/>
              </w:rPr>
              <w:t>21</w:t>
            </w:r>
            <w:r w:rsidR="00263E8A" w:rsidRPr="00263E8A">
              <w:rPr>
                <w:noProof/>
                <w:webHidden/>
              </w:rPr>
              <w:fldChar w:fldCharType="end"/>
            </w:r>
          </w:hyperlink>
        </w:p>
        <w:p w14:paraId="594EE537" w14:textId="2508B4D3"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95" w:history="1">
            <w:r w:rsidR="00263E8A" w:rsidRPr="00263E8A">
              <w:rPr>
                <w:rStyle w:val="Hipervnculo"/>
                <w:noProof/>
                <w:sz w:val="22"/>
                <w:szCs w:val="22"/>
                <w:lang w:val="es-MX"/>
              </w:rPr>
              <w:t>3.3.1</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Balanza de pagos</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_Toc143865795 \h </w:instrText>
            </w:r>
            <w:r w:rsidR="00263E8A" w:rsidRPr="00263E8A">
              <w:rPr>
                <w:noProof/>
                <w:webHidden/>
              </w:rPr>
            </w:r>
            <w:r w:rsidR="00263E8A" w:rsidRPr="00263E8A">
              <w:rPr>
                <w:noProof/>
                <w:webHidden/>
              </w:rPr>
              <w:fldChar w:fldCharType="separate"/>
            </w:r>
            <w:r w:rsidR="00D84E7F">
              <w:rPr>
                <w:noProof/>
                <w:webHidden/>
              </w:rPr>
              <w:t>21</w:t>
            </w:r>
            <w:r w:rsidR="00263E8A" w:rsidRPr="00263E8A">
              <w:rPr>
                <w:noProof/>
                <w:webHidden/>
              </w:rPr>
              <w:fldChar w:fldCharType="end"/>
            </w:r>
          </w:hyperlink>
        </w:p>
        <w:p w14:paraId="42BC4F1D" w14:textId="278FE3EF"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96" w:history="1">
            <w:r w:rsidR="00263E8A" w:rsidRPr="00263E8A">
              <w:rPr>
                <w:rStyle w:val="Hipervnculo"/>
                <w:noProof/>
                <w:sz w:val="22"/>
                <w:szCs w:val="22"/>
                <w:lang w:val="es-MX"/>
              </w:rPr>
              <w:t>3.3.2</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Balanza comercial</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_Toc143865796 \h </w:instrText>
            </w:r>
            <w:r w:rsidR="00263E8A" w:rsidRPr="00263E8A">
              <w:rPr>
                <w:noProof/>
                <w:webHidden/>
              </w:rPr>
            </w:r>
            <w:r w:rsidR="00263E8A" w:rsidRPr="00263E8A">
              <w:rPr>
                <w:noProof/>
                <w:webHidden/>
              </w:rPr>
              <w:fldChar w:fldCharType="separate"/>
            </w:r>
            <w:r w:rsidR="00D84E7F">
              <w:rPr>
                <w:noProof/>
                <w:webHidden/>
              </w:rPr>
              <w:t>22</w:t>
            </w:r>
            <w:r w:rsidR="00263E8A" w:rsidRPr="00263E8A">
              <w:rPr>
                <w:noProof/>
                <w:webHidden/>
              </w:rPr>
              <w:fldChar w:fldCharType="end"/>
            </w:r>
          </w:hyperlink>
        </w:p>
        <w:p w14:paraId="4D33E719" w14:textId="7B27B2FC"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97" w:history="1">
            <w:r w:rsidR="00263E8A" w:rsidRPr="00263E8A">
              <w:rPr>
                <w:rStyle w:val="Hipervnculo"/>
                <w:noProof/>
                <w:sz w:val="22"/>
                <w:szCs w:val="22"/>
                <w:lang w:val="es-MX"/>
              </w:rPr>
              <w:t>3.3.3</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Ingreso primario y secundario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_Toc143865797 \h </w:instrText>
            </w:r>
            <w:r w:rsidR="00263E8A" w:rsidRPr="00263E8A">
              <w:rPr>
                <w:noProof/>
                <w:webHidden/>
              </w:rPr>
            </w:r>
            <w:r w:rsidR="00263E8A" w:rsidRPr="00263E8A">
              <w:rPr>
                <w:noProof/>
                <w:webHidden/>
              </w:rPr>
              <w:fldChar w:fldCharType="separate"/>
            </w:r>
            <w:r w:rsidR="00D84E7F">
              <w:rPr>
                <w:noProof/>
                <w:webHidden/>
              </w:rPr>
              <w:t>24</w:t>
            </w:r>
            <w:r w:rsidR="00263E8A" w:rsidRPr="00263E8A">
              <w:rPr>
                <w:noProof/>
                <w:webHidden/>
              </w:rPr>
              <w:fldChar w:fldCharType="end"/>
            </w:r>
          </w:hyperlink>
        </w:p>
        <w:p w14:paraId="5B358292" w14:textId="3F730F9B"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98" w:history="1">
            <w:r w:rsidR="00263E8A" w:rsidRPr="00263E8A">
              <w:rPr>
                <w:rStyle w:val="Hipervnculo"/>
                <w:noProof/>
                <w:sz w:val="22"/>
                <w:szCs w:val="22"/>
                <w:lang w:val="es-MX"/>
              </w:rPr>
              <w:t>3.3.4</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Cuenta financiera</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_Toc143865798 \h </w:instrText>
            </w:r>
            <w:r w:rsidR="00263E8A" w:rsidRPr="00263E8A">
              <w:rPr>
                <w:noProof/>
                <w:webHidden/>
              </w:rPr>
            </w:r>
            <w:r w:rsidR="00263E8A" w:rsidRPr="00263E8A">
              <w:rPr>
                <w:noProof/>
                <w:webHidden/>
              </w:rPr>
              <w:fldChar w:fldCharType="separate"/>
            </w:r>
            <w:r w:rsidR="00D84E7F">
              <w:rPr>
                <w:noProof/>
                <w:webHidden/>
              </w:rPr>
              <w:t>25</w:t>
            </w:r>
            <w:r w:rsidR="00263E8A" w:rsidRPr="00263E8A">
              <w:rPr>
                <w:noProof/>
                <w:webHidden/>
              </w:rPr>
              <w:fldChar w:fldCharType="end"/>
            </w:r>
          </w:hyperlink>
        </w:p>
        <w:p w14:paraId="2EDF08BC" w14:textId="1C4B86DD"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799" w:history="1">
            <w:r w:rsidR="00263E8A" w:rsidRPr="00263E8A">
              <w:rPr>
                <w:rStyle w:val="Hipervnculo"/>
                <w:noProof/>
                <w:sz w:val="22"/>
                <w:szCs w:val="22"/>
                <w:lang w:val="es-MX"/>
              </w:rPr>
              <w:t>3.3.5</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Posición de inversión internacional y la deuda externa público y privada</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_Toc143865799 \h </w:instrText>
            </w:r>
            <w:r w:rsidR="00263E8A" w:rsidRPr="00263E8A">
              <w:rPr>
                <w:noProof/>
                <w:webHidden/>
              </w:rPr>
            </w:r>
            <w:r w:rsidR="00263E8A" w:rsidRPr="00263E8A">
              <w:rPr>
                <w:noProof/>
                <w:webHidden/>
              </w:rPr>
              <w:fldChar w:fldCharType="separate"/>
            </w:r>
            <w:r w:rsidR="00D84E7F">
              <w:rPr>
                <w:noProof/>
                <w:webHidden/>
              </w:rPr>
              <w:t>26</w:t>
            </w:r>
            <w:r w:rsidR="00263E8A" w:rsidRPr="00263E8A">
              <w:rPr>
                <w:noProof/>
                <w:webHidden/>
              </w:rPr>
              <w:fldChar w:fldCharType="end"/>
            </w:r>
          </w:hyperlink>
        </w:p>
        <w:p w14:paraId="3D5EEB24" w14:textId="751052B9"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00" w:history="1">
            <w:r w:rsidR="00263E8A" w:rsidRPr="00263E8A">
              <w:rPr>
                <w:rStyle w:val="Hipervnculo"/>
                <w:noProof/>
                <w:sz w:val="22"/>
                <w:szCs w:val="22"/>
                <w:lang w:val="es-MX"/>
              </w:rPr>
              <w:t>3.3.6</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Tipo de cambio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_Toc143865800 \h </w:instrText>
            </w:r>
            <w:r w:rsidR="00263E8A" w:rsidRPr="00263E8A">
              <w:rPr>
                <w:noProof/>
                <w:webHidden/>
              </w:rPr>
            </w:r>
            <w:r w:rsidR="00263E8A" w:rsidRPr="00263E8A">
              <w:rPr>
                <w:noProof/>
                <w:webHidden/>
              </w:rPr>
              <w:fldChar w:fldCharType="separate"/>
            </w:r>
            <w:r w:rsidR="00D84E7F">
              <w:rPr>
                <w:noProof/>
                <w:webHidden/>
              </w:rPr>
              <w:t>26</w:t>
            </w:r>
            <w:r w:rsidR="00263E8A" w:rsidRPr="00263E8A">
              <w:rPr>
                <w:noProof/>
                <w:webHidden/>
              </w:rPr>
              <w:fldChar w:fldCharType="end"/>
            </w:r>
          </w:hyperlink>
        </w:p>
        <w:p w14:paraId="7D6F8B8E" w14:textId="080723D2"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01" w:history="1">
            <w:r w:rsidR="00263E8A" w:rsidRPr="00263E8A">
              <w:rPr>
                <w:rStyle w:val="Hipervnculo"/>
                <w:noProof/>
                <w:sz w:val="22"/>
                <w:szCs w:val="22"/>
                <w:lang w:val="es-MX"/>
              </w:rPr>
              <w:t>4.</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Escenario macroeconómico 2023</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_Toc143865801 \h </w:instrText>
            </w:r>
            <w:r w:rsidR="00263E8A" w:rsidRPr="00263E8A">
              <w:rPr>
                <w:noProof/>
                <w:webHidden/>
              </w:rPr>
            </w:r>
            <w:r w:rsidR="00263E8A" w:rsidRPr="00263E8A">
              <w:rPr>
                <w:noProof/>
                <w:webHidden/>
              </w:rPr>
              <w:fldChar w:fldCharType="separate"/>
            </w:r>
            <w:r w:rsidR="00D84E7F">
              <w:rPr>
                <w:noProof/>
                <w:webHidden/>
              </w:rPr>
              <w:t>29</w:t>
            </w:r>
            <w:r w:rsidR="00263E8A" w:rsidRPr="00263E8A">
              <w:rPr>
                <w:noProof/>
                <w:webHidden/>
              </w:rPr>
              <w:fldChar w:fldCharType="end"/>
            </w:r>
          </w:hyperlink>
          <w:r>
            <w:rPr>
              <w:noProof/>
            </w:rPr>
            <w:t xml:space="preserve"> </w:t>
          </w:r>
        </w:p>
        <w:p w14:paraId="3B49D1BA" w14:textId="53FABED9"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02" w:history="1">
            <w:r w:rsidR="00263E8A" w:rsidRPr="00263E8A">
              <w:rPr>
                <w:rStyle w:val="Hipervnculo"/>
                <w:noProof/>
                <w:sz w:val="22"/>
                <w:szCs w:val="22"/>
                <w:lang w:val="es-MX"/>
              </w:rPr>
              <w:t>4.1</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Sector real</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_Toc143865802 \h </w:instrText>
            </w:r>
            <w:r w:rsidR="00263E8A" w:rsidRPr="00263E8A">
              <w:rPr>
                <w:noProof/>
                <w:webHidden/>
              </w:rPr>
            </w:r>
            <w:r w:rsidR="00263E8A" w:rsidRPr="00263E8A">
              <w:rPr>
                <w:noProof/>
                <w:webHidden/>
              </w:rPr>
              <w:fldChar w:fldCharType="separate"/>
            </w:r>
            <w:r w:rsidR="00D84E7F">
              <w:rPr>
                <w:noProof/>
                <w:webHidden/>
              </w:rPr>
              <w:t>29</w:t>
            </w:r>
            <w:r w:rsidR="00263E8A" w:rsidRPr="00263E8A">
              <w:rPr>
                <w:noProof/>
                <w:webHidden/>
              </w:rPr>
              <w:fldChar w:fldCharType="end"/>
            </w:r>
          </w:hyperlink>
        </w:p>
        <w:p w14:paraId="19FFB240" w14:textId="1C0E095C"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03" w:history="1">
            <w:r w:rsidR="00263E8A" w:rsidRPr="00263E8A">
              <w:rPr>
                <w:rStyle w:val="Hipervnculo"/>
                <w:noProof/>
                <w:sz w:val="22"/>
                <w:szCs w:val="22"/>
                <w:lang w:val="es-MX"/>
              </w:rPr>
              <w:t>4.1.1</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Producto Interno Bruto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_Toc143865803 \h </w:instrText>
            </w:r>
            <w:r w:rsidR="00263E8A" w:rsidRPr="00263E8A">
              <w:rPr>
                <w:noProof/>
                <w:webHidden/>
              </w:rPr>
            </w:r>
            <w:r w:rsidR="00263E8A" w:rsidRPr="00263E8A">
              <w:rPr>
                <w:noProof/>
                <w:webHidden/>
              </w:rPr>
              <w:fldChar w:fldCharType="separate"/>
            </w:r>
            <w:r w:rsidR="00D84E7F">
              <w:rPr>
                <w:noProof/>
                <w:webHidden/>
              </w:rPr>
              <w:t>29</w:t>
            </w:r>
            <w:r w:rsidR="00263E8A" w:rsidRPr="00263E8A">
              <w:rPr>
                <w:noProof/>
                <w:webHidden/>
              </w:rPr>
              <w:fldChar w:fldCharType="end"/>
            </w:r>
          </w:hyperlink>
        </w:p>
        <w:p w14:paraId="01660763" w14:textId="6CDA6E87"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04" w:history="1">
            <w:r w:rsidR="00263E8A" w:rsidRPr="00263E8A">
              <w:rPr>
                <w:rStyle w:val="Hipervnculo"/>
                <w:noProof/>
                <w:sz w:val="22"/>
                <w:szCs w:val="22"/>
              </w:rPr>
              <w:t>4.1.2</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Inflación</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_Toc143865804 \h </w:instrText>
            </w:r>
            <w:r w:rsidR="00263E8A" w:rsidRPr="00263E8A">
              <w:rPr>
                <w:noProof/>
                <w:webHidden/>
              </w:rPr>
            </w:r>
            <w:r w:rsidR="00263E8A" w:rsidRPr="00263E8A">
              <w:rPr>
                <w:noProof/>
                <w:webHidden/>
              </w:rPr>
              <w:fldChar w:fldCharType="separate"/>
            </w:r>
            <w:r w:rsidR="00D84E7F">
              <w:rPr>
                <w:noProof/>
                <w:webHidden/>
              </w:rPr>
              <w:t>31</w:t>
            </w:r>
            <w:r w:rsidR="00263E8A" w:rsidRPr="00263E8A">
              <w:rPr>
                <w:noProof/>
                <w:webHidden/>
              </w:rPr>
              <w:fldChar w:fldCharType="end"/>
            </w:r>
          </w:hyperlink>
        </w:p>
        <w:p w14:paraId="4236150A" w14:textId="5469855A"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05" w:history="1">
            <w:r w:rsidR="00263E8A" w:rsidRPr="00263E8A">
              <w:rPr>
                <w:rStyle w:val="Hipervnculo"/>
                <w:noProof/>
                <w:sz w:val="22"/>
                <w:szCs w:val="22"/>
                <w:lang w:val="es-MX"/>
              </w:rPr>
              <w:t>4.2</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Sector monetario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_Toc143865805 \h </w:instrText>
            </w:r>
            <w:r w:rsidR="00263E8A" w:rsidRPr="00263E8A">
              <w:rPr>
                <w:noProof/>
                <w:webHidden/>
              </w:rPr>
            </w:r>
            <w:r w:rsidR="00263E8A" w:rsidRPr="00263E8A">
              <w:rPr>
                <w:noProof/>
                <w:webHidden/>
              </w:rPr>
              <w:fldChar w:fldCharType="separate"/>
            </w:r>
            <w:r w:rsidR="00D84E7F">
              <w:rPr>
                <w:noProof/>
                <w:webHidden/>
              </w:rPr>
              <w:t>32</w:t>
            </w:r>
            <w:r w:rsidR="00263E8A" w:rsidRPr="00263E8A">
              <w:rPr>
                <w:noProof/>
                <w:webHidden/>
              </w:rPr>
              <w:fldChar w:fldCharType="end"/>
            </w:r>
          </w:hyperlink>
        </w:p>
        <w:p w14:paraId="2FD203B1" w14:textId="2EC81758"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06" w:history="1">
            <w:r w:rsidR="00263E8A" w:rsidRPr="00263E8A">
              <w:rPr>
                <w:rStyle w:val="Hipervnculo"/>
                <w:noProof/>
                <w:sz w:val="22"/>
                <w:szCs w:val="22"/>
                <w:lang w:val="es-MX"/>
              </w:rPr>
              <w:t>4.3</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Sector Externo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_Toc143865806 \h </w:instrText>
            </w:r>
            <w:r w:rsidR="00263E8A" w:rsidRPr="00263E8A">
              <w:rPr>
                <w:noProof/>
                <w:webHidden/>
              </w:rPr>
            </w:r>
            <w:r w:rsidR="00263E8A" w:rsidRPr="00263E8A">
              <w:rPr>
                <w:noProof/>
                <w:webHidden/>
              </w:rPr>
              <w:fldChar w:fldCharType="separate"/>
            </w:r>
            <w:r w:rsidR="00D84E7F">
              <w:rPr>
                <w:noProof/>
                <w:webHidden/>
              </w:rPr>
              <w:t>34</w:t>
            </w:r>
            <w:r w:rsidR="00263E8A" w:rsidRPr="00263E8A">
              <w:rPr>
                <w:noProof/>
                <w:webHidden/>
              </w:rPr>
              <w:fldChar w:fldCharType="end"/>
            </w:r>
          </w:hyperlink>
        </w:p>
        <w:p w14:paraId="26E46130" w14:textId="138BD6C1"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07" w:history="1">
            <w:r w:rsidR="00263E8A" w:rsidRPr="00263E8A">
              <w:rPr>
                <w:rStyle w:val="Hipervnculo"/>
                <w:noProof/>
                <w:sz w:val="22"/>
                <w:szCs w:val="22"/>
                <w:lang w:val="es-MX"/>
              </w:rPr>
              <w:t>5.</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Escenario macroeconómico de mediano plazo (2024-2028)</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_Toc143865807 \h </w:instrText>
            </w:r>
            <w:r w:rsidR="00263E8A" w:rsidRPr="00263E8A">
              <w:rPr>
                <w:noProof/>
                <w:webHidden/>
              </w:rPr>
            </w:r>
            <w:r w:rsidR="00263E8A" w:rsidRPr="00263E8A">
              <w:rPr>
                <w:noProof/>
                <w:webHidden/>
              </w:rPr>
              <w:fldChar w:fldCharType="separate"/>
            </w:r>
            <w:r w:rsidR="00D84E7F">
              <w:rPr>
                <w:noProof/>
                <w:webHidden/>
              </w:rPr>
              <w:t>36</w:t>
            </w:r>
            <w:r w:rsidR="00263E8A" w:rsidRPr="00263E8A">
              <w:rPr>
                <w:noProof/>
                <w:webHidden/>
              </w:rPr>
              <w:fldChar w:fldCharType="end"/>
            </w:r>
          </w:hyperlink>
        </w:p>
        <w:p w14:paraId="227137A5" w14:textId="3C525057"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08" w:history="1">
            <w:r w:rsidR="00263E8A" w:rsidRPr="00263E8A">
              <w:rPr>
                <w:rStyle w:val="Hipervnculo"/>
                <w:noProof/>
                <w:sz w:val="22"/>
                <w:szCs w:val="22"/>
                <w:lang w:val="es-MX"/>
              </w:rPr>
              <w:t>5.1</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Supuestos macroeconómicos</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_Toc143865808 \h </w:instrText>
            </w:r>
            <w:r w:rsidR="00263E8A" w:rsidRPr="00263E8A">
              <w:rPr>
                <w:noProof/>
                <w:webHidden/>
              </w:rPr>
            </w:r>
            <w:r w:rsidR="00263E8A" w:rsidRPr="00263E8A">
              <w:rPr>
                <w:noProof/>
                <w:webHidden/>
              </w:rPr>
              <w:fldChar w:fldCharType="separate"/>
            </w:r>
            <w:r w:rsidR="00D84E7F">
              <w:rPr>
                <w:noProof/>
                <w:webHidden/>
              </w:rPr>
              <w:t>37</w:t>
            </w:r>
            <w:r w:rsidR="00263E8A" w:rsidRPr="00263E8A">
              <w:rPr>
                <w:noProof/>
                <w:webHidden/>
              </w:rPr>
              <w:fldChar w:fldCharType="end"/>
            </w:r>
          </w:hyperlink>
        </w:p>
        <w:p w14:paraId="6C707A2C" w14:textId="65281DBC"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09" w:history="1">
            <w:r w:rsidR="00263E8A" w:rsidRPr="00263E8A">
              <w:rPr>
                <w:rStyle w:val="Hipervnculo"/>
                <w:noProof/>
                <w:sz w:val="22"/>
                <w:szCs w:val="22"/>
                <w:lang w:val="es-MX"/>
              </w:rPr>
              <w:t>5.1.1</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Contexto internacional</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_Toc143865809 \h </w:instrText>
            </w:r>
            <w:r w:rsidR="00263E8A" w:rsidRPr="00263E8A">
              <w:rPr>
                <w:noProof/>
                <w:webHidden/>
              </w:rPr>
            </w:r>
            <w:r w:rsidR="00263E8A" w:rsidRPr="00263E8A">
              <w:rPr>
                <w:noProof/>
                <w:webHidden/>
              </w:rPr>
              <w:fldChar w:fldCharType="separate"/>
            </w:r>
            <w:r w:rsidR="00D84E7F">
              <w:rPr>
                <w:noProof/>
                <w:webHidden/>
              </w:rPr>
              <w:t>37</w:t>
            </w:r>
            <w:r w:rsidR="00263E8A" w:rsidRPr="00263E8A">
              <w:rPr>
                <w:noProof/>
                <w:webHidden/>
              </w:rPr>
              <w:fldChar w:fldCharType="end"/>
            </w:r>
          </w:hyperlink>
        </w:p>
        <w:p w14:paraId="320BE3E5" w14:textId="60BD851D"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10" w:history="1">
            <w:r w:rsidR="00263E8A" w:rsidRPr="00263E8A">
              <w:rPr>
                <w:rStyle w:val="Hipervnculo"/>
                <w:noProof/>
                <w:sz w:val="22"/>
                <w:szCs w:val="22"/>
                <w:lang w:val="es-MX"/>
              </w:rPr>
              <w:t>5.1.2</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Inflación externa</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_Toc143865810 \h </w:instrText>
            </w:r>
            <w:r w:rsidR="00263E8A" w:rsidRPr="00263E8A">
              <w:rPr>
                <w:noProof/>
                <w:webHidden/>
              </w:rPr>
            </w:r>
            <w:r w:rsidR="00263E8A" w:rsidRPr="00263E8A">
              <w:rPr>
                <w:noProof/>
                <w:webHidden/>
              </w:rPr>
              <w:fldChar w:fldCharType="separate"/>
            </w:r>
            <w:r w:rsidR="00D84E7F">
              <w:rPr>
                <w:noProof/>
                <w:webHidden/>
              </w:rPr>
              <w:t>38</w:t>
            </w:r>
            <w:r w:rsidR="00263E8A" w:rsidRPr="00263E8A">
              <w:rPr>
                <w:noProof/>
                <w:webHidden/>
              </w:rPr>
              <w:fldChar w:fldCharType="end"/>
            </w:r>
          </w:hyperlink>
        </w:p>
        <w:p w14:paraId="0D32900D" w14:textId="348C9FF7"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11" w:history="1">
            <w:r w:rsidR="00263E8A" w:rsidRPr="00263E8A">
              <w:rPr>
                <w:rStyle w:val="Hipervnculo"/>
                <w:noProof/>
                <w:sz w:val="22"/>
                <w:szCs w:val="22"/>
                <w:lang w:val="es-MX"/>
              </w:rPr>
              <w:t>5.1.3</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Precio del Petróleo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_Toc143865811 \h </w:instrText>
            </w:r>
            <w:r w:rsidR="00263E8A" w:rsidRPr="00263E8A">
              <w:rPr>
                <w:noProof/>
                <w:webHidden/>
              </w:rPr>
            </w:r>
            <w:r w:rsidR="00263E8A" w:rsidRPr="00263E8A">
              <w:rPr>
                <w:noProof/>
                <w:webHidden/>
              </w:rPr>
              <w:fldChar w:fldCharType="separate"/>
            </w:r>
            <w:r w:rsidR="00D84E7F">
              <w:rPr>
                <w:noProof/>
                <w:webHidden/>
              </w:rPr>
              <w:t>39</w:t>
            </w:r>
            <w:r w:rsidR="00263E8A" w:rsidRPr="00263E8A">
              <w:rPr>
                <w:noProof/>
                <w:webHidden/>
              </w:rPr>
              <w:fldChar w:fldCharType="end"/>
            </w:r>
          </w:hyperlink>
        </w:p>
        <w:p w14:paraId="67CCFD9D" w14:textId="224F33FA"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12" w:history="1">
            <w:r w:rsidR="00263E8A" w:rsidRPr="00263E8A">
              <w:rPr>
                <w:rStyle w:val="Hipervnculo"/>
                <w:noProof/>
                <w:sz w:val="22"/>
                <w:szCs w:val="22"/>
                <w:lang w:val="es-MX"/>
              </w:rPr>
              <w:t>5.1.4</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Contexto nacional</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_Toc143865812 \h </w:instrText>
            </w:r>
            <w:r w:rsidR="00263E8A" w:rsidRPr="00263E8A">
              <w:rPr>
                <w:noProof/>
                <w:webHidden/>
              </w:rPr>
            </w:r>
            <w:r w:rsidR="00263E8A" w:rsidRPr="00263E8A">
              <w:rPr>
                <w:noProof/>
                <w:webHidden/>
              </w:rPr>
              <w:fldChar w:fldCharType="separate"/>
            </w:r>
            <w:r w:rsidR="00D84E7F">
              <w:rPr>
                <w:noProof/>
                <w:webHidden/>
              </w:rPr>
              <w:t>40</w:t>
            </w:r>
            <w:r w:rsidR="00263E8A" w:rsidRPr="00263E8A">
              <w:rPr>
                <w:noProof/>
                <w:webHidden/>
              </w:rPr>
              <w:fldChar w:fldCharType="end"/>
            </w:r>
          </w:hyperlink>
        </w:p>
        <w:p w14:paraId="3E2A6765" w14:textId="47FC7CDC"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13" w:history="1">
            <w:r w:rsidR="00263E8A" w:rsidRPr="00263E8A">
              <w:rPr>
                <w:rStyle w:val="Hipervnculo"/>
                <w:noProof/>
                <w:sz w:val="22"/>
                <w:szCs w:val="22"/>
                <w:lang w:val="es-MX"/>
              </w:rPr>
              <w:t>5.1.4.1</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Sector real</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_Toc143865813 \h </w:instrText>
            </w:r>
            <w:r w:rsidR="00263E8A" w:rsidRPr="00263E8A">
              <w:rPr>
                <w:noProof/>
                <w:webHidden/>
              </w:rPr>
            </w:r>
            <w:r w:rsidR="00263E8A" w:rsidRPr="00263E8A">
              <w:rPr>
                <w:noProof/>
                <w:webHidden/>
              </w:rPr>
              <w:fldChar w:fldCharType="separate"/>
            </w:r>
            <w:r w:rsidR="00D84E7F">
              <w:rPr>
                <w:noProof/>
                <w:webHidden/>
              </w:rPr>
              <w:t>40</w:t>
            </w:r>
            <w:r w:rsidR="00263E8A" w:rsidRPr="00263E8A">
              <w:rPr>
                <w:noProof/>
                <w:webHidden/>
              </w:rPr>
              <w:fldChar w:fldCharType="end"/>
            </w:r>
          </w:hyperlink>
        </w:p>
        <w:p w14:paraId="7BCD7517" w14:textId="6242816A"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14" w:history="1">
            <w:r w:rsidR="00263E8A" w:rsidRPr="00263E8A">
              <w:rPr>
                <w:rStyle w:val="Hipervnculo"/>
                <w:noProof/>
                <w:sz w:val="22"/>
                <w:szCs w:val="22"/>
                <w:lang w:val="es-MX"/>
              </w:rPr>
              <w:t>5.1.4.2</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Sector externo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_Toc143865814 \h </w:instrText>
            </w:r>
            <w:r w:rsidR="00263E8A" w:rsidRPr="00263E8A">
              <w:rPr>
                <w:noProof/>
                <w:webHidden/>
              </w:rPr>
            </w:r>
            <w:r w:rsidR="00263E8A" w:rsidRPr="00263E8A">
              <w:rPr>
                <w:noProof/>
                <w:webHidden/>
              </w:rPr>
              <w:fldChar w:fldCharType="separate"/>
            </w:r>
            <w:r w:rsidR="00D84E7F">
              <w:rPr>
                <w:noProof/>
                <w:webHidden/>
              </w:rPr>
              <w:t>40</w:t>
            </w:r>
            <w:r w:rsidR="00263E8A" w:rsidRPr="00263E8A">
              <w:rPr>
                <w:noProof/>
                <w:webHidden/>
              </w:rPr>
              <w:fldChar w:fldCharType="end"/>
            </w:r>
          </w:hyperlink>
        </w:p>
        <w:p w14:paraId="1411E6AC" w14:textId="1F9AB0E5"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15" w:history="1">
            <w:r w:rsidR="00263E8A" w:rsidRPr="00263E8A">
              <w:rPr>
                <w:rStyle w:val="Hipervnculo"/>
                <w:noProof/>
                <w:sz w:val="22"/>
                <w:szCs w:val="22"/>
                <w:lang w:val="es-MX"/>
              </w:rPr>
              <w:t>5.1.4.3</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Tipo de cambio de referencia</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_Toc143865815 \h </w:instrText>
            </w:r>
            <w:r w:rsidR="00263E8A" w:rsidRPr="00263E8A">
              <w:rPr>
                <w:noProof/>
                <w:webHidden/>
              </w:rPr>
            </w:r>
            <w:r w:rsidR="00263E8A" w:rsidRPr="00263E8A">
              <w:rPr>
                <w:noProof/>
                <w:webHidden/>
              </w:rPr>
              <w:fldChar w:fldCharType="separate"/>
            </w:r>
            <w:r w:rsidR="00D84E7F">
              <w:rPr>
                <w:noProof/>
                <w:webHidden/>
              </w:rPr>
              <w:t>41</w:t>
            </w:r>
            <w:r w:rsidR="00263E8A" w:rsidRPr="00263E8A">
              <w:rPr>
                <w:noProof/>
                <w:webHidden/>
              </w:rPr>
              <w:fldChar w:fldCharType="end"/>
            </w:r>
          </w:hyperlink>
        </w:p>
        <w:p w14:paraId="0DCB1CF2" w14:textId="23DEB9D0" w:rsidR="00263E8A" w:rsidRDefault="00A37A2D" w:rsidP="00A37A2D">
          <w:pPr>
            <w:pStyle w:val="TDC3"/>
            <w:rPr>
              <w:rStyle w:val="Hipervnculo"/>
              <w:noProof/>
              <w:sz w:val="22"/>
              <w:szCs w:val="22"/>
            </w:rPr>
          </w:pPr>
          <w:r>
            <w:rPr>
              <w:noProof/>
            </w:rPr>
            <w:t xml:space="preserve">    </w:t>
          </w:r>
          <w:hyperlink w:anchor="_Toc143865816" w:history="1">
            <w:r w:rsidR="00263E8A" w:rsidRPr="00263E8A">
              <w:rPr>
                <w:rStyle w:val="Hipervnculo"/>
                <w:noProof/>
                <w:sz w:val="22"/>
                <w:szCs w:val="22"/>
                <w:lang w:val="es-MX"/>
              </w:rPr>
              <w:t>5.2</w:t>
            </w:r>
            <w:r w:rsidR="00263E8A">
              <w:rPr>
                <w:rFonts w:asciiTheme="minorHAnsi" w:eastAsiaTheme="minorEastAsia" w:hAnsiTheme="minorHAnsi" w:cstheme="minorBidi"/>
                <w:noProof/>
              </w:rPr>
              <w:t xml:space="preserve">  </w:t>
            </w:r>
            <w:r w:rsidR="00263E8A" w:rsidRPr="00263E8A">
              <w:rPr>
                <w:rStyle w:val="Hipervnculo"/>
                <w:noProof/>
                <w:sz w:val="22"/>
                <w:szCs w:val="22"/>
                <w:lang w:val="es-MX"/>
              </w:rPr>
              <w:t>Proyecciones de mediano plazo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_Toc143865816 \h </w:instrText>
            </w:r>
            <w:r w:rsidR="00263E8A" w:rsidRPr="00263E8A">
              <w:rPr>
                <w:noProof/>
                <w:webHidden/>
              </w:rPr>
            </w:r>
            <w:r w:rsidR="00263E8A" w:rsidRPr="00263E8A">
              <w:rPr>
                <w:noProof/>
                <w:webHidden/>
              </w:rPr>
              <w:fldChar w:fldCharType="separate"/>
            </w:r>
            <w:r w:rsidR="00D84E7F">
              <w:rPr>
                <w:noProof/>
                <w:webHidden/>
              </w:rPr>
              <w:t>42</w:t>
            </w:r>
            <w:r w:rsidR="00263E8A" w:rsidRPr="00263E8A">
              <w:rPr>
                <w:noProof/>
                <w:webHidden/>
              </w:rPr>
              <w:fldChar w:fldCharType="end"/>
            </w:r>
          </w:hyperlink>
        </w:p>
        <w:p w14:paraId="2E3678C7" w14:textId="77777777" w:rsidR="004423B7" w:rsidRPr="004423B7" w:rsidRDefault="004423B7" w:rsidP="004423B7">
          <w:pPr>
            <w:rPr>
              <w:rFonts w:eastAsiaTheme="minorEastAsia"/>
              <w:noProof/>
            </w:rPr>
          </w:pPr>
        </w:p>
        <w:p w14:paraId="442215D4" w14:textId="5C358FF5" w:rsidR="00263E8A" w:rsidRPr="00263E8A" w:rsidRDefault="005A30CD" w:rsidP="00A37A2D">
          <w:pPr>
            <w:pStyle w:val="TDC1"/>
            <w:rPr>
              <w:rFonts w:asciiTheme="minorHAnsi" w:eastAsiaTheme="minorEastAsia" w:hAnsiTheme="minorHAnsi" w:cstheme="minorBidi"/>
            </w:rPr>
          </w:pPr>
          <w:hyperlink w:anchor="_Toc143865817" w:history="1">
            <w:r w:rsidR="00263E8A" w:rsidRPr="00263E8A">
              <w:rPr>
                <w:rStyle w:val="Hipervnculo"/>
              </w:rPr>
              <w:t>II.</w:t>
            </w:r>
            <w:r w:rsidR="00263E8A">
              <w:rPr>
                <w:rFonts w:asciiTheme="minorHAnsi" w:eastAsiaTheme="minorEastAsia" w:hAnsiTheme="minorHAnsi" w:cstheme="minorBidi"/>
              </w:rPr>
              <w:t xml:space="preserve">  </w:t>
            </w:r>
            <w:r w:rsidR="00263E8A" w:rsidRPr="00263E8A">
              <w:rPr>
                <w:rStyle w:val="Hipervnculo"/>
              </w:rPr>
              <w:t>Marco Fiscal de Mediano Plazo</w:t>
            </w:r>
            <w:r w:rsidR="00263E8A" w:rsidRPr="00263E8A">
              <w:rPr>
                <w:webHidden/>
              </w:rPr>
              <w:tab/>
            </w:r>
            <w:r w:rsidR="00263E8A" w:rsidRPr="00263E8A">
              <w:rPr>
                <w:webHidden/>
              </w:rPr>
              <w:fldChar w:fldCharType="begin"/>
            </w:r>
            <w:r w:rsidR="00263E8A" w:rsidRPr="00263E8A">
              <w:rPr>
                <w:webHidden/>
              </w:rPr>
              <w:instrText xml:space="preserve"> PAGEREF _Toc143865817 \h </w:instrText>
            </w:r>
            <w:r w:rsidR="00263E8A" w:rsidRPr="00263E8A">
              <w:rPr>
                <w:webHidden/>
              </w:rPr>
            </w:r>
            <w:r w:rsidR="00263E8A" w:rsidRPr="00263E8A">
              <w:rPr>
                <w:webHidden/>
              </w:rPr>
              <w:fldChar w:fldCharType="separate"/>
            </w:r>
            <w:r w:rsidR="00D84E7F">
              <w:rPr>
                <w:webHidden/>
              </w:rPr>
              <w:t>48</w:t>
            </w:r>
            <w:r w:rsidR="00263E8A" w:rsidRPr="00263E8A">
              <w:rPr>
                <w:webHidden/>
              </w:rPr>
              <w:fldChar w:fldCharType="end"/>
            </w:r>
          </w:hyperlink>
        </w:p>
        <w:p w14:paraId="6AAC3C68" w14:textId="6E6CAE9B" w:rsidR="00263E8A" w:rsidRPr="00263E8A" w:rsidRDefault="00A37A2D" w:rsidP="00A37A2D">
          <w:pPr>
            <w:pStyle w:val="TDC1"/>
            <w:rPr>
              <w:rFonts w:asciiTheme="minorHAnsi" w:eastAsiaTheme="minorEastAsia" w:hAnsiTheme="minorHAnsi" w:cstheme="minorBidi"/>
            </w:rPr>
          </w:pPr>
          <w:r>
            <w:t xml:space="preserve">  </w:t>
          </w:r>
          <w:hyperlink w:anchor="_Toc143865818" w:history="1">
            <w:r w:rsidR="00263E8A" w:rsidRPr="00263E8A">
              <w:rPr>
                <w:rStyle w:val="Hipervnculo"/>
              </w:rPr>
              <w:t>1.</w:t>
            </w:r>
            <w:r w:rsidR="00263E8A">
              <w:rPr>
                <w:rFonts w:asciiTheme="minorHAnsi" w:eastAsiaTheme="minorEastAsia" w:hAnsiTheme="minorHAnsi" w:cstheme="minorBidi"/>
              </w:rPr>
              <w:t xml:space="preserve">  </w:t>
            </w:r>
            <w:r w:rsidR="00263E8A" w:rsidRPr="00263E8A">
              <w:rPr>
                <w:rStyle w:val="Hipervnculo"/>
              </w:rPr>
              <w:t>Desempeño de la política fiscal en 2022</w:t>
            </w:r>
            <w:r w:rsidR="00263E8A" w:rsidRPr="00263E8A">
              <w:rPr>
                <w:webHidden/>
              </w:rPr>
              <w:tab/>
            </w:r>
            <w:r w:rsidR="00263E8A" w:rsidRPr="00263E8A">
              <w:rPr>
                <w:webHidden/>
              </w:rPr>
              <w:fldChar w:fldCharType="begin"/>
            </w:r>
            <w:r w:rsidR="00263E8A" w:rsidRPr="00263E8A">
              <w:rPr>
                <w:webHidden/>
              </w:rPr>
              <w:instrText xml:space="preserve"> PAGEREF _Toc143865818 \h </w:instrText>
            </w:r>
            <w:r w:rsidR="00263E8A" w:rsidRPr="00263E8A">
              <w:rPr>
                <w:webHidden/>
              </w:rPr>
            </w:r>
            <w:r w:rsidR="00263E8A" w:rsidRPr="00263E8A">
              <w:rPr>
                <w:webHidden/>
              </w:rPr>
              <w:fldChar w:fldCharType="separate"/>
            </w:r>
            <w:r w:rsidR="00D84E7F">
              <w:rPr>
                <w:webHidden/>
              </w:rPr>
              <w:t>48</w:t>
            </w:r>
            <w:r w:rsidR="00263E8A" w:rsidRPr="00263E8A">
              <w:rPr>
                <w:webHidden/>
              </w:rPr>
              <w:fldChar w:fldCharType="end"/>
            </w:r>
          </w:hyperlink>
        </w:p>
        <w:p w14:paraId="6C964C2D" w14:textId="56B8610F"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19" w:history="1">
            <w:r w:rsidR="00263E8A" w:rsidRPr="00263E8A">
              <w:rPr>
                <w:rStyle w:val="Hipervnculo"/>
                <w:noProof/>
                <w:sz w:val="22"/>
                <w:szCs w:val="22"/>
              </w:rPr>
              <w:t>1.1</w:t>
            </w:r>
            <w:r w:rsidR="00263E8A">
              <w:rPr>
                <w:rFonts w:asciiTheme="minorHAnsi" w:eastAsiaTheme="minorEastAsia" w:hAnsiTheme="minorHAnsi" w:cstheme="minorBidi"/>
                <w:noProof/>
              </w:rPr>
              <w:t xml:space="preserve">  </w:t>
            </w:r>
            <w:r w:rsidR="00263E8A" w:rsidRPr="00263E8A">
              <w:rPr>
                <w:rStyle w:val="Hipervnculo"/>
                <w:noProof/>
                <w:sz w:val="22"/>
                <w:szCs w:val="22"/>
              </w:rPr>
              <w:t>La recaudación tributaria en 2022</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_Toc143865819 \h </w:instrText>
            </w:r>
            <w:r w:rsidR="00263E8A" w:rsidRPr="00263E8A">
              <w:rPr>
                <w:noProof/>
                <w:webHidden/>
              </w:rPr>
            </w:r>
            <w:r w:rsidR="00263E8A" w:rsidRPr="00263E8A">
              <w:rPr>
                <w:noProof/>
                <w:webHidden/>
              </w:rPr>
              <w:fldChar w:fldCharType="separate"/>
            </w:r>
            <w:r w:rsidR="00D84E7F">
              <w:rPr>
                <w:noProof/>
                <w:webHidden/>
              </w:rPr>
              <w:t>49</w:t>
            </w:r>
            <w:r w:rsidR="00263E8A" w:rsidRPr="00263E8A">
              <w:rPr>
                <w:noProof/>
                <w:webHidden/>
              </w:rPr>
              <w:fldChar w:fldCharType="end"/>
            </w:r>
          </w:hyperlink>
        </w:p>
        <w:p w14:paraId="5CF557DA" w14:textId="32DAEA71"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20" w:history="1">
            <w:r w:rsidR="00263E8A" w:rsidRPr="00263E8A">
              <w:rPr>
                <w:rStyle w:val="Hipervnculo"/>
                <w:noProof/>
                <w:sz w:val="22"/>
                <w:szCs w:val="22"/>
              </w:rPr>
              <w:t>1.1.1</w:t>
            </w:r>
            <w:r w:rsidR="00263E8A">
              <w:rPr>
                <w:rStyle w:val="Hipervnculo"/>
                <w:noProof/>
                <w:sz w:val="22"/>
                <w:szCs w:val="22"/>
              </w:rPr>
              <w:t xml:space="preserve">  </w:t>
            </w:r>
            <w:r w:rsidR="00263E8A" w:rsidRPr="00263E8A">
              <w:rPr>
                <w:rStyle w:val="Hipervnculo"/>
                <w:noProof/>
                <w:sz w:val="22"/>
                <w:szCs w:val="22"/>
              </w:rPr>
              <w:t>Impuesto Sobre la Renta -ISR- y el Impuesto de Solidaridad -ISO-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_Toc143865820 \h </w:instrText>
            </w:r>
            <w:r w:rsidR="00263E8A" w:rsidRPr="00263E8A">
              <w:rPr>
                <w:noProof/>
                <w:webHidden/>
              </w:rPr>
            </w:r>
            <w:r w:rsidR="00263E8A" w:rsidRPr="00263E8A">
              <w:rPr>
                <w:noProof/>
                <w:webHidden/>
              </w:rPr>
              <w:fldChar w:fldCharType="separate"/>
            </w:r>
            <w:r w:rsidR="00D84E7F">
              <w:rPr>
                <w:noProof/>
                <w:webHidden/>
              </w:rPr>
              <w:t>51</w:t>
            </w:r>
            <w:r w:rsidR="00263E8A" w:rsidRPr="00263E8A">
              <w:rPr>
                <w:noProof/>
                <w:webHidden/>
              </w:rPr>
              <w:fldChar w:fldCharType="end"/>
            </w:r>
          </w:hyperlink>
        </w:p>
        <w:p w14:paraId="4B3829A0" w14:textId="7BF52110"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21" w:history="1">
            <w:r w:rsidR="00263E8A" w:rsidRPr="00263E8A">
              <w:rPr>
                <w:rStyle w:val="Hipervnculo"/>
                <w:noProof/>
                <w:sz w:val="22"/>
                <w:szCs w:val="22"/>
              </w:rPr>
              <w:t>1.1.2</w:t>
            </w:r>
            <w:r w:rsidR="00263E8A">
              <w:rPr>
                <w:rStyle w:val="Hipervnculo"/>
                <w:noProof/>
                <w:sz w:val="22"/>
                <w:szCs w:val="22"/>
              </w:rPr>
              <w:t xml:space="preserve">  </w:t>
            </w:r>
            <w:r w:rsidR="00263E8A" w:rsidRPr="00263E8A">
              <w:rPr>
                <w:rStyle w:val="Hipervnculo"/>
                <w:noProof/>
                <w:sz w:val="22"/>
                <w:szCs w:val="22"/>
              </w:rPr>
              <w:t>Impuesto al Valor Agregado (IVA)</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_Toc143865821 \h </w:instrText>
            </w:r>
            <w:r w:rsidR="00263E8A" w:rsidRPr="00263E8A">
              <w:rPr>
                <w:noProof/>
                <w:webHidden/>
              </w:rPr>
            </w:r>
            <w:r w:rsidR="00263E8A" w:rsidRPr="00263E8A">
              <w:rPr>
                <w:noProof/>
                <w:webHidden/>
              </w:rPr>
              <w:fldChar w:fldCharType="separate"/>
            </w:r>
            <w:r w:rsidR="00D84E7F">
              <w:rPr>
                <w:noProof/>
                <w:webHidden/>
              </w:rPr>
              <w:t>52</w:t>
            </w:r>
            <w:r w:rsidR="00263E8A" w:rsidRPr="00263E8A">
              <w:rPr>
                <w:noProof/>
                <w:webHidden/>
              </w:rPr>
              <w:fldChar w:fldCharType="end"/>
            </w:r>
          </w:hyperlink>
        </w:p>
        <w:p w14:paraId="44A1BA63" w14:textId="2D7DF9B1"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22" w:history="1">
            <w:r w:rsidR="00263E8A" w:rsidRPr="00263E8A">
              <w:rPr>
                <w:rStyle w:val="Hipervnculo"/>
                <w:noProof/>
                <w:sz w:val="22"/>
                <w:szCs w:val="22"/>
              </w:rPr>
              <w:t>1.1.3</w:t>
            </w:r>
            <w:r w:rsidR="00263E8A">
              <w:rPr>
                <w:rStyle w:val="Hipervnculo"/>
                <w:noProof/>
                <w:sz w:val="22"/>
                <w:szCs w:val="22"/>
              </w:rPr>
              <w:t xml:space="preserve">  </w:t>
            </w:r>
            <w:r w:rsidR="00263E8A" w:rsidRPr="00263E8A">
              <w:rPr>
                <w:rStyle w:val="Hipervnculo"/>
                <w:noProof/>
                <w:sz w:val="22"/>
                <w:szCs w:val="22"/>
              </w:rPr>
              <w:t>Carga tributaria y factores que lograron cambiar su tendencia</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_Toc143865822 \h </w:instrText>
            </w:r>
            <w:r w:rsidR="00263E8A" w:rsidRPr="00263E8A">
              <w:rPr>
                <w:noProof/>
                <w:webHidden/>
              </w:rPr>
            </w:r>
            <w:r w:rsidR="00263E8A" w:rsidRPr="00263E8A">
              <w:rPr>
                <w:noProof/>
                <w:webHidden/>
              </w:rPr>
              <w:fldChar w:fldCharType="separate"/>
            </w:r>
            <w:r w:rsidR="00D84E7F">
              <w:rPr>
                <w:noProof/>
                <w:webHidden/>
              </w:rPr>
              <w:t>53</w:t>
            </w:r>
            <w:r w:rsidR="00263E8A" w:rsidRPr="00263E8A">
              <w:rPr>
                <w:noProof/>
                <w:webHidden/>
              </w:rPr>
              <w:fldChar w:fldCharType="end"/>
            </w:r>
          </w:hyperlink>
        </w:p>
        <w:p w14:paraId="0B784AF3" w14:textId="60EC732B"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23" w:history="1">
            <w:r w:rsidR="00263E8A" w:rsidRPr="00263E8A">
              <w:rPr>
                <w:rStyle w:val="Hipervnculo"/>
                <w:noProof/>
                <w:sz w:val="22"/>
                <w:szCs w:val="22"/>
              </w:rPr>
              <w:t>1.1.4</w:t>
            </w:r>
            <w:r w:rsidR="00263E8A">
              <w:rPr>
                <w:rStyle w:val="Hipervnculo"/>
                <w:noProof/>
                <w:sz w:val="22"/>
                <w:szCs w:val="22"/>
              </w:rPr>
              <w:t xml:space="preserve">  </w:t>
            </w:r>
            <w:r w:rsidR="00263E8A" w:rsidRPr="00263E8A">
              <w:rPr>
                <w:rStyle w:val="Hipervnculo"/>
                <w:noProof/>
                <w:sz w:val="22"/>
                <w:szCs w:val="22"/>
              </w:rPr>
              <w:t>Recaudación Tributaria Observada 2022 respecto a Presupuesto Aprobado de Ingresos</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_Toc143865823 \h </w:instrText>
            </w:r>
            <w:r w:rsidR="00263E8A" w:rsidRPr="00263E8A">
              <w:rPr>
                <w:noProof/>
                <w:webHidden/>
              </w:rPr>
            </w:r>
            <w:r w:rsidR="00263E8A" w:rsidRPr="00263E8A">
              <w:rPr>
                <w:noProof/>
                <w:webHidden/>
              </w:rPr>
              <w:fldChar w:fldCharType="separate"/>
            </w:r>
            <w:r w:rsidR="00D84E7F">
              <w:rPr>
                <w:noProof/>
                <w:webHidden/>
              </w:rPr>
              <w:t>54</w:t>
            </w:r>
            <w:r w:rsidR="00263E8A" w:rsidRPr="00263E8A">
              <w:rPr>
                <w:noProof/>
                <w:webHidden/>
              </w:rPr>
              <w:fldChar w:fldCharType="end"/>
            </w:r>
          </w:hyperlink>
        </w:p>
        <w:p w14:paraId="20DFFDBB" w14:textId="0E1FB1A4"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24" w:history="1">
            <w:r w:rsidR="00263E8A" w:rsidRPr="00263E8A">
              <w:rPr>
                <w:rStyle w:val="Hipervnculo"/>
                <w:noProof/>
                <w:sz w:val="22"/>
                <w:szCs w:val="22"/>
              </w:rPr>
              <w:t>1.2</w:t>
            </w:r>
            <w:r w:rsidR="00263E8A">
              <w:rPr>
                <w:rStyle w:val="Hipervnculo"/>
                <w:noProof/>
                <w:sz w:val="22"/>
                <w:szCs w:val="22"/>
              </w:rPr>
              <w:t xml:space="preserve">  </w:t>
            </w:r>
            <w:r w:rsidR="00263E8A" w:rsidRPr="00263E8A">
              <w:rPr>
                <w:rStyle w:val="Hipervnculo"/>
                <w:noProof/>
                <w:sz w:val="22"/>
                <w:szCs w:val="22"/>
              </w:rPr>
              <w:t>Ejecución del gasto público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_Toc143865824 \h </w:instrText>
            </w:r>
            <w:r w:rsidR="00263E8A" w:rsidRPr="00263E8A">
              <w:rPr>
                <w:noProof/>
                <w:webHidden/>
              </w:rPr>
            </w:r>
            <w:r w:rsidR="00263E8A" w:rsidRPr="00263E8A">
              <w:rPr>
                <w:noProof/>
                <w:webHidden/>
              </w:rPr>
              <w:fldChar w:fldCharType="separate"/>
            </w:r>
            <w:r w:rsidR="00D84E7F">
              <w:rPr>
                <w:noProof/>
                <w:webHidden/>
              </w:rPr>
              <w:t>56</w:t>
            </w:r>
            <w:r w:rsidR="00263E8A" w:rsidRPr="00263E8A">
              <w:rPr>
                <w:noProof/>
                <w:webHidden/>
              </w:rPr>
              <w:fldChar w:fldCharType="end"/>
            </w:r>
          </w:hyperlink>
        </w:p>
        <w:p w14:paraId="4C15C447" w14:textId="1819E584"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25" w:history="1">
            <w:r w:rsidR="00263E8A" w:rsidRPr="00263E8A">
              <w:rPr>
                <w:rStyle w:val="Hipervnculo"/>
                <w:noProof/>
                <w:sz w:val="22"/>
                <w:szCs w:val="22"/>
              </w:rPr>
              <w:t>1.2.1</w:t>
            </w:r>
            <w:r w:rsidR="00263E8A">
              <w:rPr>
                <w:rStyle w:val="Hipervnculo"/>
                <w:noProof/>
                <w:sz w:val="22"/>
                <w:szCs w:val="22"/>
              </w:rPr>
              <w:t xml:space="preserve">  </w:t>
            </w:r>
            <w:r w:rsidR="00263E8A" w:rsidRPr="00263E8A">
              <w:rPr>
                <w:rStyle w:val="Hipervnculo"/>
                <w:noProof/>
                <w:sz w:val="22"/>
                <w:szCs w:val="22"/>
              </w:rPr>
              <w:t>Ejecución del gasto público relacionado a Desastres Naturales y Calamidades Públicas</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_Toc143865825 \h </w:instrText>
            </w:r>
            <w:r w:rsidR="00263E8A" w:rsidRPr="00263E8A">
              <w:rPr>
                <w:noProof/>
                <w:webHidden/>
              </w:rPr>
            </w:r>
            <w:r w:rsidR="00263E8A" w:rsidRPr="00263E8A">
              <w:rPr>
                <w:noProof/>
                <w:webHidden/>
              </w:rPr>
              <w:fldChar w:fldCharType="separate"/>
            </w:r>
            <w:r w:rsidR="00D84E7F">
              <w:rPr>
                <w:noProof/>
                <w:webHidden/>
              </w:rPr>
              <w:t>64</w:t>
            </w:r>
            <w:r w:rsidR="00263E8A" w:rsidRPr="00263E8A">
              <w:rPr>
                <w:noProof/>
                <w:webHidden/>
              </w:rPr>
              <w:fldChar w:fldCharType="end"/>
            </w:r>
          </w:hyperlink>
        </w:p>
        <w:p w14:paraId="7A17AD5C" w14:textId="4849915D"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26" w:history="1">
            <w:r w:rsidR="00263E8A" w:rsidRPr="00263E8A">
              <w:rPr>
                <w:rStyle w:val="Hipervnculo"/>
                <w:noProof/>
                <w:sz w:val="22"/>
                <w:szCs w:val="22"/>
              </w:rPr>
              <w:t>1.2.1.1</w:t>
            </w:r>
            <w:r w:rsidR="00263E8A">
              <w:rPr>
                <w:rStyle w:val="Hipervnculo"/>
                <w:noProof/>
                <w:sz w:val="22"/>
                <w:szCs w:val="22"/>
              </w:rPr>
              <w:t xml:space="preserve">  </w:t>
            </w:r>
            <w:r w:rsidR="00263E8A" w:rsidRPr="00263E8A">
              <w:rPr>
                <w:rStyle w:val="Hipervnculo"/>
                <w:noProof/>
                <w:sz w:val="22"/>
                <w:szCs w:val="22"/>
              </w:rPr>
              <w:t>Emergencia Sanitaria por COVID-19</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_Toc143865826 \h </w:instrText>
            </w:r>
            <w:r w:rsidR="00263E8A" w:rsidRPr="00263E8A">
              <w:rPr>
                <w:noProof/>
                <w:webHidden/>
              </w:rPr>
            </w:r>
            <w:r w:rsidR="00263E8A" w:rsidRPr="00263E8A">
              <w:rPr>
                <w:noProof/>
                <w:webHidden/>
              </w:rPr>
              <w:fldChar w:fldCharType="separate"/>
            </w:r>
            <w:r w:rsidR="00D84E7F">
              <w:rPr>
                <w:noProof/>
                <w:webHidden/>
              </w:rPr>
              <w:t>64</w:t>
            </w:r>
            <w:r w:rsidR="00263E8A" w:rsidRPr="00263E8A">
              <w:rPr>
                <w:noProof/>
                <w:webHidden/>
              </w:rPr>
              <w:fldChar w:fldCharType="end"/>
            </w:r>
          </w:hyperlink>
        </w:p>
        <w:p w14:paraId="79628CE4" w14:textId="566C7802"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27" w:history="1">
            <w:r w:rsidR="00263E8A" w:rsidRPr="00263E8A">
              <w:rPr>
                <w:rStyle w:val="Hipervnculo"/>
                <w:noProof/>
                <w:sz w:val="22"/>
                <w:szCs w:val="22"/>
                <w:lang w:val="es-ES_tradnl"/>
              </w:rPr>
              <w:t>1.2.1.2</w:t>
            </w:r>
            <w:r w:rsidR="00263E8A">
              <w:rPr>
                <w:rStyle w:val="Hipervnculo"/>
                <w:noProof/>
                <w:sz w:val="22"/>
                <w:szCs w:val="22"/>
                <w:lang w:val="es-ES_tradnl"/>
              </w:rPr>
              <w:t xml:space="preserve">  </w:t>
            </w:r>
            <w:r w:rsidR="00263E8A" w:rsidRPr="00263E8A">
              <w:rPr>
                <w:rStyle w:val="Hipervnculo"/>
                <w:noProof/>
                <w:sz w:val="22"/>
                <w:szCs w:val="22"/>
                <w:lang w:val="es-ES_tradnl"/>
              </w:rPr>
              <w:t>Intervenciones realizadas para la atención de los Estados de Calamidad Pública por lluvias</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_Toc143865827 \h </w:instrText>
            </w:r>
            <w:r w:rsidR="00263E8A" w:rsidRPr="00263E8A">
              <w:rPr>
                <w:noProof/>
                <w:webHidden/>
              </w:rPr>
            </w:r>
            <w:r w:rsidR="00263E8A" w:rsidRPr="00263E8A">
              <w:rPr>
                <w:noProof/>
                <w:webHidden/>
              </w:rPr>
              <w:fldChar w:fldCharType="separate"/>
            </w:r>
            <w:r w:rsidR="00D84E7F">
              <w:rPr>
                <w:noProof/>
                <w:webHidden/>
              </w:rPr>
              <w:t>66</w:t>
            </w:r>
            <w:r w:rsidR="00263E8A" w:rsidRPr="00263E8A">
              <w:rPr>
                <w:noProof/>
                <w:webHidden/>
              </w:rPr>
              <w:fldChar w:fldCharType="end"/>
            </w:r>
          </w:hyperlink>
        </w:p>
        <w:p w14:paraId="54C40B60" w14:textId="4F73D22C"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28" w:history="1">
            <w:r w:rsidR="00263E8A" w:rsidRPr="00263E8A">
              <w:rPr>
                <w:rStyle w:val="Hipervnculo"/>
                <w:noProof/>
                <w:sz w:val="22"/>
                <w:szCs w:val="22"/>
                <w:lang w:val="es-ES_tradnl"/>
              </w:rPr>
              <w:t>1.3</w:t>
            </w:r>
            <w:r w:rsidR="00263E8A">
              <w:rPr>
                <w:rStyle w:val="Hipervnculo"/>
                <w:noProof/>
                <w:sz w:val="22"/>
                <w:szCs w:val="22"/>
                <w:lang w:val="es-ES_tradnl"/>
              </w:rPr>
              <w:t xml:space="preserve">  </w:t>
            </w:r>
            <w:r w:rsidR="00263E8A" w:rsidRPr="00263E8A">
              <w:rPr>
                <w:rStyle w:val="Hipervnculo"/>
                <w:noProof/>
                <w:sz w:val="22"/>
                <w:szCs w:val="22"/>
                <w:lang w:val="es-ES_tradnl"/>
              </w:rPr>
              <w:t>Déficit Fiscal y su financiamiento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_Toc143865828 \h </w:instrText>
            </w:r>
            <w:r w:rsidR="00263E8A" w:rsidRPr="00263E8A">
              <w:rPr>
                <w:noProof/>
                <w:webHidden/>
              </w:rPr>
            </w:r>
            <w:r w:rsidR="00263E8A" w:rsidRPr="00263E8A">
              <w:rPr>
                <w:noProof/>
                <w:webHidden/>
              </w:rPr>
              <w:fldChar w:fldCharType="separate"/>
            </w:r>
            <w:r w:rsidR="00D84E7F">
              <w:rPr>
                <w:noProof/>
                <w:webHidden/>
              </w:rPr>
              <w:t>68</w:t>
            </w:r>
            <w:r w:rsidR="00263E8A" w:rsidRPr="00263E8A">
              <w:rPr>
                <w:noProof/>
                <w:webHidden/>
              </w:rPr>
              <w:fldChar w:fldCharType="end"/>
            </w:r>
          </w:hyperlink>
        </w:p>
        <w:p w14:paraId="7FF54826" w14:textId="52EF71C3"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29" w:history="1">
            <w:r w:rsidR="00263E8A" w:rsidRPr="00263E8A">
              <w:rPr>
                <w:rStyle w:val="Hipervnculo"/>
                <w:noProof/>
                <w:sz w:val="22"/>
                <w:szCs w:val="22"/>
                <w:lang w:val="es-ES_tradnl"/>
              </w:rPr>
              <w:t>1.4</w:t>
            </w:r>
            <w:r w:rsidR="00263E8A">
              <w:rPr>
                <w:rStyle w:val="Hipervnculo"/>
                <w:noProof/>
                <w:sz w:val="22"/>
                <w:szCs w:val="22"/>
                <w:lang w:val="es-ES_tradnl"/>
              </w:rPr>
              <w:t xml:space="preserve">  </w:t>
            </w:r>
            <w:r w:rsidR="00263E8A" w:rsidRPr="00263E8A">
              <w:rPr>
                <w:rStyle w:val="Hipervnculo"/>
                <w:noProof/>
                <w:sz w:val="22"/>
                <w:szCs w:val="22"/>
                <w:lang w:val="es-ES_tradnl"/>
              </w:rPr>
              <w:t>Resultado del sector público no financiero consolidado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_Toc143865829 \h </w:instrText>
            </w:r>
            <w:r w:rsidR="00263E8A" w:rsidRPr="00263E8A">
              <w:rPr>
                <w:noProof/>
                <w:webHidden/>
              </w:rPr>
            </w:r>
            <w:r w:rsidR="00263E8A" w:rsidRPr="00263E8A">
              <w:rPr>
                <w:noProof/>
                <w:webHidden/>
              </w:rPr>
              <w:fldChar w:fldCharType="separate"/>
            </w:r>
            <w:r w:rsidR="00D84E7F">
              <w:rPr>
                <w:noProof/>
                <w:webHidden/>
              </w:rPr>
              <w:t>71</w:t>
            </w:r>
            <w:r w:rsidR="00263E8A" w:rsidRPr="00263E8A">
              <w:rPr>
                <w:noProof/>
                <w:webHidden/>
              </w:rPr>
              <w:fldChar w:fldCharType="end"/>
            </w:r>
          </w:hyperlink>
        </w:p>
        <w:p w14:paraId="7FDDD7AE" w14:textId="2610FF8C" w:rsidR="00263E8A" w:rsidRPr="00263E8A" w:rsidRDefault="00A37A2D" w:rsidP="00A37A2D">
          <w:pPr>
            <w:pStyle w:val="TDC1"/>
            <w:rPr>
              <w:rFonts w:asciiTheme="minorHAnsi" w:eastAsiaTheme="minorEastAsia" w:hAnsiTheme="minorHAnsi" w:cstheme="minorBidi"/>
            </w:rPr>
          </w:pPr>
          <w:r>
            <w:t xml:space="preserve">  </w:t>
          </w:r>
          <w:hyperlink w:anchor="_Toc143865830" w:history="1">
            <w:r w:rsidR="00263E8A" w:rsidRPr="00263E8A">
              <w:rPr>
                <w:rStyle w:val="Hipervnculo"/>
              </w:rPr>
              <w:t>2.</w:t>
            </w:r>
            <w:r w:rsidR="00263E8A">
              <w:rPr>
                <w:rFonts w:asciiTheme="minorHAnsi" w:eastAsiaTheme="minorEastAsia" w:hAnsiTheme="minorHAnsi" w:cstheme="minorBidi"/>
              </w:rPr>
              <w:t xml:space="preserve">  </w:t>
            </w:r>
            <w:r w:rsidR="00263E8A" w:rsidRPr="00263E8A">
              <w:rPr>
                <w:rStyle w:val="Hipervnculo"/>
              </w:rPr>
              <w:t>Metas establecidas en el marco fiscal de mediano plazo 2022-2026</w:t>
            </w:r>
            <w:r w:rsidR="00263E8A" w:rsidRPr="00263E8A">
              <w:rPr>
                <w:webHidden/>
              </w:rPr>
              <w:tab/>
            </w:r>
            <w:r w:rsidR="00263E8A" w:rsidRPr="00263E8A">
              <w:rPr>
                <w:webHidden/>
              </w:rPr>
              <w:fldChar w:fldCharType="begin"/>
            </w:r>
            <w:r w:rsidR="00263E8A" w:rsidRPr="00263E8A">
              <w:rPr>
                <w:webHidden/>
              </w:rPr>
              <w:instrText xml:space="preserve"> PAGEREF _Toc143865830 \h </w:instrText>
            </w:r>
            <w:r w:rsidR="00263E8A" w:rsidRPr="00263E8A">
              <w:rPr>
                <w:webHidden/>
              </w:rPr>
            </w:r>
            <w:r w:rsidR="00263E8A" w:rsidRPr="00263E8A">
              <w:rPr>
                <w:webHidden/>
              </w:rPr>
              <w:fldChar w:fldCharType="separate"/>
            </w:r>
            <w:r w:rsidR="00D84E7F">
              <w:rPr>
                <w:webHidden/>
              </w:rPr>
              <w:t>72</w:t>
            </w:r>
            <w:r w:rsidR="00263E8A" w:rsidRPr="00263E8A">
              <w:rPr>
                <w:webHidden/>
              </w:rPr>
              <w:fldChar w:fldCharType="end"/>
            </w:r>
          </w:hyperlink>
        </w:p>
        <w:p w14:paraId="7CA83467" w14:textId="796793BC"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31" w:history="1">
            <w:r w:rsidR="00263E8A" w:rsidRPr="00263E8A">
              <w:rPr>
                <w:rStyle w:val="Hipervnculo"/>
                <w:noProof/>
                <w:sz w:val="22"/>
                <w:szCs w:val="22"/>
                <w:lang w:val="es-ES_tradnl"/>
              </w:rPr>
              <w:t>2.1</w:t>
            </w:r>
            <w:r w:rsidR="00263E8A">
              <w:rPr>
                <w:rStyle w:val="Hipervnculo"/>
                <w:noProof/>
                <w:sz w:val="22"/>
                <w:szCs w:val="22"/>
                <w:lang w:val="es-ES_tradnl"/>
              </w:rPr>
              <w:t xml:space="preserve">  </w:t>
            </w:r>
            <w:r w:rsidR="00263E8A" w:rsidRPr="00263E8A">
              <w:rPr>
                <w:rStyle w:val="Hipervnculo"/>
                <w:noProof/>
                <w:sz w:val="22"/>
                <w:szCs w:val="22"/>
              </w:rPr>
              <w:t>Evaluación de los pronósticos establecidos en los presupuestos multianuales</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_Toc143865831 \h </w:instrText>
            </w:r>
            <w:r w:rsidR="00263E8A" w:rsidRPr="00263E8A">
              <w:rPr>
                <w:noProof/>
                <w:webHidden/>
              </w:rPr>
            </w:r>
            <w:r w:rsidR="00263E8A" w:rsidRPr="00263E8A">
              <w:rPr>
                <w:noProof/>
                <w:webHidden/>
              </w:rPr>
              <w:fldChar w:fldCharType="separate"/>
            </w:r>
            <w:r w:rsidR="00D84E7F">
              <w:rPr>
                <w:noProof/>
                <w:webHidden/>
              </w:rPr>
              <w:t>73</w:t>
            </w:r>
            <w:r w:rsidR="00263E8A" w:rsidRPr="00263E8A">
              <w:rPr>
                <w:noProof/>
                <w:webHidden/>
              </w:rPr>
              <w:fldChar w:fldCharType="end"/>
            </w:r>
          </w:hyperlink>
        </w:p>
        <w:p w14:paraId="5BEF5FE8" w14:textId="1FA103AB"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32" w:history="1">
            <w:r w:rsidR="00263E8A" w:rsidRPr="00263E8A">
              <w:rPr>
                <w:rStyle w:val="Hipervnculo"/>
                <w:noProof/>
                <w:sz w:val="22"/>
                <w:szCs w:val="22"/>
              </w:rPr>
              <w:t>2.1.1</w:t>
            </w:r>
            <w:r w:rsidR="00263E8A">
              <w:rPr>
                <w:rStyle w:val="Hipervnculo"/>
                <w:noProof/>
                <w:sz w:val="22"/>
                <w:szCs w:val="22"/>
              </w:rPr>
              <w:t xml:space="preserve">  </w:t>
            </w:r>
            <w:r w:rsidR="00263E8A" w:rsidRPr="00263E8A">
              <w:rPr>
                <w:rStyle w:val="Hipervnculo"/>
                <w:noProof/>
                <w:sz w:val="22"/>
                <w:szCs w:val="22"/>
              </w:rPr>
              <w:t>Ingresos Tributarios</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_Toc143865832 \h </w:instrText>
            </w:r>
            <w:r w:rsidR="00263E8A" w:rsidRPr="00263E8A">
              <w:rPr>
                <w:noProof/>
                <w:webHidden/>
              </w:rPr>
            </w:r>
            <w:r w:rsidR="00263E8A" w:rsidRPr="00263E8A">
              <w:rPr>
                <w:noProof/>
                <w:webHidden/>
              </w:rPr>
              <w:fldChar w:fldCharType="separate"/>
            </w:r>
            <w:r w:rsidR="00D84E7F">
              <w:rPr>
                <w:noProof/>
                <w:webHidden/>
              </w:rPr>
              <w:t>75</w:t>
            </w:r>
            <w:r w:rsidR="00263E8A" w:rsidRPr="00263E8A">
              <w:rPr>
                <w:noProof/>
                <w:webHidden/>
              </w:rPr>
              <w:fldChar w:fldCharType="end"/>
            </w:r>
          </w:hyperlink>
        </w:p>
        <w:p w14:paraId="093F374D" w14:textId="1C889CBA"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33" w:history="1">
            <w:r w:rsidR="00263E8A" w:rsidRPr="00263E8A">
              <w:rPr>
                <w:rStyle w:val="Hipervnculo"/>
                <w:noProof/>
                <w:sz w:val="22"/>
                <w:szCs w:val="22"/>
              </w:rPr>
              <w:t>2.1.2</w:t>
            </w:r>
            <w:r w:rsidR="00263E8A">
              <w:rPr>
                <w:rStyle w:val="Hipervnculo"/>
                <w:noProof/>
                <w:sz w:val="22"/>
                <w:szCs w:val="22"/>
              </w:rPr>
              <w:t xml:space="preserve">  </w:t>
            </w:r>
            <w:r w:rsidR="00263E8A" w:rsidRPr="00263E8A">
              <w:rPr>
                <w:rStyle w:val="Hipervnculo"/>
                <w:noProof/>
                <w:sz w:val="22"/>
                <w:szCs w:val="22"/>
              </w:rPr>
              <w:t>Gasto público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_Toc143865833 \h </w:instrText>
            </w:r>
            <w:r w:rsidR="00263E8A" w:rsidRPr="00263E8A">
              <w:rPr>
                <w:noProof/>
                <w:webHidden/>
              </w:rPr>
            </w:r>
            <w:r w:rsidR="00263E8A" w:rsidRPr="00263E8A">
              <w:rPr>
                <w:noProof/>
                <w:webHidden/>
              </w:rPr>
              <w:fldChar w:fldCharType="separate"/>
            </w:r>
            <w:r w:rsidR="00D84E7F">
              <w:rPr>
                <w:noProof/>
                <w:webHidden/>
              </w:rPr>
              <w:t>77</w:t>
            </w:r>
            <w:r w:rsidR="00263E8A" w:rsidRPr="00263E8A">
              <w:rPr>
                <w:noProof/>
                <w:webHidden/>
              </w:rPr>
              <w:fldChar w:fldCharType="end"/>
            </w:r>
          </w:hyperlink>
        </w:p>
        <w:p w14:paraId="59394DA7" w14:textId="445ED7D8"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34" w:history="1">
            <w:r w:rsidR="00263E8A" w:rsidRPr="00263E8A">
              <w:rPr>
                <w:rStyle w:val="Hipervnculo"/>
                <w:noProof/>
                <w:sz w:val="22"/>
                <w:szCs w:val="22"/>
              </w:rPr>
              <w:t>2.1.3</w:t>
            </w:r>
            <w:r w:rsidR="00263E8A">
              <w:rPr>
                <w:rStyle w:val="Hipervnculo"/>
                <w:noProof/>
                <w:sz w:val="22"/>
                <w:szCs w:val="22"/>
              </w:rPr>
              <w:t xml:space="preserve">  </w:t>
            </w:r>
            <w:r w:rsidR="00263E8A" w:rsidRPr="00263E8A">
              <w:rPr>
                <w:rStyle w:val="Hipervnculo"/>
                <w:noProof/>
                <w:sz w:val="22"/>
                <w:szCs w:val="22"/>
              </w:rPr>
              <w:t>Déficit fiscal</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_Toc143865834 \h </w:instrText>
            </w:r>
            <w:r w:rsidR="00263E8A" w:rsidRPr="00263E8A">
              <w:rPr>
                <w:noProof/>
                <w:webHidden/>
              </w:rPr>
            </w:r>
            <w:r w:rsidR="00263E8A" w:rsidRPr="00263E8A">
              <w:rPr>
                <w:noProof/>
                <w:webHidden/>
              </w:rPr>
              <w:fldChar w:fldCharType="separate"/>
            </w:r>
            <w:r w:rsidR="00D84E7F">
              <w:rPr>
                <w:noProof/>
                <w:webHidden/>
              </w:rPr>
              <w:t>78</w:t>
            </w:r>
            <w:r w:rsidR="00263E8A" w:rsidRPr="00263E8A">
              <w:rPr>
                <w:noProof/>
                <w:webHidden/>
              </w:rPr>
              <w:fldChar w:fldCharType="end"/>
            </w:r>
          </w:hyperlink>
        </w:p>
        <w:p w14:paraId="0664E0DB" w14:textId="3628D495"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35" w:history="1">
            <w:r w:rsidR="00263E8A" w:rsidRPr="00263E8A">
              <w:rPr>
                <w:rStyle w:val="Hipervnculo"/>
                <w:noProof/>
                <w:sz w:val="22"/>
                <w:szCs w:val="22"/>
              </w:rPr>
              <w:t>2.1.4</w:t>
            </w:r>
            <w:r w:rsidR="00263E8A">
              <w:rPr>
                <w:rStyle w:val="Hipervnculo"/>
                <w:noProof/>
                <w:sz w:val="22"/>
                <w:szCs w:val="22"/>
              </w:rPr>
              <w:t xml:space="preserve">  </w:t>
            </w:r>
            <w:r w:rsidR="00263E8A" w:rsidRPr="00263E8A">
              <w:rPr>
                <w:rStyle w:val="Hipervnculo"/>
                <w:noProof/>
                <w:sz w:val="22"/>
                <w:szCs w:val="22"/>
              </w:rPr>
              <w:t>Techos indicativos</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_Toc143865835 \h </w:instrText>
            </w:r>
            <w:r w:rsidR="00263E8A" w:rsidRPr="00263E8A">
              <w:rPr>
                <w:noProof/>
                <w:webHidden/>
              </w:rPr>
            </w:r>
            <w:r w:rsidR="00263E8A" w:rsidRPr="00263E8A">
              <w:rPr>
                <w:noProof/>
                <w:webHidden/>
              </w:rPr>
              <w:fldChar w:fldCharType="separate"/>
            </w:r>
            <w:r w:rsidR="00D84E7F">
              <w:rPr>
                <w:noProof/>
                <w:webHidden/>
              </w:rPr>
              <w:t>80</w:t>
            </w:r>
            <w:r w:rsidR="00263E8A" w:rsidRPr="00263E8A">
              <w:rPr>
                <w:noProof/>
                <w:webHidden/>
              </w:rPr>
              <w:fldChar w:fldCharType="end"/>
            </w:r>
          </w:hyperlink>
        </w:p>
        <w:p w14:paraId="6712D539" w14:textId="17510DFC" w:rsidR="00263E8A" w:rsidRPr="00263E8A" w:rsidRDefault="00A37A2D" w:rsidP="00A37A2D">
          <w:pPr>
            <w:pStyle w:val="TDC1"/>
            <w:rPr>
              <w:rFonts w:asciiTheme="minorHAnsi" w:eastAsiaTheme="minorEastAsia" w:hAnsiTheme="minorHAnsi" w:cstheme="minorBidi"/>
            </w:rPr>
          </w:pPr>
          <w:r>
            <w:t xml:space="preserve">  </w:t>
          </w:r>
          <w:hyperlink w:anchor="_Toc143865836" w:history="1">
            <w:r w:rsidR="00263E8A" w:rsidRPr="00263E8A">
              <w:rPr>
                <w:rStyle w:val="Hipervnculo"/>
              </w:rPr>
              <w:t>3.</w:t>
            </w:r>
            <w:r w:rsidR="00263E8A">
              <w:rPr>
                <w:rFonts w:asciiTheme="minorHAnsi" w:eastAsiaTheme="minorEastAsia" w:hAnsiTheme="minorHAnsi" w:cstheme="minorBidi"/>
              </w:rPr>
              <w:t xml:space="preserve">  </w:t>
            </w:r>
            <w:r w:rsidR="00263E8A" w:rsidRPr="00263E8A">
              <w:rPr>
                <w:rStyle w:val="Hipervnculo"/>
              </w:rPr>
              <w:t>Desempeño de la política fiscal a junio de 2023 y perspectivas de cierre</w:t>
            </w:r>
            <w:r w:rsidR="00263E8A" w:rsidRPr="00263E8A">
              <w:rPr>
                <w:webHidden/>
              </w:rPr>
              <w:tab/>
            </w:r>
            <w:r w:rsidR="00263E8A" w:rsidRPr="00263E8A">
              <w:rPr>
                <w:webHidden/>
              </w:rPr>
              <w:fldChar w:fldCharType="begin"/>
            </w:r>
            <w:r w:rsidR="00263E8A" w:rsidRPr="00263E8A">
              <w:rPr>
                <w:webHidden/>
              </w:rPr>
              <w:instrText xml:space="preserve"> PAGEREF _Toc143865836 \h </w:instrText>
            </w:r>
            <w:r w:rsidR="00263E8A" w:rsidRPr="00263E8A">
              <w:rPr>
                <w:webHidden/>
              </w:rPr>
            </w:r>
            <w:r w:rsidR="00263E8A" w:rsidRPr="00263E8A">
              <w:rPr>
                <w:webHidden/>
              </w:rPr>
              <w:fldChar w:fldCharType="separate"/>
            </w:r>
            <w:r w:rsidR="00D84E7F">
              <w:rPr>
                <w:webHidden/>
              </w:rPr>
              <w:t>82</w:t>
            </w:r>
            <w:r w:rsidR="00263E8A" w:rsidRPr="00263E8A">
              <w:rPr>
                <w:webHidden/>
              </w:rPr>
              <w:fldChar w:fldCharType="end"/>
            </w:r>
          </w:hyperlink>
        </w:p>
        <w:p w14:paraId="588AD73A" w14:textId="5F1A3D7F"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37" w:history="1">
            <w:r w:rsidR="00263E8A" w:rsidRPr="00263E8A">
              <w:rPr>
                <w:rStyle w:val="Hipervnculo"/>
                <w:noProof/>
                <w:sz w:val="22"/>
                <w:szCs w:val="22"/>
              </w:rPr>
              <w:t>3.1</w:t>
            </w:r>
            <w:r w:rsidR="00263E8A">
              <w:rPr>
                <w:rStyle w:val="Hipervnculo"/>
                <w:noProof/>
                <w:sz w:val="22"/>
                <w:szCs w:val="22"/>
              </w:rPr>
              <w:t xml:space="preserve">  </w:t>
            </w:r>
            <w:r w:rsidR="00263E8A" w:rsidRPr="00263E8A">
              <w:rPr>
                <w:rStyle w:val="Hipervnculo"/>
                <w:noProof/>
                <w:sz w:val="22"/>
                <w:szCs w:val="22"/>
              </w:rPr>
              <w:t>Ingresos fiscales</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_Toc143865837 \h </w:instrText>
            </w:r>
            <w:r w:rsidR="00263E8A" w:rsidRPr="00263E8A">
              <w:rPr>
                <w:noProof/>
                <w:webHidden/>
              </w:rPr>
            </w:r>
            <w:r w:rsidR="00263E8A" w:rsidRPr="00263E8A">
              <w:rPr>
                <w:noProof/>
                <w:webHidden/>
              </w:rPr>
              <w:fldChar w:fldCharType="separate"/>
            </w:r>
            <w:r w:rsidR="00D84E7F">
              <w:rPr>
                <w:noProof/>
                <w:webHidden/>
              </w:rPr>
              <w:t>82</w:t>
            </w:r>
            <w:r w:rsidR="00263E8A" w:rsidRPr="00263E8A">
              <w:rPr>
                <w:noProof/>
                <w:webHidden/>
              </w:rPr>
              <w:fldChar w:fldCharType="end"/>
            </w:r>
          </w:hyperlink>
        </w:p>
        <w:p w14:paraId="616FBF02" w14:textId="09BB9DAA"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38" w:history="1">
            <w:r w:rsidR="00263E8A" w:rsidRPr="00263E8A">
              <w:rPr>
                <w:rStyle w:val="Hipervnculo"/>
                <w:noProof/>
                <w:sz w:val="22"/>
                <w:szCs w:val="22"/>
              </w:rPr>
              <w:t>3.1.1</w:t>
            </w:r>
            <w:r w:rsidR="00263E8A">
              <w:rPr>
                <w:rStyle w:val="Hipervnculo"/>
                <w:noProof/>
                <w:sz w:val="22"/>
                <w:szCs w:val="22"/>
              </w:rPr>
              <w:t xml:space="preserve">  </w:t>
            </w:r>
            <w:r w:rsidR="00263E8A" w:rsidRPr="00263E8A">
              <w:rPr>
                <w:rStyle w:val="Hipervnculo"/>
                <w:noProof/>
                <w:sz w:val="22"/>
                <w:szCs w:val="22"/>
              </w:rPr>
              <w:t>El Impuesto Sobre la Renta -ISR- y el Impuesto de Solidaridad -ISO-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_Toc143865838 \h </w:instrText>
            </w:r>
            <w:r w:rsidR="00263E8A" w:rsidRPr="00263E8A">
              <w:rPr>
                <w:noProof/>
                <w:webHidden/>
              </w:rPr>
            </w:r>
            <w:r w:rsidR="00263E8A" w:rsidRPr="00263E8A">
              <w:rPr>
                <w:noProof/>
                <w:webHidden/>
              </w:rPr>
              <w:fldChar w:fldCharType="separate"/>
            </w:r>
            <w:r w:rsidR="00D84E7F">
              <w:rPr>
                <w:noProof/>
                <w:webHidden/>
              </w:rPr>
              <w:t>83</w:t>
            </w:r>
            <w:r w:rsidR="00263E8A" w:rsidRPr="00263E8A">
              <w:rPr>
                <w:noProof/>
                <w:webHidden/>
              </w:rPr>
              <w:fldChar w:fldCharType="end"/>
            </w:r>
          </w:hyperlink>
        </w:p>
        <w:p w14:paraId="16FFA1FF" w14:textId="42E35B82"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39" w:history="1">
            <w:r w:rsidR="00263E8A" w:rsidRPr="00263E8A">
              <w:rPr>
                <w:rStyle w:val="Hipervnculo"/>
                <w:noProof/>
                <w:sz w:val="22"/>
                <w:szCs w:val="22"/>
              </w:rPr>
              <w:t>3.1.1.1</w:t>
            </w:r>
            <w:r w:rsidR="00263E8A">
              <w:rPr>
                <w:rStyle w:val="Hipervnculo"/>
                <w:noProof/>
                <w:sz w:val="22"/>
                <w:szCs w:val="22"/>
              </w:rPr>
              <w:t xml:space="preserve">  </w:t>
            </w:r>
            <w:r w:rsidR="00263E8A" w:rsidRPr="00263E8A">
              <w:rPr>
                <w:rStyle w:val="Hipervnculo"/>
                <w:noProof/>
                <w:sz w:val="22"/>
                <w:szCs w:val="22"/>
              </w:rPr>
              <w:t>ISR por actividad económica</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_Toc143865839 \h </w:instrText>
            </w:r>
            <w:r w:rsidR="00263E8A" w:rsidRPr="00263E8A">
              <w:rPr>
                <w:noProof/>
                <w:webHidden/>
              </w:rPr>
            </w:r>
            <w:r w:rsidR="00263E8A" w:rsidRPr="00263E8A">
              <w:rPr>
                <w:noProof/>
                <w:webHidden/>
              </w:rPr>
              <w:fldChar w:fldCharType="separate"/>
            </w:r>
            <w:r w:rsidR="00D84E7F">
              <w:rPr>
                <w:noProof/>
                <w:webHidden/>
              </w:rPr>
              <w:t>84</w:t>
            </w:r>
            <w:r w:rsidR="00263E8A" w:rsidRPr="00263E8A">
              <w:rPr>
                <w:noProof/>
                <w:webHidden/>
              </w:rPr>
              <w:fldChar w:fldCharType="end"/>
            </w:r>
          </w:hyperlink>
        </w:p>
        <w:p w14:paraId="67F6672F" w14:textId="360B8A9A"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40" w:history="1">
            <w:r w:rsidR="00263E8A" w:rsidRPr="00263E8A">
              <w:rPr>
                <w:rStyle w:val="Hipervnculo"/>
                <w:noProof/>
                <w:sz w:val="22"/>
                <w:szCs w:val="22"/>
              </w:rPr>
              <w:t>3.1.2</w:t>
            </w:r>
            <w:r w:rsidR="00263E8A">
              <w:rPr>
                <w:rStyle w:val="Hipervnculo"/>
                <w:noProof/>
                <w:sz w:val="22"/>
                <w:szCs w:val="22"/>
              </w:rPr>
              <w:t xml:space="preserve">  </w:t>
            </w:r>
            <w:r w:rsidR="00263E8A" w:rsidRPr="00263E8A">
              <w:rPr>
                <w:rStyle w:val="Hipervnculo"/>
                <w:noProof/>
                <w:sz w:val="22"/>
                <w:szCs w:val="22"/>
              </w:rPr>
              <w:t>El Impuesto al Valor Agregado -IVA-</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_Toc143865840 \h </w:instrText>
            </w:r>
            <w:r w:rsidR="00263E8A" w:rsidRPr="00263E8A">
              <w:rPr>
                <w:noProof/>
                <w:webHidden/>
              </w:rPr>
            </w:r>
            <w:r w:rsidR="00263E8A" w:rsidRPr="00263E8A">
              <w:rPr>
                <w:noProof/>
                <w:webHidden/>
              </w:rPr>
              <w:fldChar w:fldCharType="separate"/>
            </w:r>
            <w:r w:rsidR="00D84E7F">
              <w:rPr>
                <w:noProof/>
                <w:webHidden/>
              </w:rPr>
              <w:t>85</w:t>
            </w:r>
            <w:r w:rsidR="00263E8A" w:rsidRPr="00263E8A">
              <w:rPr>
                <w:noProof/>
                <w:webHidden/>
              </w:rPr>
              <w:fldChar w:fldCharType="end"/>
            </w:r>
          </w:hyperlink>
        </w:p>
        <w:p w14:paraId="72E17513" w14:textId="612CCE98"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41" w:history="1">
            <w:r w:rsidR="00263E8A" w:rsidRPr="00263E8A">
              <w:rPr>
                <w:rStyle w:val="Hipervnculo"/>
                <w:noProof/>
                <w:sz w:val="22"/>
                <w:szCs w:val="22"/>
              </w:rPr>
              <w:t>3.1.2.1</w:t>
            </w:r>
            <w:r w:rsidR="00263E8A">
              <w:rPr>
                <w:rStyle w:val="Hipervnculo"/>
                <w:noProof/>
                <w:sz w:val="22"/>
                <w:szCs w:val="22"/>
              </w:rPr>
              <w:t xml:space="preserve">  </w:t>
            </w:r>
            <w:r w:rsidR="00263E8A" w:rsidRPr="00263E8A">
              <w:rPr>
                <w:rStyle w:val="Hipervnculo"/>
                <w:noProof/>
                <w:sz w:val="22"/>
                <w:szCs w:val="22"/>
              </w:rPr>
              <w:t>IVA por actividad económica</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_Toc143865841 \h </w:instrText>
            </w:r>
            <w:r w:rsidR="00263E8A" w:rsidRPr="00263E8A">
              <w:rPr>
                <w:noProof/>
                <w:webHidden/>
              </w:rPr>
            </w:r>
            <w:r w:rsidR="00263E8A" w:rsidRPr="00263E8A">
              <w:rPr>
                <w:noProof/>
                <w:webHidden/>
              </w:rPr>
              <w:fldChar w:fldCharType="separate"/>
            </w:r>
            <w:r w:rsidR="00D84E7F">
              <w:rPr>
                <w:noProof/>
                <w:webHidden/>
              </w:rPr>
              <w:t>85</w:t>
            </w:r>
            <w:r w:rsidR="00263E8A" w:rsidRPr="00263E8A">
              <w:rPr>
                <w:noProof/>
                <w:webHidden/>
              </w:rPr>
              <w:fldChar w:fldCharType="end"/>
            </w:r>
          </w:hyperlink>
        </w:p>
        <w:p w14:paraId="4E555589" w14:textId="318FCC97"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42" w:history="1">
            <w:r w:rsidR="00263E8A" w:rsidRPr="00263E8A">
              <w:rPr>
                <w:rStyle w:val="Hipervnculo"/>
                <w:noProof/>
                <w:sz w:val="22"/>
                <w:szCs w:val="22"/>
              </w:rPr>
              <w:t>3.1.3</w:t>
            </w:r>
            <w:r w:rsidR="00263E8A">
              <w:rPr>
                <w:rStyle w:val="Hipervnculo"/>
                <w:noProof/>
                <w:sz w:val="22"/>
                <w:szCs w:val="22"/>
              </w:rPr>
              <w:t xml:space="preserve">  </w:t>
            </w:r>
            <w:r w:rsidR="00263E8A" w:rsidRPr="00263E8A">
              <w:rPr>
                <w:rStyle w:val="Hipervnculo"/>
                <w:noProof/>
                <w:sz w:val="22"/>
                <w:szCs w:val="22"/>
              </w:rPr>
              <w:t>Recaudación tributaria en aduanas</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_Toc143865842 \h </w:instrText>
            </w:r>
            <w:r w:rsidR="00263E8A" w:rsidRPr="00263E8A">
              <w:rPr>
                <w:noProof/>
                <w:webHidden/>
              </w:rPr>
            </w:r>
            <w:r w:rsidR="00263E8A" w:rsidRPr="00263E8A">
              <w:rPr>
                <w:noProof/>
                <w:webHidden/>
              </w:rPr>
              <w:fldChar w:fldCharType="separate"/>
            </w:r>
            <w:r w:rsidR="00D84E7F">
              <w:rPr>
                <w:noProof/>
                <w:webHidden/>
              </w:rPr>
              <w:t>86</w:t>
            </w:r>
            <w:r w:rsidR="00263E8A" w:rsidRPr="00263E8A">
              <w:rPr>
                <w:noProof/>
                <w:webHidden/>
              </w:rPr>
              <w:fldChar w:fldCharType="end"/>
            </w:r>
          </w:hyperlink>
        </w:p>
        <w:p w14:paraId="3ABF3785" w14:textId="528C8556"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43" w:history="1">
            <w:r w:rsidR="00263E8A" w:rsidRPr="00263E8A">
              <w:rPr>
                <w:rStyle w:val="Hipervnculo"/>
                <w:noProof/>
                <w:sz w:val="22"/>
                <w:szCs w:val="22"/>
              </w:rPr>
              <w:t>3.1.4</w:t>
            </w:r>
            <w:r w:rsidR="00263E8A">
              <w:rPr>
                <w:rStyle w:val="Hipervnculo"/>
                <w:noProof/>
                <w:sz w:val="22"/>
                <w:szCs w:val="22"/>
              </w:rPr>
              <w:t xml:space="preserve">  </w:t>
            </w:r>
            <w:r w:rsidR="00263E8A" w:rsidRPr="00263E8A">
              <w:rPr>
                <w:rStyle w:val="Hipervnculo"/>
                <w:noProof/>
                <w:sz w:val="22"/>
                <w:szCs w:val="22"/>
              </w:rPr>
              <w:t>Estructura de la recaudación tributaria acumulada</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_Toc143865843 \h </w:instrText>
            </w:r>
            <w:r w:rsidR="00263E8A" w:rsidRPr="00263E8A">
              <w:rPr>
                <w:noProof/>
                <w:webHidden/>
              </w:rPr>
            </w:r>
            <w:r w:rsidR="00263E8A" w:rsidRPr="00263E8A">
              <w:rPr>
                <w:noProof/>
                <w:webHidden/>
              </w:rPr>
              <w:fldChar w:fldCharType="separate"/>
            </w:r>
            <w:r w:rsidR="00D84E7F">
              <w:rPr>
                <w:noProof/>
                <w:webHidden/>
              </w:rPr>
              <w:t>87</w:t>
            </w:r>
            <w:r w:rsidR="00263E8A" w:rsidRPr="00263E8A">
              <w:rPr>
                <w:noProof/>
                <w:webHidden/>
              </w:rPr>
              <w:fldChar w:fldCharType="end"/>
            </w:r>
          </w:hyperlink>
        </w:p>
        <w:p w14:paraId="54C1BF7C" w14:textId="284D7A27"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44" w:history="1">
            <w:r w:rsidR="00263E8A" w:rsidRPr="00263E8A">
              <w:rPr>
                <w:rStyle w:val="Hipervnculo"/>
                <w:noProof/>
                <w:sz w:val="22"/>
                <w:szCs w:val="22"/>
              </w:rPr>
              <w:t>3.1.5</w:t>
            </w:r>
            <w:r w:rsidR="00263E8A">
              <w:rPr>
                <w:rStyle w:val="Hipervnculo"/>
                <w:noProof/>
                <w:sz w:val="22"/>
                <w:szCs w:val="22"/>
              </w:rPr>
              <w:t xml:space="preserve">  </w:t>
            </w:r>
            <w:r w:rsidR="00263E8A" w:rsidRPr="00263E8A">
              <w:rPr>
                <w:rStyle w:val="Hipervnculo"/>
                <w:noProof/>
                <w:sz w:val="22"/>
                <w:szCs w:val="22"/>
              </w:rPr>
              <w:t>Otros factores que afectan la recaudación tributaria.</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_Toc143865844 \h </w:instrText>
            </w:r>
            <w:r w:rsidR="00263E8A" w:rsidRPr="00263E8A">
              <w:rPr>
                <w:noProof/>
                <w:webHidden/>
              </w:rPr>
            </w:r>
            <w:r w:rsidR="00263E8A" w:rsidRPr="00263E8A">
              <w:rPr>
                <w:noProof/>
                <w:webHidden/>
              </w:rPr>
              <w:fldChar w:fldCharType="separate"/>
            </w:r>
            <w:r w:rsidR="00D84E7F">
              <w:rPr>
                <w:noProof/>
                <w:webHidden/>
              </w:rPr>
              <w:t>89</w:t>
            </w:r>
            <w:r w:rsidR="00263E8A" w:rsidRPr="00263E8A">
              <w:rPr>
                <w:noProof/>
                <w:webHidden/>
              </w:rPr>
              <w:fldChar w:fldCharType="end"/>
            </w:r>
          </w:hyperlink>
        </w:p>
        <w:p w14:paraId="27DBCD8B" w14:textId="0BC3D08D"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45" w:history="1">
            <w:r w:rsidR="00263E8A" w:rsidRPr="00263E8A">
              <w:rPr>
                <w:rStyle w:val="Hipervnculo"/>
                <w:noProof/>
                <w:sz w:val="22"/>
                <w:szCs w:val="22"/>
              </w:rPr>
              <w:t>3.2</w:t>
            </w:r>
            <w:r w:rsidR="00263E8A">
              <w:rPr>
                <w:rStyle w:val="Hipervnculo"/>
                <w:noProof/>
                <w:sz w:val="22"/>
                <w:szCs w:val="22"/>
              </w:rPr>
              <w:t xml:space="preserve">  </w:t>
            </w:r>
            <w:r w:rsidR="00263E8A" w:rsidRPr="00263E8A">
              <w:rPr>
                <w:rStyle w:val="Hipervnculo"/>
                <w:noProof/>
                <w:sz w:val="22"/>
                <w:szCs w:val="22"/>
              </w:rPr>
              <w:t>Ejecución del gasto público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_Toc143865845 \h </w:instrText>
            </w:r>
            <w:r w:rsidR="00263E8A" w:rsidRPr="00263E8A">
              <w:rPr>
                <w:noProof/>
                <w:webHidden/>
              </w:rPr>
            </w:r>
            <w:r w:rsidR="00263E8A" w:rsidRPr="00263E8A">
              <w:rPr>
                <w:noProof/>
                <w:webHidden/>
              </w:rPr>
              <w:fldChar w:fldCharType="separate"/>
            </w:r>
            <w:r w:rsidR="00D84E7F">
              <w:rPr>
                <w:noProof/>
                <w:webHidden/>
              </w:rPr>
              <w:t>89</w:t>
            </w:r>
            <w:r w:rsidR="00263E8A" w:rsidRPr="00263E8A">
              <w:rPr>
                <w:noProof/>
                <w:webHidden/>
              </w:rPr>
              <w:fldChar w:fldCharType="end"/>
            </w:r>
          </w:hyperlink>
        </w:p>
        <w:p w14:paraId="36690AA3" w14:textId="70E96C13"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46" w:history="1">
            <w:r w:rsidR="00263E8A" w:rsidRPr="00263E8A">
              <w:rPr>
                <w:rStyle w:val="Hipervnculo"/>
                <w:noProof/>
                <w:sz w:val="22"/>
                <w:szCs w:val="22"/>
              </w:rPr>
              <w:t>3.2.1</w:t>
            </w:r>
            <w:r w:rsidR="00263E8A">
              <w:rPr>
                <w:rStyle w:val="Hipervnculo"/>
                <w:noProof/>
                <w:sz w:val="22"/>
                <w:szCs w:val="22"/>
              </w:rPr>
              <w:t xml:space="preserve">  </w:t>
            </w:r>
            <w:r w:rsidR="00263E8A" w:rsidRPr="00263E8A">
              <w:rPr>
                <w:rStyle w:val="Hipervnculo"/>
                <w:noProof/>
                <w:sz w:val="22"/>
                <w:szCs w:val="22"/>
              </w:rPr>
              <w:t>Ejecución de gastos relacionados a emergencias relacionado a emergencias</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_Toc143865846 \h </w:instrText>
            </w:r>
            <w:r w:rsidR="00263E8A" w:rsidRPr="00263E8A">
              <w:rPr>
                <w:noProof/>
                <w:webHidden/>
              </w:rPr>
            </w:r>
            <w:r w:rsidR="00263E8A" w:rsidRPr="00263E8A">
              <w:rPr>
                <w:noProof/>
                <w:webHidden/>
              </w:rPr>
              <w:fldChar w:fldCharType="separate"/>
            </w:r>
            <w:r w:rsidR="00D84E7F">
              <w:rPr>
                <w:noProof/>
                <w:webHidden/>
              </w:rPr>
              <w:t>95</w:t>
            </w:r>
            <w:r w:rsidR="00263E8A" w:rsidRPr="00263E8A">
              <w:rPr>
                <w:noProof/>
                <w:webHidden/>
              </w:rPr>
              <w:fldChar w:fldCharType="end"/>
            </w:r>
          </w:hyperlink>
        </w:p>
        <w:p w14:paraId="76C9F171" w14:textId="760717ED"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47" w:history="1">
            <w:r w:rsidR="00263E8A" w:rsidRPr="00263E8A">
              <w:rPr>
                <w:rStyle w:val="Hipervnculo"/>
                <w:noProof/>
                <w:sz w:val="22"/>
                <w:szCs w:val="22"/>
              </w:rPr>
              <w:t>3.3</w:t>
            </w:r>
            <w:r w:rsidR="00263E8A">
              <w:rPr>
                <w:rStyle w:val="Hipervnculo"/>
                <w:noProof/>
                <w:sz w:val="22"/>
                <w:szCs w:val="22"/>
              </w:rPr>
              <w:t xml:space="preserve">  </w:t>
            </w:r>
            <w:r w:rsidR="00263E8A" w:rsidRPr="00263E8A">
              <w:rPr>
                <w:rStyle w:val="Hipervnculo"/>
                <w:noProof/>
                <w:sz w:val="22"/>
                <w:szCs w:val="22"/>
              </w:rPr>
              <w:t>Déficit fiscal y financiamiento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_Toc143865847 \h </w:instrText>
            </w:r>
            <w:r w:rsidR="00263E8A" w:rsidRPr="00263E8A">
              <w:rPr>
                <w:noProof/>
                <w:webHidden/>
              </w:rPr>
            </w:r>
            <w:r w:rsidR="00263E8A" w:rsidRPr="00263E8A">
              <w:rPr>
                <w:noProof/>
                <w:webHidden/>
              </w:rPr>
              <w:fldChar w:fldCharType="separate"/>
            </w:r>
            <w:r w:rsidR="00D84E7F">
              <w:rPr>
                <w:noProof/>
                <w:webHidden/>
              </w:rPr>
              <w:t>96</w:t>
            </w:r>
            <w:r w:rsidR="00263E8A" w:rsidRPr="00263E8A">
              <w:rPr>
                <w:noProof/>
                <w:webHidden/>
              </w:rPr>
              <w:fldChar w:fldCharType="end"/>
            </w:r>
          </w:hyperlink>
        </w:p>
        <w:p w14:paraId="3C408146" w14:textId="319CAE2B" w:rsidR="00263E8A" w:rsidRPr="00263E8A" w:rsidRDefault="00A37A2D" w:rsidP="00A37A2D">
          <w:pPr>
            <w:pStyle w:val="TDC1"/>
            <w:rPr>
              <w:rFonts w:asciiTheme="minorHAnsi" w:eastAsiaTheme="minorEastAsia" w:hAnsiTheme="minorHAnsi" w:cstheme="minorBidi"/>
            </w:rPr>
          </w:pPr>
          <w:r>
            <w:t xml:space="preserve">  </w:t>
          </w:r>
          <w:hyperlink w:anchor="_Toc143865848" w:history="1">
            <w:r w:rsidR="00263E8A" w:rsidRPr="00263E8A">
              <w:rPr>
                <w:rStyle w:val="Hipervnculo"/>
              </w:rPr>
              <w:t>4.</w:t>
            </w:r>
            <w:r w:rsidR="00263E8A">
              <w:rPr>
                <w:rFonts w:asciiTheme="minorHAnsi" w:eastAsiaTheme="minorEastAsia" w:hAnsiTheme="minorHAnsi" w:cstheme="minorBidi"/>
              </w:rPr>
              <w:t xml:space="preserve">  </w:t>
            </w:r>
            <w:r w:rsidR="00263E8A" w:rsidRPr="00263E8A">
              <w:rPr>
                <w:rStyle w:val="Hipervnculo"/>
              </w:rPr>
              <w:t>Perspectivas de cierre 2023</w:t>
            </w:r>
            <w:r w:rsidR="00263E8A" w:rsidRPr="00263E8A">
              <w:rPr>
                <w:webHidden/>
              </w:rPr>
              <w:tab/>
            </w:r>
            <w:r w:rsidR="00263E8A" w:rsidRPr="00263E8A">
              <w:rPr>
                <w:webHidden/>
              </w:rPr>
              <w:fldChar w:fldCharType="begin"/>
            </w:r>
            <w:r w:rsidR="00263E8A" w:rsidRPr="00263E8A">
              <w:rPr>
                <w:webHidden/>
              </w:rPr>
              <w:instrText xml:space="preserve"> PAGEREF _Toc143865848 \h </w:instrText>
            </w:r>
            <w:r w:rsidR="00263E8A" w:rsidRPr="00263E8A">
              <w:rPr>
                <w:webHidden/>
              </w:rPr>
            </w:r>
            <w:r w:rsidR="00263E8A" w:rsidRPr="00263E8A">
              <w:rPr>
                <w:webHidden/>
              </w:rPr>
              <w:fldChar w:fldCharType="separate"/>
            </w:r>
            <w:r w:rsidR="00D84E7F">
              <w:rPr>
                <w:webHidden/>
              </w:rPr>
              <w:t>100</w:t>
            </w:r>
            <w:r w:rsidR="00263E8A" w:rsidRPr="00263E8A">
              <w:rPr>
                <w:webHidden/>
              </w:rPr>
              <w:fldChar w:fldCharType="end"/>
            </w:r>
          </w:hyperlink>
        </w:p>
        <w:p w14:paraId="11AC32C6" w14:textId="3605A455"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49" w:history="1">
            <w:r w:rsidR="00263E8A" w:rsidRPr="00263E8A">
              <w:rPr>
                <w:rStyle w:val="Hipervnculo"/>
                <w:noProof/>
                <w:sz w:val="22"/>
                <w:szCs w:val="22"/>
              </w:rPr>
              <w:t>4.1</w:t>
            </w:r>
            <w:r w:rsidR="00263E8A">
              <w:rPr>
                <w:rStyle w:val="Hipervnculo"/>
                <w:noProof/>
                <w:sz w:val="22"/>
                <w:szCs w:val="22"/>
              </w:rPr>
              <w:t xml:space="preserve">  </w:t>
            </w:r>
            <w:r w:rsidR="00263E8A" w:rsidRPr="00263E8A">
              <w:rPr>
                <w:rStyle w:val="Hipervnculo"/>
                <w:noProof/>
                <w:sz w:val="22"/>
                <w:szCs w:val="22"/>
              </w:rPr>
              <w:t>Estimación de ingresos fiscales</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_Toc143865849 \h </w:instrText>
            </w:r>
            <w:r w:rsidR="00263E8A" w:rsidRPr="00263E8A">
              <w:rPr>
                <w:noProof/>
                <w:webHidden/>
              </w:rPr>
            </w:r>
            <w:r w:rsidR="00263E8A" w:rsidRPr="00263E8A">
              <w:rPr>
                <w:noProof/>
                <w:webHidden/>
              </w:rPr>
              <w:fldChar w:fldCharType="separate"/>
            </w:r>
            <w:r w:rsidR="00D84E7F">
              <w:rPr>
                <w:noProof/>
                <w:webHidden/>
              </w:rPr>
              <w:t>100</w:t>
            </w:r>
            <w:r w:rsidR="00263E8A" w:rsidRPr="00263E8A">
              <w:rPr>
                <w:noProof/>
                <w:webHidden/>
              </w:rPr>
              <w:fldChar w:fldCharType="end"/>
            </w:r>
          </w:hyperlink>
        </w:p>
        <w:p w14:paraId="16248F54" w14:textId="5A603D5A"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50" w:history="1">
            <w:r w:rsidR="00263E8A" w:rsidRPr="00263E8A">
              <w:rPr>
                <w:rStyle w:val="Hipervnculo"/>
                <w:noProof/>
                <w:sz w:val="22"/>
                <w:szCs w:val="22"/>
              </w:rPr>
              <w:t>4.2</w:t>
            </w:r>
            <w:r w:rsidR="00263E8A">
              <w:rPr>
                <w:rStyle w:val="Hipervnculo"/>
                <w:noProof/>
                <w:sz w:val="22"/>
                <w:szCs w:val="22"/>
              </w:rPr>
              <w:t xml:space="preserve">  </w:t>
            </w:r>
            <w:r w:rsidR="00263E8A" w:rsidRPr="00263E8A">
              <w:rPr>
                <w:rStyle w:val="Hipervnculo"/>
                <w:noProof/>
                <w:sz w:val="22"/>
                <w:szCs w:val="22"/>
              </w:rPr>
              <w:t>Estimación de gasto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_Toc143865850 \h </w:instrText>
            </w:r>
            <w:r w:rsidR="00263E8A" w:rsidRPr="00263E8A">
              <w:rPr>
                <w:noProof/>
                <w:webHidden/>
              </w:rPr>
            </w:r>
            <w:r w:rsidR="00263E8A" w:rsidRPr="00263E8A">
              <w:rPr>
                <w:noProof/>
                <w:webHidden/>
              </w:rPr>
              <w:fldChar w:fldCharType="separate"/>
            </w:r>
            <w:r w:rsidR="00D84E7F">
              <w:rPr>
                <w:noProof/>
                <w:webHidden/>
              </w:rPr>
              <w:t>101</w:t>
            </w:r>
            <w:r w:rsidR="00263E8A" w:rsidRPr="00263E8A">
              <w:rPr>
                <w:noProof/>
                <w:webHidden/>
              </w:rPr>
              <w:fldChar w:fldCharType="end"/>
            </w:r>
          </w:hyperlink>
        </w:p>
        <w:p w14:paraId="139B423D" w14:textId="367ECD78"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51" w:history="1">
            <w:r w:rsidR="00263E8A" w:rsidRPr="00263E8A">
              <w:rPr>
                <w:rStyle w:val="Hipervnculo"/>
                <w:noProof/>
                <w:sz w:val="22"/>
                <w:szCs w:val="22"/>
              </w:rPr>
              <w:t>4.3</w:t>
            </w:r>
            <w:r w:rsidR="00263E8A">
              <w:rPr>
                <w:rStyle w:val="Hipervnculo"/>
                <w:noProof/>
                <w:sz w:val="22"/>
                <w:szCs w:val="22"/>
              </w:rPr>
              <w:t xml:space="preserve">  </w:t>
            </w:r>
            <w:r w:rsidR="00263E8A" w:rsidRPr="00263E8A">
              <w:rPr>
                <w:rStyle w:val="Hipervnculo"/>
                <w:noProof/>
                <w:sz w:val="22"/>
                <w:szCs w:val="22"/>
              </w:rPr>
              <w:t>Estimación de déficit fiscal y financiamiento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_Toc143865851 \h </w:instrText>
            </w:r>
            <w:r w:rsidR="00263E8A" w:rsidRPr="00263E8A">
              <w:rPr>
                <w:noProof/>
                <w:webHidden/>
              </w:rPr>
            </w:r>
            <w:r w:rsidR="00263E8A" w:rsidRPr="00263E8A">
              <w:rPr>
                <w:noProof/>
                <w:webHidden/>
              </w:rPr>
              <w:fldChar w:fldCharType="separate"/>
            </w:r>
            <w:r w:rsidR="00D84E7F">
              <w:rPr>
                <w:noProof/>
                <w:webHidden/>
              </w:rPr>
              <w:t>103</w:t>
            </w:r>
            <w:r w:rsidR="00263E8A" w:rsidRPr="00263E8A">
              <w:rPr>
                <w:noProof/>
                <w:webHidden/>
              </w:rPr>
              <w:fldChar w:fldCharType="end"/>
            </w:r>
          </w:hyperlink>
        </w:p>
        <w:p w14:paraId="4648E4E4" w14:textId="19FE9D25" w:rsidR="00263E8A" w:rsidRPr="00263E8A" w:rsidRDefault="00A37A2D" w:rsidP="00A37A2D">
          <w:pPr>
            <w:pStyle w:val="TDC1"/>
            <w:rPr>
              <w:rFonts w:asciiTheme="minorHAnsi" w:eastAsiaTheme="minorEastAsia" w:hAnsiTheme="minorHAnsi" w:cstheme="minorBidi"/>
            </w:rPr>
          </w:pPr>
          <w:r>
            <w:t xml:space="preserve">  </w:t>
          </w:r>
          <w:hyperlink w:anchor="_Toc143865852" w:history="1">
            <w:r w:rsidR="00263E8A" w:rsidRPr="00263E8A">
              <w:rPr>
                <w:rStyle w:val="Hipervnculo"/>
              </w:rPr>
              <w:t>5.</w:t>
            </w:r>
            <w:r w:rsidR="00263E8A">
              <w:rPr>
                <w:rFonts w:asciiTheme="minorHAnsi" w:eastAsiaTheme="minorEastAsia" w:hAnsiTheme="minorHAnsi" w:cstheme="minorBidi"/>
              </w:rPr>
              <w:t xml:space="preserve">  </w:t>
            </w:r>
            <w:r w:rsidR="00263E8A" w:rsidRPr="00263E8A">
              <w:rPr>
                <w:rStyle w:val="Hipervnculo"/>
              </w:rPr>
              <w:t>Escenario fiscal de mediano plazo 2024 - 2028</w:t>
            </w:r>
            <w:r w:rsidR="00263E8A" w:rsidRPr="00263E8A">
              <w:rPr>
                <w:webHidden/>
              </w:rPr>
              <w:tab/>
            </w:r>
            <w:r w:rsidR="00263E8A" w:rsidRPr="00263E8A">
              <w:rPr>
                <w:webHidden/>
              </w:rPr>
              <w:fldChar w:fldCharType="begin"/>
            </w:r>
            <w:r w:rsidR="00263E8A" w:rsidRPr="00263E8A">
              <w:rPr>
                <w:webHidden/>
              </w:rPr>
              <w:instrText xml:space="preserve"> PAGEREF _Toc143865852 \h </w:instrText>
            </w:r>
            <w:r w:rsidR="00263E8A" w:rsidRPr="00263E8A">
              <w:rPr>
                <w:webHidden/>
              </w:rPr>
            </w:r>
            <w:r w:rsidR="00263E8A" w:rsidRPr="00263E8A">
              <w:rPr>
                <w:webHidden/>
              </w:rPr>
              <w:fldChar w:fldCharType="separate"/>
            </w:r>
            <w:r w:rsidR="00D84E7F">
              <w:rPr>
                <w:webHidden/>
              </w:rPr>
              <w:t>104</w:t>
            </w:r>
            <w:r w:rsidR="00263E8A" w:rsidRPr="00263E8A">
              <w:rPr>
                <w:webHidden/>
              </w:rPr>
              <w:fldChar w:fldCharType="end"/>
            </w:r>
          </w:hyperlink>
        </w:p>
        <w:p w14:paraId="7581EAA6" w14:textId="22C446E3"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53" w:history="1">
            <w:r w:rsidR="00263E8A" w:rsidRPr="00263E8A">
              <w:rPr>
                <w:rStyle w:val="Hipervnculo"/>
                <w:noProof/>
                <w:sz w:val="22"/>
                <w:szCs w:val="22"/>
              </w:rPr>
              <w:t>5.1</w:t>
            </w:r>
            <w:r w:rsidR="00263E8A">
              <w:rPr>
                <w:rStyle w:val="Hipervnculo"/>
                <w:noProof/>
                <w:sz w:val="22"/>
                <w:szCs w:val="22"/>
              </w:rPr>
              <w:t xml:space="preserve">  </w:t>
            </w:r>
            <w:r w:rsidR="00263E8A" w:rsidRPr="00263E8A">
              <w:rPr>
                <w:rStyle w:val="Hipervnculo"/>
                <w:noProof/>
                <w:sz w:val="22"/>
                <w:szCs w:val="22"/>
              </w:rPr>
              <w:t>Objetivos y lineamientos estratégicos de la política fiscal</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_Toc143865853 \h </w:instrText>
            </w:r>
            <w:r w:rsidR="00263E8A" w:rsidRPr="00263E8A">
              <w:rPr>
                <w:noProof/>
                <w:webHidden/>
              </w:rPr>
            </w:r>
            <w:r w:rsidR="00263E8A" w:rsidRPr="00263E8A">
              <w:rPr>
                <w:noProof/>
                <w:webHidden/>
              </w:rPr>
              <w:fldChar w:fldCharType="separate"/>
            </w:r>
            <w:r w:rsidR="00D84E7F">
              <w:rPr>
                <w:noProof/>
                <w:webHidden/>
              </w:rPr>
              <w:t>105</w:t>
            </w:r>
            <w:r w:rsidR="00263E8A" w:rsidRPr="00263E8A">
              <w:rPr>
                <w:noProof/>
                <w:webHidden/>
              </w:rPr>
              <w:fldChar w:fldCharType="end"/>
            </w:r>
          </w:hyperlink>
        </w:p>
        <w:p w14:paraId="1413CAC2" w14:textId="2FD3C08F"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54" w:history="1">
            <w:r w:rsidR="00263E8A" w:rsidRPr="00263E8A">
              <w:rPr>
                <w:rStyle w:val="Hipervnculo"/>
                <w:noProof/>
                <w:sz w:val="22"/>
                <w:szCs w:val="22"/>
              </w:rPr>
              <w:t>5.2</w:t>
            </w:r>
            <w:r w:rsidR="00263E8A">
              <w:rPr>
                <w:rStyle w:val="Hipervnculo"/>
                <w:noProof/>
                <w:sz w:val="22"/>
                <w:szCs w:val="22"/>
              </w:rPr>
              <w:t xml:space="preserve">  </w:t>
            </w:r>
            <w:r w:rsidR="00263E8A" w:rsidRPr="00263E8A">
              <w:rPr>
                <w:rStyle w:val="Hipervnculo"/>
                <w:noProof/>
                <w:sz w:val="22"/>
                <w:szCs w:val="22"/>
              </w:rPr>
              <w:t>Estrategia fiscal de mediano plazo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_Toc143865854 \h </w:instrText>
            </w:r>
            <w:r w:rsidR="00263E8A" w:rsidRPr="00263E8A">
              <w:rPr>
                <w:noProof/>
                <w:webHidden/>
              </w:rPr>
            </w:r>
            <w:r w:rsidR="00263E8A" w:rsidRPr="00263E8A">
              <w:rPr>
                <w:noProof/>
                <w:webHidden/>
              </w:rPr>
              <w:fldChar w:fldCharType="separate"/>
            </w:r>
            <w:r w:rsidR="00D84E7F">
              <w:rPr>
                <w:noProof/>
                <w:webHidden/>
              </w:rPr>
              <w:t>108</w:t>
            </w:r>
            <w:r w:rsidR="00263E8A" w:rsidRPr="00263E8A">
              <w:rPr>
                <w:noProof/>
                <w:webHidden/>
              </w:rPr>
              <w:fldChar w:fldCharType="end"/>
            </w:r>
          </w:hyperlink>
        </w:p>
        <w:p w14:paraId="5656300B" w14:textId="003B8DB1"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55" w:history="1">
            <w:r w:rsidR="00263E8A" w:rsidRPr="00263E8A">
              <w:rPr>
                <w:rStyle w:val="Hipervnculo"/>
                <w:noProof/>
                <w:sz w:val="22"/>
                <w:szCs w:val="22"/>
              </w:rPr>
              <w:t>5.2.1</w:t>
            </w:r>
            <w:r w:rsidR="00263E8A">
              <w:rPr>
                <w:rStyle w:val="Hipervnculo"/>
                <w:noProof/>
                <w:sz w:val="22"/>
                <w:szCs w:val="22"/>
              </w:rPr>
              <w:t xml:space="preserve">  </w:t>
            </w:r>
            <w:r w:rsidR="00263E8A" w:rsidRPr="00263E8A">
              <w:rPr>
                <w:rStyle w:val="Hipervnculo"/>
                <w:noProof/>
                <w:sz w:val="22"/>
                <w:szCs w:val="22"/>
              </w:rPr>
              <w:t>Política pública como base para la programación presupuestaria</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_Toc143865855 \h </w:instrText>
            </w:r>
            <w:r w:rsidR="00263E8A" w:rsidRPr="00263E8A">
              <w:rPr>
                <w:noProof/>
                <w:webHidden/>
              </w:rPr>
            </w:r>
            <w:r w:rsidR="00263E8A" w:rsidRPr="00263E8A">
              <w:rPr>
                <w:noProof/>
                <w:webHidden/>
              </w:rPr>
              <w:fldChar w:fldCharType="separate"/>
            </w:r>
            <w:r w:rsidR="00D84E7F">
              <w:rPr>
                <w:noProof/>
                <w:webHidden/>
              </w:rPr>
              <w:t>108</w:t>
            </w:r>
            <w:r w:rsidR="00263E8A" w:rsidRPr="00263E8A">
              <w:rPr>
                <w:noProof/>
                <w:webHidden/>
              </w:rPr>
              <w:fldChar w:fldCharType="end"/>
            </w:r>
          </w:hyperlink>
        </w:p>
        <w:p w14:paraId="437DFF58" w14:textId="584BDD8A" w:rsidR="00263E8A" w:rsidRPr="00096808" w:rsidRDefault="00A37A2D" w:rsidP="00A37A2D">
          <w:pPr>
            <w:pStyle w:val="TDC2"/>
            <w:rPr>
              <w:rFonts w:asciiTheme="minorHAnsi" w:eastAsiaTheme="minorEastAsia" w:hAnsiTheme="minorHAnsi" w:cstheme="minorBidi"/>
              <w:noProof/>
            </w:rPr>
          </w:pPr>
          <w:r>
            <w:rPr>
              <w:noProof/>
            </w:rPr>
            <w:t xml:space="preserve">    </w:t>
          </w:r>
          <w:hyperlink w:anchor="_Toc143865856" w:history="1">
            <w:r w:rsidR="00263E8A" w:rsidRPr="00096808">
              <w:rPr>
                <w:rStyle w:val="Hipervnculo"/>
                <w:noProof/>
                <w:sz w:val="22"/>
                <w:szCs w:val="22"/>
              </w:rPr>
              <w:t>5.3  Evaluación de la Política General de Gobierno 2020-2024 y brechas 2023</w:t>
            </w:r>
            <w:r w:rsidR="00263E8A" w:rsidRPr="00096808">
              <w:rPr>
                <w:noProof/>
                <w:webHidden/>
              </w:rPr>
              <w:tab/>
            </w:r>
            <w:r w:rsidR="00263E8A" w:rsidRPr="00096808">
              <w:rPr>
                <w:noProof/>
                <w:webHidden/>
              </w:rPr>
              <w:fldChar w:fldCharType="begin"/>
            </w:r>
            <w:r w:rsidR="00263E8A" w:rsidRPr="00096808">
              <w:rPr>
                <w:noProof/>
                <w:webHidden/>
              </w:rPr>
              <w:instrText xml:space="preserve"> PAGEREF _Toc143865856 \h </w:instrText>
            </w:r>
            <w:r w:rsidR="00263E8A" w:rsidRPr="00096808">
              <w:rPr>
                <w:noProof/>
                <w:webHidden/>
              </w:rPr>
            </w:r>
            <w:r w:rsidR="00263E8A" w:rsidRPr="00096808">
              <w:rPr>
                <w:noProof/>
                <w:webHidden/>
              </w:rPr>
              <w:fldChar w:fldCharType="separate"/>
            </w:r>
            <w:r w:rsidR="00D84E7F">
              <w:rPr>
                <w:noProof/>
                <w:webHidden/>
              </w:rPr>
              <w:t>112</w:t>
            </w:r>
            <w:r w:rsidR="00263E8A" w:rsidRPr="00096808">
              <w:rPr>
                <w:noProof/>
                <w:webHidden/>
              </w:rPr>
              <w:fldChar w:fldCharType="end"/>
            </w:r>
          </w:hyperlink>
        </w:p>
        <w:p w14:paraId="53B9BBA5" w14:textId="6AFEEFE4" w:rsidR="00263E8A" w:rsidRPr="00096808" w:rsidRDefault="00A37A2D" w:rsidP="00A37A2D">
          <w:pPr>
            <w:pStyle w:val="TDC2"/>
            <w:rPr>
              <w:rFonts w:asciiTheme="minorHAnsi" w:eastAsiaTheme="minorEastAsia" w:hAnsiTheme="minorHAnsi" w:cstheme="minorBidi"/>
              <w:noProof/>
            </w:rPr>
          </w:pPr>
          <w:r>
            <w:rPr>
              <w:noProof/>
            </w:rPr>
            <w:t xml:space="preserve">    </w:t>
          </w:r>
          <w:hyperlink w:anchor="_Toc143865857" w:history="1">
            <w:r w:rsidR="00263E8A" w:rsidRPr="00096808">
              <w:rPr>
                <w:rStyle w:val="Hipervnculo"/>
                <w:noProof/>
                <w:sz w:val="22"/>
                <w:szCs w:val="22"/>
              </w:rPr>
              <w:t>5.4  Metas de política fiscal para el período 2024 - 2028</w:t>
            </w:r>
            <w:r w:rsidR="00263E8A" w:rsidRPr="00096808">
              <w:rPr>
                <w:noProof/>
                <w:webHidden/>
              </w:rPr>
              <w:tab/>
            </w:r>
            <w:r w:rsidR="00263E8A" w:rsidRPr="00096808">
              <w:rPr>
                <w:noProof/>
                <w:webHidden/>
              </w:rPr>
              <w:fldChar w:fldCharType="begin"/>
            </w:r>
            <w:r w:rsidR="00263E8A" w:rsidRPr="00096808">
              <w:rPr>
                <w:noProof/>
                <w:webHidden/>
              </w:rPr>
              <w:instrText xml:space="preserve"> PAGEREF _Toc143865857 \h </w:instrText>
            </w:r>
            <w:r w:rsidR="00263E8A" w:rsidRPr="00096808">
              <w:rPr>
                <w:noProof/>
                <w:webHidden/>
              </w:rPr>
            </w:r>
            <w:r w:rsidR="00263E8A" w:rsidRPr="00096808">
              <w:rPr>
                <w:noProof/>
                <w:webHidden/>
              </w:rPr>
              <w:fldChar w:fldCharType="separate"/>
            </w:r>
            <w:r w:rsidR="00D84E7F">
              <w:rPr>
                <w:noProof/>
                <w:webHidden/>
              </w:rPr>
              <w:t>122</w:t>
            </w:r>
            <w:r w:rsidR="00263E8A" w:rsidRPr="00096808">
              <w:rPr>
                <w:noProof/>
                <w:webHidden/>
              </w:rPr>
              <w:fldChar w:fldCharType="end"/>
            </w:r>
          </w:hyperlink>
        </w:p>
        <w:p w14:paraId="17607944" w14:textId="1AB9D40E" w:rsidR="00263E8A" w:rsidRPr="00096808" w:rsidRDefault="00A37A2D" w:rsidP="00A37A2D">
          <w:pPr>
            <w:pStyle w:val="TDC1"/>
            <w:rPr>
              <w:rFonts w:asciiTheme="minorHAnsi" w:eastAsiaTheme="minorEastAsia" w:hAnsiTheme="minorHAnsi" w:cstheme="minorBidi"/>
            </w:rPr>
          </w:pPr>
          <w:r>
            <w:t xml:space="preserve">  </w:t>
          </w:r>
          <w:hyperlink w:anchor="_Toc143865858" w:history="1">
            <w:r w:rsidR="00263E8A" w:rsidRPr="00096808">
              <w:rPr>
                <w:rStyle w:val="Hipervnculo"/>
              </w:rPr>
              <w:t>6.</w:t>
            </w:r>
            <w:r w:rsidR="00263E8A" w:rsidRPr="00096808">
              <w:rPr>
                <w:rFonts w:asciiTheme="minorHAnsi" w:eastAsiaTheme="minorEastAsia" w:hAnsiTheme="minorHAnsi" w:cstheme="minorBidi"/>
              </w:rPr>
              <w:t xml:space="preserve">  </w:t>
            </w:r>
            <w:r w:rsidR="00263E8A" w:rsidRPr="00096808">
              <w:rPr>
                <w:rStyle w:val="Hipervnculo"/>
              </w:rPr>
              <w:t>Proyecciones fiscales de mediano plazo</w:t>
            </w:r>
            <w:r w:rsidR="00263E8A" w:rsidRPr="00096808">
              <w:rPr>
                <w:webHidden/>
              </w:rPr>
              <w:tab/>
            </w:r>
            <w:r w:rsidR="00263E8A" w:rsidRPr="00096808">
              <w:rPr>
                <w:webHidden/>
              </w:rPr>
              <w:fldChar w:fldCharType="begin"/>
            </w:r>
            <w:r w:rsidR="00263E8A" w:rsidRPr="00096808">
              <w:rPr>
                <w:webHidden/>
              </w:rPr>
              <w:instrText xml:space="preserve"> PAGEREF _Toc143865858 \h </w:instrText>
            </w:r>
            <w:r w:rsidR="00263E8A" w:rsidRPr="00096808">
              <w:rPr>
                <w:webHidden/>
              </w:rPr>
            </w:r>
            <w:r w:rsidR="00263E8A" w:rsidRPr="00096808">
              <w:rPr>
                <w:webHidden/>
              </w:rPr>
              <w:fldChar w:fldCharType="separate"/>
            </w:r>
            <w:r w:rsidR="00D84E7F">
              <w:rPr>
                <w:webHidden/>
              </w:rPr>
              <w:t>123</w:t>
            </w:r>
            <w:r w:rsidR="00263E8A" w:rsidRPr="00096808">
              <w:rPr>
                <w:webHidden/>
              </w:rPr>
              <w:fldChar w:fldCharType="end"/>
            </w:r>
          </w:hyperlink>
        </w:p>
        <w:p w14:paraId="6B18F4C0" w14:textId="7526FCE6" w:rsidR="00263E8A" w:rsidRPr="00096808" w:rsidRDefault="00A37A2D" w:rsidP="00A37A2D">
          <w:pPr>
            <w:pStyle w:val="TDC2"/>
            <w:rPr>
              <w:rFonts w:asciiTheme="minorHAnsi" w:eastAsiaTheme="minorEastAsia" w:hAnsiTheme="minorHAnsi" w:cstheme="minorBidi"/>
              <w:noProof/>
            </w:rPr>
          </w:pPr>
          <w:r>
            <w:rPr>
              <w:noProof/>
            </w:rPr>
            <w:t xml:space="preserve">    </w:t>
          </w:r>
          <w:hyperlink w:anchor="_Toc143865859" w:history="1">
            <w:r w:rsidR="00263E8A" w:rsidRPr="00096808">
              <w:rPr>
                <w:rStyle w:val="Hipervnculo"/>
                <w:noProof/>
                <w:sz w:val="22"/>
                <w:szCs w:val="22"/>
              </w:rPr>
              <w:t>6.1  Proyección de ingresos fiscales</w:t>
            </w:r>
            <w:r w:rsidR="00263E8A" w:rsidRPr="00096808">
              <w:rPr>
                <w:noProof/>
                <w:webHidden/>
              </w:rPr>
              <w:tab/>
            </w:r>
            <w:r w:rsidR="00263E8A" w:rsidRPr="00096808">
              <w:rPr>
                <w:noProof/>
                <w:webHidden/>
              </w:rPr>
              <w:fldChar w:fldCharType="begin"/>
            </w:r>
            <w:r w:rsidR="00263E8A" w:rsidRPr="00096808">
              <w:rPr>
                <w:noProof/>
                <w:webHidden/>
              </w:rPr>
              <w:instrText xml:space="preserve"> PAGEREF _Toc143865859 \h </w:instrText>
            </w:r>
            <w:r w:rsidR="00263E8A" w:rsidRPr="00096808">
              <w:rPr>
                <w:noProof/>
                <w:webHidden/>
              </w:rPr>
            </w:r>
            <w:r w:rsidR="00263E8A" w:rsidRPr="00096808">
              <w:rPr>
                <w:noProof/>
                <w:webHidden/>
              </w:rPr>
              <w:fldChar w:fldCharType="separate"/>
            </w:r>
            <w:r w:rsidR="00D84E7F">
              <w:rPr>
                <w:noProof/>
                <w:webHidden/>
              </w:rPr>
              <w:t>123</w:t>
            </w:r>
            <w:r w:rsidR="00263E8A" w:rsidRPr="00096808">
              <w:rPr>
                <w:noProof/>
                <w:webHidden/>
              </w:rPr>
              <w:fldChar w:fldCharType="end"/>
            </w:r>
          </w:hyperlink>
        </w:p>
        <w:p w14:paraId="37725BCB" w14:textId="3EC99591" w:rsidR="00263E8A" w:rsidRPr="00096808" w:rsidRDefault="00A37A2D" w:rsidP="00A37A2D">
          <w:pPr>
            <w:pStyle w:val="TDC3"/>
            <w:rPr>
              <w:rFonts w:asciiTheme="minorHAnsi" w:eastAsiaTheme="minorEastAsia" w:hAnsiTheme="minorHAnsi" w:cstheme="minorBidi"/>
              <w:noProof/>
            </w:rPr>
          </w:pPr>
          <w:r>
            <w:rPr>
              <w:noProof/>
            </w:rPr>
            <w:t xml:space="preserve">      </w:t>
          </w:r>
          <w:hyperlink w:anchor="_Toc143865860" w:history="1">
            <w:r w:rsidR="00263E8A" w:rsidRPr="00096808">
              <w:rPr>
                <w:rStyle w:val="Hipervnculo"/>
                <w:noProof/>
                <w:sz w:val="22"/>
                <w:szCs w:val="22"/>
              </w:rPr>
              <w:t>6.1.1  Proyecciones de recaudación tributaria</w:t>
            </w:r>
            <w:r w:rsidR="00263E8A" w:rsidRPr="00096808">
              <w:rPr>
                <w:noProof/>
                <w:webHidden/>
              </w:rPr>
              <w:tab/>
            </w:r>
            <w:r w:rsidR="00263E8A" w:rsidRPr="00096808">
              <w:rPr>
                <w:noProof/>
                <w:webHidden/>
              </w:rPr>
              <w:fldChar w:fldCharType="begin"/>
            </w:r>
            <w:r w:rsidR="00263E8A" w:rsidRPr="00096808">
              <w:rPr>
                <w:noProof/>
                <w:webHidden/>
              </w:rPr>
              <w:instrText xml:space="preserve"> PAGEREF _Toc143865860 \h </w:instrText>
            </w:r>
            <w:r w:rsidR="00263E8A" w:rsidRPr="00096808">
              <w:rPr>
                <w:noProof/>
                <w:webHidden/>
              </w:rPr>
            </w:r>
            <w:r w:rsidR="00263E8A" w:rsidRPr="00096808">
              <w:rPr>
                <w:noProof/>
                <w:webHidden/>
              </w:rPr>
              <w:fldChar w:fldCharType="separate"/>
            </w:r>
            <w:r w:rsidR="00D84E7F">
              <w:rPr>
                <w:noProof/>
                <w:webHidden/>
              </w:rPr>
              <w:t>124</w:t>
            </w:r>
            <w:r w:rsidR="00263E8A" w:rsidRPr="00096808">
              <w:rPr>
                <w:noProof/>
                <w:webHidden/>
              </w:rPr>
              <w:fldChar w:fldCharType="end"/>
            </w:r>
          </w:hyperlink>
        </w:p>
        <w:p w14:paraId="39383FE8" w14:textId="7E2B617D"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61" w:history="1">
            <w:r w:rsidR="00263E8A" w:rsidRPr="00263E8A">
              <w:rPr>
                <w:rStyle w:val="Hipervnculo"/>
                <w:noProof/>
                <w:sz w:val="22"/>
                <w:szCs w:val="22"/>
              </w:rPr>
              <w:t>6.1.2</w:t>
            </w:r>
            <w:r w:rsidR="00263E8A">
              <w:rPr>
                <w:rStyle w:val="Hipervnculo"/>
                <w:noProof/>
                <w:sz w:val="22"/>
                <w:szCs w:val="22"/>
              </w:rPr>
              <w:t xml:space="preserve">  </w:t>
            </w:r>
            <w:r w:rsidR="00263E8A" w:rsidRPr="00263E8A">
              <w:rPr>
                <w:rStyle w:val="Hipervnculo"/>
                <w:noProof/>
                <w:sz w:val="22"/>
                <w:szCs w:val="22"/>
              </w:rPr>
              <w:t>Escenarios alternativos en las proyecciones de recaudación tributaria</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_Toc143865861 \h </w:instrText>
            </w:r>
            <w:r w:rsidR="00263E8A" w:rsidRPr="00263E8A">
              <w:rPr>
                <w:noProof/>
                <w:webHidden/>
              </w:rPr>
            </w:r>
            <w:r w:rsidR="00263E8A" w:rsidRPr="00263E8A">
              <w:rPr>
                <w:noProof/>
                <w:webHidden/>
              </w:rPr>
              <w:fldChar w:fldCharType="separate"/>
            </w:r>
            <w:r w:rsidR="00D84E7F">
              <w:rPr>
                <w:noProof/>
                <w:webHidden/>
              </w:rPr>
              <w:t>130</w:t>
            </w:r>
            <w:r w:rsidR="00263E8A" w:rsidRPr="00263E8A">
              <w:rPr>
                <w:noProof/>
                <w:webHidden/>
              </w:rPr>
              <w:fldChar w:fldCharType="end"/>
            </w:r>
          </w:hyperlink>
        </w:p>
        <w:p w14:paraId="3DF873DC" w14:textId="52A047E2"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62" w:history="1">
            <w:r w:rsidR="00263E8A" w:rsidRPr="00263E8A">
              <w:rPr>
                <w:rStyle w:val="Hipervnculo"/>
                <w:noProof/>
                <w:sz w:val="22"/>
                <w:szCs w:val="22"/>
              </w:rPr>
              <w:t>6.1.3</w:t>
            </w:r>
            <w:r w:rsidR="00263E8A">
              <w:rPr>
                <w:rStyle w:val="Hipervnculo"/>
                <w:noProof/>
                <w:sz w:val="22"/>
                <w:szCs w:val="22"/>
              </w:rPr>
              <w:t xml:space="preserve">  </w:t>
            </w:r>
            <w:r w:rsidR="00263E8A" w:rsidRPr="00263E8A">
              <w:rPr>
                <w:rStyle w:val="Hipervnculo"/>
                <w:noProof/>
                <w:sz w:val="22"/>
                <w:szCs w:val="22"/>
              </w:rPr>
              <w:t>Escenario medio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_Toc143865862 \h </w:instrText>
            </w:r>
            <w:r w:rsidR="00263E8A" w:rsidRPr="00263E8A">
              <w:rPr>
                <w:noProof/>
                <w:webHidden/>
              </w:rPr>
            </w:r>
            <w:r w:rsidR="00263E8A" w:rsidRPr="00263E8A">
              <w:rPr>
                <w:noProof/>
                <w:webHidden/>
              </w:rPr>
              <w:fldChar w:fldCharType="separate"/>
            </w:r>
            <w:r w:rsidR="00D84E7F">
              <w:rPr>
                <w:noProof/>
                <w:webHidden/>
              </w:rPr>
              <w:t>130</w:t>
            </w:r>
            <w:r w:rsidR="00263E8A" w:rsidRPr="00263E8A">
              <w:rPr>
                <w:noProof/>
                <w:webHidden/>
              </w:rPr>
              <w:fldChar w:fldCharType="end"/>
            </w:r>
          </w:hyperlink>
        </w:p>
        <w:p w14:paraId="7F818AD2" w14:textId="2F93B672"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63" w:history="1">
            <w:r w:rsidR="00263E8A" w:rsidRPr="00263E8A">
              <w:rPr>
                <w:rStyle w:val="Hipervnculo"/>
                <w:noProof/>
                <w:sz w:val="22"/>
                <w:szCs w:val="22"/>
              </w:rPr>
              <w:t>6.1.4</w:t>
            </w:r>
            <w:r w:rsidR="00263E8A">
              <w:rPr>
                <w:rStyle w:val="Hipervnculo"/>
                <w:noProof/>
                <w:sz w:val="22"/>
                <w:szCs w:val="22"/>
              </w:rPr>
              <w:t xml:space="preserve">  </w:t>
            </w:r>
            <w:r w:rsidR="00263E8A" w:rsidRPr="00263E8A">
              <w:rPr>
                <w:rStyle w:val="Hipervnculo"/>
                <w:noProof/>
                <w:sz w:val="22"/>
                <w:szCs w:val="22"/>
              </w:rPr>
              <w:t>Escenario alto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_Toc143865863 \h </w:instrText>
            </w:r>
            <w:r w:rsidR="00263E8A" w:rsidRPr="00263E8A">
              <w:rPr>
                <w:noProof/>
                <w:webHidden/>
              </w:rPr>
            </w:r>
            <w:r w:rsidR="00263E8A" w:rsidRPr="00263E8A">
              <w:rPr>
                <w:noProof/>
                <w:webHidden/>
              </w:rPr>
              <w:fldChar w:fldCharType="separate"/>
            </w:r>
            <w:r w:rsidR="00D84E7F">
              <w:rPr>
                <w:noProof/>
                <w:webHidden/>
              </w:rPr>
              <w:t>132</w:t>
            </w:r>
            <w:r w:rsidR="00263E8A" w:rsidRPr="00263E8A">
              <w:rPr>
                <w:noProof/>
                <w:webHidden/>
              </w:rPr>
              <w:fldChar w:fldCharType="end"/>
            </w:r>
          </w:hyperlink>
        </w:p>
        <w:p w14:paraId="27B79A91" w14:textId="215D2F95" w:rsidR="00263E8A" w:rsidRPr="00263E8A" w:rsidRDefault="00A37A2D" w:rsidP="00A37A2D">
          <w:pPr>
            <w:pStyle w:val="TDC3"/>
            <w:rPr>
              <w:rFonts w:asciiTheme="minorHAnsi" w:eastAsiaTheme="minorEastAsia" w:hAnsiTheme="minorHAnsi" w:cstheme="minorBidi"/>
              <w:noProof/>
            </w:rPr>
          </w:pPr>
          <w:r>
            <w:rPr>
              <w:noProof/>
            </w:rPr>
            <w:t xml:space="preserve">      </w:t>
          </w:r>
          <w:hyperlink w:anchor="_Toc143865864" w:history="1">
            <w:r w:rsidR="00263E8A" w:rsidRPr="00263E8A">
              <w:rPr>
                <w:rStyle w:val="Hipervnculo"/>
                <w:noProof/>
                <w:sz w:val="22"/>
                <w:szCs w:val="22"/>
              </w:rPr>
              <w:t>6.1.5</w:t>
            </w:r>
            <w:r w:rsidR="00263E8A">
              <w:rPr>
                <w:rStyle w:val="Hipervnculo"/>
                <w:noProof/>
                <w:sz w:val="22"/>
                <w:szCs w:val="22"/>
              </w:rPr>
              <w:t xml:space="preserve">  </w:t>
            </w:r>
            <w:r w:rsidR="00263E8A" w:rsidRPr="00263E8A">
              <w:rPr>
                <w:rStyle w:val="Hipervnculo"/>
                <w:noProof/>
                <w:sz w:val="22"/>
                <w:szCs w:val="22"/>
              </w:rPr>
              <w:t>Otros escenarios</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_Toc143865864 \h </w:instrText>
            </w:r>
            <w:r w:rsidR="00263E8A" w:rsidRPr="00263E8A">
              <w:rPr>
                <w:noProof/>
                <w:webHidden/>
              </w:rPr>
            </w:r>
            <w:r w:rsidR="00263E8A" w:rsidRPr="00263E8A">
              <w:rPr>
                <w:noProof/>
                <w:webHidden/>
              </w:rPr>
              <w:fldChar w:fldCharType="separate"/>
            </w:r>
            <w:r w:rsidR="00D84E7F">
              <w:rPr>
                <w:noProof/>
                <w:webHidden/>
              </w:rPr>
              <w:t>134</w:t>
            </w:r>
            <w:r w:rsidR="00263E8A" w:rsidRPr="00263E8A">
              <w:rPr>
                <w:noProof/>
                <w:webHidden/>
              </w:rPr>
              <w:fldChar w:fldCharType="end"/>
            </w:r>
          </w:hyperlink>
        </w:p>
        <w:p w14:paraId="49B18551" w14:textId="2373BEE7"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65" w:history="1">
            <w:r w:rsidR="00263E8A" w:rsidRPr="00263E8A">
              <w:rPr>
                <w:rStyle w:val="Hipervnculo"/>
                <w:noProof/>
                <w:sz w:val="22"/>
                <w:szCs w:val="22"/>
              </w:rPr>
              <w:t>6.2</w:t>
            </w:r>
            <w:r w:rsidR="00263E8A">
              <w:rPr>
                <w:rStyle w:val="Hipervnculo"/>
                <w:noProof/>
                <w:sz w:val="22"/>
                <w:szCs w:val="22"/>
              </w:rPr>
              <w:t xml:space="preserve">  </w:t>
            </w:r>
            <w:r w:rsidR="00263E8A" w:rsidRPr="00263E8A">
              <w:rPr>
                <w:rStyle w:val="Hipervnculo"/>
                <w:noProof/>
                <w:sz w:val="22"/>
                <w:szCs w:val="22"/>
              </w:rPr>
              <w:t>Proyecciones de gasto público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_Toc143865865 \h </w:instrText>
            </w:r>
            <w:r w:rsidR="00263E8A" w:rsidRPr="00263E8A">
              <w:rPr>
                <w:noProof/>
                <w:webHidden/>
              </w:rPr>
            </w:r>
            <w:r w:rsidR="00263E8A" w:rsidRPr="00263E8A">
              <w:rPr>
                <w:noProof/>
                <w:webHidden/>
              </w:rPr>
              <w:fldChar w:fldCharType="separate"/>
            </w:r>
            <w:r w:rsidR="00D84E7F">
              <w:rPr>
                <w:noProof/>
                <w:webHidden/>
              </w:rPr>
              <w:t>135</w:t>
            </w:r>
            <w:r w:rsidR="00263E8A" w:rsidRPr="00263E8A">
              <w:rPr>
                <w:noProof/>
                <w:webHidden/>
              </w:rPr>
              <w:fldChar w:fldCharType="end"/>
            </w:r>
          </w:hyperlink>
        </w:p>
        <w:p w14:paraId="3A5449B2" w14:textId="549CA3B2"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66" w:history="1">
            <w:r w:rsidR="00263E8A" w:rsidRPr="00263E8A">
              <w:rPr>
                <w:rStyle w:val="Hipervnculo"/>
                <w:noProof/>
                <w:sz w:val="22"/>
                <w:szCs w:val="22"/>
              </w:rPr>
              <w:t>6.3</w:t>
            </w:r>
            <w:r w:rsidR="00263E8A">
              <w:rPr>
                <w:rStyle w:val="Hipervnculo"/>
                <w:noProof/>
                <w:sz w:val="22"/>
                <w:szCs w:val="22"/>
              </w:rPr>
              <w:t xml:space="preserve">  </w:t>
            </w:r>
            <w:r w:rsidR="00263E8A" w:rsidRPr="00263E8A">
              <w:rPr>
                <w:rStyle w:val="Hipervnculo"/>
                <w:noProof/>
                <w:sz w:val="22"/>
                <w:szCs w:val="22"/>
              </w:rPr>
              <w:t>Proyección del financiamiento del déficit fiscal</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_Toc143865866 \h </w:instrText>
            </w:r>
            <w:r w:rsidR="00263E8A" w:rsidRPr="00263E8A">
              <w:rPr>
                <w:noProof/>
                <w:webHidden/>
              </w:rPr>
            </w:r>
            <w:r w:rsidR="00263E8A" w:rsidRPr="00263E8A">
              <w:rPr>
                <w:noProof/>
                <w:webHidden/>
              </w:rPr>
              <w:fldChar w:fldCharType="separate"/>
            </w:r>
            <w:r w:rsidR="00D84E7F">
              <w:rPr>
                <w:noProof/>
                <w:webHidden/>
              </w:rPr>
              <w:t>138</w:t>
            </w:r>
            <w:r w:rsidR="00263E8A" w:rsidRPr="00263E8A">
              <w:rPr>
                <w:noProof/>
                <w:webHidden/>
              </w:rPr>
              <w:fldChar w:fldCharType="end"/>
            </w:r>
          </w:hyperlink>
        </w:p>
        <w:p w14:paraId="4E9C0043" w14:textId="41C634B2"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67" w:history="1">
            <w:r w:rsidR="00263E8A" w:rsidRPr="00263E8A">
              <w:rPr>
                <w:rStyle w:val="Hipervnculo"/>
                <w:noProof/>
                <w:sz w:val="22"/>
                <w:szCs w:val="22"/>
              </w:rPr>
              <w:t>6.4</w:t>
            </w:r>
            <w:r w:rsidR="00263E8A">
              <w:rPr>
                <w:rStyle w:val="Hipervnculo"/>
                <w:noProof/>
                <w:sz w:val="22"/>
                <w:szCs w:val="22"/>
              </w:rPr>
              <w:t xml:space="preserve">  </w:t>
            </w:r>
            <w:r w:rsidR="00263E8A" w:rsidRPr="00263E8A">
              <w:rPr>
                <w:rStyle w:val="Hipervnculo"/>
                <w:noProof/>
                <w:sz w:val="22"/>
                <w:szCs w:val="22"/>
              </w:rPr>
              <w:t>Estrategia de inversión de mediano plazo 2024-2028</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_Toc143865867 \h </w:instrText>
            </w:r>
            <w:r w:rsidR="00263E8A" w:rsidRPr="00263E8A">
              <w:rPr>
                <w:noProof/>
                <w:webHidden/>
              </w:rPr>
            </w:r>
            <w:r w:rsidR="00263E8A" w:rsidRPr="00263E8A">
              <w:rPr>
                <w:noProof/>
                <w:webHidden/>
              </w:rPr>
              <w:fldChar w:fldCharType="separate"/>
            </w:r>
            <w:r w:rsidR="00D84E7F">
              <w:rPr>
                <w:noProof/>
                <w:webHidden/>
              </w:rPr>
              <w:t>142</w:t>
            </w:r>
            <w:r w:rsidR="00263E8A" w:rsidRPr="00263E8A">
              <w:rPr>
                <w:noProof/>
                <w:webHidden/>
              </w:rPr>
              <w:fldChar w:fldCharType="end"/>
            </w:r>
          </w:hyperlink>
        </w:p>
        <w:p w14:paraId="51C2F8EF" w14:textId="423EA6DA"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68" w:history="1">
            <w:r w:rsidR="00263E8A" w:rsidRPr="00263E8A">
              <w:rPr>
                <w:rStyle w:val="Hipervnculo"/>
                <w:noProof/>
                <w:sz w:val="22"/>
                <w:szCs w:val="22"/>
              </w:rPr>
              <w:t>6.4.1</w:t>
            </w:r>
            <w:r w:rsidR="00263E8A">
              <w:rPr>
                <w:rStyle w:val="Hipervnculo"/>
                <w:noProof/>
                <w:sz w:val="22"/>
                <w:szCs w:val="22"/>
              </w:rPr>
              <w:t xml:space="preserve">  </w:t>
            </w:r>
            <w:r w:rsidR="00263E8A" w:rsidRPr="00263E8A">
              <w:rPr>
                <w:rStyle w:val="Hipervnculo"/>
                <w:noProof/>
                <w:sz w:val="22"/>
                <w:szCs w:val="22"/>
              </w:rPr>
              <w:t>Inversión social ejercicio fiscal 2024</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_Toc143865868 \h </w:instrText>
            </w:r>
            <w:r w:rsidR="00263E8A" w:rsidRPr="00263E8A">
              <w:rPr>
                <w:noProof/>
                <w:webHidden/>
              </w:rPr>
            </w:r>
            <w:r w:rsidR="00263E8A" w:rsidRPr="00263E8A">
              <w:rPr>
                <w:noProof/>
                <w:webHidden/>
              </w:rPr>
              <w:fldChar w:fldCharType="separate"/>
            </w:r>
            <w:r w:rsidR="00D84E7F">
              <w:rPr>
                <w:noProof/>
                <w:webHidden/>
              </w:rPr>
              <w:t>146</w:t>
            </w:r>
            <w:r w:rsidR="00263E8A" w:rsidRPr="00263E8A">
              <w:rPr>
                <w:noProof/>
                <w:webHidden/>
              </w:rPr>
              <w:fldChar w:fldCharType="end"/>
            </w:r>
          </w:hyperlink>
        </w:p>
        <w:p w14:paraId="3FD4C68F" w14:textId="4363E2D8"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69" w:history="1">
            <w:r w:rsidR="00263E8A" w:rsidRPr="00263E8A">
              <w:rPr>
                <w:rStyle w:val="Hipervnculo"/>
                <w:noProof/>
                <w:sz w:val="22"/>
                <w:szCs w:val="22"/>
              </w:rPr>
              <w:t>6.4.2</w:t>
            </w:r>
            <w:r w:rsidR="00263E8A">
              <w:rPr>
                <w:rStyle w:val="Hipervnculo"/>
                <w:noProof/>
                <w:sz w:val="22"/>
                <w:szCs w:val="22"/>
              </w:rPr>
              <w:t xml:space="preserve">  </w:t>
            </w:r>
            <w:r w:rsidR="00263E8A" w:rsidRPr="00263E8A">
              <w:rPr>
                <w:rStyle w:val="Hipervnculo"/>
                <w:noProof/>
                <w:sz w:val="22"/>
                <w:szCs w:val="22"/>
              </w:rPr>
              <w:t>Programación multianual de inversión pública por entidad</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_Toc143865869 \h </w:instrText>
            </w:r>
            <w:r w:rsidR="00263E8A" w:rsidRPr="00263E8A">
              <w:rPr>
                <w:noProof/>
                <w:webHidden/>
              </w:rPr>
            </w:r>
            <w:r w:rsidR="00263E8A" w:rsidRPr="00263E8A">
              <w:rPr>
                <w:noProof/>
                <w:webHidden/>
              </w:rPr>
              <w:fldChar w:fldCharType="separate"/>
            </w:r>
            <w:r w:rsidR="00D84E7F">
              <w:rPr>
                <w:noProof/>
                <w:webHidden/>
              </w:rPr>
              <w:t>150</w:t>
            </w:r>
            <w:r w:rsidR="00263E8A" w:rsidRPr="00263E8A">
              <w:rPr>
                <w:noProof/>
                <w:webHidden/>
              </w:rPr>
              <w:fldChar w:fldCharType="end"/>
            </w:r>
          </w:hyperlink>
        </w:p>
        <w:p w14:paraId="60D23EB4" w14:textId="7D30D4D3"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70" w:history="1">
            <w:r w:rsidR="00263E8A" w:rsidRPr="00263E8A">
              <w:rPr>
                <w:rStyle w:val="Hipervnculo"/>
                <w:noProof/>
                <w:sz w:val="22"/>
                <w:szCs w:val="22"/>
              </w:rPr>
              <w:t>6.5</w:t>
            </w:r>
            <w:r w:rsidR="00263E8A">
              <w:rPr>
                <w:rStyle w:val="Hipervnculo"/>
                <w:noProof/>
                <w:sz w:val="22"/>
                <w:szCs w:val="22"/>
              </w:rPr>
              <w:t xml:space="preserve">  </w:t>
            </w:r>
            <w:r w:rsidR="00263E8A" w:rsidRPr="00263E8A">
              <w:rPr>
                <w:rStyle w:val="Hipervnculo"/>
                <w:noProof/>
                <w:sz w:val="22"/>
                <w:szCs w:val="22"/>
              </w:rPr>
              <w:t>Perspectivas del endeudamiento público</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_Toc143865870 \h </w:instrText>
            </w:r>
            <w:r w:rsidR="00263E8A" w:rsidRPr="00263E8A">
              <w:rPr>
                <w:noProof/>
                <w:webHidden/>
              </w:rPr>
            </w:r>
            <w:r w:rsidR="00263E8A" w:rsidRPr="00263E8A">
              <w:rPr>
                <w:noProof/>
                <w:webHidden/>
              </w:rPr>
              <w:fldChar w:fldCharType="separate"/>
            </w:r>
            <w:r w:rsidR="00D84E7F">
              <w:rPr>
                <w:noProof/>
                <w:webHidden/>
              </w:rPr>
              <w:t>151</w:t>
            </w:r>
            <w:r w:rsidR="00263E8A" w:rsidRPr="00263E8A">
              <w:rPr>
                <w:noProof/>
                <w:webHidden/>
              </w:rPr>
              <w:fldChar w:fldCharType="end"/>
            </w:r>
          </w:hyperlink>
        </w:p>
        <w:p w14:paraId="7CBC68A9" w14:textId="2FD0BD3F"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71" w:history="1">
            <w:r w:rsidR="00263E8A" w:rsidRPr="00263E8A">
              <w:rPr>
                <w:rStyle w:val="Hipervnculo"/>
                <w:noProof/>
                <w:sz w:val="22"/>
                <w:szCs w:val="22"/>
              </w:rPr>
              <w:t>6.6</w:t>
            </w:r>
            <w:r w:rsidR="00263E8A">
              <w:rPr>
                <w:rStyle w:val="Hipervnculo"/>
                <w:noProof/>
                <w:sz w:val="22"/>
                <w:szCs w:val="22"/>
              </w:rPr>
              <w:t xml:space="preserve">  </w:t>
            </w:r>
            <w:r w:rsidR="00263E8A" w:rsidRPr="00263E8A">
              <w:rPr>
                <w:rStyle w:val="Hipervnculo"/>
                <w:noProof/>
                <w:sz w:val="22"/>
                <w:szCs w:val="22"/>
              </w:rPr>
              <w:t>Estrategia de Gestión de Deuda de mediano plazo 2022-2026</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_Toc143865871 \h </w:instrText>
            </w:r>
            <w:r w:rsidR="00263E8A" w:rsidRPr="00263E8A">
              <w:rPr>
                <w:noProof/>
                <w:webHidden/>
              </w:rPr>
            </w:r>
            <w:r w:rsidR="00263E8A" w:rsidRPr="00263E8A">
              <w:rPr>
                <w:noProof/>
                <w:webHidden/>
              </w:rPr>
              <w:fldChar w:fldCharType="separate"/>
            </w:r>
            <w:r w:rsidR="00D84E7F">
              <w:rPr>
                <w:noProof/>
                <w:webHidden/>
              </w:rPr>
              <w:t>152</w:t>
            </w:r>
            <w:r w:rsidR="00263E8A" w:rsidRPr="00263E8A">
              <w:rPr>
                <w:noProof/>
                <w:webHidden/>
              </w:rPr>
              <w:fldChar w:fldCharType="end"/>
            </w:r>
          </w:hyperlink>
        </w:p>
        <w:p w14:paraId="63082376" w14:textId="2A2988B3" w:rsidR="00263E8A" w:rsidRPr="00263E8A" w:rsidRDefault="00A37A2D" w:rsidP="00A37A2D">
          <w:pPr>
            <w:pStyle w:val="TDC1"/>
            <w:rPr>
              <w:rFonts w:asciiTheme="minorHAnsi" w:eastAsiaTheme="minorEastAsia" w:hAnsiTheme="minorHAnsi" w:cstheme="minorBidi"/>
            </w:rPr>
          </w:pPr>
          <w:r>
            <w:t xml:space="preserve">  </w:t>
          </w:r>
          <w:hyperlink w:anchor="_Toc143865872" w:history="1">
            <w:r w:rsidR="00263E8A" w:rsidRPr="00263E8A">
              <w:rPr>
                <w:rStyle w:val="Hipervnculo"/>
              </w:rPr>
              <w:t>7.</w:t>
            </w:r>
            <w:r w:rsidR="00263E8A">
              <w:rPr>
                <w:rFonts w:asciiTheme="minorHAnsi" w:eastAsiaTheme="minorEastAsia" w:hAnsiTheme="minorHAnsi" w:cstheme="minorBidi"/>
              </w:rPr>
              <w:t xml:space="preserve">  </w:t>
            </w:r>
            <w:r w:rsidR="00263E8A" w:rsidRPr="00263E8A">
              <w:rPr>
                <w:rStyle w:val="Hipervnculo"/>
              </w:rPr>
              <w:t>La orientación de la política fiscal</w:t>
            </w:r>
            <w:r w:rsidR="00263E8A" w:rsidRPr="00263E8A">
              <w:rPr>
                <w:webHidden/>
              </w:rPr>
              <w:tab/>
            </w:r>
            <w:r w:rsidR="00263E8A" w:rsidRPr="00263E8A">
              <w:rPr>
                <w:webHidden/>
              </w:rPr>
              <w:fldChar w:fldCharType="begin"/>
            </w:r>
            <w:r w:rsidR="00263E8A" w:rsidRPr="00263E8A">
              <w:rPr>
                <w:webHidden/>
              </w:rPr>
              <w:instrText xml:space="preserve"> PAGEREF _Toc143865872 \h </w:instrText>
            </w:r>
            <w:r w:rsidR="00263E8A" w:rsidRPr="00263E8A">
              <w:rPr>
                <w:webHidden/>
              </w:rPr>
            </w:r>
            <w:r w:rsidR="00263E8A" w:rsidRPr="00263E8A">
              <w:rPr>
                <w:webHidden/>
              </w:rPr>
              <w:fldChar w:fldCharType="separate"/>
            </w:r>
            <w:r w:rsidR="00D84E7F">
              <w:rPr>
                <w:webHidden/>
              </w:rPr>
              <w:t>154</w:t>
            </w:r>
            <w:r w:rsidR="00263E8A" w:rsidRPr="00263E8A">
              <w:rPr>
                <w:webHidden/>
              </w:rPr>
              <w:fldChar w:fldCharType="end"/>
            </w:r>
          </w:hyperlink>
        </w:p>
        <w:p w14:paraId="4A4560AD" w14:textId="62E1D9EA" w:rsidR="00263E8A" w:rsidRPr="00263E8A" w:rsidRDefault="00A37A2D" w:rsidP="00A37A2D">
          <w:pPr>
            <w:pStyle w:val="TDC1"/>
            <w:rPr>
              <w:rFonts w:asciiTheme="minorHAnsi" w:eastAsiaTheme="minorEastAsia" w:hAnsiTheme="minorHAnsi" w:cstheme="minorBidi"/>
            </w:rPr>
          </w:pPr>
          <w:r>
            <w:t xml:space="preserve">  </w:t>
          </w:r>
          <w:hyperlink w:anchor="_Toc143865873" w:history="1">
            <w:r w:rsidR="00263E8A" w:rsidRPr="00263E8A">
              <w:rPr>
                <w:rStyle w:val="Hipervnculo"/>
              </w:rPr>
              <w:t>8.</w:t>
            </w:r>
            <w:r w:rsidR="00263E8A">
              <w:rPr>
                <w:rFonts w:asciiTheme="minorHAnsi" w:eastAsiaTheme="minorEastAsia" w:hAnsiTheme="minorHAnsi" w:cstheme="minorBidi"/>
              </w:rPr>
              <w:t xml:space="preserve">  </w:t>
            </w:r>
            <w:r w:rsidR="00263E8A" w:rsidRPr="00263E8A">
              <w:rPr>
                <w:rStyle w:val="Hipervnculo"/>
              </w:rPr>
              <w:t>Brechas para alcanzar las metas propuestas en la Política General de Gobierno hacia 2023</w:t>
            </w:r>
            <w:r w:rsidR="00263E8A" w:rsidRPr="00263E8A">
              <w:rPr>
                <w:webHidden/>
              </w:rPr>
              <w:tab/>
            </w:r>
            <w:r w:rsidR="00263E8A" w:rsidRPr="00263E8A">
              <w:rPr>
                <w:webHidden/>
              </w:rPr>
              <w:fldChar w:fldCharType="begin"/>
            </w:r>
            <w:r w:rsidR="00263E8A" w:rsidRPr="00263E8A">
              <w:rPr>
                <w:webHidden/>
              </w:rPr>
              <w:instrText xml:space="preserve"> PAGEREF _Toc143865873 \h </w:instrText>
            </w:r>
            <w:r w:rsidR="00263E8A" w:rsidRPr="00263E8A">
              <w:rPr>
                <w:webHidden/>
              </w:rPr>
            </w:r>
            <w:r w:rsidR="00263E8A" w:rsidRPr="00263E8A">
              <w:rPr>
                <w:webHidden/>
              </w:rPr>
              <w:fldChar w:fldCharType="separate"/>
            </w:r>
            <w:r w:rsidR="00D84E7F">
              <w:rPr>
                <w:webHidden/>
              </w:rPr>
              <w:t>157</w:t>
            </w:r>
            <w:r w:rsidR="00263E8A" w:rsidRPr="00263E8A">
              <w:rPr>
                <w:webHidden/>
              </w:rPr>
              <w:fldChar w:fldCharType="end"/>
            </w:r>
          </w:hyperlink>
        </w:p>
        <w:p w14:paraId="629A9B85" w14:textId="7F447DF6" w:rsidR="00263E8A" w:rsidRPr="00263E8A" w:rsidRDefault="00A37A2D" w:rsidP="00A37A2D">
          <w:pPr>
            <w:pStyle w:val="TDC2"/>
            <w:rPr>
              <w:rFonts w:asciiTheme="minorHAnsi" w:eastAsiaTheme="minorEastAsia" w:hAnsiTheme="minorHAnsi" w:cstheme="minorBidi"/>
              <w:noProof/>
            </w:rPr>
          </w:pPr>
          <w:r>
            <w:rPr>
              <w:noProof/>
            </w:rPr>
            <w:t xml:space="preserve">    </w:t>
          </w:r>
          <w:hyperlink w:anchor="_Toc143865874" w:history="1">
            <w:r w:rsidR="00263E8A" w:rsidRPr="00263E8A">
              <w:rPr>
                <w:rStyle w:val="Hipervnculo"/>
                <w:noProof/>
                <w:sz w:val="22"/>
                <w:szCs w:val="22"/>
              </w:rPr>
              <w:t>8.1</w:t>
            </w:r>
            <w:r w:rsidR="00263E8A">
              <w:rPr>
                <w:rStyle w:val="Hipervnculo"/>
                <w:noProof/>
                <w:sz w:val="22"/>
                <w:szCs w:val="22"/>
              </w:rPr>
              <w:t xml:space="preserve">  </w:t>
            </w:r>
            <w:r w:rsidR="00263E8A" w:rsidRPr="00263E8A">
              <w:rPr>
                <w:rStyle w:val="Hipervnculo"/>
                <w:noProof/>
                <w:sz w:val="22"/>
                <w:szCs w:val="22"/>
              </w:rPr>
              <w:t>Algunas recomendaciones de Segeplan para cerrar las brechas existentes</w:t>
            </w:r>
            <w:r w:rsidR="00263E8A" w:rsidRPr="00263E8A">
              <w:rPr>
                <w:noProof/>
                <w:webHidden/>
              </w:rPr>
              <w:tab/>
            </w:r>
            <w:r w:rsidR="00263E8A" w:rsidRPr="00263E8A">
              <w:rPr>
                <w:noProof/>
                <w:webHidden/>
              </w:rPr>
              <w:fldChar w:fldCharType="begin"/>
            </w:r>
            <w:r w:rsidR="00263E8A" w:rsidRPr="00263E8A">
              <w:rPr>
                <w:noProof/>
                <w:webHidden/>
              </w:rPr>
              <w:instrText xml:space="preserve"> PAGEREF _Toc143865874 \h </w:instrText>
            </w:r>
            <w:r w:rsidR="00263E8A" w:rsidRPr="00263E8A">
              <w:rPr>
                <w:noProof/>
                <w:webHidden/>
              </w:rPr>
            </w:r>
            <w:r w:rsidR="00263E8A" w:rsidRPr="00263E8A">
              <w:rPr>
                <w:noProof/>
                <w:webHidden/>
              </w:rPr>
              <w:fldChar w:fldCharType="separate"/>
            </w:r>
            <w:r w:rsidR="00D84E7F">
              <w:rPr>
                <w:noProof/>
                <w:webHidden/>
              </w:rPr>
              <w:t>158</w:t>
            </w:r>
            <w:r w:rsidR="00263E8A" w:rsidRPr="00263E8A">
              <w:rPr>
                <w:noProof/>
                <w:webHidden/>
              </w:rPr>
              <w:fldChar w:fldCharType="end"/>
            </w:r>
          </w:hyperlink>
        </w:p>
        <w:p w14:paraId="604D32E1" w14:textId="142477D9" w:rsidR="00263E8A" w:rsidRPr="00263E8A" w:rsidRDefault="005A30CD" w:rsidP="00A37A2D">
          <w:pPr>
            <w:pStyle w:val="TDC1"/>
            <w:rPr>
              <w:rFonts w:asciiTheme="minorHAnsi" w:eastAsiaTheme="minorEastAsia" w:hAnsiTheme="minorHAnsi" w:cstheme="minorBidi"/>
            </w:rPr>
          </w:pPr>
          <w:hyperlink w:anchor="_Toc143865875" w:history="1">
            <w:r w:rsidR="00263E8A" w:rsidRPr="00263E8A">
              <w:rPr>
                <w:rStyle w:val="Hipervnculo"/>
              </w:rPr>
              <w:t>Anexos</w:t>
            </w:r>
            <w:r w:rsidR="00263E8A" w:rsidRPr="00263E8A">
              <w:rPr>
                <w:webHidden/>
              </w:rPr>
              <w:tab/>
            </w:r>
            <w:r w:rsidR="00263E8A" w:rsidRPr="00263E8A">
              <w:rPr>
                <w:webHidden/>
              </w:rPr>
              <w:fldChar w:fldCharType="begin"/>
            </w:r>
            <w:r w:rsidR="00263E8A" w:rsidRPr="00263E8A">
              <w:rPr>
                <w:webHidden/>
              </w:rPr>
              <w:instrText xml:space="preserve"> PAGEREF _Toc143865875 \h </w:instrText>
            </w:r>
            <w:r w:rsidR="00263E8A" w:rsidRPr="00263E8A">
              <w:rPr>
                <w:webHidden/>
              </w:rPr>
            </w:r>
            <w:r w:rsidR="00263E8A" w:rsidRPr="00263E8A">
              <w:rPr>
                <w:webHidden/>
              </w:rPr>
              <w:fldChar w:fldCharType="separate"/>
            </w:r>
            <w:r w:rsidR="00D84E7F">
              <w:rPr>
                <w:webHidden/>
              </w:rPr>
              <w:t>161</w:t>
            </w:r>
            <w:r w:rsidR="00263E8A" w:rsidRPr="00263E8A">
              <w:rPr>
                <w:webHidden/>
              </w:rPr>
              <w:fldChar w:fldCharType="end"/>
            </w:r>
          </w:hyperlink>
        </w:p>
        <w:p w14:paraId="1C673B0B" w14:textId="1D8B253B" w:rsidR="000470AA" w:rsidRPr="000F1270" w:rsidRDefault="000470AA" w:rsidP="00263E8A">
          <w:pPr>
            <w:rPr>
              <w:sz w:val="22"/>
              <w:szCs w:val="22"/>
            </w:rPr>
          </w:pPr>
          <w:r w:rsidRPr="00263E8A">
            <w:rPr>
              <w:sz w:val="20"/>
              <w:szCs w:val="20"/>
              <w:lang w:val="es-ES"/>
            </w:rPr>
            <w:fldChar w:fldCharType="end"/>
          </w:r>
        </w:p>
      </w:sdtContent>
    </w:sdt>
    <w:p w14:paraId="3770F4C7" w14:textId="796AAABB" w:rsidR="000470AA" w:rsidRPr="0035683A" w:rsidRDefault="004B0E4D" w:rsidP="005954CA">
      <w:pPr>
        <w:ind w:left="2818" w:right="3962"/>
        <w:jc w:val="center"/>
        <w:rPr>
          <w:b/>
          <w:bCs/>
        </w:rPr>
      </w:pPr>
      <w:r w:rsidRPr="0035683A">
        <w:rPr>
          <w:b/>
          <w:bCs/>
        </w:rPr>
        <w:t>Contenido en gráficos</w:t>
      </w:r>
    </w:p>
    <w:p w14:paraId="00971009" w14:textId="3356DB94" w:rsidR="009E47A4" w:rsidRPr="0035683A" w:rsidRDefault="000902AC">
      <w:pPr>
        <w:pStyle w:val="Tabladeilustraciones"/>
        <w:tabs>
          <w:tab w:val="right" w:leader="dot" w:pos="9621"/>
        </w:tabs>
        <w:rPr>
          <w:rFonts w:asciiTheme="minorHAnsi" w:eastAsiaTheme="minorEastAsia" w:hAnsiTheme="minorHAnsi" w:cstheme="minorBidi"/>
          <w:noProof/>
          <w:sz w:val="22"/>
          <w:szCs w:val="22"/>
        </w:rPr>
      </w:pPr>
      <w:r w:rsidRPr="009E47A4">
        <w:rPr>
          <w:sz w:val="22"/>
          <w:szCs w:val="22"/>
        </w:rPr>
        <w:fldChar w:fldCharType="begin"/>
      </w:r>
      <w:r w:rsidRPr="009E47A4">
        <w:rPr>
          <w:sz w:val="22"/>
          <w:szCs w:val="22"/>
        </w:rPr>
        <w:instrText xml:space="preserve"> TOC \h \z \c "Gráfico" </w:instrText>
      </w:r>
      <w:r w:rsidRPr="009E47A4">
        <w:rPr>
          <w:sz w:val="22"/>
          <w:szCs w:val="22"/>
        </w:rPr>
        <w:fldChar w:fldCharType="separate"/>
      </w:r>
      <w:hyperlink w:anchor="_Toc143870668" w:history="1">
        <w:r w:rsidR="009E47A4" w:rsidRPr="0035683A">
          <w:rPr>
            <w:rStyle w:val="Hipervnculo"/>
            <w:rFonts w:eastAsiaTheme="majorEastAsia"/>
            <w:noProof/>
            <w:sz w:val="22"/>
            <w:szCs w:val="22"/>
          </w:rPr>
          <w:t>Gráfico 1.  Crecimiento de la economía mundial</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_Toc143870668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3</w:t>
        </w:r>
        <w:r w:rsidR="009E47A4" w:rsidRPr="0035683A">
          <w:rPr>
            <w:noProof/>
            <w:webHidden/>
            <w:sz w:val="22"/>
            <w:szCs w:val="22"/>
          </w:rPr>
          <w:fldChar w:fldCharType="end"/>
        </w:r>
      </w:hyperlink>
    </w:p>
    <w:p w14:paraId="3E4ECAC3" w14:textId="7E19065B"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69" w:history="1">
        <w:r w:rsidR="009E47A4" w:rsidRPr="0035683A">
          <w:rPr>
            <w:rStyle w:val="Hipervnculo"/>
            <w:rFonts w:eastAsiaTheme="majorEastAsia"/>
            <w:noProof/>
            <w:sz w:val="22"/>
            <w:szCs w:val="22"/>
          </w:rPr>
          <w:t>Gráfico 2.  Inflación de la economía mundial</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_Toc143870669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4</w:t>
        </w:r>
        <w:r w:rsidR="009E47A4" w:rsidRPr="0035683A">
          <w:rPr>
            <w:noProof/>
            <w:webHidden/>
            <w:sz w:val="22"/>
            <w:szCs w:val="22"/>
          </w:rPr>
          <w:fldChar w:fldCharType="end"/>
        </w:r>
      </w:hyperlink>
    </w:p>
    <w:p w14:paraId="6FC57C18" w14:textId="5CED0A61"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70" w:history="1">
        <w:r w:rsidR="009E47A4" w:rsidRPr="0035683A">
          <w:rPr>
            <w:rStyle w:val="Hipervnculo"/>
            <w:rFonts w:eastAsiaTheme="majorEastAsia"/>
            <w:noProof/>
            <w:sz w:val="22"/>
            <w:szCs w:val="22"/>
          </w:rPr>
          <w:t xml:space="preserve">Gráfico 3.  </w:t>
        </w:r>
        <w:r w:rsidR="009E47A4" w:rsidRPr="0035683A">
          <w:rPr>
            <w:rStyle w:val="Hipervnculo"/>
            <w:rFonts w:eastAsiaTheme="majorEastAsia"/>
            <w:noProof/>
            <w:sz w:val="22"/>
            <w:szCs w:val="22"/>
            <w:lang w:val="es-MX"/>
          </w:rPr>
          <w:t>Déficit Fiscal</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_Toc143870670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5</w:t>
        </w:r>
        <w:r w:rsidR="009E47A4" w:rsidRPr="0035683A">
          <w:rPr>
            <w:noProof/>
            <w:webHidden/>
            <w:sz w:val="22"/>
            <w:szCs w:val="22"/>
          </w:rPr>
          <w:fldChar w:fldCharType="end"/>
        </w:r>
      </w:hyperlink>
    </w:p>
    <w:p w14:paraId="0636A78C" w14:textId="729AF1C5"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71" w:history="1">
        <w:r w:rsidR="009E47A4" w:rsidRPr="0035683A">
          <w:rPr>
            <w:rStyle w:val="Hipervnculo"/>
            <w:rFonts w:eastAsiaTheme="majorEastAsia"/>
            <w:noProof/>
            <w:sz w:val="22"/>
            <w:szCs w:val="22"/>
          </w:rPr>
          <w:t>Gráfico 4.  D</w:t>
        </w:r>
        <w:r w:rsidR="009E47A4" w:rsidRPr="0035683A">
          <w:rPr>
            <w:rStyle w:val="Hipervnculo"/>
            <w:rFonts w:eastAsiaTheme="majorEastAsia"/>
            <w:noProof/>
            <w:sz w:val="22"/>
            <w:szCs w:val="22"/>
            <w:lang w:val="es-MX"/>
          </w:rPr>
          <w:t>euda Pública</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_Toc143870671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5</w:t>
        </w:r>
        <w:r w:rsidR="009E47A4" w:rsidRPr="0035683A">
          <w:rPr>
            <w:noProof/>
            <w:webHidden/>
            <w:sz w:val="22"/>
            <w:szCs w:val="22"/>
          </w:rPr>
          <w:fldChar w:fldCharType="end"/>
        </w:r>
      </w:hyperlink>
    </w:p>
    <w:p w14:paraId="79C65F07" w14:textId="75681E7C"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72" w:history="1">
        <w:r w:rsidR="009E47A4" w:rsidRPr="0035683A">
          <w:rPr>
            <w:rStyle w:val="Hipervnculo"/>
            <w:rFonts w:eastAsiaTheme="majorEastAsia"/>
            <w:noProof/>
            <w:sz w:val="22"/>
            <w:szCs w:val="22"/>
          </w:rPr>
          <w:t xml:space="preserve">Gráfico 5.  </w:t>
        </w:r>
        <w:r w:rsidR="009E47A4" w:rsidRPr="0035683A">
          <w:rPr>
            <w:rStyle w:val="Hipervnculo"/>
            <w:rFonts w:eastAsiaTheme="majorEastAsia"/>
            <w:noProof/>
            <w:sz w:val="22"/>
            <w:szCs w:val="22"/>
            <w:lang w:val="es-MX"/>
          </w:rPr>
          <w:t>Indicadores económicos seleccionados para Estados Unidos en 2022</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_Toc143870672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6</w:t>
        </w:r>
        <w:r w:rsidR="009E47A4" w:rsidRPr="0035683A">
          <w:rPr>
            <w:noProof/>
            <w:webHidden/>
            <w:sz w:val="22"/>
            <w:szCs w:val="22"/>
          </w:rPr>
          <w:fldChar w:fldCharType="end"/>
        </w:r>
      </w:hyperlink>
    </w:p>
    <w:p w14:paraId="4A388016" w14:textId="11D2D7C2"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73" w:history="1">
        <w:r w:rsidR="009E47A4" w:rsidRPr="0035683A">
          <w:rPr>
            <w:rStyle w:val="Hipervnculo"/>
            <w:rFonts w:eastAsiaTheme="majorEastAsia"/>
            <w:noProof/>
            <w:sz w:val="22"/>
            <w:szCs w:val="22"/>
          </w:rPr>
          <w:t xml:space="preserve">Gráfico 6.  </w:t>
        </w:r>
        <w:r w:rsidR="009E47A4" w:rsidRPr="0035683A">
          <w:rPr>
            <w:rStyle w:val="Hipervnculo"/>
            <w:rFonts w:eastAsiaTheme="majorEastAsia"/>
            <w:noProof/>
            <w:sz w:val="22"/>
            <w:szCs w:val="22"/>
            <w:lang w:val="es-MX"/>
          </w:rPr>
          <w:t>Indicadores económicos seleccionados para México en 2022</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_Toc143870673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8</w:t>
        </w:r>
        <w:r w:rsidR="009E47A4" w:rsidRPr="0035683A">
          <w:rPr>
            <w:noProof/>
            <w:webHidden/>
            <w:sz w:val="22"/>
            <w:szCs w:val="22"/>
          </w:rPr>
          <w:fldChar w:fldCharType="end"/>
        </w:r>
      </w:hyperlink>
    </w:p>
    <w:p w14:paraId="74969F3C" w14:textId="40BBB5F4"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74" w:history="1">
        <w:r w:rsidR="009E47A4" w:rsidRPr="0035683A">
          <w:rPr>
            <w:rStyle w:val="Hipervnculo"/>
            <w:rFonts w:eastAsiaTheme="majorEastAsia"/>
            <w:noProof/>
            <w:sz w:val="22"/>
            <w:szCs w:val="22"/>
          </w:rPr>
          <w:t xml:space="preserve">Gráfico 7.  </w:t>
        </w:r>
        <w:r w:rsidR="009E47A4" w:rsidRPr="0035683A">
          <w:rPr>
            <w:rStyle w:val="Hipervnculo"/>
            <w:rFonts w:eastAsiaTheme="majorEastAsia"/>
            <w:noProof/>
            <w:sz w:val="22"/>
            <w:szCs w:val="22"/>
            <w:lang w:val="es-MX"/>
          </w:rPr>
          <w:t>Indicadores económicos seleccionados para la Zona del Euro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_Toc143870674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9</w:t>
        </w:r>
        <w:r w:rsidR="009E47A4" w:rsidRPr="0035683A">
          <w:rPr>
            <w:noProof/>
            <w:webHidden/>
            <w:sz w:val="22"/>
            <w:szCs w:val="22"/>
          </w:rPr>
          <w:fldChar w:fldCharType="end"/>
        </w:r>
      </w:hyperlink>
    </w:p>
    <w:p w14:paraId="5167B96E" w14:textId="45A2B5EA"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75" w:history="1">
        <w:r w:rsidR="009E47A4" w:rsidRPr="0035683A">
          <w:rPr>
            <w:rStyle w:val="Hipervnculo"/>
            <w:rFonts w:eastAsiaTheme="majorEastAsia"/>
            <w:noProof/>
            <w:sz w:val="22"/>
            <w:szCs w:val="22"/>
          </w:rPr>
          <w:t>Gráfico 8.  Precio spot del crudo WTI</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_Toc143870675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9</w:t>
        </w:r>
        <w:r w:rsidR="009E47A4" w:rsidRPr="0035683A">
          <w:rPr>
            <w:noProof/>
            <w:webHidden/>
            <w:sz w:val="22"/>
            <w:szCs w:val="22"/>
          </w:rPr>
          <w:fldChar w:fldCharType="end"/>
        </w:r>
      </w:hyperlink>
    </w:p>
    <w:p w14:paraId="13419BE3" w14:textId="708CEBAC"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76" w:history="1">
        <w:r w:rsidR="009E47A4" w:rsidRPr="0035683A">
          <w:rPr>
            <w:rStyle w:val="Hipervnculo"/>
            <w:rFonts w:eastAsiaTheme="majorEastAsia"/>
            <w:noProof/>
            <w:sz w:val="22"/>
            <w:szCs w:val="22"/>
          </w:rPr>
          <w:t>Gráfico 9.  Precio de futuros de maíz y trigo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_Toc143870676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9</w:t>
        </w:r>
        <w:r w:rsidR="009E47A4" w:rsidRPr="0035683A">
          <w:rPr>
            <w:noProof/>
            <w:webHidden/>
            <w:sz w:val="22"/>
            <w:szCs w:val="22"/>
          </w:rPr>
          <w:fldChar w:fldCharType="end"/>
        </w:r>
      </w:hyperlink>
    </w:p>
    <w:p w14:paraId="57060EA8" w14:textId="75C1EE52"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77" w:history="1">
        <w:r w:rsidR="009E47A4" w:rsidRPr="0035683A">
          <w:rPr>
            <w:rStyle w:val="Hipervnculo"/>
            <w:rFonts w:eastAsiaTheme="majorEastAsia"/>
            <w:noProof/>
            <w:sz w:val="22"/>
            <w:szCs w:val="22"/>
          </w:rPr>
          <w:t xml:space="preserve">Gráfico 10.  </w:t>
        </w:r>
        <w:r w:rsidR="009E47A4" w:rsidRPr="0035683A">
          <w:rPr>
            <w:rStyle w:val="Hipervnculo"/>
            <w:rFonts w:eastAsia="AGaramondPro-Regular"/>
            <w:noProof/>
            <w:sz w:val="22"/>
            <w:szCs w:val="22"/>
          </w:rPr>
          <w:t>Pronóstico del precio del barril de crudo de petróleo WTI.</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_Toc143870677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14</w:t>
        </w:r>
        <w:r w:rsidR="009E47A4" w:rsidRPr="0035683A">
          <w:rPr>
            <w:noProof/>
            <w:webHidden/>
            <w:sz w:val="22"/>
            <w:szCs w:val="22"/>
          </w:rPr>
          <w:fldChar w:fldCharType="end"/>
        </w:r>
      </w:hyperlink>
    </w:p>
    <w:p w14:paraId="1E6D2FE8" w14:textId="6743AFAD"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78" w:history="1">
        <w:r w:rsidR="009E47A4" w:rsidRPr="0035683A">
          <w:rPr>
            <w:rStyle w:val="Hipervnculo"/>
            <w:rFonts w:eastAsiaTheme="majorEastAsia"/>
            <w:noProof/>
            <w:sz w:val="22"/>
            <w:szCs w:val="22"/>
          </w:rPr>
          <w:t xml:space="preserve">Gráfico 11.  </w:t>
        </w:r>
        <w:r w:rsidR="009E47A4" w:rsidRPr="0035683A">
          <w:rPr>
            <w:rStyle w:val="Hipervnculo"/>
            <w:rFonts w:eastAsia="AGaramondPro-Regular"/>
            <w:noProof/>
            <w:sz w:val="22"/>
            <w:szCs w:val="22"/>
          </w:rPr>
          <w:t>Pronóstico de la variación interanual de los índices de precios del Banco Mundial</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_Toc143870678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14</w:t>
        </w:r>
        <w:r w:rsidR="009E47A4" w:rsidRPr="0035683A">
          <w:rPr>
            <w:noProof/>
            <w:webHidden/>
            <w:sz w:val="22"/>
            <w:szCs w:val="22"/>
          </w:rPr>
          <w:fldChar w:fldCharType="end"/>
        </w:r>
      </w:hyperlink>
    </w:p>
    <w:p w14:paraId="5DD387D5" w14:textId="5C2B6ABB"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79" w:history="1">
        <w:r w:rsidR="009E47A4" w:rsidRPr="0035683A">
          <w:rPr>
            <w:rStyle w:val="Hipervnculo"/>
            <w:rFonts w:eastAsiaTheme="majorEastAsia"/>
            <w:noProof/>
            <w:sz w:val="22"/>
            <w:szCs w:val="22"/>
          </w:rPr>
          <w:t>Gráfico 12.  Contribución al crecimiento económico por el enfoque del gasto en 2022</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_Toc143870679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15</w:t>
        </w:r>
        <w:r w:rsidR="009E47A4" w:rsidRPr="0035683A">
          <w:rPr>
            <w:noProof/>
            <w:webHidden/>
            <w:sz w:val="22"/>
            <w:szCs w:val="22"/>
          </w:rPr>
          <w:fldChar w:fldCharType="end"/>
        </w:r>
      </w:hyperlink>
    </w:p>
    <w:p w14:paraId="170EEB32" w14:textId="0CE889EC"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80" w:history="1">
        <w:r w:rsidR="009E47A4" w:rsidRPr="0035683A">
          <w:rPr>
            <w:rStyle w:val="Hipervnculo"/>
            <w:rFonts w:eastAsiaTheme="majorEastAsia"/>
            <w:noProof/>
            <w:sz w:val="22"/>
            <w:szCs w:val="22"/>
          </w:rPr>
          <w:t>Gráfico 13.  Índices de rigor y de movilidad durante la pandemia de 2020 a 2022</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_Toc143870680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17</w:t>
        </w:r>
        <w:r w:rsidR="009E47A4" w:rsidRPr="0035683A">
          <w:rPr>
            <w:noProof/>
            <w:webHidden/>
            <w:sz w:val="22"/>
            <w:szCs w:val="22"/>
          </w:rPr>
          <w:fldChar w:fldCharType="end"/>
        </w:r>
      </w:hyperlink>
    </w:p>
    <w:p w14:paraId="32619776" w14:textId="258A3EA0"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81" w:history="1">
        <w:r w:rsidR="009E47A4" w:rsidRPr="0035683A">
          <w:rPr>
            <w:rStyle w:val="Hipervnculo"/>
            <w:rFonts w:eastAsiaTheme="majorEastAsia"/>
            <w:noProof/>
            <w:sz w:val="22"/>
            <w:szCs w:val="22"/>
          </w:rPr>
          <w:t>Gráfico 14.  Inflación y tasa interanual de los deflactores del PIB</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_Toc143870681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18</w:t>
        </w:r>
        <w:r w:rsidR="009E47A4" w:rsidRPr="0035683A">
          <w:rPr>
            <w:noProof/>
            <w:webHidden/>
            <w:sz w:val="22"/>
            <w:szCs w:val="22"/>
          </w:rPr>
          <w:fldChar w:fldCharType="end"/>
        </w:r>
      </w:hyperlink>
    </w:p>
    <w:p w14:paraId="64FC497B" w14:textId="3901983E"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82" w:history="1">
        <w:r w:rsidR="009E47A4" w:rsidRPr="0035683A">
          <w:rPr>
            <w:rStyle w:val="Hipervnculo"/>
            <w:rFonts w:eastAsiaTheme="majorEastAsia"/>
            <w:noProof/>
            <w:sz w:val="22"/>
            <w:szCs w:val="22"/>
          </w:rPr>
          <w:t>Gráfico 15.  Desempleo y afiliados al IGSS</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_Toc143870682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18</w:t>
        </w:r>
        <w:r w:rsidR="009E47A4" w:rsidRPr="0035683A">
          <w:rPr>
            <w:noProof/>
            <w:webHidden/>
            <w:sz w:val="22"/>
            <w:szCs w:val="22"/>
          </w:rPr>
          <w:fldChar w:fldCharType="end"/>
        </w:r>
      </w:hyperlink>
    </w:p>
    <w:p w14:paraId="3D9BD5B1" w14:textId="0FFC6FBB"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83" w:history="1">
        <w:r w:rsidR="009E47A4" w:rsidRPr="0035683A">
          <w:rPr>
            <w:rStyle w:val="Hipervnculo"/>
            <w:rFonts w:eastAsiaTheme="majorEastAsia"/>
            <w:noProof/>
            <w:sz w:val="22"/>
            <w:szCs w:val="22"/>
          </w:rPr>
          <w:t>Gráfico 16.  Coeficiente de preferencia de liquidez y contribución al crecimiento de los medios de pago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_Toc143870683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19</w:t>
        </w:r>
        <w:r w:rsidR="009E47A4" w:rsidRPr="0035683A">
          <w:rPr>
            <w:noProof/>
            <w:webHidden/>
            <w:sz w:val="22"/>
            <w:szCs w:val="22"/>
          </w:rPr>
          <w:fldChar w:fldCharType="end"/>
        </w:r>
      </w:hyperlink>
    </w:p>
    <w:p w14:paraId="1E61B142" w14:textId="4321ABAF"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84" w:history="1">
        <w:r w:rsidR="009E47A4" w:rsidRPr="0035683A">
          <w:rPr>
            <w:rStyle w:val="Hipervnculo"/>
            <w:rFonts w:eastAsiaTheme="majorEastAsia"/>
            <w:noProof/>
            <w:sz w:val="22"/>
            <w:szCs w:val="22"/>
          </w:rPr>
          <w:t>Gráfico 17.  Crecimiento interanual del crédito del sistema bancario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_Toc143870684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20</w:t>
        </w:r>
        <w:r w:rsidR="009E47A4" w:rsidRPr="0035683A">
          <w:rPr>
            <w:noProof/>
            <w:webHidden/>
            <w:sz w:val="22"/>
            <w:szCs w:val="22"/>
          </w:rPr>
          <w:fldChar w:fldCharType="end"/>
        </w:r>
      </w:hyperlink>
    </w:p>
    <w:p w14:paraId="24D9EF2B" w14:textId="6A9280E5"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85" w:history="1">
        <w:r w:rsidR="009E47A4" w:rsidRPr="0035683A">
          <w:rPr>
            <w:rStyle w:val="Hipervnculo"/>
            <w:rFonts w:eastAsiaTheme="majorEastAsia"/>
            <w:noProof/>
            <w:sz w:val="22"/>
            <w:szCs w:val="22"/>
          </w:rPr>
          <w:t>Gráfico 18.  Tasa Líder</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_Toc143870685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21</w:t>
        </w:r>
        <w:r w:rsidR="009E47A4" w:rsidRPr="0035683A">
          <w:rPr>
            <w:noProof/>
            <w:webHidden/>
            <w:sz w:val="22"/>
            <w:szCs w:val="22"/>
          </w:rPr>
          <w:fldChar w:fldCharType="end"/>
        </w:r>
      </w:hyperlink>
    </w:p>
    <w:p w14:paraId="57B91551" w14:textId="52835348"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86" w:history="1">
        <w:r w:rsidR="009E47A4" w:rsidRPr="0035683A">
          <w:rPr>
            <w:rStyle w:val="Hipervnculo"/>
            <w:rFonts w:eastAsiaTheme="majorEastAsia"/>
            <w:noProof/>
            <w:sz w:val="22"/>
            <w:szCs w:val="22"/>
          </w:rPr>
          <w:t>Gráfico 19.  Tasa activa y pasiva promedio ponderado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_Toc143870686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21</w:t>
        </w:r>
        <w:r w:rsidR="009E47A4" w:rsidRPr="0035683A">
          <w:rPr>
            <w:noProof/>
            <w:webHidden/>
            <w:sz w:val="22"/>
            <w:szCs w:val="22"/>
          </w:rPr>
          <w:fldChar w:fldCharType="end"/>
        </w:r>
      </w:hyperlink>
    </w:p>
    <w:p w14:paraId="7273B650" w14:textId="21F94C4F"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87" w:history="1">
        <w:r w:rsidR="009E47A4" w:rsidRPr="0035683A">
          <w:rPr>
            <w:rStyle w:val="Hipervnculo"/>
            <w:rFonts w:eastAsiaTheme="majorEastAsia"/>
            <w:noProof/>
            <w:sz w:val="22"/>
            <w:szCs w:val="22"/>
          </w:rPr>
          <w:t>Gráfico 20.  Cuenta corriente de la balanza de pagos</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_Toc143870687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22</w:t>
        </w:r>
        <w:r w:rsidR="009E47A4" w:rsidRPr="0035683A">
          <w:rPr>
            <w:noProof/>
            <w:webHidden/>
            <w:sz w:val="22"/>
            <w:szCs w:val="22"/>
          </w:rPr>
          <w:fldChar w:fldCharType="end"/>
        </w:r>
      </w:hyperlink>
    </w:p>
    <w:p w14:paraId="5C261EDC" w14:textId="05B419A0"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88" w:history="1">
        <w:r w:rsidR="009E47A4" w:rsidRPr="0035683A">
          <w:rPr>
            <w:rStyle w:val="Hipervnculo"/>
            <w:rFonts w:eastAsiaTheme="majorEastAsia"/>
            <w:noProof/>
            <w:sz w:val="22"/>
            <w:szCs w:val="22"/>
          </w:rPr>
          <w:t>Gráfico 21. Términos de intercambio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_Toc143870688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22</w:t>
        </w:r>
        <w:r w:rsidR="009E47A4" w:rsidRPr="0035683A">
          <w:rPr>
            <w:noProof/>
            <w:webHidden/>
            <w:sz w:val="22"/>
            <w:szCs w:val="22"/>
          </w:rPr>
          <w:fldChar w:fldCharType="end"/>
        </w:r>
      </w:hyperlink>
    </w:p>
    <w:p w14:paraId="3D7ACB3E" w14:textId="02EFC961"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89" w:history="1">
        <w:r w:rsidR="009E47A4" w:rsidRPr="0035683A">
          <w:rPr>
            <w:rStyle w:val="Hipervnculo"/>
            <w:rFonts w:eastAsiaTheme="majorEastAsia"/>
            <w:noProof/>
            <w:sz w:val="22"/>
            <w:szCs w:val="22"/>
          </w:rPr>
          <w:t>Gráfico 22.  Exportaciones FOB de comercio exterior en 2022</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_Toc143870689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23</w:t>
        </w:r>
        <w:r w:rsidR="009E47A4" w:rsidRPr="0035683A">
          <w:rPr>
            <w:noProof/>
            <w:webHidden/>
            <w:sz w:val="22"/>
            <w:szCs w:val="22"/>
          </w:rPr>
          <w:fldChar w:fldCharType="end"/>
        </w:r>
      </w:hyperlink>
    </w:p>
    <w:p w14:paraId="2AD3E3E3" w14:textId="48D03B7C"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90" w:history="1">
        <w:r w:rsidR="009E47A4" w:rsidRPr="0035683A">
          <w:rPr>
            <w:rStyle w:val="Hipervnculo"/>
            <w:rFonts w:eastAsiaTheme="majorEastAsia"/>
            <w:noProof/>
            <w:sz w:val="22"/>
            <w:szCs w:val="22"/>
          </w:rPr>
          <w:t>Gráfico 23.  Importaciones FOB de comercio exterior en 2022</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_Toc143870690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24</w:t>
        </w:r>
        <w:r w:rsidR="009E47A4" w:rsidRPr="0035683A">
          <w:rPr>
            <w:noProof/>
            <w:webHidden/>
            <w:sz w:val="22"/>
            <w:szCs w:val="22"/>
          </w:rPr>
          <w:fldChar w:fldCharType="end"/>
        </w:r>
      </w:hyperlink>
    </w:p>
    <w:p w14:paraId="1DDA578E" w14:textId="0E87A1C8"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91" w:history="1">
        <w:r w:rsidR="009E47A4" w:rsidRPr="0035683A">
          <w:rPr>
            <w:rStyle w:val="Hipervnculo"/>
            <w:rFonts w:eastAsiaTheme="majorEastAsia"/>
            <w:noProof/>
            <w:sz w:val="22"/>
            <w:szCs w:val="22"/>
          </w:rPr>
          <w:t>Gráfico 24. Remesas familiares</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_Toc143870691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25</w:t>
        </w:r>
        <w:r w:rsidR="009E47A4" w:rsidRPr="0035683A">
          <w:rPr>
            <w:noProof/>
            <w:webHidden/>
            <w:sz w:val="22"/>
            <w:szCs w:val="22"/>
          </w:rPr>
          <w:fldChar w:fldCharType="end"/>
        </w:r>
      </w:hyperlink>
    </w:p>
    <w:p w14:paraId="5C5D9F20" w14:textId="7BEFE6EE"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92" w:history="1">
        <w:r w:rsidR="009E47A4" w:rsidRPr="0035683A">
          <w:rPr>
            <w:rStyle w:val="Hipervnculo"/>
            <w:rFonts w:eastAsiaTheme="majorEastAsia"/>
            <w:noProof/>
            <w:sz w:val="22"/>
            <w:szCs w:val="22"/>
          </w:rPr>
          <w:t>Gráfico 25.  Estructura porcentual de la inversión extranjera directa y Activos en Reserva</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_Toc143870692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25</w:t>
        </w:r>
        <w:r w:rsidR="009E47A4" w:rsidRPr="0035683A">
          <w:rPr>
            <w:noProof/>
            <w:webHidden/>
            <w:sz w:val="22"/>
            <w:szCs w:val="22"/>
          </w:rPr>
          <w:fldChar w:fldCharType="end"/>
        </w:r>
      </w:hyperlink>
    </w:p>
    <w:p w14:paraId="0EAE85D7" w14:textId="396DB833"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93" w:history="1">
        <w:r w:rsidR="009E47A4" w:rsidRPr="0035683A">
          <w:rPr>
            <w:rStyle w:val="Hipervnculo"/>
            <w:rFonts w:eastAsiaTheme="majorEastAsia"/>
            <w:noProof/>
            <w:sz w:val="22"/>
            <w:szCs w:val="22"/>
          </w:rPr>
          <w:t>Gráfico 26.  Posición de inversión internacional y deuda externa</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_Toc143870693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26</w:t>
        </w:r>
        <w:r w:rsidR="009E47A4" w:rsidRPr="0035683A">
          <w:rPr>
            <w:noProof/>
            <w:webHidden/>
            <w:sz w:val="22"/>
            <w:szCs w:val="22"/>
          </w:rPr>
          <w:fldChar w:fldCharType="end"/>
        </w:r>
      </w:hyperlink>
    </w:p>
    <w:p w14:paraId="58513C35" w14:textId="588C705E"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94" w:history="1">
        <w:r w:rsidR="009E47A4" w:rsidRPr="0035683A">
          <w:rPr>
            <w:rStyle w:val="Hipervnculo"/>
            <w:rFonts w:eastAsiaTheme="majorEastAsia"/>
            <w:noProof/>
            <w:sz w:val="22"/>
            <w:szCs w:val="22"/>
          </w:rPr>
          <w:t>Gráfico 27.  Tipo de cambio de referencia</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_Toc143870694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27</w:t>
        </w:r>
        <w:r w:rsidR="009E47A4" w:rsidRPr="0035683A">
          <w:rPr>
            <w:noProof/>
            <w:webHidden/>
            <w:sz w:val="22"/>
            <w:szCs w:val="22"/>
          </w:rPr>
          <w:fldChar w:fldCharType="end"/>
        </w:r>
      </w:hyperlink>
    </w:p>
    <w:p w14:paraId="3F7F9273" w14:textId="3A4F48BA"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95" w:history="1">
        <w:r w:rsidR="009E47A4" w:rsidRPr="0035683A">
          <w:rPr>
            <w:rStyle w:val="Hipervnculo"/>
            <w:rFonts w:eastAsiaTheme="majorEastAsia"/>
            <w:noProof/>
            <w:sz w:val="22"/>
            <w:szCs w:val="22"/>
            <w:lang w:eastAsia="en-US"/>
          </w:rPr>
          <w:t>Gráfico 28</w:t>
        </w:r>
        <w:r w:rsidR="009E47A4" w:rsidRPr="0035683A">
          <w:rPr>
            <w:rStyle w:val="Hipervnculo"/>
            <w:rFonts w:eastAsiaTheme="majorEastAsia"/>
            <w:i/>
            <w:iCs/>
            <w:noProof/>
            <w:sz w:val="22"/>
            <w:szCs w:val="22"/>
            <w:lang w:eastAsia="en-US"/>
          </w:rPr>
          <w:t xml:space="preserve">. </w:t>
        </w:r>
        <w:r w:rsidR="009E47A4" w:rsidRPr="0035683A">
          <w:rPr>
            <w:rStyle w:val="Hipervnculo"/>
            <w:rFonts w:eastAsiaTheme="majorEastAsia"/>
            <w:noProof/>
            <w:sz w:val="22"/>
            <w:szCs w:val="22"/>
            <w:lang w:eastAsia="en-US"/>
          </w:rPr>
          <w:t>Índice de tipo de cambio real</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_Toc143870695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28</w:t>
        </w:r>
        <w:r w:rsidR="009E47A4" w:rsidRPr="0035683A">
          <w:rPr>
            <w:noProof/>
            <w:webHidden/>
            <w:sz w:val="22"/>
            <w:szCs w:val="22"/>
          </w:rPr>
          <w:fldChar w:fldCharType="end"/>
        </w:r>
      </w:hyperlink>
    </w:p>
    <w:p w14:paraId="1C220D69" w14:textId="0BD0F5D0"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96" w:history="1">
        <w:r w:rsidR="009E47A4" w:rsidRPr="0035683A">
          <w:rPr>
            <w:rStyle w:val="Hipervnculo"/>
            <w:rFonts w:eastAsiaTheme="majorEastAsia"/>
            <w:noProof/>
            <w:sz w:val="22"/>
            <w:szCs w:val="22"/>
          </w:rPr>
          <w:t>Gráfico 29. Índice Mensual de la Actividad Económica y demanda de energía</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_Toc143870696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29</w:t>
        </w:r>
        <w:r w:rsidR="009E47A4" w:rsidRPr="0035683A">
          <w:rPr>
            <w:noProof/>
            <w:webHidden/>
            <w:sz w:val="22"/>
            <w:szCs w:val="22"/>
          </w:rPr>
          <w:fldChar w:fldCharType="end"/>
        </w:r>
      </w:hyperlink>
    </w:p>
    <w:p w14:paraId="6169417F" w14:textId="54B9096A"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97" w:history="1">
        <w:r w:rsidR="009E47A4" w:rsidRPr="0035683A">
          <w:rPr>
            <w:rStyle w:val="Hipervnculo"/>
            <w:rFonts w:eastAsiaTheme="majorEastAsia"/>
            <w:noProof/>
            <w:sz w:val="22"/>
            <w:szCs w:val="22"/>
          </w:rPr>
          <w:t>Gráfico 30.  Índice de Confianza Económica</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_Toc143870697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29</w:t>
        </w:r>
        <w:r w:rsidR="009E47A4" w:rsidRPr="0035683A">
          <w:rPr>
            <w:noProof/>
            <w:webHidden/>
            <w:sz w:val="22"/>
            <w:szCs w:val="22"/>
          </w:rPr>
          <w:fldChar w:fldCharType="end"/>
        </w:r>
      </w:hyperlink>
    </w:p>
    <w:p w14:paraId="1E028280" w14:textId="12E0882B"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98" w:history="1">
        <w:r w:rsidR="009E47A4" w:rsidRPr="0035683A">
          <w:rPr>
            <w:rStyle w:val="Hipervnculo"/>
            <w:rFonts w:eastAsiaTheme="majorEastAsia"/>
            <w:noProof/>
            <w:sz w:val="22"/>
            <w:szCs w:val="22"/>
          </w:rPr>
          <w:t>Gráfico 31.  Proyecciones del PIB por el enfoque del gasto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_Toc143870698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30</w:t>
        </w:r>
        <w:r w:rsidR="009E47A4" w:rsidRPr="0035683A">
          <w:rPr>
            <w:noProof/>
            <w:webHidden/>
            <w:sz w:val="22"/>
            <w:szCs w:val="22"/>
          </w:rPr>
          <w:fldChar w:fldCharType="end"/>
        </w:r>
      </w:hyperlink>
    </w:p>
    <w:p w14:paraId="6155286A" w14:textId="5766A78E"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699" w:history="1">
        <w:r w:rsidR="009E47A4" w:rsidRPr="0035683A">
          <w:rPr>
            <w:rStyle w:val="Hipervnculo"/>
            <w:rFonts w:eastAsiaTheme="majorEastAsia"/>
            <w:noProof/>
            <w:sz w:val="22"/>
            <w:szCs w:val="22"/>
          </w:rPr>
          <w:t>Gráfico 32.  Inflación</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_Toc143870699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32</w:t>
        </w:r>
        <w:r w:rsidR="009E47A4" w:rsidRPr="0035683A">
          <w:rPr>
            <w:noProof/>
            <w:webHidden/>
            <w:sz w:val="22"/>
            <w:szCs w:val="22"/>
          </w:rPr>
          <w:fldChar w:fldCharType="end"/>
        </w:r>
      </w:hyperlink>
    </w:p>
    <w:p w14:paraId="1AFC4207" w14:textId="0A3BD88A"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00" w:history="1">
        <w:r w:rsidR="009E47A4" w:rsidRPr="0035683A">
          <w:rPr>
            <w:rStyle w:val="Hipervnculo"/>
            <w:rFonts w:eastAsiaTheme="majorEastAsia"/>
            <w:noProof/>
            <w:sz w:val="22"/>
            <w:szCs w:val="22"/>
          </w:rPr>
          <w:t>Gráfico 33.  Inflación por división del gasto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_Toc143870700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32</w:t>
        </w:r>
        <w:r w:rsidR="009E47A4" w:rsidRPr="0035683A">
          <w:rPr>
            <w:noProof/>
            <w:webHidden/>
            <w:sz w:val="22"/>
            <w:szCs w:val="22"/>
          </w:rPr>
          <w:fldChar w:fldCharType="end"/>
        </w:r>
      </w:hyperlink>
    </w:p>
    <w:p w14:paraId="5A7DC003" w14:textId="4A89628F"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01" w:history="1">
        <w:r w:rsidR="009E47A4" w:rsidRPr="0035683A">
          <w:rPr>
            <w:rStyle w:val="Hipervnculo"/>
            <w:rFonts w:eastAsiaTheme="majorEastAsia"/>
            <w:noProof/>
            <w:sz w:val="22"/>
            <w:szCs w:val="22"/>
          </w:rPr>
          <w:t>Gráfico 34.  Crecimiento de la emisión monetaria</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_Toc143870701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33</w:t>
        </w:r>
        <w:r w:rsidR="009E47A4" w:rsidRPr="0035683A">
          <w:rPr>
            <w:noProof/>
            <w:webHidden/>
            <w:sz w:val="22"/>
            <w:szCs w:val="22"/>
          </w:rPr>
          <w:fldChar w:fldCharType="end"/>
        </w:r>
      </w:hyperlink>
    </w:p>
    <w:p w14:paraId="253C1925" w14:textId="1E74F327"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02" w:history="1">
        <w:r w:rsidR="009E47A4" w:rsidRPr="0035683A">
          <w:rPr>
            <w:rStyle w:val="Hipervnculo"/>
            <w:rFonts w:eastAsiaTheme="majorEastAsia"/>
            <w:noProof/>
            <w:sz w:val="22"/>
            <w:szCs w:val="22"/>
          </w:rPr>
          <w:t>Gráfico 35.  Crecimiento del crédito al sector privado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_Toc143870702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33</w:t>
        </w:r>
        <w:r w:rsidR="009E47A4" w:rsidRPr="0035683A">
          <w:rPr>
            <w:noProof/>
            <w:webHidden/>
            <w:sz w:val="22"/>
            <w:szCs w:val="22"/>
          </w:rPr>
          <w:fldChar w:fldCharType="end"/>
        </w:r>
      </w:hyperlink>
    </w:p>
    <w:p w14:paraId="0D9D630E" w14:textId="4119A5F7"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03" w:history="1">
        <w:r w:rsidR="009E47A4" w:rsidRPr="0035683A">
          <w:rPr>
            <w:rStyle w:val="Hipervnculo"/>
            <w:rFonts w:eastAsiaTheme="majorEastAsia"/>
            <w:noProof/>
            <w:sz w:val="22"/>
            <w:szCs w:val="22"/>
          </w:rPr>
          <w:t>Gráfico 36.  Crecimiento de los medios de pago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_Toc143870703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33</w:t>
        </w:r>
        <w:r w:rsidR="009E47A4" w:rsidRPr="0035683A">
          <w:rPr>
            <w:noProof/>
            <w:webHidden/>
            <w:sz w:val="22"/>
            <w:szCs w:val="22"/>
          </w:rPr>
          <w:fldChar w:fldCharType="end"/>
        </w:r>
      </w:hyperlink>
    </w:p>
    <w:p w14:paraId="69EDD5EB" w14:textId="09F3295C"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04" w:history="1">
        <w:r w:rsidR="009E47A4" w:rsidRPr="0035683A">
          <w:rPr>
            <w:rStyle w:val="Hipervnculo"/>
            <w:rFonts w:eastAsiaTheme="majorEastAsia"/>
            <w:noProof/>
            <w:sz w:val="22"/>
            <w:szCs w:val="22"/>
          </w:rPr>
          <w:t>Gráfico 37.  Tasas activa y pasiva en moneda nacional</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_Toc143870704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33</w:t>
        </w:r>
        <w:r w:rsidR="009E47A4" w:rsidRPr="0035683A">
          <w:rPr>
            <w:noProof/>
            <w:webHidden/>
            <w:sz w:val="22"/>
            <w:szCs w:val="22"/>
          </w:rPr>
          <w:fldChar w:fldCharType="end"/>
        </w:r>
      </w:hyperlink>
    </w:p>
    <w:p w14:paraId="64347D4C" w14:textId="516BC370"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05" w:history="1">
        <w:r w:rsidR="009E47A4" w:rsidRPr="0035683A">
          <w:rPr>
            <w:rStyle w:val="Hipervnculo"/>
            <w:rFonts w:eastAsiaTheme="majorEastAsia"/>
            <w:noProof/>
            <w:sz w:val="22"/>
            <w:szCs w:val="22"/>
          </w:rPr>
          <w:t>Gráfico 38.  Tasa líder</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_Toc143870705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34</w:t>
        </w:r>
        <w:r w:rsidR="009E47A4" w:rsidRPr="0035683A">
          <w:rPr>
            <w:noProof/>
            <w:webHidden/>
            <w:sz w:val="22"/>
            <w:szCs w:val="22"/>
          </w:rPr>
          <w:fldChar w:fldCharType="end"/>
        </w:r>
      </w:hyperlink>
    </w:p>
    <w:p w14:paraId="4CB7C026" w14:textId="550B1BA3"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06" w:history="1">
        <w:r w:rsidR="009E47A4" w:rsidRPr="0035683A">
          <w:rPr>
            <w:rStyle w:val="Hipervnculo"/>
            <w:rFonts w:eastAsiaTheme="majorEastAsia"/>
            <w:noProof/>
            <w:sz w:val="22"/>
            <w:szCs w:val="22"/>
          </w:rPr>
          <w:t>Gráfico 39.  Pronóstico de crecimiento de las principales variables monetarias de 2023</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_Toc143870706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34</w:t>
        </w:r>
        <w:r w:rsidR="009E47A4" w:rsidRPr="0035683A">
          <w:rPr>
            <w:noProof/>
            <w:webHidden/>
            <w:sz w:val="22"/>
            <w:szCs w:val="22"/>
          </w:rPr>
          <w:fldChar w:fldCharType="end"/>
        </w:r>
      </w:hyperlink>
    </w:p>
    <w:p w14:paraId="40534F17" w14:textId="1D71CCC5"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07" w:history="1">
        <w:r w:rsidR="009E47A4" w:rsidRPr="0035683A">
          <w:rPr>
            <w:rStyle w:val="Hipervnculo"/>
            <w:rFonts w:eastAsiaTheme="majorEastAsia"/>
            <w:noProof/>
            <w:sz w:val="22"/>
            <w:szCs w:val="22"/>
          </w:rPr>
          <w:t>Gráfico 40.  Diagrama de Pareto para las exportaciones e importaciones de comercio exterior</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_Toc143870707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35</w:t>
        </w:r>
        <w:r w:rsidR="009E47A4" w:rsidRPr="0035683A">
          <w:rPr>
            <w:noProof/>
            <w:webHidden/>
            <w:sz w:val="22"/>
            <w:szCs w:val="22"/>
          </w:rPr>
          <w:fldChar w:fldCharType="end"/>
        </w:r>
      </w:hyperlink>
    </w:p>
    <w:p w14:paraId="570E04AA" w14:textId="15A4E397"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08" w:history="1">
        <w:r w:rsidR="009E47A4" w:rsidRPr="0035683A">
          <w:rPr>
            <w:rStyle w:val="Hipervnculo"/>
            <w:rFonts w:eastAsiaTheme="majorEastAsia"/>
            <w:noProof/>
            <w:sz w:val="22"/>
            <w:szCs w:val="22"/>
          </w:rPr>
          <w:t>Gráfico 41.  Pronóstico de la tasa de crecimiento de las principales variables del sector externo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_Toc143870708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36</w:t>
        </w:r>
        <w:r w:rsidR="009E47A4" w:rsidRPr="0035683A">
          <w:rPr>
            <w:noProof/>
            <w:webHidden/>
            <w:sz w:val="22"/>
            <w:szCs w:val="22"/>
          </w:rPr>
          <w:fldChar w:fldCharType="end"/>
        </w:r>
      </w:hyperlink>
    </w:p>
    <w:p w14:paraId="4FD5C965" w14:textId="4F348DDE"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09" w:history="1">
        <w:r w:rsidR="009E47A4" w:rsidRPr="0035683A">
          <w:rPr>
            <w:rStyle w:val="Hipervnculo"/>
            <w:rFonts w:eastAsiaTheme="majorEastAsia"/>
            <w:noProof/>
            <w:sz w:val="22"/>
            <w:szCs w:val="22"/>
          </w:rPr>
          <w:t>Gráfico 42.  Tipo de cambio de referencia</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_Toc143870709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36</w:t>
        </w:r>
        <w:r w:rsidR="009E47A4" w:rsidRPr="0035683A">
          <w:rPr>
            <w:noProof/>
            <w:webHidden/>
            <w:sz w:val="22"/>
            <w:szCs w:val="22"/>
          </w:rPr>
          <w:fldChar w:fldCharType="end"/>
        </w:r>
      </w:hyperlink>
    </w:p>
    <w:p w14:paraId="579C0726" w14:textId="00CD3DD0"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10" w:history="1">
        <w:r w:rsidR="009E47A4" w:rsidRPr="0035683A">
          <w:rPr>
            <w:rStyle w:val="Hipervnculo"/>
            <w:rFonts w:eastAsiaTheme="majorEastAsia"/>
            <w:noProof/>
            <w:sz w:val="22"/>
            <w:szCs w:val="22"/>
          </w:rPr>
          <w:t>Gráfico 43.  Crecimiento económico internacional de mediano plazo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_Toc143870710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38</w:t>
        </w:r>
        <w:r w:rsidR="009E47A4" w:rsidRPr="0035683A">
          <w:rPr>
            <w:noProof/>
            <w:webHidden/>
            <w:sz w:val="22"/>
            <w:szCs w:val="22"/>
          </w:rPr>
          <w:fldChar w:fldCharType="end"/>
        </w:r>
      </w:hyperlink>
    </w:p>
    <w:p w14:paraId="17CB2662" w14:textId="2779F6FB"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11" w:history="1">
        <w:r w:rsidR="009E47A4" w:rsidRPr="0035683A">
          <w:rPr>
            <w:rStyle w:val="Hipervnculo"/>
            <w:rFonts w:eastAsiaTheme="majorEastAsia"/>
            <w:noProof/>
            <w:sz w:val="22"/>
            <w:szCs w:val="22"/>
          </w:rPr>
          <w:t>Gráfico 44.  Inflación externa de mediano plazo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_Toc143870711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39</w:t>
        </w:r>
        <w:r w:rsidR="009E47A4" w:rsidRPr="0035683A">
          <w:rPr>
            <w:noProof/>
            <w:webHidden/>
            <w:sz w:val="22"/>
            <w:szCs w:val="22"/>
          </w:rPr>
          <w:fldChar w:fldCharType="end"/>
        </w:r>
      </w:hyperlink>
    </w:p>
    <w:p w14:paraId="678C2E74" w14:textId="09B5A3A9"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12" w:history="1">
        <w:r w:rsidR="009E47A4" w:rsidRPr="0035683A">
          <w:rPr>
            <w:rStyle w:val="Hipervnculo"/>
            <w:rFonts w:eastAsiaTheme="majorEastAsia"/>
            <w:noProof/>
            <w:sz w:val="22"/>
            <w:szCs w:val="22"/>
          </w:rPr>
          <w:t>Gráfico 45.  Proyecciones de crecimiento para Guatemala del FMI y Banco Mundial</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_Toc143870712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40</w:t>
        </w:r>
        <w:r w:rsidR="009E47A4" w:rsidRPr="0035683A">
          <w:rPr>
            <w:noProof/>
            <w:webHidden/>
            <w:sz w:val="22"/>
            <w:szCs w:val="22"/>
          </w:rPr>
          <w:fldChar w:fldCharType="end"/>
        </w:r>
      </w:hyperlink>
    </w:p>
    <w:p w14:paraId="07DF0278" w14:textId="75F86199"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13" w:history="1">
        <w:r w:rsidR="009E47A4" w:rsidRPr="0035683A">
          <w:rPr>
            <w:rStyle w:val="Hipervnculo"/>
            <w:rFonts w:eastAsiaTheme="majorEastAsia"/>
            <w:noProof/>
            <w:sz w:val="22"/>
            <w:szCs w:val="22"/>
          </w:rPr>
          <w:t xml:space="preserve">Gráfico 46.  </w:t>
        </w:r>
        <w:r w:rsidR="009E47A4" w:rsidRPr="0035683A">
          <w:rPr>
            <w:rStyle w:val="Hipervnculo"/>
            <w:rFonts w:eastAsiaTheme="majorEastAsia"/>
            <w:noProof/>
            <w:sz w:val="22"/>
            <w:szCs w:val="22"/>
            <w:lang w:val="es-MX"/>
          </w:rPr>
          <w:t>Proyección del tipo de cambio de referencia</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_Toc143870713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42</w:t>
        </w:r>
        <w:r w:rsidR="009E47A4" w:rsidRPr="0035683A">
          <w:rPr>
            <w:noProof/>
            <w:webHidden/>
            <w:sz w:val="22"/>
            <w:szCs w:val="22"/>
          </w:rPr>
          <w:fldChar w:fldCharType="end"/>
        </w:r>
      </w:hyperlink>
    </w:p>
    <w:p w14:paraId="116E5F68" w14:textId="2B211187"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14" w:history="1">
        <w:r w:rsidR="009E47A4" w:rsidRPr="0035683A">
          <w:rPr>
            <w:rStyle w:val="Hipervnculo"/>
            <w:rFonts w:eastAsiaTheme="majorEastAsia"/>
            <w:noProof/>
            <w:sz w:val="22"/>
            <w:szCs w:val="22"/>
          </w:rPr>
          <w:t>Gráfico 47</w:t>
        </w:r>
        <w:r w:rsidR="009E47A4" w:rsidRPr="0035683A">
          <w:rPr>
            <w:rStyle w:val="Hipervnculo"/>
            <w:rFonts w:eastAsiaTheme="majorEastAsia"/>
            <w:i/>
            <w:iCs/>
            <w:noProof/>
            <w:sz w:val="22"/>
            <w:szCs w:val="22"/>
          </w:rPr>
          <w:t xml:space="preserve">. </w:t>
        </w:r>
        <w:r w:rsidR="009E47A4" w:rsidRPr="0035683A">
          <w:rPr>
            <w:rStyle w:val="Hipervnculo"/>
            <w:rFonts w:eastAsiaTheme="majorEastAsia"/>
            <w:noProof/>
            <w:sz w:val="22"/>
            <w:szCs w:val="22"/>
          </w:rPr>
          <w:t>PIB: resultados históricos e incertidumbre en torno a los pronósticos actuales</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_Toc143870714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44</w:t>
        </w:r>
        <w:r w:rsidR="009E47A4" w:rsidRPr="0035683A">
          <w:rPr>
            <w:noProof/>
            <w:webHidden/>
            <w:sz w:val="22"/>
            <w:szCs w:val="22"/>
          </w:rPr>
          <w:fldChar w:fldCharType="end"/>
        </w:r>
      </w:hyperlink>
    </w:p>
    <w:p w14:paraId="524ED9E5" w14:textId="54CDEB5A"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15" w:history="1">
        <w:r w:rsidR="009E47A4" w:rsidRPr="0035683A">
          <w:rPr>
            <w:rStyle w:val="Hipervnculo"/>
            <w:rFonts w:eastAsiaTheme="majorEastAsia"/>
            <w:noProof/>
            <w:sz w:val="22"/>
            <w:szCs w:val="22"/>
          </w:rPr>
          <w:t>Gráfico 48</w:t>
        </w:r>
        <w:r w:rsidR="009E47A4" w:rsidRPr="0035683A">
          <w:rPr>
            <w:rStyle w:val="Hipervnculo"/>
            <w:rFonts w:eastAsiaTheme="majorEastAsia"/>
            <w:i/>
            <w:iCs/>
            <w:noProof/>
            <w:sz w:val="22"/>
            <w:szCs w:val="22"/>
          </w:rPr>
          <w:t xml:space="preserve">. </w:t>
        </w:r>
        <w:r w:rsidR="009E47A4" w:rsidRPr="0035683A">
          <w:rPr>
            <w:rStyle w:val="Hipervnculo"/>
            <w:rFonts w:eastAsiaTheme="majorEastAsia"/>
            <w:noProof/>
            <w:sz w:val="22"/>
            <w:szCs w:val="22"/>
          </w:rPr>
          <w:t>Resultados históricos e incertidumbre en torno a los pronósticos actuales del PIB nominal</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_Toc143870715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45</w:t>
        </w:r>
        <w:r w:rsidR="009E47A4" w:rsidRPr="0035683A">
          <w:rPr>
            <w:noProof/>
            <w:webHidden/>
            <w:sz w:val="22"/>
            <w:szCs w:val="22"/>
          </w:rPr>
          <w:fldChar w:fldCharType="end"/>
        </w:r>
      </w:hyperlink>
    </w:p>
    <w:p w14:paraId="3609FA1D" w14:textId="4C86873F"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16" w:history="1">
        <w:r w:rsidR="009E47A4" w:rsidRPr="0035683A">
          <w:rPr>
            <w:rStyle w:val="Hipervnculo"/>
            <w:rFonts w:eastAsiaTheme="majorEastAsia"/>
            <w:noProof/>
            <w:sz w:val="22"/>
            <w:szCs w:val="22"/>
          </w:rPr>
          <w:t>Gráfico 49</w:t>
        </w:r>
        <w:r w:rsidR="009E47A4" w:rsidRPr="0035683A">
          <w:rPr>
            <w:rStyle w:val="Hipervnculo"/>
            <w:rFonts w:eastAsiaTheme="majorEastAsia"/>
            <w:i/>
            <w:iCs/>
            <w:noProof/>
            <w:sz w:val="22"/>
            <w:szCs w:val="22"/>
          </w:rPr>
          <w:t xml:space="preserve">. </w:t>
        </w:r>
        <w:r w:rsidR="009E47A4" w:rsidRPr="0035683A">
          <w:rPr>
            <w:rStyle w:val="Hipervnculo"/>
            <w:rFonts w:eastAsiaTheme="majorEastAsia"/>
            <w:noProof/>
            <w:sz w:val="22"/>
            <w:szCs w:val="22"/>
          </w:rPr>
          <w:t>Resultados históricos en torno a los pronósticos actuales de las importaciones y exportaciones</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_Toc143870716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45</w:t>
        </w:r>
        <w:r w:rsidR="009E47A4" w:rsidRPr="0035683A">
          <w:rPr>
            <w:noProof/>
            <w:webHidden/>
            <w:sz w:val="22"/>
            <w:szCs w:val="22"/>
          </w:rPr>
          <w:fldChar w:fldCharType="end"/>
        </w:r>
      </w:hyperlink>
    </w:p>
    <w:p w14:paraId="37CCEECC" w14:textId="5F60AB12"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17" w:history="1">
        <w:r w:rsidR="009E47A4" w:rsidRPr="0035683A">
          <w:rPr>
            <w:rStyle w:val="Hipervnculo"/>
            <w:rFonts w:eastAsiaTheme="majorEastAsia"/>
            <w:noProof/>
            <w:sz w:val="22"/>
            <w:szCs w:val="22"/>
          </w:rPr>
          <w:t>Gráfico 50</w:t>
        </w:r>
        <w:r w:rsidR="009E47A4" w:rsidRPr="0035683A">
          <w:rPr>
            <w:rStyle w:val="Hipervnculo"/>
            <w:rFonts w:eastAsiaTheme="majorEastAsia"/>
            <w:i/>
            <w:iCs/>
            <w:noProof/>
            <w:sz w:val="22"/>
            <w:szCs w:val="22"/>
          </w:rPr>
          <w:t xml:space="preserve">. </w:t>
        </w:r>
        <w:r w:rsidR="009E47A4" w:rsidRPr="0035683A">
          <w:rPr>
            <w:rStyle w:val="Hipervnculo"/>
            <w:rFonts w:eastAsiaTheme="majorEastAsia"/>
            <w:noProof/>
            <w:sz w:val="22"/>
            <w:szCs w:val="22"/>
          </w:rPr>
          <w:t>Variación interanual del IPC nacional y el índice global de materias prima</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_Toc143870717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46</w:t>
        </w:r>
        <w:r w:rsidR="009E47A4" w:rsidRPr="0035683A">
          <w:rPr>
            <w:noProof/>
            <w:webHidden/>
            <w:sz w:val="22"/>
            <w:szCs w:val="22"/>
          </w:rPr>
          <w:fldChar w:fldCharType="end"/>
        </w:r>
      </w:hyperlink>
    </w:p>
    <w:p w14:paraId="4BF1CDCB" w14:textId="1835114E"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18" w:history="1">
        <w:r w:rsidR="009E47A4" w:rsidRPr="0035683A">
          <w:rPr>
            <w:rStyle w:val="Hipervnculo"/>
            <w:rFonts w:eastAsiaTheme="majorEastAsia"/>
            <w:noProof/>
            <w:sz w:val="22"/>
            <w:szCs w:val="22"/>
          </w:rPr>
          <w:t>Gráfico 51</w:t>
        </w:r>
        <w:r w:rsidR="009E47A4" w:rsidRPr="0035683A">
          <w:rPr>
            <w:rStyle w:val="Hipervnculo"/>
            <w:rFonts w:eastAsiaTheme="majorEastAsia"/>
            <w:i/>
            <w:iCs/>
            <w:noProof/>
            <w:sz w:val="22"/>
            <w:szCs w:val="22"/>
          </w:rPr>
          <w:t xml:space="preserve">. </w:t>
        </w:r>
        <w:r w:rsidR="009E47A4" w:rsidRPr="0035683A">
          <w:rPr>
            <w:rStyle w:val="Hipervnculo"/>
            <w:rFonts w:eastAsiaTheme="majorEastAsia"/>
            <w:noProof/>
            <w:sz w:val="22"/>
            <w:szCs w:val="22"/>
          </w:rPr>
          <w:t>Impacto de la inflación ante un choque en los precios de las materias primas internacionales</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_Toc143870718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47</w:t>
        </w:r>
        <w:r w:rsidR="009E47A4" w:rsidRPr="0035683A">
          <w:rPr>
            <w:noProof/>
            <w:webHidden/>
            <w:sz w:val="22"/>
            <w:szCs w:val="22"/>
          </w:rPr>
          <w:fldChar w:fldCharType="end"/>
        </w:r>
      </w:hyperlink>
    </w:p>
    <w:p w14:paraId="1670BBBE" w14:textId="716CBC29"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19" w:history="1">
        <w:r w:rsidR="009E47A4" w:rsidRPr="0035683A">
          <w:rPr>
            <w:rStyle w:val="Hipervnculo"/>
            <w:rFonts w:eastAsiaTheme="majorEastAsia"/>
            <w:noProof/>
            <w:sz w:val="22"/>
            <w:szCs w:val="22"/>
          </w:rPr>
          <w:t>Gráfico 52.  Variación de la recaudación tributaria neta</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_Toc143870719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51</w:t>
        </w:r>
        <w:r w:rsidR="009E47A4" w:rsidRPr="0035683A">
          <w:rPr>
            <w:noProof/>
            <w:webHidden/>
            <w:sz w:val="22"/>
            <w:szCs w:val="22"/>
          </w:rPr>
          <w:fldChar w:fldCharType="end"/>
        </w:r>
      </w:hyperlink>
    </w:p>
    <w:p w14:paraId="7DDF1713" w14:textId="6094EA80"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20" w:history="1">
        <w:r w:rsidR="009E47A4" w:rsidRPr="0035683A">
          <w:rPr>
            <w:rStyle w:val="Hipervnculo"/>
            <w:rFonts w:eastAsiaTheme="majorEastAsia"/>
            <w:noProof/>
            <w:sz w:val="22"/>
            <w:szCs w:val="22"/>
          </w:rPr>
          <w:t>Gráfico 53.  Variación del Impuesto Sobre la Renta</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_Toc143870720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52</w:t>
        </w:r>
        <w:r w:rsidR="009E47A4" w:rsidRPr="0035683A">
          <w:rPr>
            <w:noProof/>
            <w:webHidden/>
            <w:sz w:val="22"/>
            <w:szCs w:val="22"/>
          </w:rPr>
          <w:fldChar w:fldCharType="end"/>
        </w:r>
      </w:hyperlink>
    </w:p>
    <w:p w14:paraId="728536CD" w14:textId="169F8EFB"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21" w:history="1">
        <w:r w:rsidR="009E47A4" w:rsidRPr="0035683A">
          <w:rPr>
            <w:rStyle w:val="Hipervnculo"/>
            <w:rFonts w:eastAsiaTheme="majorEastAsia"/>
            <w:noProof/>
            <w:sz w:val="22"/>
            <w:szCs w:val="22"/>
          </w:rPr>
          <w:t>Gráfico 54.  Brecha del impuesto al valor agregado respecto a presupuesto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_Toc143870721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52</w:t>
        </w:r>
        <w:r w:rsidR="009E47A4" w:rsidRPr="0035683A">
          <w:rPr>
            <w:noProof/>
            <w:webHidden/>
            <w:sz w:val="22"/>
            <w:szCs w:val="22"/>
          </w:rPr>
          <w:fldChar w:fldCharType="end"/>
        </w:r>
      </w:hyperlink>
    </w:p>
    <w:p w14:paraId="7B943CE5" w14:textId="78778FE3"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22" w:history="1">
        <w:r w:rsidR="009E47A4" w:rsidRPr="0035683A">
          <w:rPr>
            <w:rStyle w:val="Hipervnculo"/>
            <w:rFonts w:eastAsiaTheme="majorEastAsia"/>
            <w:noProof/>
            <w:sz w:val="22"/>
            <w:szCs w:val="22"/>
          </w:rPr>
          <w:t>Gráfico 55.  Precio del petróleo WTI</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_Toc143870722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53</w:t>
        </w:r>
        <w:r w:rsidR="009E47A4" w:rsidRPr="0035683A">
          <w:rPr>
            <w:noProof/>
            <w:webHidden/>
            <w:sz w:val="22"/>
            <w:szCs w:val="22"/>
          </w:rPr>
          <w:fldChar w:fldCharType="end"/>
        </w:r>
      </w:hyperlink>
    </w:p>
    <w:p w14:paraId="00F12916" w14:textId="7FF2130E"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23" w:history="1">
        <w:r w:rsidR="009E47A4" w:rsidRPr="0035683A">
          <w:rPr>
            <w:rStyle w:val="Hipervnculo"/>
            <w:rFonts w:eastAsiaTheme="majorEastAsia"/>
            <w:noProof/>
            <w:sz w:val="22"/>
            <w:szCs w:val="22"/>
          </w:rPr>
          <w:t>Gráfico 56. Carga tributaria</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_Toc143870723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54</w:t>
        </w:r>
        <w:r w:rsidR="009E47A4" w:rsidRPr="0035683A">
          <w:rPr>
            <w:noProof/>
            <w:webHidden/>
            <w:sz w:val="22"/>
            <w:szCs w:val="22"/>
          </w:rPr>
          <w:fldChar w:fldCharType="end"/>
        </w:r>
      </w:hyperlink>
    </w:p>
    <w:p w14:paraId="3EC1E944" w14:textId="0417AE9A"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24" w:history="1">
        <w:r w:rsidR="009E47A4" w:rsidRPr="0035683A">
          <w:rPr>
            <w:rStyle w:val="Hipervnculo"/>
            <w:rFonts w:eastAsiaTheme="majorEastAsia"/>
            <w:noProof/>
            <w:sz w:val="22"/>
            <w:szCs w:val="22"/>
          </w:rPr>
          <w:t>Gráfico 57.  Variación de la recaudación tributaria neta acumulada</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_Toc143870724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55</w:t>
        </w:r>
        <w:r w:rsidR="009E47A4" w:rsidRPr="0035683A">
          <w:rPr>
            <w:noProof/>
            <w:webHidden/>
            <w:sz w:val="22"/>
            <w:szCs w:val="22"/>
          </w:rPr>
          <w:fldChar w:fldCharType="end"/>
        </w:r>
      </w:hyperlink>
    </w:p>
    <w:p w14:paraId="301E98FE" w14:textId="49B4156A"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25" w:history="1">
        <w:r w:rsidR="009E47A4" w:rsidRPr="0035683A">
          <w:rPr>
            <w:rStyle w:val="Hipervnculo"/>
            <w:rFonts w:eastAsiaTheme="majorEastAsia"/>
            <w:noProof/>
            <w:sz w:val="22"/>
            <w:szCs w:val="22"/>
          </w:rPr>
          <w:t>Gráfico 58. Ritmo de ejecución del gasto público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_Toc143870725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57</w:t>
        </w:r>
        <w:r w:rsidR="009E47A4" w:rsidRPr="0035683A">
          <w:rPr>
            <w:noProof/>
            <w:webHidden/>
            <w:sz w:val="22"/>
            <w:szCs w:val="22"/>
          </w:rPr>
          <w:fldChar w:fldCharType="end"/>
        </w:r>
      </w:hyperlink>
    </w:p>
    <w:p w14:paraId="20E00B90" w14:textId="387FACAA"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26" w:history="1">
        <w:r w:rsidR="009E47A4" w:rsidRPr="0035683A">
          <w:rPr>
            <w:rStyle w:val="Hipervnculo"/>
            <w:rFonts w:eastAsiaTheme="majorEastAsia"/>
            <w:noProof/>
            <w:sz w:val="22"/>
            <w:szCs w:val="22"/>
          </w:rPr>
          <w:t>Gráfico 59. Grado de ejecución institucional</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_Toc143870726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64</w:t>
        </w:r>
        <w:r w:rsidR="009E47A4" w:rsidRPr="0035683A">
          <w:rPr>
            <w:noProof/>
            <w:webHidden/>
            <w:sz w:val="22"/>
            <w:szCs w:val="22"/>
          </w:rPr>
          <w:fldChar w:fldCharType="end"/>
        </w:r>
      </w:hyperlink>
    </w:p>
    <w:p w14:paraId="4E284B22" w14:textId="19799F52"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27" w:history="1">
        <w:r w:rsidR="009E47A4" w:rsidRPr="0035683A">
          <w:rPr>
            <w:rStyle w:val="Hipervnculo"/>
            <w:rFonts w:eastAsiaTheme="majorEastAsia"/>
            <w:noProof/>
            <w:sz w:val="22"/>
            <w:szCs w:val="22"/>
          </w:rPr>
          <w:t xml:space="preserve">Gráfico 60.  </w:t>
        </w:r>
        <w:r w:rsidR="009E47A4" w:rsidRPr="0035683A">
          <w:rPr>
            <w:rStyle w:val="Hipervnculo"/>
            <w:rFonts w:eastAsiaTheme="majorEastAsia"/>
            <w:noProof/>
            <w:sz w:val="22"/>
            <w:szCs w:val="22"/>
            <w:lang w:eastAsia="en-US"/>
          </w:rPr>
          <w:t>Presupuesto y ejecución de las intervenciones por COVID-19</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_Toc143870727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65</w:t>
        </w:r>
        <w:r w:rsidR="009E47A4" w:rsidRPr="0035683A">
          <w:rPr>
            <w:noProof/>
            <w:webHidden/>
            <w:sz w:val="22"/>
            <w:szCs w:val="22"/>
          </w:rPr>
          <w:fldChar w:fldCharType="end"/>
        </w:r>
      </w:hyperlink>
    </w:p>
    <w:p w14:paraId="7AD73D8D" w14:textId="13AB2D1D"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28" w:history="1">
        <w:r w:rsidR="009E47A4" w:rsidRPr="0035683A">
          <w:rPr>
            <w:rStyle w:val="Hipervnculo"/>
            <w:rFonts w:eastAsiaTheme="majorEastAsia"/>
            <w:noProof/>
            <w:sz w:val="22"/>
            <w:szCs w:val="22"/>
          </w:rPr>
          <w:t>Gráfico 61.  Resultado fiscal</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_Toc143870728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69</w:t>
        </w:r>
        <w:r w:rsidR="009E47A4" w:rsidRPr="0035683A">
          <w:rPr>
            <w:noProof/>
            <w:webHidden/>
            <w:sz w:val="22"/>
            <w:szCs w:val="22"/>
          </w:rPr>
          <w:fldChar w:fldCharType="end"/>
        </w:r>
      </w:hyperlink>
    </w:p>
    <w:p w14:paraId="2E614123" w14:textId="5C191C19"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29" w:history="1">
        <w:r w:rsidR="009E47A4" w:rsidRPr="0035683A">
          <w:rPr>
            <w:rStyle w:val="Hipervnculo"/>
            <w:rFonts w:eastAsiaTheme="majorEastAsia"/>
            <w:noProof/>
            <w:sz w:val="22"/>
            <w:szCs w:val="22"/>
          </w:rPr>
          <w:t>Gráfico 62.  Ingresos tributarios: error de pronóstico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_Toc143870729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75</w:t>
        </w:r>
        <w:r w:rsidR="009E47A4" w:rsidRPr="0035683A">
          <w:rPr>
            <w:noProof/>
            <w:webHidden/>
            <w:sz w:val="22"/>
            <w:szCs w:val="22"/>
          </w:rPr>
          <w:fldChar w:fldCharType="end"/>
        </w:r>
      </w:hyperlink>
    </w:p>
    <w:p w14:paraId="640C9961" w14:textId="259D32BA"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30" w:history="1">
        <w:r w:rsidR="009E47A4" w:rsidRPr="0035683A">
          <w:rPr>
            <w:rStyle w:val="Hipervnculo"/>
            <w:rFonts w:eastAsiaTheme="majorEastAsia"/>
            <w:noProof/>
            <w:sz w:val="22"/>
            <w:szCs w:val="22"/>
          </w:rPr>
          <w:t>Gráfico 63.  Ingresos Tributarios: Error de Pronóstico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_Toc143870730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76</w:t>
        </w:r>
        <w:r w:rsidR="009E47A4" w:rsidRPr="0035683A">
          <w:rPr>
            <w:noProof/>
            <w:webHidden/>
            <w:sz w:val="22"/>
            <w:szCs w:val="22"/>
          </w:rPr>
          <w:fldChar w:fldCharType="end"/>
        </w:r>
      </w:hyperlink>
    </w:p>
    <w:p w14:paraId="52650AE2" w14:textId="63B4DE5D"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31" w:history="1">
        <w:r w:rsidR="009E47A4" w:rsidRPr="0035683A">
          <w:rPr>
            <w:rStyle w:val="Hipervnculo"/>
            <w:rFonts w:eastAsiaTheme="majorEastAsia"/>
            <w:noProof/>
            <w:sz w:val="22"/>
            <w:szCs w:val="22"/>
          </w:rPr>
          <w:t>Gráfico 64.  Gasto público: error de pronóstico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_Toc143870731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77</w:t>
        </w:r>
        <w:r w:rsidR="009E47A4" w:rsidRPr="0035683A">
          <w:rPr>
            <w:noProof/>
            <w:webHidden/>
            <w:sz w:val="22"/>
            <w:szCs w:val="22"/>
          </w:rPr>
          <w:fldChar w:fldCharType="end"/>
        </w:r>
      </w:hyperlink>
    </w:p>
    <w:p w14:paraId="095F687B" w14:textId="652A4A6B"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32" w:history="1">
        <w:r w:rsidR="009E47A4" w:rsidRPr="0035683A">
          <w:rPr>
            <w:rStyle w:val="Hipervnculo"/>
            <w:rFonts w:eastAsiaTheme="majorEastAsia"/>
            <w:noProof/>
            <w:sz w:val="22"/>
            <w:szCs w:val="22"/>
          </w:rPr>
          <w:t>Gráfico 65.  Gasto Público: Error de Pronóstico promedio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_Toc143870732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78</w:t>
        </w:r>
        <w:r w:rsidR="009E47A4" w:rsidRPr="0035683A">
          <w:rPr>
            <w:noProof/>
            <w:webHidden/>
            <w:sz w:val="22"/>
            <w:szCs w:val="22"/>
          </w:rPr>
          <w:fldChar w:fldCharType="end"/>
        </w:r>
      </w:hyperlink>
    </w:p>
    <w:p w14:paraId="2C37EB23" w14:textId="1DCE4BD9"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33" w:history="1">
        <w:r w:rsidR="009E47A4" w:rsidRPr="0035683A">
          <w:rPr>
            <w:rStyle w:val="Hipervnculo"/>
            <w:rFonts w:eastAsiaTheme="majorEastAsia"/>
            <w:noProof/>
            <w:sz w:val="22"/>
            <w:szCs w:val="22"/>
          </w:rPr>
          <w:t>Gráfico 66.  Déficit fiscal: error de pronóstico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_Toc143870733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79</w:t>
        </w:r>
        <w:r w:rsidR="009E47A4" w:rsidRPr="0035683A">
          <w:rPr>
            <w:noProof/>
            <w:webHidden/>
            <w:sz w:val="22"/>
            <w:szCs w:val="22"/>
          </w:rPr>
          <w:fldChar w:fldCharType="end"/>
        </w:r>
      </w:hyperlink>
    </w:p>
    <w:p w14:paraId="784456E2" w14:textId="5CCBA53D"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34" w:history="1">
        <w:r w:rsidR="009E47A4" w:rsidRPr="0035683A">
          <w:rPr>
            <w:rStyle w:val="Hipervnculo"/>
            <w:rFonts w:eastAsiaTheme="majorEastAsia"/>
            <w:noProof/>
            <w:sz w:val="22"/>
            <w:szCs w:val="22"/>
          </w:rPr>
          <w:t>Gráfico 67 Déficit fiscal: error de pronóstico promedio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_Toc143870734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80</w:t>
        </w:r>
        <w:r w:rsidR="009E47A4" w:rsidRPr="0035683A">
          <w:rPr>
            <w:noProof/>
            <w:webHidden/>
            <w:sz w:val="22"/>
            <w:szCs w:val="22"/>
          </w:rPr>
          <w:fldChar w:fldCharType="end"/>
        </w:r>
      </w:hyperlink>
    </w:p>
    <w:p w14:paraId="70C60CA4" w14:textId="05374764"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35" w:history="1">
        <w:r w:rsidR="009E47A4" w:rsidRPr="0035683A">
          <w:rPr>
            <w:rStyle w:val="Hipervnculo"/>
            <w:rFonts w:eastAsiaTheme="majorEastAsia"/>
            <w:noProof/>
            <w:sz w:val="22"/>
            <w:szCs w:val="22"/>
          </w:rPr>
          <w:t>Gráfico 68.  Techos indicativos: error de pronóstico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_Toc143870735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81</w:t>
        </w:r>
        <w:r w:rsidR="009E47A4" w:rsidRPr="0035683A">
          <w:rPr>
            <w:noProof/>
            <w:webHidden/>
            <w:sz w:val="22"/>
            <w:szCs w:val="22"/>
          </w:rPr>
          <w:fldChar w:fldCharType="end"/>
        </w:r>
      </w:hyperlink>
    </w:p>
    <w:p w14:paraId="78DFE92F" w14:textId="726D5257"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36" w:history="1">
        <w:r w:rsidR="009E47A4" w:rsidRPr="0035683A">
          <w:rPr>
            <w:rStyle w:val="Hipervnculo"/>
            <w:rFonts w:eastAsiaTheme="majorEastAsia"/>
            <w:noProof/>
            <w:sz w:val="22"/>
            <w:szCs w:val="22"/>
          </w:rPr>
          <w:t>Gráfico 69.  Techos indicativos: error de pronóstico promedio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_Toc143870736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82</w:t>
        </w:r>
        <w:r w:rsidR="009E47A4" w:rsidRPr="0035683A">
          <w:rPr>
            <w:noProof/>
            <w:webHidden/>
            <w:sz w:val="22"/>
            <w:szCs w:val="22"/>
          </w:rPr>
          <w:fldChar w:fldCharType="end"/>
        </w:r>
      </w:hyperlink>
    </w:p>
    <w:p w14:paraId="4101A8C9" w14:textId="09CFBB1F"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37" w:history="1">
        <w:r w:rsidR="009E47A4" w:rsidRPr="0035683A">
          <w:rPr>
            <w:rStyle w:val="Hipervnculo"/>
            <w:rFonts w:eastAsiaTheme="majorEastAsia"/>
            <w:noProof/>
            <w:sz w:val="22"/>
            <w:szCs w:val="22"/>
          </w:rPr>
          <w:t xml:space="preserve">Gráfico 70. </w:t>
        </w:r>
        <w:r w:rsidR="009E47A4" w:rsidRPr="0035683A">
          <w:rPr>
            <w:rStyle w:val="Hipervnculo"/>
            <w:rFonts w:eastAsiaTheme="majorEastAsia"/>
            <w:noProof/>
            <w:sz w:val="22"/>
            <w:szCs w:val="22"/>
            <w:lang w:eastAsia="en-US"/>
          </w:rPr>
          <w:t>Brecha mensual de recaudación 2023 respecto a presupuesto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_Toc143870737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83</w:t>
        </w:r>
        <w:r w:rsidR="009E47A4" w:rsidRPr="0035683A">
          <w:rPr>
            <w:noProof/>
            <w:webHidden/>
            <w:sz w:val="22"/>
            <w:szCs w:val="22"/>
          </w:rPr>
          <w:fldChar w:fldCharType="end"/>
        </w:r>
      </w:hyperlink>
    </w:p>
    <w:p w14:paraId="77B4F278" w14:textId="1CAE6CCE"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38" w:history="1">
        <w:r w:rsidR="009E47A4" w:rsidRPr="0035683A">
          <w:rPr>
            <w:rStyle w:val="Hipervnculo"/>
            <w:rFonts w:eastAsiaTheme="majorEastAsia"/>
            <w:noProof/>
            <w:sz w:val="22"/>
            <w:szCs w:val="22"/>
          </w:rPr>
          <w:t xml:space="preserve">Gráfico 71.  </w:t>
        </w:r>
        <w:r w:rsidR="009E47A4" w:rsidRPr="0035683A">
          <w:rPr>
            <w:rStyle w:val="Hipervnculo"/>
            <w:rFonts w:eastAsiaTheme="majorEastAsia"/>
            <w:noProof/>
            <w:sz w:val="22"/>
            <w:szCs w:val="22"/>
            <w:lang w:val="es-MX" w:eastAsia="en-US"/>
          </w:rPr>
          <w:t>Variación interanual acumulada a junio de ISR por actividad económica</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_Toc143870738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84</w:t>
        </w:r>
        <w:r w:rsidR="009E47A4" w:rsidRPr="0035683A">
          <w:rPr>
            <w:noProof/>
            <w:webHidden/>
            <w:sz w:val="22"/>
            <w:szCs w:val="22"/>
          </w:rPr>
          <w:fldChar w:fldCharType="end"/>
        </w:r>
      </w:hyperlink>
    </w:p>
    <w:p w14:paraId="73C6E26C" w14:textId="520AFBEE"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39" w:history="1">
        <w:r w:rsidR="009E47A4" w:rsidRPr="0035683A">
          <w:rPr>
            <w:rStyle w:val="Hipervnculo"/>
            <w:rFonts w:eastAsiaTheme="majorEastAsia"/>
            <w:noProof/>
            <w:sz w:val="22"/>
            <w:szCs w:val="22"/>
          </w:rPr>
          <w:t xml:space="preserve">Gráfico 72. </w:t>
        </w:r>
        <w:r w:rsidR="009E47A4" w:rsidRPr="0035683A">
          <w:rPr>
            <w:rStyle w:val="Hipervnculo"/>
            <w:rFonts w:eastAsiaTheme="majorEastAsia"/>
            <w:noProof/>
            <w:sz w:val="22"/>
            <w:szCs w:val="22"/>
            <w:lang w:eastAsia="en-US"/>
          </w:rPr>
          <w:t>IVA doméstico e importaciones</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_Toc143870739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85</w:t>
        </w:r>
        <w:r w:rsidR="009E47A4" w:rsidRPr="0035683A">
          <w:rPr>
            <w:noProof/>
            <w:webHidden/>
            <w:sz w:val="22"/>
            <w:szCs w:val="22"/>
          </w:rPr>
          <w:fldChar w:fldCharType="end"/>
        </w:r>
      </w:hyperlink>
    </w:p>
    <w:p w14:paraId="2FE93AC1" w14:textId="7D26E125"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40" w:history="1">
        <w:r w:rsidR="009E47A4" w:rsidRPr="0035683A">
          <w:rPr>
            <w:rStyle w:val="Hipervnculo"/>
            <w:rFonts w:eastAsiaTheme="majorEastAsia"/>
            <w:noProof/>
            <w:sz w:val="22"/>
            <w:szCs w:val="22"/>
          </w:rPr>
          <w:t xml:space="preserve">Gráfico 73. </w:t>
        </w:r>
        <w:r w:rsidR="009E47A4" w:rsidRPr="0035683A">
          <w:rPr>
            <w:rStyle w:val="Hipervnculo"/>
            <w:rFonts w:eastAsiaTheme="majorEastAsia"/>
            <w:noProof/>
            <w:sz w:val="22"/>
            <w:szCs w:val="22"/>
            <w:lang w:val="es-MX" w:eastAsia="en-US"/>
          </w:rPr>
          <w:t>Variación de actividades económicas que aportan a la recaudación del IVA Doméstico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_Toc143870740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86</w:t>
        </w:r>
        <w:r w:rsidR="009E47A4" w:rsidRPr="0035683A">
          <w:rPr>
            <w:noProof/>
            <w:webHidden/>
            <w:sz w:val="22"/>
            <w:szCs w:val="22"/>
          </w:rPr>
          <w:fldChar w:fldCharType="end"/>
        </w:r>
      </w:hyperlink>
    </w:p>
    <w:p w14:paraId="217FB8C9" w14:textId="091C08A0"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41" w:history="1">
        <w:r w:rsidR="009E47A4" w:rsidRPr="0035683A">
          <w:rPr>
            <w:rStyle w:val="Hipervnculo"/>
            <w:rFonts w:eastAsiaTheme="majorEastAsia"/>
            <w:noProof/>
            <w:sz w:val="22"/>
            <w:szCs w:val="22"/>
          </w:rPr>
          <w:t xml:space="preserve">Gráfico 74.  </w:t>
        </w:r>
        <w:r w:rsidR="009E47A4" w:rsidRPr="0035683A">
          <w:rPr>
            <w:rStyle w:val="Hipervnculo"/>
            <w:rFonts w:eastAsiaTheme="majorEastAsia"/>
            <w:noProof/>
            <w:sz w:val="22"/>
            <w:szCs w:val="22"/>
            <w:lang w:val="es-MX" w:eastAsia="en-US"/>
          </w:rPr>
          <w:t>Variación de actividades económicas que aportan a la recaudación del IVA de Importaciones</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_Toc143870741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86</w:t>
        </w:r>
        <w:r w:rsidR="009E47A4" w:rsidRPr="0035683A">
          <w:rPr>
            <w:noProof/>
            <w:webHidden/>
            <w:sz w:val="22"/>
            <w:szCs w:val="22"/>
          </w:rPr>
          <w:fldChar w:fldCharType="end"/>
        </w:r>
      </w:hyperlink>
    </w:p>
    <w:p w14:paraId="3BE0B31D" w14:textId="393D300F"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42" w:history="1">
        <w:r w:rsidR="009E47A4" w:rsidRPr="0035683A">
          <w:rPr>
            <w:rStyle w:val="Hipervnculo"/>
            <w:rFonts w:eastAsiaTheme="majorEastAsia"/>
            <w:noProof/>
            <w:sz w:val="22"/>
            <w:szCs w:val="22"/>
          </w:rPr>
          <w:t xml:space="preserve">Gráfico 75.  </w:t>
        </w:r>
        <w:r w:rsidR="009E47A4" w:rsidRPr="0035683A">
          <w:rPr>
            <w:rStyle w:val="Hipervnculo"/>
            <w:rFonts w:eastAsiaTheme="majorEastAsia"/>
            <w:noProof/>
            <w:sz w:val="22"/>
            <w:szCs w:val="22"/>
            <w:lang w:eastAsia="en-US"/>
          </w:rPr>
          <w:t>Variación interanual acumulada a junio de 2023 de impuestos asociados</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_Toc143870742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87</w:t>
        </w:r>
        <w:r w:rsidR="009E47A4" w:rsidRPr="0035683A">
          <w:rPr>
            <w:noProof/>
            <w:webHidden/>
            <w:sz w:val="22"/>
            <w:szCs w:val="22"/>
          </w:rPr>
          <w:fldChar w:fldCharType="end"/>
        </w:r>
      </w:hyperlink>
    </w:p>
    <w:p w14:paraId="36442CF0" w14:textId="19CA98CF"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43" w:history="1">
        <w:r w:rsidR="009E47A4" w:rsidRPr="0035683A">
          <w:rPr>
            <w:rStyle w:val="Hipervnculo"/>
            <w:rFonts w:eastAsiaTheme="majorEastAsia"/>
            <w:noProof/>
            <w:sz w:val="22"/>
            <w:szCs w:val="22"/>
          </w:rPr>
          <w:t xml:space="preserve">Gráfico 76.  </w:t>
        </w:r>
        <w:r w:rsidR="009E47A4" w:rsidRPr="0035683A">
          <w:rPr>
            <w:rStyle w:val="Hipervnculo"/>
            <w:rFonts w:eastAsiaTheme="majorEastAsia"/>
            <w:noProof/>
            <w:sz w:val="22"/>
            <w:szCs w:val="22"/>
            <w:lang w:eastAsia="en-US"/>
          </w:rPr>
          <w:t>Aporte por impuesto a la recaudación tributaria acumulada a junio de 2023</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_Toc143870743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88</w:t>
        </w:r>
        <w:r w:rsidR="009E47A4" w:rsidRPr="0035683A">
          <w:rPr>
            <w:noProof/>
            <w:webHidden/>
            <w:sz w:val="22"/>
            <w:szCs w:val="22"/>
          </w:rPr>
          <w:fldChar w:fldCharType="end"/>
        </w:r>
      </w:hyperlink>
    </w:p>
    <w:p w14:paraId="707CBF03" w14:textId="33905847"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44" w:history="1">
        <w:r w:rsidR="009E47A4" w:rsidRPr="0035683A">
          <w:rPr>
            <w:rStyle w:val="Hipervnculo"/>
            <w:rFonts w:eastAsiaTheme="majorEastAsia"/>
            <w:noProof/>
            <w:sz w:val="22"/>
            <w:szCs w:val="22"/>
          </w:rPr>
          <w:t xml:space="preserve">Gráfico 77.  </w:t>
        </w:r>
        <w:r w:rsidR="009E47A4" w:rsidRPr="0035683A">
          <w:rPr>
            <w:rStyle w:val="Hipervnculo"/>
            <w:rFonts w:eastAsiaTheme="majorEastAsia"/>
            <w:noProof/>
            <w:sz w:val="22"/>
            <w:szCs w:val="22"/>
            <w:lang w:eastAsia="en-US"/>
          </w:rPr>
          <w:t>Variación Interanual de recaudación tributaria por actividad económica</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_Toc143870744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88</w:t>
        </w:r>
        <w:r w:rsidR="009E47A4" w:rsidRPr="0035683A">
          <w:rPr>
            <w:noProof/>
            <w:webHidden/>
            <w:sz w:val="22"/>
            <w:szCs w:val="22"/>
          </w:rPr>
          <w:fldChar w:fldCharType="end"/>
        </w:r>
      </w:hyperlink>
    </w:p>
    <w:p w14:paraId="7CB8CF65" w14:textId="21B9F9DB"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45" w:history="1">
        <w:r w:rsidR="009E47A4" w:rsidRPr="0035683A">
          <w:rPr>
            <w:rStyle w:val="Hipervnculo"/>
            <w:rFonts w:eastAsiaTheme="majorEastAsia"/>
            <w:noProof/>
            <w:sz w:val="22"/>
            <w:szCs w:val="22"/>
          </w:rPr>
          <w:t>Gráfico 78.  Ejecución de gastos por COVID-19</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_Toc143870745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95</w:t>
        </w:r>
        <w:r w:rsidR="009E47A4" w:rsidRPr="0035683A">
          <w:rPr>
            <w:noProof/>
            <w:webHidden/>
            <w:sz w:val="22"/>
            <w:szCs w:val="22"/>
          </w:rPr>
          <w:fldChar w:fldCharType="end"/>
        </w:r>
      </w:hyperlink>
    </w:p>
    <w:p w14:paraId="58F958E4" w14:textId="5008C512"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46" w:history="1">
        <w:r w:rsidR="009E47A4" w:rsidRPr="0035683A">
          <w:rPr>
            <w:rStyle w:val="Hipervnculo"/>
            <w:rFonts w:eastAsiaTheme="majorEastAsia"/>
            <w:noProof/>
            <w:sz w:val="22"/>
            <w:szCs w:val="22"/>
          </w:rPr>
          <w:t>Gráfico 79.  Colocación de bonos del tesoro a junio 2023</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_Toc143870746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98</w:t>
        </w:r>
        <w:r w:rsidR="009E47A4" w:rsidRPr="0035683A">
          <w:rPr>
            <w:noProof/>
            <w:webHidden/>
            <w:sz w:val="22"/>
            <w:szCs w:val="22"/>
          </w:rPr>
          <w:fldChar w:fldCharType="end"/>
        </w:r>
      </w:hyperlink>
    </w:p>
    <w:p w14:paraId="70D3FEC3" w14:textId="0D3B3D1E"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47" w:history="1">
        <w:r w:rsidR="009E47A4" w:rsidRPr="0035683A">
          <w:rPr>
            <w:rStyle w:val="Hipervnculo"/>
            <w:rFonts w:eastAsiaTheme="majorEastAsia"/>
            <w:noProof/>
            <w:sz w:val="22"/>
            <w:szCs w:val="22"/>
          </w:rPr>
          <w:t>Gráfico 80.  Plazo y rendimiento histórico de la colocación de bonos del tesoro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_Toc143870747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99</w:t>
        </w:r>
        <w:r w:rsidR="009E47A4" w:rsidRPr="0035683A">
          <w:rPr>
            <w:noProof/>
            <w:webHidden/>
            <w:sz w:val="22"/>
            <w:szCs w:val="22"/>
          </w:rPr>
          <w:fldChar w:fldCharType="end"/>
        </w:r>
      </w:hyperlink>
    </w:p>
    <w:p w14:paraId="0FE17A2D" w14:textId="1EF95311"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48" w:history="1">
        <w:r w:rsidR="009E47A4" w:rsidRPr="0035683A">
          <w:rPr>
            <w:rStyle w:val="Hipervnculo"/>
            <w:rFonts w:eastAsiaTheme="majorEastAsia"/>
            <w:noProof/>
            <w:sz w:val="22"/>
            <w:szCs w:val="22"/>
          </w:rPr>
          <w:t xml:space="preserve">Gráfico 81.  </w:t>
        </w:r>
        <w:r w:rsidR="009E47A4" w:rsidRPr="0035683A">
          <w:rPr>
            <w:rStyle w:val="Hipervnculo"/>
            <w:rFonts w:eastAsiaTheme="majorEastAsia"/>
            <w:noProof/>
            <w:sz w:val="22"/>
            <w:szCs w:val="22"/>
            <w:lang w:eastAsia="en-US"/>
          </w:rPr>
          <w:t>Recaudación tributaria</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_Toc143870748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101</w:t>
        </w:r>
        <w:r w:rsidR="009E47A4" w:rsidRPr="0035683A">
          <w:rPr>
            <w:noProof/>
            <w:webHidden/>
            <w:sz w:val="22"/>
            <w:szCs w:val="22"/>
          </w:rPr>
          <w:fldChar w:fldCharType="end"/>
        </w:r>
      </w:hyperlink>
    </w:p>
    <w:p w14:paraId="5818C339" w14:textId="09206C26"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49" w:history="1">
        <w:r w:rsidR="009E47A4" w:rsidRPr="0035683A">
          <w:rPr>
            <w:rStyle w:val="Hipervnculo"/>
            <w:rFonts w:eastAsiaTheme="majorEastAsia"/>
            <w:noProof/>
            <w:sz w:val="22"/>
            <w:szCs w:val="22"/>
          </w:rPr>
          <w:t>Gráfico 82.  Déficit fiscal</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_Toc143870749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103</w:t>
        </w:r>
        <w:r w:rsidR="009E47A4" w:rsidRPr="0035683A">
          <w:rPr>
            <w:noProof/>
            <w:webHidden/>
            <w:sz w:val="22"/>
            <w:szCs w:val="22"/>
          </w:rPr>
          <w:fldChar w:fldCharType="end"/>
        </w:r>
      </w:hyperlink>
    </w:p>
    <w:p w14:paraId="4906485C" w14:textId="57EFB01B"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50" w:history="1">
        <w:r w:rsidR="009E47A4" w:rsidRPr="0035683A">
          <w:rPr>
            <w:rStyle w:val="Hipervnculo"/>
            <w:rFonts w:eastAsiaTheme="majorEastAsia"/>
            <w:noProof/>
            <w:sz w:val="22"/>
            <w:szCs w:val="22"/>
          </w:rPr>
          <w:t>Gráfico 83.  Pilares estratégicos de la PGG 2020-2024</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_Toc143870750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109</w:t>
        </w:r>
        <w:r w:rsidR="009E47A4" w:rsidRPr="0035683A">
          <w:rPr>
            <w:noProof/>
            <w:webHidden/>
            <w:sz w:val="22"/>
            <w:szCs w:val="22"/>
          </w:rPr>
          <w:fldChar w:fldCharType="end"/>
        </w:r>
      </w:hyperlink>
    </w:p>
    <w:p w14:paraId="1112C56B" w14:textId="44453D82"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51" w:history="1">
        <w:r w:rsidR="009E47A4" w:rsidRPr="0035683A">
          <w:rPr>
            <w:rStyle w:val="Hipervnculo"/>
            <w:rFonts w:eastAsiaTheme="majorEastAsia"/>
            <w:noProof/>
            <w:sz w:val="22"/>
            <w:szCs w:val="22"/>
          </w:rPr>
          <w:t xml:space="preserve">Gráfico 84.  </w:t>
        </w:r>
        <w:r w:rsidR="009E47A4" w:rsidRPr="0035683A">
          <w:rPr>
            <w:rStyle w:val="Hipervnculo"/>
            <w:rFonts w:eastAsiaTheme="majorEastAsia"/>
            <w:noProof/>
            <w:sz w:val="22"/>
            <w:szCs w:val="22"/>
            <w:lang w:eastAsia="en-US"/>
          </w:rPr>
          <w:t>Ingresos fiscales 2023-2028</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_Toc143870751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124</w:t>
        </w:r>
        <w:r w:rsidR="009E47A4" w:rsidRPr="0035683A">
          <w:rPr>
            <w:noProof/>
            <w:webHidden/>
            <w:sz w:val="22"/>
            <w:szCs w:val="22"/>
          </w:rPr>
          <w:fldChar w:fldCharType="end"/>
        </w:r>
      </w:hyperlink>
    </w:p>
    <w:p w14:paraId="182C651A" w14:textId="7EB81980"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52" w:history="1">
        <w:r w:rsidR="009E47A4" w:rsidRPr="0035683A">
          <w:rPr>
            <w:rStyle w:val="Hipervnculo"/>
            <w:rFonts w:eastAsiaTheme="majorEastAsia"/>
            <w:noProof/>
            <w:sz w:val="22"/>
            <w:szCs w:val="22"/>
          </w:rPr>
          <w:t xml:space="preserve">Gráfico 85.  </w:t>
        </w:r>
        <w:r w:rsidR="009E47A4" w:rsidRPr="0035683A">
          <w:rPr>
            <w:rStyle w:val="Hipervnculo"/>
            <w:rFonts w:eastAsiaTheme="majorEastAsia"/>
            <w:noProof/>
            <w:sz w:val="22"/>
            <w:szCs w:val="22"/>
            <w:lang w:eastAsia="en-US"/>
          </w:rPr>
          <w:t>Carga tributaria 2019-2028</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_Toc143870752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130</w:t>
        </w:r>
        <w:r w:rsidR="009E47A4" w:rsidRPr="0035683A">
          <w:rPr>
            <w:noProof/>
            <w:webHidden/>
            <w:sz w:val="22"/>
            <w:szCs w:val="22"/>
          </w:rPr>
          <w:fldChar w:fldCharType="end"/>
        </w:r>
      </w:hyperlink>
    </w:p>
    <w:p w14:paraId="7A2F5801" w14:textId="49320A3A"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53" w:history="1">
        <w:r w:rsidR="009E47A4" w:rsidRPr="0035683A">
          <w:rPr>
            <w:rStyle w:val="Hipervnculo"/>
            <w:rFonts w:eastAsiaTheme="majorEastAsia"/>
            <w:noProof/>
            <w:sz w:val="22"/>
            <w:szCs w:val="22"/>
          </w:rPr>
          <w:t>Gráfico 86.  Carga tributaria escenario medio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_Toc143870753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132</w:t>
        </w:r>
        <w:r w:rsidR="009E47A4" w:rsidRPr="0035683A">
          <w:rPr>
            <w:noProof/>
            <w:webHidden/>
            <w:sz w:val="22"/>
            <w:szCs w:val="22"/>
          </w:rPr>
          <w:fldChar w:fldCharType="end"/>
        </w:r>
      </w:hyperlink>
    </w:p>
    <w:p w14:paraId="05501C19" w14:textId="06E25906"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54" w:history="1">
        <w:r w:rsidR="009E47A4" w:rsidRPr="0035683A">
          <w:rPr>
            <w:rStyle w:val="Hipervnculo"/>
            <w:rFonts w:eastAsiaTheme="majorEastAsia"/>
            <w:noProof/>
            <w:sz w:val="22"/>
            <w:szCs w:val="22"/>
          </w:rPr>
          <w:t>Gráfico 87.</w:t>
        </w:r>
        <w:r w:rsidR="009E47A4" w:rsidRPr="0035683A">
          <w:rPr>
            <w:rStyle w:val="Hipervnculo"/>
            <w:rFonts w:eastAsiaTheme="majorEastAsia"/>
            <w:i/>
            <w:iCs/>
            <w:noProof/>
            <w:sz w:val="22"/>
            <w:szCs w:val="22"/>
          </w:rPr>
          <w:t xml:space="preserve">  </w:t>
        </w:r>
        <w:r w:rsidR="009E47A4" w:rsidRPr="0035683A">
          <w:rPr>
            <w:rStyle w:val="Hipervnculo"/>
            <w:rFonts w:eastAsiaTheme="majorEastAsia"/>
            <w:noProof/>
            <w:sz w:val="22"/>
            <w:szCs w:val="22"/>
          </w:rPr>
          <w:t>Carga tributaria</w:t>
        </w:r>
        <w:r w:rsidR="009E47A4" w:rsidRPr="0035683A">
          <w:rPr>
            <w:rStyle w:val="Hipervnculo"/>
            <w:rFonts w:eastAsiaTheme="majorEastAsia"/>
            <w:i/>
            <w:iCs/>
            <w:noProof/>
            <w:sz w:val="22"/>
            <w:szCs w:val="22"/>
          </w:rPr>
          <w:t xml:space="preserve"> </w:t>
        </w:r>
        <w:r w:rsidR="009E47A4" w:rsidRPr="0035683A">
          <w:rPr>
            <w:rStyle w:val="Hipervnculo"/>
            <w:rFonts w:eastAsiaTheme="majorEastAsia"/>
            <w:noProof/>
            <w:sz w:val="22"/>
            <w:szCs w:val="22"/>
          </w:rPr>
          <w:t>escenario alto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_Toc143870754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134</w:t>
        </w:r>
        <w:r w:rsidR="009E47A4" w:rsidRPr="0035683A">
          <w:rPr>
            <w:noProof/>
            <w:webHidden/>
            <w:sz w:val="22"/>
            <w:szCs w:val="22"/>
          </w:rPr>
          <w:fldChar w:fldCharType="end"/>
        </w:r>
      </w:hyperlink>
    </w:p>
    <w:p w14:paraId="6D5296C3" w14:textId="5E2DF538"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55" w:history="1">
        <w:r w:rsidR="009E47A4" w:rsidRPr="0035683A">
          <w:rPr>
            <w:rStyle w:val="Hipervnculo"/>
            <w:rFonts w:eastAsiaTheme="majorEastAsia"/>
            <w:noProof/>
            <w:sz w:val="22"/>
            <w:szCs w:val="22"/>
          </w:rPr>
          <w:t>Gráfico 88.</w:t>
        </w:r>
        <w:r w:rsidR="009E47A4" w:rsidRPr="0035683A">
          <w:rPr>
            <w:rStyle w:val="Hipervnculo"/>
            <w:rFonts w:eastAsiaTheme="majorEastAsia"/>
            <w:i/>
            <w:iCs/>
            <w:noProof/>
            <w:sz w:val="22"/>
            <w:szCs w:val="22"/>
          </w:rPr>
          <w:t xml:space="preserve">  </w:t>
        </w:r>
        <w:r w:rsidR="009E47A4" w:rsidRPr="0035683A">
          <w:rPr>
            <w:rStyle w:val="Hipervnculo"/>
            <w:rFonts w:eastAsiaTheme="majorEastAsia"/>
            <w:noProof/>
            <w:sz w:val="22"/>
            <w:szCs w:val="22"/>
          </w:rPr>
          <w:t>Fanchart de la proyección de carga tributaria</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_Toc143870755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135</w:t>
        </w:r>
        <w:r w:rsidR="009E47A4" w:rsidRPr="0035683A">
          <w:rPr>
            <w:noProof/>
            <w:webHidden/>
            <w:sz w:val="22"/>
            <w:szCs w:val="22"/>
          </w:rPr>
          <w:fldChar w:fldCharType="end"/>
        </w:r>
      </w:hyperlink>
    </w:p>
    <w:p w14:paraId="146EB313" w14:textId="465CE412"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56" w:history="1">
        <w:r w:rsidR="009E47A4" w:rsidRPr="0035683A">
          <w:rPr>
            <w:rStyle w:val="Hipervnculo"/>
            <w:rFonts w:eastAsiaTheme="majorEastAsia"/>
            <w:noProof/>
            <w:sz w:val="22"/>
            <w:szCs w:val="22"/>
          </w:rPr>
          <w:t>Gráfico 89.  Asignación total de egresos</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_Toc143870756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137</w:t>
        </w:r>
        <w:r w:rsidR="009E47A4" w:rsidRPr="0035683A">
          <w:rPr>
            <w:noProof/>
            <w:webHidden/>
            <w:sz w:val="22"/>
            <w:szCs w:val="22"/>
          </w:rPr>
          <w:fldChar w:fldCharType="end"/>
        </w:r>
      </w:hyperlink>
    </w:p>
    <w:p w14:paraId="75D899AB" w14:textId="2DCC3AE9"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57" w:history="1">
        <w:r w:rsidR="009E47A4" w:rsidRPr="0035683A">
          <w:rPr>
            <w:rStyle w:val="Hipervnculo"/>
            <w:rFonts w:eastAsiaTheme="majorEastAsia"/>
            <w:noProof/>
            <w:sz w:val="22"/>
            <w:szCs w:val="22"/>
          </w:rPr>
          <w:t>Gráfico 90.  Déficit fiscal y su financiamiento</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_Toc143870757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140</w:t>
        </w:r>
        <w:r w:rsidR="009E47A4" w:rsidRPr="0035683A">
          <w:rPr>
            <w:noProof/>
            <w:webHidden/>
            <w:sz w:val="22"/>
            <w:szCs w:val="22"/>
          </w:rPr>
          <w:fldChar w:fldCharType="end"/>
        </w:r>
      </w:hyperlink>
    </w:p>
    <w:p w14:paraId="118C370D" w14:textId="14B1A53D"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58" w:history="1">
        <w:r w:rsidR="009E47A4" w:rsidRPr="0035683A">
          <w:rPr>
            <w:rStyle w:val="Hipervnculo"/>
            <w:rFonts w:eastAsiaTheme="majorEastAsia"/>
            <w:noProof/>
            <w:sz w:val="22"/>
            <w:szCs w:val="22"/>
          </w:rPr>
          <w:t>Gráfico 91.  Indicadores de Solvencia de la Deuda Pública</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_Toc143870758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151</w:t>
        </w:r>
        <w:r w:rsidR="009E47A4" w:rsidRPr="0035683A">
          <w:rPr>
            <w:noProof/>
            <w:webHidden/>
            <w:sz w:val="22"/>
            <w:szCs w:val="22"/>
          </w:rPr>
          <w:fldChar w:fldCharType="end"/>
        </w:r>
      </w:hyperlink>
    </w:p>
    <w:p w14:paraId="4B28A000" w14:textId="33B10B36"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59" w:history="1">
        <w:r w:rsidR="009E47A4" w:rsidRPr="0035683A">
          <w:rPr>
            <w:rStyle w:val="Hipervnculo"/>
            <w:rFonts w:eastAsiaTheme="majorEastAsia"/>
            <w:noProof/>
            <w:sz w:val="22"/>
            <w:szCs w:val="22"/>
          </w:rPr>
          <w:t>Gráfico 92.  Contribución a la deuda pública</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_Toc143870759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152</w:t>
        </w:r>
        <w:r w:rsidR="009E47A4" w:rsidRPr="0035683A">
          <w:rPr>
            <w:noProof/>
            <w:webHidden/>
            <w:sz w:val="22"/>
            <w:szCs w:val="22"/>
          </w:rPr>
          <w:fldChar w:fldCharType="end"/>
        </w:r>
      </w:hyperlink>
    </w:p>
    <w:p w14:paraId="708EF544" w14:textId="0DA08A2E"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60" w:history="1">
        <w:r w:rsidR="009E47A4" w:rsidRPr="0035683A">
          <w:rPr>
            <w:rStyle w:val="Hipervnculo"/>
            <w:rFonts w:eastAsiaTheme="majorEastAsia"/>
            <w:noProof/>
            <w:sz w:val="22"/>
            <w:szCs w:val="22"/>
          </w:rPr>
          <w:t>Gráfico 93.  Vencimiento residual de la deuda al cierre de 2026</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_Toc143870760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154</w:t>
        </w:r>
        <w:r w:rsidR="009E47A4" w:rsidRPr="0035683A">
          <w:rPr>
            <w:noProof/>
            <w:webHidden/>
            <w:sz w:val="22"/>
            <w:szCs w:val="22"/>
          </w:rPr>
          <w:fldChar w:fldCharType="end"/>
        </w:r>
      </w:hyperlink>
    </w:p>
    <w:p w14:paraId="376426AB" w14:textId="089F55E4"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61" w:history="1">
        <w:r w:rsidR="009E47A4" w:rsidRPr="0035683A">
          <w:rPr>
            <w:rStyle w:val="Hipervnculo"/>
            <w:rFonts w:eastAsiaTheme="majorEastAsia"/>
            <w:noProof/>
            <w:sz w:val="22"/>
            <w:szCs w:val="22"/>
          </w:rPr>
          <w:t>Gráfico 94. Impulso fiscal</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_Toc143870761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156</w:t>
        </w:r>
        <w:r w:rsidR="009E47A4" w:rsidRPr="0035683A">
          <w:rPr>
            <w:noProof/>
            <w:webHidden/>
            <w:sz w:val="22"/>
            <w:szCs w:val="22"/>
          </w:rPr>
          <w:fldChar w:fldCharType="end"/>
        </w:r>
      </w:hyperlink>
    </w:p>
    <w:p w14:paraId="182C366E" w14:textId="3FD17D52"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62" w:history="1">
        <w:r w:rsidR="009E47A4" w:rsidRPr="0035683A">
          <w:rPr>
            <w:rStyle w:val="Hipervnculo"/>
            <w:rFonts w:eastAsiaTheme="majorEastAsia"/>
            <w:noProof/>
            <w:sz w:val="22"/>
            <w:szCs w:val="22"/>
          </w:rPr>
          <w:t>Gráfico 95.  Orientación de la política fiscal</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_Toc143870762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157</w:t>
        </w:r>
        <w:r w:rsidR="009E47A4" w:rsidRPr="0035683A">
          <w:rPr>
            <w:noProof/>
            <w:webHidden/>
            <w:sz w:val="22"/>
            <w:szCs w:val="22"/>
          </w:rPr>
          <w:fldChar w:fldCharType="end"/>
        </w:r>
      </w:hyperlink>
    </w:p>
    <w:p w14:paraId="7330D84C" w14:textId="374B0201" w:rsidR="009E47A4" w:rsidRPr="0035683A"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0763" w:history="1">
        <w:r w:rsidR="009E47A4" w:rsidRPr="0035683A">
          <w:rPr>
            <w:rStyle w:val="Hipervnculo"/>
            <w:rFonts w:eastAsiaTheme="majorEastAsia"/>
            <w:noProof/>
            <w:sz w:val="22"/>
            <w:szCs w:val="22"/>
          </w:rPr>
          <w:t>Gráfico 96.  Brechas en las metas de la PGG hacia 2023</w:t>
        </w:r>
        <w:r w:rsidR="009E47A4" w:rsidRPr="0035683A">
          <w:rPr>
            <w:noProof/>
            <w:webHidden/>
            <w:sz w:val="22"/>
            <w:szCs w:val="22"/>
          </w:rPr>
          <w:tab/>
        </w:r>
        <w:r w:rsidR="009E47A4" w:rsidRPr="0035683A">
          <w:rPr>
            <w:noProof/>
            <w:webHidden/>
            <w:sz w:val="22"/>
            <w:szCs w:val="22"/>
          </w:rPr>
          <w:fldChar w:fldCharType="begin"/>
        </w:r>
        <w:r w:rsidR="009E47A4" w:rsidRPr="0035683A">
          <w:rPr>
            <w:noProof/>
            <w:webHidden/>
            <w:sz w:val="22"/>
            <w:szCs w:val="22"/>
          </w:rPr>
          <w:instrText xml:space="preserve"> PAGEREF _Toc143870763 \h </w:instrText>
        </w:r>
        <w:r w:rsidR="009E47A4" w:rsidRPr="0035683A">
          <w:rPr>
            <w:noProof/>
            <w:webHidden/>
            <w:sz w:val="22"/>
            <w:szCs w:val="22"/>
          </w:rPr>
        </w:r>
        <w:r w:rsidR="009E47A4" w:rsidRPr="0035683A">
          <w:rPr>
            <w:noProof/>
            <w:webHidden/>
            <w:sz w:val="22"/>
            <w:szCs w:val="22"/>
          </w:rPr>
          <w:fldChar w:fldCharType="separate"/>
        </w:r>
        <w:r w:rsidR="00DB19E4">
          <w:rPr>
            <w:noProof/>
            <w:webHidden/>
            <w:sz w:val="22"/>
            <w:szCs w:val="22"/>
          </w:rPr>
          <w:t>158</w:t>
        </w:r>
        <w:r w:rsidR="009E47A4" w:rsidRPr="0035683A">
          <w:rPr>
            <w:noProof/>
            <w:webHidden/>
            <w:sz w:val="22"/>
            <w:szCs w:val="22"/>
          </w:rPr>
          <w:fldChar w:fldCharType="end"/>
        </w:r>
      </w:hyperlink>
    </w:p>
    <w:p w14:paraId="5BDBB3EE" w14:textId="33E6E09C" w:rsidR="000902AC" w:rsidRPr="000F1270" w:rsidRDefault="000902AC" w:rsidP="005954CA">
      <w:pPr>
        <w:ind w:left="2818" w:right="3962"/>
        <w:jc w:val="center"/>
        <w:rPr>
          <w:sz w:val="22"/>
          <w:szCs w:val="22"/>
        </w:rPr>
      </w:pPr>
      <w:r w:rsidRPr="009E47A4">
        <w:rPr>
          <w:sz w:val="22"/>
          <w:szCs w:val="22"/>
        </w:rPr>
        <w:fldChar w:fldCharType="end"/>
      </w:r>
    </w:p>
    <w:p w14:paraId="742C07E1" w14:textId="0662AD03" w:rsidR="0071370B" w:rsidRPr="004B0E4D" w:rsidRDefault="004B0E4D" w:rsidP="005954CA">
      <w:pPr>
        <w:ind w:left="2818" w:right="3962"/>
        <w:jc w:val="center"/>
        <w:rPr>
          <w:b/>
          <w:bCs/>
        </w:rPr>
      </w:pPr>
      <w:r w:rsidRPr="004B0E4D">
        <w:rPr>
          <w:b/>
          <w:bCs/>
        </w:rPr>
        <w:t>Contenido en Tablas</w:t>
      </w:r>
    </w:p>
    <w:p w14:paraId="7184B8BE" w14:textId="41090C62" w:rsidR="00F62B40" w:rsidRPr="00F62B40" w:rsidRDefault="0071370B">
      <w:pPr>
        <w:pStyle w:val="Tabladeilustraciones"/>
        <w:tabs>
          <w:tab w:val="right" w:leader="dot" w:pos="9621"/>
        </w:tabs>
        <w:rPr>
          <w:rFonts w:asciiTheme="minorHAnsi" w:eastAsiaTheme="minorEastAsia" w:hAnsiTheme="minorHAnsi" w:cstheme="minorBidi"/>
          <w:noProof/>
          <w:sz w:val="22"/>
          <w:szCs w:val="22"/>
        </w:rPr>
      </w:pPr>
      <w:r w:rsidRPr="000F1270">
        <w:rPr>
          <w:sz w:val="22"/>
          <w:szCs w:val="22"/>
        </w:rPr>
        <w:fldChar w:fldCharType="begin"/>
      </w:r>
      <w:r w:rsidRPr="000F1270">
        <w:rPr>
          <w:sz w:val="22"/>
          <w:szCs w:val="22"/>
        </w:rPr>
        <w:instrText xml:space="preserve"> TOC \h \z \c "Tabla" </w:instrText>
      </w:r>
      <w:r w:rsidRPr="000F1270">
        <w:rPr>
          <w:sz w:val="22"/>
          <w:szCs w:val="22"/>
        </w:rPr>
        <w:fldChar w:fldCharType="separate"/>
      </w:r>
      <w:hyperlink w:anchor="_Toc143871208" w:history="1">
        <w:r w:rsidR="00F62B40" w:rsidRPr="00F62B40">
          <w:rPr>
            <w:rStyle w:val="Hipervnculo"/>
            <w:rFonts w:eastAsiaTheme="majorEastAsia"/>
            <w:noProof/>
            <w:sz w:val="22"/>
            <w:szCs w:val="22"/>
          </w:rPr>
          <w:t xml:space="preserve">Tabla 1.  </w:t>
        </w:r>
        <w:r w:rsidR="00F62B40" w:rsidRPr="00F62B40">
          <w:rPr>
            <w:rStyle w:val="Hipervnculo"/>
            <w:rFonts w:eastAsiaTheme="majorEastAsia"/>
            <w:noProof/>
            <w:sz w:val="22"/>
            <w:szCs w:val="22"/>
            <w:lang w:val="es-MX"/>
          </w:rPr>
          <w:t>Indicadores económicos seleccionados para Centroamérica en 2022</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_Toc143871208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7</w:t>
        </w:r>
        <w:r w:rsidR="00F62B40" w:rsidRPr="00F62B40">
          <w:rPr>
            <w:noProof/>
            <w:webHidden/>
            <w:sz w:val="22"/>
            <w:szCs w:val="22"/>
          </w:rPr>
          <w:fldChar w:fldCharType="end"/>
        </w:r>
      </w:hyperlink>
    </w:p>
    <w:p w14:paraId="0BB036EE" w14:textId="5821A440"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09" w:history="1">
        <w:r w:rsidR="00F62B40" w:rsidRPr="00F62B40">
          <w:rPr>
            <w:rStyle w:val="Hipervnculo"/>
            <w:rFonts w:eastAsiaTheme="majorEastAsia"/>
            <w:noProof/>
            <w:sz w:val="22"/>
            <w:szCs w:val="22"/>
          </w:rPr>
          <w:t>Tabla 2.  Proyecciones de crecimiento económico en 2023</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_Toc143871209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11</w:t>
        </w:r>
        <w:r w:rsidR="00F62B40" w:rsidRPr="00F62B40">
          <w:rPr>
            <w:noProof/>
            <w:webHidden/>
            <w:sz w:val="22"/>
            <w:szCs w:val="22"/>
          </w:rPr>
          <w:fldChar w:fldCharType="end"/>
        </w:r>
      </w:hyperlink>
    </w:p>
    <w:p w14:paraId="0237FD24" w14:textId="07D3C92F"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10" w:history="1">
        <w:r w:rsidR="00F62B40" w:rsidRPr="00F62B40">
          <w:rPr>
            <w:rStyle w:val="Hipervnculo"/>
            <w:rFonts w:eastAsiaTheme="majorEastAsia"/>
            <w:noProof/>
            <w:sz w:val="22"/>
            <w:szCs w:val="22"/>
          </w:rPr>
          <w:t>Tabla 3.  Proyecciones de crecimiento de Estados Unidos, México</w:t>
        </w:r>
        <w:r w:rsidR="00F62B40">
          <w:rPr>
            <w:rStyle w:val="Hipervnculo"/>
            <w:rFonts w:eastAsiaTheme="majorEastAsia"/>
            <w:noProof/>
            <w:sz w:val="22"/>
            <w:szCs w:val="22"/>
          </w:rPr>
          <w:t xml:space="preserve"> y</w:t>
        </w:r>
        <w:r w:rsidR="00F62B40" w:rsidRPr="00F62B40">
          <w:rPr>
            <w:rStyle w:val="Hipervnculo"/>
            <w:rFonts w:eastAsiaTheme="majorEastAsia"/>
            <w:noProof/>
            <w:sz w:val="22"/>
            <w:szCs w:val="22"/>
          </w:rPr>
          <w:t xml:space="preserve"> Centro América</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_Toc143871210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12</w:t>
        </w:r>
        <w:r w:rsidR="00F62B40" w:rsidRPr="00F62B40">
          <w:rPr>
            <w:noProof/>
            <w:webHidden/>
            <w:sz w:val="22"/>
            <w:szCs w:val="22"/>
          </w:rPr>
          <w:fldChar w:fldCharType="end"/>
        </w:r>
      </w:hyperlink>
    </w:p>
    <w:p w14:paraId="38F6F5CA" w14:textId="3FFA05B4"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11" w:history="1">
        <w:r w:rsidR="00F62B40" w:rsidRPr="00F62B40">
          <w:rPr>
            <w:rStyle w:val="Hipervnculo"/>
            <w:rFonts w:eastAsiaTheme="majorEastAsia"/>
            <w:noProof/>
            <w:sz w:val="22"/>
            <w:szCs w:val="22"/>
          </w:rPr>
          <w:t>Tabla 4.  Producto Interno Bruto real por el enfoque de la producción</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_Toc143871211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16</w:t>
        </w:r>
        <w:r w:rsidR="00F62B40" w:rsidRPr="00F62B40">
          <w:rPr>
            <w:noProof/>
            <w:webHidden/>
            <w:sz w:val="22"/>
            <w:szCs w:val="22"/>
          </w:rPr>
          <w:fldChar w:fldCharType="end"/>
        </w:r>
      </w:hyperlink>
    </w:p>
    <w:p w14:paraId="75402A90" w14:textId="2D08E7DB"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12" w:history="1">
        <w:r w:rsidR="00F62B40" w:rsidRPr="00F62B40">
          <w:rPr>
            <w:rStyle w:val="Hipervnculo"/>
            <w:rFonts w:eastAsiaTheme="majorEastAsia"/>
            <w:noProof/>
            <w:sz w:val="22"/>
            <w:szCs w:val="22"/>
          </w:rPr>
          <w:t>Tabla 5.  Proyecciones del PIB por el enfoque de la producción en 2022</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_Toc143871212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31</w:t>
        </w:r>
        <w:r w:rsidR="00F62B40" w:rsidRPr="00F62B40">
          <w:rPr>
            <w:noProof/>
            <w:webHidden/>
            <w:sz w:val="22"/>
            <w:szCs w:val="22"/>
          </w:rPr>
          <w:fldChar w:fldCharType="end"/>
        </w:r>
      </w:hyperlink>
    </w:p>
    <w:p w14:paraId="39ADC189" w14:textId="02432D85"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13" w:history="1">
        <w:r w:rsidR="00F62B40" w:rsidRPr="00F62B40">
          <w:rPr>
            <w:rStyle w:val="Hipervnculo"/>
            <w:rFonts w:eastAsiaTheme="majorEastAsia"/>
            <w:noProof/>
            <w:sz w:val="22"/>
            <w:szCs w:val="22"/>
          </w:rPr>
          <w:t>Tabla 6.  Supuestos de mediano plazo de la economía internacional</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_Toc143871213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39</w:t>
        </w:r>
        <w:r w:rsidR="00F62B40" w:rsidRPr="00F62B40">
          <w:rPr>
            <w:noProof/>
            <w:webHidden/>
            <w:sz w:val="22"/>
            <w:szCs w:val="22"/>
          </w:rPr>
          <w:fldChar w:fldCharType="end"/>
        </w:r>
      </w:hyperlink>
    </w:p>
    <w:p w14:paraId="59E67BE9" w14:textId="6F4C0E06"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14" w:history="1">
        <w:r w:rsidR="00F62B40" w:rsidRPr="00F62B40">
          <w:rPr>
            <w:rStyle w:val="Hipervnculo"/>
            <w:rFonts w:eastAsiaTheme="majorEastAsia"/>
            <w:noProof/>
            <w:sz w:val="22"/>
            <w:szCs w:val="22"/>
          </w:rPr>
          <w:t xml:space="preserve">Tabla 7.  Supuestos de mediano plazo de la economía </w:t>
        </w:r>
        <w:r w:rsidR="00806295">
          <w:rPr>
            <w:rStyle w:val="Hipervnculo"/>
            <w:rFonts w:eastAsiaTheme="majorEastAsia"/>
            <w:noProof/>
            <w:sz w:val="22"/>
            <w:szCs w:val="22"/>
          </w:rPr>
          <w:t>n</w:t>
        </w:r>
        <w:r w:rsidR="00F62B40" w:rsidRPr="00F62B40">
          <w:rPr>
            <w:rStyle w:val="Hipervnculo"/>
            <w:rFonts w:eastAsiaTheme="majorEastAsia"/>
            <w:noProof/>
            <w:sz w:val="22"/>
            <w:szCs w:val="22"/>
          </w:rPr>
          <w:t>acional</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_Toc143871214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43</w:t>
        </w:r>
        <w:r w:rsidR="00F62B40" w:rsidRPr="00F62B40">
          <w:rPr>
            <w:noProof/>
            <w:webHidden/>
            <w:sz w:val="22"/>
            <w:szCs w:val="22"/>
          </w:rPr>
          <w:fldChar w:fldCharType="end"/>
        </w:r>
      </w:hyperlink>
    </w:p>
    <w:p w14:paraId="7A2C7CFF" w14:textId="02A3D6D6"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15" w:history="1">
        <w:r w:rsidR="00F62B40" w:rsidRPr="00F62B40">
          <w:rPr>
            <w:rStyle w:val="Hipervnculo"/>
            <w:rFonts w:eastAsiaTheme="majorEastAsia"/>
            <w:noProof/>
            <w:sz w:val="22"/>
            <w:szCs w:val="22"/>
          </w:rPr>
          <w:t>Tabla 8.  Escenario macroeconómico</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_Toc143871215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54</w:t>
        </w:r>
        <w:r w:rsidR="00F62B40" w:rsidRPr="00F62B40">
          <w:rPr>
            <w:noProof/>
            <w:webHidden/>
            <w:sz w:val="22"/>
            <w:szCs w:val="22"/>
          </w:rPr>
          <w:fldChar w:fldCharType="end"/>
        </w:r>
      </w:hyperlink>
    </w:p>
    <w:p w14:paraId="17C43D4C" w14:textId="3BD764A6"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16" w:history="1">
        <w:r w:rsidR="00F62B40" w:rsidRPr="00F62B40">
          <w:rPr>
            <w:rStyle w:val="Hipervnculo"/>
            <w:rFonts w:eastAsiaTheme="majorEastAsia"/>
            <w:noProof/>
            <w:sz w:val="22"/>
            <w:szCs w:val="22"/>
          </w:rPr>
          <w:t>Tabla 9.  Ejecución de programas de entidades seleccionadas</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_Toc143871216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63</w:t>
        </w:r>
        <w:r w:rsidR="00F62B40" w:rsidRPr="00F62B40">
          <w:rPr>
            <w:noProof/>
            <w:webHidden/>
            <w:sz w:val="22"/>
            <w:szCs w:val="22"/>
          </w:rPr>
          <w:fldChar w:fldCharType="end"/>
        </w:r>
      </w:hyperlink>
    </w:p>
    <w:p w14:paraId="5E704D6C" w14:textId="6ED2102D"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17" w:history="1">
        <w:r w:rsidR="00F62B40" w:rsidRPr="00F62B40">
          <w:rPr>
            <w:rStyle w:val="Hipervnculo"/>
            <w:rFonts w:eastAsiaTheme="majorEastAsia"/>
            <w:noProof/>
            <w:sz w:val="22"/>
            <w:szCs w:val="22"/>
          </w:rPr>
          <w:t xml:space="preserve">Tabla 10.  </w:t>
        </w:r>
        <w:r w:rsidR="00F62B40" w:rsidRPr="00F62B40">
          <w:rPr>
            <w:rStyle w:val="Hipervnculo"/>
            <w:rFonts w:eastAsiaTheme="majorEastAsia"/>
            <w:noProof/>
            <w:sz w:val="22"/>
            <w:szCs w:val="22"/>
            <w:lang w:val="es-ES_tradnl" w:eastAsia="es-ES"/>
          </w:rPr>
          <w:t>Seguimiento de programas en atención a las declaratorias de estados de calamidad</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_Toc143871217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68</w:t>
        </w:r>
        <w:r w:rsidR="00F62B40" w:rsidRPr="00F62B40">
          <w:rPr>
            <w:noProof/>
            <w:webHidden/>
            <w:sz w:val="22"/>
            <w:szCs w:val="22"/>
          </w:rPr>
          <w:fldChar w:fldCharType="end"/>
        </w:r>
      </w:hyperlink>
    </w:p>
    <w:p w14:paraId="155706A6" w14:textId="0B6021C7"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18" w:history="1">
        <w:r w:rsidR="00F62B40" w:rsidRPr="00F62B40">
          <w:rPr>
            <w:rStyle w:val="Hipervnculo"/>
            <w:rFonts w:eastAsiaTheme="majorEastAsia"/>
            <w:noProof/>
            <w:sz w:val="22"/>
            <w:szCs w:val="22"/>
          </w:rPr>
          <w:t>Tabla 11.  Desembolsos de préstamos por organismo y destino 2022</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_Toc143871218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70</w:t>
        </w:r>
        <w:r w:rsidR="00F62B40" w:rsidRPr="00F62B40">
          <w:rPr>
            <w:noProof/>
            <w:webHidden/>
            <w:sz w:val="22"/>
            <w:szCs w:val="22"/>
          </w:rPr>
          <w:fldChar w:fldCharType="end"/>
        </w:r>
      </w:hyperlink>
    </w:p>
    <w:p w14:paraId="46A6BCAF" w14:textId="0C44B187"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19" w:history="1">
        <w:r w:rsidR="00F62B40" w:rsidRPr="00F62B40">
          <w:rPr>
            <w:rStyle w:val="Hipervnculo"/>
            <w:rFonts w:eastAsiaTheme="majorEastAsia"/>
            <w:noProof/>
            <w:sz w:val="22"/>
            <w:szCs w:val="22"/>
          </w:rPr>
          <w:t xml:space="preserve">Tabla 12.  </w:t>
        </w:r>
        <w:r w:rsidR="00F62B40" w:rsidRPr="00F62B40">
          <w:rPr>
            <w:rStyle w:val="Hipervnculo"/>
            <w:rFonts w:eastAsiaTheme="majorEastAsia"/>
            <w:noProof/>
            <w:sz w:val="22"/>
            <w:szCs w:val="22"/>
            <w:lang w:eastAsia="en-US"/>
          </w:rPr>
          <w:t>Sector público no financiero, cuenta económica consolidada</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_Toc143871219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72</w:t>
        </w:r>
        <w:r w:rsidR="00F62B40" w:rsidRPr="00F62B40">
          <w:rPr>
            <w:noProof/>
            <w:webHidden/>
            <w:sz w:val="22"/>
            <w:szCs w:val="22"/>
          </w:rPr>
          <w:fldChar w:fldCharType="end"/>
        </w:r>
      </w:hyperlink>
    </w:p>
    <w:p w14:paraId="05A17020" w14:textId="4BE0B383"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20" w:history="1">
        <w:r w:rsidR="00F62B40" w:rsidRPr="00F62B40">
          <w:rPr>
            <w:rStyle w:val="Hipervnculo"/>
            <w:rFonts w:eastAsiaTheme="majorEastAsia"/>
            <w:noProof/>
            <w:sz w:val="22"/>
            <w:szCs w:val="22"/>
          </w:rPr>
          <w:t>Tabla 13.  Metas de política fiscal para el período 2022-2026</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_Toc143871220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73</w:t>
        </w:r>
        <w:r w:rsidR="00F62B40" w:rsidRPr="00F62B40">
          <w:rPr>
            <w:noProof/>
            <w:webHidden/>
            <w:sz w:val="22"/>
            <w:szCs w:val="22"/>
          </w:rPr>
          <w:fldChar w:fldCharType="end"/>
        </w:r>
      </w:hyperlink>
    </w:p>
    <w:p w14:paraId="1D573A58" w14:textId="40FFC14C"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21" w:history="1">
        <w:r w:rsidR="00F62B40" w:rsidRPr="00F62B40">
          <w:rPr>
            <w:rStyle w:val="Hipervnculo"/>
            <w:rFonts w:eastAsiaTheme="majorEastAsia"/>
            <w:noProof/>
            <w:sz w:val="22"/>
            <w:szCs w:val="22"/>
          </w:rPr>
          <w:t>Tabla 14.  Seguimiento de programas en atención a los estados de calamidad pública</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_Toc143871221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96</w:t>
        </w:r>
        <w:r w:rsidR="00F62B40" w:rsidRPr="00F62B40">
          <w:rPr>
            <w:noProof/>
            <w:webHidden/>
            <w:sz w:val="22"/>
            <w:szCs w:val="22"/>
          </w:rPr>
          <w:fldChar w:fldCharType="end"/>
        </w:r>
      </w:hyperlink>
    </w:p>
    <w:p w14:paraId="3665F6B8" w14:textId="10B3B95B"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22" w:history="1">
        <w:r w:rsidR="00F62B40" w:rsidRPr="00F62B40">
          <w:rPr>
            <w:rStyle w:val="Hipervnculo"/>
            <w:rFonts w:eastAsiaTheme="majorEastAsia"/>
            <w:noProof/>
            <w:sz w:val="22"/>
            <w:szCs w:val="22"/>
          </w:rPr>
          <w:t>Tabla 15.  Préstamos relevantes en trámite de aprobación</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_Toc143871222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97</w:t>
        </w:r>
        <w:r w:rsidR="00F62B40" w:rsidRPr="00F62B40">
          <w:rPr>
            <w:noProof/>
            <w:webHidden/>
            <w:sz w:val="22"/>
            <w:szCs w:val="22"/>
          </w:rPr>
          <w:fldChar w:fldCharType="end"/>
        </w:r>
      </w:hyperlink>
    </w:p>
    <w:p w14:paraId="00B6C5E4" w14:textId="60533154"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23" w:history="1">
        <w:r w:rsidR="00F62B40" w:rsidRPr="00F62B40">
          <w:rPr>
            <w:rStyle w:val="Hipervnculo"/>
            <w:rFonts w:eastAsiaTheme="majorEastAsia"/>
            <w:noProof/>
            <w:sz w:val="22"/>
            <w:szCs w:val="22"/>
          </w:rPr>
          <w:t>Tabla 16.  Pilar 1: Economía, Competitividad y Prosperidad</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_Toc143871223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114</w:t>
        </w:r>
        <w:r w:rsidR="00F62B40" w:rsidRPr="00F62B40">
          <w:rPr>
            <w:noProof/>
            <w:webHidden/>
            <w:sz w:val="22"/>
            <w:szCs w:val="22"/>
          </w:rPr>
          <w:fldChar w:fldCharType="end"/>
        </w:r>
      </w:hyperlink>
    </w:p>
    <w:p w14:paraId="7ED27585" w14:textId="5A1B47BB"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24" w:history="1">
        <w:r w:rsidR="00F62B40" w:rsidRPr="00F62B40">
          <w:rPr>
            <w:rStyle w:val="Hipervnculo"/>
            <w:rFonts w:eastAsiaTheme="majorEastAsia"/>
            <w:noProof/>
            <w:sz w:val="22"/>
            <w:szCs w:val="22"/>
          </w:rPr>
          <w:t>Tabla 17.  Pilar 2a: Desarrollo social - educación</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_Toc143871224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116</w:t>
        </w:r>
        <w:r w:rsidR="00F62B40" w:rsidRPr="00F62B40">
          <w:rPr>
            <w:noProof/>
            <w:webHidden/>
            <w:sz w:val="22"/>
            <w:szCs w:val="22"/>
          </w:rPr>
          <w:fldChar w:fldCharType="end"/>
        </w:r>
      </w:hyperlink>
    </w:p>
    <w:p w14:paraId="6AF36A46" w14:textId="70FC9052"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25" w:history="1">
        <w:r w:rsidR="00F62B40" w:rsidRPr="00F62B40">
          <w:rPr>
            <w:rStyle w:val="Hipervnculo"/>
            <w:rFonts w:eastAsiaTheme="majorEastAsia"/>
            <w:noProof/>
            <w:sz w:val="22"/>
            <w:szCs w:val="22"/>
          </w:rPr>
          <w:t>Tabla 18.  Pilar 2b: Desarrollo social - salud</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_Toc143871225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117</w:t>
        </w:r>
        <w:r w:rsidR="00F62B40" w:rsidRPr="00F62B40">
          <w:rPr>
            <w:noProof/>
            <w:webHidden/>
            <w:sz w:val="22"/>
            <w:szCs w:val="22"/>
          </w:rPr>
          <w:fldChar w:fldCharType="end"/>
        </w:r>
      </w:hyperlink>
    </w:p>
    <w:p w14:paraId="1740E7A8" w14:textId="4C71B609"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26" w:history="1">
        <w:r w:rsidR="00F62B40" w:rsidRPr="00F62B40">
          <w:rPr>
            <w:rStyle w:val="Hipervnculo"/>
            <w:rFonts w:eastAsiaTheme="majorEastAsia"/>
            <w:noProof/>
            <w:sz w:val="22"/>
            <w:szCs w:val="22"/>
          </w:rPr>
          <w:t>Tabla 19.  Pilar 2c: Desarrollo social - Protección social y vivienda</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_Toc143871226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118</w:t>
        </w:r>
        <w:r w:rsidR="00F62B40" w:rsidRPr="00F62B40">
          <w:rPr>
            <w:noProof/>
            <w:webHidden/>
            <w:sz w:val="22"/>
            <w:szCs w:val="22"/>
          </w:rPr>
          <w:fldChar w:fldCharType="end"/>
        </w:r>
      </w:hyperlink>
    </w:p>
    <w:p w14:paraId="3003E4FC" w14:textId="06747133"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27" w:history="1">
        <w:r w:rsidR="00F62B40" w:rsidRPr="00F62B40">
          <w:rPr>
            <w:rStyle w:val="Hipervnculo"/>
            <w:rFonts w:eastAsiaTheme="majorEastAsia"/>
            <w:noProof/>
            <w:sz w:val="22"/>
            <w:szCs w:val="22"/>
          </w:rPr>
          <w:t>Tabla 20.  Pilar 3: Gobernabilidad y seguridad en desarrollo</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_Toc143871227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120</w:t>
        </w:r>
        <w:r w:rsidR="00F62B40" w:rsidRPr="00F62B40">
          <w:rPr>
            <w:noProof/>
            <w:webHidden/>
            <w:sz w:val="22"/>
            <w:szCs w:val="22"/>
          </w:rPr>
          <w:fldChar w:fldCharType="end"/>
        </w:r>
      </w:hyperlink>
    </w:p>
    <w:p w14:paraId="20745FEE" w14:textId="1850B958"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28" w:history="1">
        <w:r w:rsidR="00F62B40" w:rsidRPr="00F62B40">
          <w:rPr>
            <w:rStyle w:val="Hipervnculo"/>
            <w:rFonts w:eastAsiaTheme="majorEastAsia"/>
            <w:noProof/>
            <w:sz w:val="22"/>
            <w:szCs w:val="22"/>
          </w:rPr>
          <w:t>Tabla 21.  Pilar 4: Estado responsable, transparente y efectivo</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_Toc143871228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121</w:t>
        </w:r>
        <w:r w:rsidR="00F62B40" w:rsidRPr="00F62B40">
          <w:rPr>
            <w:noProof/>
            <w:webHidden/>
            <w:sz w:val="22"/>
            <w:szCs w:val="22"/>
          </w:rPr>
          <w:fldChar w:fldCharType="end"/>
        </w:r>
      </w:hyperlink>
    </w:p>
    <w:p w14:paraId="2B90F2C5" w14:textId="2324E3DA"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29" w:history="1">
        <w:r w:rsidR="00F62B40" w:rsidRPr="00F62B40">
          <w:rPr>
            <w:rStyle w:val="Hipervnculo"/>
            <w:rFonts w:eastAsiaTheme="majorEastAsia"/>
            <w:noProof/>
            <w:sz w:val="22"/>
            <w:szCs w:val="22"/>
          </w:rPr>
          <w:t>Tabla 22.  Pilar 5: Relaciones con el mundo</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_Toc143871229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122</w:t>
        </w:r>
        <w:r w:rsidR="00F62B40" w:rsidRPr="00F62B40">
          <w:rPr>
            <w:noProof/>
            <w:webHidden/>
            <w:sz w:val="22"/>
            <w:szCs w:val="22"/>
          </w:rPr>
          <w:fldChar w:fldCharType="end"/>
        </w:r>
      </w:hyperlink>
    </w:p>
    <w:p w14:paraId="72BE4A14" w14:textId="68F84018"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30" w:history="1">
        <w:r w:rsidR="00F62B40" w:rsidRPr="00F62B40">
          <w:rPr>
            <w:rStyle w:val="Hipervnculo"/>
            <w:rFonts w:eastAsiaTheme="majorEastAsia"/>
            <w:noProof/>
            <w:sz w:val="22"/>
            <w:szCs w:val="22"/>
          </w:rPr>
          <w:t xml:space="preserve">Tabla 23.  </w:t>
        </w:r>
        <w:r w:rsidR="00F62B40" w:rsidRPr="00F62B40">
          <w:rPr>
            <w:rStyle w:val="Hipervnculo"/>
            <w:rFonts w:eastAsiaTheme="majorEastAsia"/>
            <w:noProof/>
            <w:sz w:val="22"/>
            <w:szCs w:val="22"/>
            <w:lang w:eastAsia="en-US"/>
          </w:rPr>
          <w:t>Base de estimación por impuesto</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_Toc143871230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127</w:t>
        </w:r>
        <w:r w:rsidR="00F62B40" w:rsidRPr="00F62B40">
          <w:rPr>
            <w:noProof/>
            <w:webHidden/>
            <w:sz w:val="22"/>
            <w:szCs w:val="22"/>
          </w:rPr>
          <w:fldChar w:fldCharType="end"/>
        </w:r>
      </w:hyperlink>
    </w:p>
    <w:p w14:paraId="092CCB4B" w14:textId="3260F4FA"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31" w:history="1">
        <w:r w:rsidR="00F62B40" w:rsidRPr="00F62B40">
          <w:rPr>
            <w:rStyle w:val="Hipervnculo"/>
            <w:rFonts w:eastAsiaTheme="majorEastAsia"/>
            <w:noProof/>
            <w:sz w:val="22"/>
            <w:szCs w:val="22"/>
          </w:rPr>
          <w:t xml:space="preserve">Tabla 24.  </w:t>
        </w:r>
        <w:r w:rsidR="00F62B40" w:rsidRPr="00F62B40">
          <w:rPr>
            <w:rStyle w:val="Hipervnculo"/>
            <w:rFonts w:eastAsiaTheme="majorEastAsia"/>
            <w:noProof/>
            <w:sz w:val="22"/>
            <w:szCs w:val="22"/>
            <w:lang w:eastAsia="en-US"/>
          </w:rPr>
          <w:t>Escenario macroeconómico 2022-2028</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_Toc143871231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128</w:t>
        </w:r>
        <w:r w:rsidR="00F62B40" w:rsidRPr="00F62B40">
          <w:rPr>
            <w:noProof/>
            <w:webHidden/>
            <w:sz w:val="22"/>
            <w:szCs w:val="22"/>
          </w:rPr>
          <w:fldChar w:fldCharType="end"/>
        </w:r>
      </w:hyperlink>
    </w:p>
    <w:p w14:paraId="167FB0A0" w14:textId="07F82396"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32" w:history="1">
        <w:r w:rsidR="00F62B40" w:rsidRPr="00F62B40">
          <w:rPr>
            <w:rStyle w:val="Hipervnculo"/>
            <w:rFonts w:eastAsiaTheme="majorEastAsia"/>
            <w:noProof/>
            <w:sz w:val="22"/>
            <w:szCs w:val="22"/>
          </w:rPr>
          <w:t xml:space="preserve">Tabla 25.  </w:t>
        </w:r>
        <w:r w:rsidR="00F62B40" w:rsidRPr="00F62B40">
          <w:rPr>
            <w:rStyle w:val="Hipervnculo"/>
            <w:rFonts w:eastAsiaTheme="majorEastAsia"/>
            <w:noProof/>
            <w:sz w:val="22"/>
            <w:szCs w:val="22"/>
            <w:lang w:eastAsia="en-US"/>
          </w:rPr>
          <w:t>Recaudación tributaria neta</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_Toc143871232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129</w:t>
        </w:r>
        <w:r w:rsidR="00F62B40" w:rsidRPr="00F62B40">
          <w:rPr>
            <w:noProof/>
            <w:webHidden/>
            <w:sz w:val="22"/>
            <w:szCs w:val="22"/>
          </w:rPr>
          <w:fldChar w:fldCharType="end"/>
        </w:r>
      </w:hyperlink>
    </w:p>
    <w:p w14:paraId="3BA79C54" w14:textId="3B5AEB9F"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33" w:history="1">
        <w:r w:rsidR="00F62B40" w:rsidRPr="00F62B40">
          <w:rPr>
            <w:rStyle w:val="Hipervnculo"/>
            <w:rFonts w:eastAsiaTheme="majorEastAsia"/>
            <w:iCs/>
            <w:noProof/>
            <w:sz w:val="22"/>
            <w:szCs w:val="22"/>
          </w:rPr>
          <w:t>Tabla 26 Escenario macroeconómico medio</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_Toc143871233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131</w:t>
        </w:r>
        <w:r w:rsidR="00F62B40" w:rsidRPr="00F62B40">
          <w:rPr>
            <w:noProof/>
            <w:webHidden/>
            <w:sz w:val="22"/>
            <w:szCs w:val="22"/>
          </w:rPr>
          <w:fldChar w:fldCharType="end"/>
        </w:r>
      </w:hyperlink>
    </w:p>
    <w:p w14:paraId="282510D1" w14:textId="7FFA4EE3"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34" w:history="1">
        <w:r w:rsidR="00F62B40" w:rsidRPr="00F62B40">
          <w:rPr>
            <w:rStyle w:val="Hipervnculo"/>
            <w:rFonts w:eastAsiaTheme="majorEastAsia"/>
            <w:noProof/>
            <w:sz w:val="22"/>
            <w:szCs w:val="22"/>
          </w:rPr>
          <w:t>Tabla 27 Proyección de recaudación tributaria</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_Toc143871234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131</w:t>
        </w:r>
        <w:r w:rsidR="00F62B40" w:rsidRPr="00F62B40">
          <w:rPr>
            <w:noProof/>
            <w:webHidden/>
            <w:sz w:val="22"/>
            <w:szCs w:val="22"/>
          </w:rPr>
          <w:fldChar w:fldCharType="end"/>
        </w:r>
      </w:hyperlink>
    </w:p>
    <w:p w14:paraId="3102F4A6" w14:textId="33352681"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35" w:history="1">
        <w:r w:rsidR="00F62B40" w:rsidRPr="00F62B40">
          <w:rPr>
            <w:rStyle w:val="Hipervnculo"/>
            <w:rFonts w:eastAsiaTheme="majorEastAsia"/>
            <w:iCs/>
            <w:noProof/>
            <w:sz w:val="22"/>
            <w:szCs w:val="22"/>
          </w:rPr>
          <w:t>Tabla 28 Escenario macroeconómico alto</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_Toc143871235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132</w:t>
        </w:r>
        <w:r w:rsidR="00F62B40" w:rsidRPr="00F62B40">
          <w:rPr>
            <w:noProof/>
            <w:webHidden/>
            <w:sz w:val="22"/>
            <w:szCs w:val="22"/>
          </w:rPr>
          <w:fldChar w:fldCharType="end"/>
        </w:r>
      </w:hyperlink>
    </w:p>
    <w:p w14:paraId="59704C29" w14:textId="48310D72"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36" w:history="1">
        <w:r w:rsidR="00F62B40" w:rsidRPr="00F62B40">
          <w:rPr>
            <w:rStyle w:val="Hipervnculo"/>
            <w:rFonts w:eastAsiaTheme="majorEastAsia"/>
            <w:noProof/>
            <w:sz w:val="22"/>
            <w:szCs w:val="22"/>
          </w:rPr>
          <w:t>Tabla 29 Proyección de recaudación tributaria</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_Toc143871236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133</w:t>
        </w:r>
        <w:r w:rsidR="00F62B40" w:rsidRPr="00F62B40">
          <w:rPr>
            <w:noProof/>
            <w:webHidden/>
            <w:sz w:val="22"/>
            <w:szCs w:val="22"/>
          </w:rPr>
          <w:fldChar w:fldCharType="end"/>
        </w:r>
      </w:hyperlink>
    </w:p>
    <w:p w14:paraId="4426A227" w14:textId="358E181D"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37" w:history="1">
        <w:r w:rsidR="00F62B40" w:rsidRPr="00F62B40">
          <w:rPr>
            <w:rStyle w:val="Hipervnculo"/>
            <w:rFonts w:eastAsiaTheme="majorEastAsia"/>
            <w:noProof/>
            <w:sz w:val="22"/>
            <w:szCs w:val="22"/>
          </w:rPr>
          <w:t>Tabla 30.  Proyección para techos presupuestarios 2024-2028*</w:t>
        </w:r>
        <w:r w:rsidR="00F62B40">
          <w:rPr>
            <w:rStyle w:val="Hipervnculo"/>
            <w:rFonts w:eastAsiaTheme="majorEastAsia"/>
            <w:noProof/>
            <w:sz w:val="22"/>
            <w:szCs w:val="22"/>
          </w:rPr>
          <w:t xml:space="preserve"> (% del PIB)</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_Toc143871237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139</w:t>
        </w:r>
        <w:r w:rsidR="00F62B40" w:rsidRPr="00F62B40">
          <w:rPr>
            <w:noProof/>
            <w:webHidden/>
            <w:sz w:val="22"/>
            <w:szCs w:val="22"/>
          </w:rPr>
          <w:fldChar w:fldCharType="end"/>
        </w:r>
      </w:hyperlink>
    </w:p>
    <w:p w14:paraId="1927832B" w14:textId="7B7668FD"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38" w:history="1">
        <w:r w:rsidR="00F62B40" w:rsidRPr="00F62B40">
          <w:rPr>
            <w:rStyle w:val="Hipervnculo"/>
            <w:rFonts w:eastAsiaTheme="majorEastAsia"/>
            <w:noProof/>
            <w:sz w:val="22"/>
            <w:szCs w:val="22"/>
          </w:rPr>
          <w:t>Tabla 31.  Proyección para techos presupuestarios 2024-2028*</w:t>
        </w:r>
        <w:r w:rsidR="00F62B40">
          <w:rPr>
            <w:rStyle w:val="Hipervnculo"/>
            <w:rFonts w:eastAsiaTheme="majorEastAsia"/>
            <w:noProof/>
            <w:sz w:val="22"/>
            <w:szCs w:val="22"/>
          </w:rPr>
          <w:t>(Q)</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_Toc143871238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139</w:t>
        </w:r>
        <w:r w:rsidR="00F62B40" w:rsidRPr="00F62B40">
          <w:rPr>
            <w:noProof/>
            <w:webHidden/>
            <w:sz w:val="22"/>
            <w:szCs w:val="22"/>
          </w:rPr>
          <w:fldChar w:fldCharType="end"/>
        </w:r>
      </w:hyperlink>
    </w:p>
    <w:p w14:paraId="1BDFC9A9" w14:textId="7DD01356"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39" w:history="1">
        <w:r w:rsidR="00F62B40" w:rsidRPr="00F62B40">
          <w:rPr>
            <w:rStyle w:val="Hipervnculo"/>
            <w:rFonts w:eastAsiaTheme="majorEastAsia"/>
            <w:noProof/>
            <w:sz w:val="22"/>
            <w:szCs w:val="22"/>
          </w:rPr>
          <w:t>Tabla 32. Proyección de desembolsos de préstamos externos 2024-2028</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_Toc143871239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142</w:t>
        </w:r>
        <w:r w:rsidR="00F62B40" w:rsidRPr="00F62B40">
          <w:rPr>
            <w:noProof/>
            <w:webHidden/>
            <w:sz w:val="22"/>
            <w:szCs w:val="22"/>
          </w:rPr>
          <w:fldChar w:fldCharType="end"/>
        </w:r>
      </w:hyperlink>
    </w:p>
    <w:p w14:paraId="73482558" w14:textId="37732881"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40" w:history="1">
        <w:r w:rsidR="00F62B40" w:rsidRPr="00F62B40">
          <w:rPr>
            <w:rStyle w:val="Hipervnculo"/>
            <w:rFonts w:eastAsiaTheme="majorEastAsia"/>
            <w:noProof/>
            <w:sz w:val="22"/>
            <w:szCs w:val="22"/>
          </w:rPr>
          <w:t>Tabla 33.  Proyectos nuevos y de arrastre para el ejercicio fiscal 2024 por sector</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_Toc143871240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144</w:t>
        </w:r>
        <w:r w:rsidR="00F62B40" w:rsidRPr="00F62B40">
          <w:rPr>
            <w:noProof/>
            <w:webHidden/>
            <w:sz w:val="22"/>
            <w:szCs w:val="22"/>
          </w:rPr>
          <w:fldChar w:fldCharType="end"/>
        </w:r>
      </w:hyperlink>
    </w:p>
    <w:p w14:paraId="31CD8FB7" w14:textId="459E1E6A" w:rsidR="00F62B40" w:rsidRP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41" w:history="1">
        <w:r w:rsidR="00F62B40" w:rsidRPr="00F62B40">
          <w:rPr>
            <w:rStyle w:val="Hipervnculo"/>
            <w:rFonts w:eastAsiaTheme="majorEastAsia"/>
            <w:noProof/>
            <w:sz w:val="22"/>
            <w:szCs w:val="22"/>
          </w:rPr>
          <w:t>Tabla 34.  Proyectos con programación multianual de Inversión Pública por Entidad</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_Toc143871241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150</w:t>
        </w:r>
        <w:r w:rsidR="00F62B40" w:rsidRPr="00F62B40">
          <w:rPr>
            <w:noProof/>
            <w:webHidden/>
            <w:sz w:val="22"/>
            <w:szCs w:val="22"/>
          </w:rPr>
          <w:fldChar w:fldCharType="end"/>
        </w:r>
      </w:hyperlink>
    </w:p>
    <w:p w14:paraId="360F24F1" w14:textId="0D9C4FD0" w:rsidR="00F62B40" w:rsidRDefault="005A30CD">
      <w:pPr>
        <w:pStyle w:val="Tabladeilustraciones"/>
        <w:tabs>
          <w:tab w:val="right" w:leader="dot" w:pos="9621"/>
        </w:tabs>
        <w:rPr>
          <w:rFonts w:asciiTheme="minorHAnsi" w:eastAsiaTheme="minorEastAsia" w:hAnsiTheme="minorHAnsi" w:cstheme="minorBidi"/>
          <w:noProof/>
          <w:sz w:val="22"/>
          <w:szCs w:val="22"/>
        </w:rPr>
      </w:pPr>
      <w:hyperlink w:anchor="_Toc143871242" w:history="1">
        <w:r w:rsidR="00F62B40" w:rsidRPr="00F62B40">
          <w:rPr>
            <w:rStyle w:val="Hipervnculo"/>
            <w:rFonts w:eastAsiaTheme="majorEastAsia"/>
            <w:noProof/>
            <w:sz w:val="22"/>
            <w:szCs w:val="22"/>
          </w:rPr>
          <w:t>Tabla 35.  Necesidades Brutas de Financiamiento</w:t>
        </w:r>
        <w:r w:rsidR="00F62B40" w:rsidRPr="00F62B40">
          <w:rPr>
            <w:noProof/>
            <w:webHidden/>
            <w:sz w:val="22"/>
            <w:szCs w:val="22"/>
          </w:rPr>
          <w:tab/>
        </w:r>
        <w:r w:rsidR="00F62B40" w:rsidRPr="00F62B40">
          <w:rPr>
            <w:noProof/>
            <w:webHidden/>
            <w:sz w:val="22"/>
            <w:szCs w:val="22"/>
          </w:rPr>
          <w:fldChar w:fldCharType="begin"/>
        </w:r>
        <w:r w:rsidR="00F62B40" w:rsidRPr="00F62B40">
          <w:rPr>
            <w:noProof/>
            <w:webHidden/>
            <w:sz w:val="22"/>
            <w:szCs w:val="22"/>
          </w:rPr>
          <w:instrText xml:space="preserve"> PAGEREF _Toc143871242 \h </w:instrText>
        </w:r>
        <w:r w:rsidR="00F62B40" w:rsidRPr="00F62B40">
          <w:rPr>
            <w:noProof/>
            <w:webHidden/>
            <w:sz w:val="22"/>
            <w:szCs w:val="22"/>
          </w:rPr>
        </w:r>
        <w:r w:rsidR="00F62B40" w:rsidRPr="00F62B40">
          <w:rPr>
            <w:noProof/>
            <w:webHidden/>
            <w:sz w:val="22"/>
            <w:szCs w:val="22"/>
          </w:rPr>
          <w:fldChar w:fldCharType="separate"/>
        </w:r>
        <w:r w:rsidR="00D84E7F">
          <w:rPr>
            <w:noProof/>
            <w:webHidden/>
            <w:sz w:val="22"/>
            <w:szCs w:val="22"/>
          </w:rPr>
          <w:t>153</w:t>
        </w:r>
        <w:r w:rsidR="00F62B40" w:rsidRPr="00F62B40">
          <w:rPr>
            <w:noProof/>
            <w:webHidden/>
            <w:sz w:val="22"/>
            <w:szCs w:val="22"/>
          </w:rPr>
          <w:fldChar w:fldCharType="end"/>
        </w:r>
      </w:hyperlink>
    </w:p>
    <w:p w14:paraId="6CB84408" w14:textId="0ED4DE65" w:rsidR="0071370B" w:rsidRDefault="0071370B" w:rsidP="00096808">
      <w:pPr>
        <w:ind w:right="3962"/>
        <w:rPr>
          <w:sz w:val="28"/>
        </w:rPr>
        <w:sectPr w:rsidR="0071370B" w:rsidSect="00096808">
          <w:headerReference w:type="default" r:id="rId8"/>
          <w:footerReference w:type="default" r:id="rId9"/>
          <w:pgSz w:w="12240" w:h="15840" w:code="1"/>
          <w:pgMar w:top="1503" w:right="1469" w:bottom="278" w:left="1140" w:header="720" w:footer="720" w:gutter="0"/>
          <w:pgNumType w:fmt="lowerLetter" w:start="1"/>
          <w:cols w:space="720"/>
          <w:titlePg/>
        </w:sectPr>
      </w:pPr>
      <w:r w:rsidRPr="000F1270">
        <w:rPr>
          <w:sz w:val="22"/>
          <w:szCs w:val="22"/>
        </w:rPr>
        <w:fldChar w:fldCharType="end"/>
      </w:r>
      <w:r w:rsidR="007F2934">
        <w:rPr>
          <w:sz w:val="22"/>
          <w:szCs w:val="22"/>
        </w:rPr>
        <w:br w:type="page"/>
      </w:r>
    </w:p>
    <w:p w14:paraId="39F3AADC" w14:textId="305DCD34" w:rsidR="005954CA" w:rsidRDefault="005954CA" w:rsidP="00927815">
      <w:pPr>
        <w:pStyle w:val="Ttulo1"/>
        <w:numPr>
          <w:ilvl w:val="0"/>
          <w:numId w:val="0"/>
        </w:numPr>
        <w:ind w:right="2311"/>
        <w:jc w:val="center"/>
      </w:pPr>
      <w:bookmarkStart w:id="0" w:name="_Toc104795704"/>
      <w:r>
        <w:t xml:space="preserve">                                  </w:t>
      </w:r>
      <w:bookmarkStart w:id="1" w:name="_Toc143865768"/>
      <w:r w:rsidRPr="00DD47D1">
        <w:t>Introducción</w:t>
      </w:r>
      <w:bookmarkEnd w:id="0"/>
      <w:bookmarkEnd w:id="1"/>
    </w:p>
    <w:p w14:paraId="2BEA52EA" w14:textId="30E716B7" w:rsidR="00587CDB" w:rsidRDefault="00587CDB" w:rsidP="005954CA">
      <w:pPr>
        <w:jc w:val="both"/>
      </w:pPr>
    </w:p>
    <w:p w14:paraId="28157D93" w14:textId="3B6CCA1F" w:rsidR="005954CA" w:rsidRDefault="005954CA" w:rsidP="005954CA">
      <w:pPr>
        <w:jc w:val="both"/>
      </w:pPr>
      <w:r>
        <w:t>La Dirección de Análisis y Política Fiscal -DAPF-</w:t>
      </w:r>
      <w:r w:rsidR="00A5531A">
        <w:t xml:space="preserve">, </w:t>
      </w:r>
      <w:r>
        <w:t xml:space="preserve">de conformidad con lo establecido en el Artículo 54 del Acuerdo Gubernativo, 112-2018, Reglamento Orgánico del Ministerio de Finanzas Públicas, es la dependencia encargada de la formulación de propuesta y seguimiento de la política fiscal; así como de concentrar y proveer información de índole fiscal, mediante análisis económicos y fiscales. </w:t>
      </w:r>
      <w:r w:rsidR="0047447B" w:rsidRPr="0047447B">
        <w:t>Asimismo, en las Normas para la Formulación Presupuestaria 2024-2028, específicamente en la norma 2, “Marco Fiscal de Mediano Plazo” -MFMP-, se establece que la DAPF realiza un análisis del escenario macroeconómico interno y externo sobre la base de las proyecciones provistas por el Banco de Guatemala, así como el escenario fiscal de mediano plazo que incluye la estimación de los ingresos tributarios (indicando los supuestos y metodología).  En virtud de ello, se ha elaborado el Marco Fiscal de Mediano Plazo (MFMP) para el período 2024-2028.</w:t>
      </w:r>
    </w:p>
    <w:p w14:paraId="5792ECB7" w14:textId="77777777" w:rsidR="0047447B" w:rsidRDefault="0047447B" w:rsidP="005954CA">
      <w:pPr>
        <w:jc w:val="both"/>
      </w:pPr>
    </w:p>
    <w:p w14:paraId="5B7F4658" w14:textId="315620BA" w:rsidR="005954CA" w:rsidRDefault="005954CA" w:rsidP="005954CA">
      <w:pPr>
        <w:jc w:val="both"/>
      </w:pPr>
      <w:r>
        <w:t xml:space="preserve">Este documento es elaborado como herramienta de apoyo para el análisis de las principales variables asociadas a la política fiscal para un período multianual de cinco años (2024-2028), con el propósito de fortalecer la transparencia, rendición de cuentas y la credibilidad de las finanzas públicas. En este sentido, es un instrumento de utilidad para el análisis ya que provee proyecciones macrofiscales de mediano plazo </w:t>
      </w:r>
      <w:r w:rsidR="0041675B">
        <w:t xml:space="preserve">que </w:t>
      </w:r>
      <w:r>
        <w:t xml:space="preserve">coadyuva a la </w:t>
      </w:r>
      <w:r w:rsidR="00A5531A">
        <w:t xml:space="preserve">determinación </w:t>
      </w:r>
      <w:r>
        <w:t>de los techos presupuestarios institucionales que elabora y presenta la Dirección Técnica del Presupuesto para la definición del Anteproyecto de Presupuesto General de Ingresos y Egresos del Estado para el Ejercicio Fiscal 2024.  Además, este documento permite entender la fuente y el tamaño de los desafíos fiscales, generando alertas tempranas sobre la sostenibilidad de la deuda pública, que se aborda con mayor detalle en la separata</w:t>
      </w:r>
      <w:r w:rsidR="0041675B">
        <w:t xml:space="preserve"> e informe</w:t>
      </w:r>
      <w:r>
        <w:t xml:space="preserve"> de riesgos fiscales.</w:t>
      </w:r>
    </w:p>
    <w:p w14:paraId="3CBA84EC" w14:textId="77777777" w:rsidR="005954CA" w:rsidRDefault="005954CA" w:rsidP="005954CA">
      <w:pPr>
        <w:jc w:val="both"/>
      </w:pPr>
    </w:p>
    <w:p w14:paraId="5A8A1B3D" w14:textId="16F49B65" w:rsidR="005954CA" w:rsidRDefault="005954CA" w:rsidP="005954CA">
      <w:pPr>
        <w:jc w:val="both"/>
      </w:pPr>
      <w:r>
        <w:t xml:space="preserve">La economía nacional e internacional, después del efecto económico provocado por la Pandemia del COVID-19 que se materializó en 2020 y que se extendió </w:t>
      </w:r>
      <w:r w:rsidR="00A5531A">
        <w:t xml:space="preserve">a </w:t>
      </w:r>
      <w:r>
        <w:t>2021 y con algunos efectos colaterales en 2022, se agudizó debido al conflicto geopolítico entre Rusia y Ucrania genera</w:t>
      </w:r>
      <w:r w:rsidR="00A5531A">
        <w:t>,</w:t>
      </w:r>
      <w:r>
        <w:t xml:space="preserve"> otra tensión importante en los mercados internacionales que afectó el abastecimiento del mercado y cre</w:t>
      </w:r>
      <w:r w:rsidR="00A5531A">
        <w:t>ó</w:t>
      </w:r>
      <w:r>
        <w:t xml:space="preserve"> una alta volatilidad en los precios de las materias primas, incidiendo también en los mercados financieros. Esta situación que aún persiste, aunque con menos volatilidad, sigue generando un escenario de incertidumbre mundial, situación que afecta el crecimiento de corto y mediano plazo.  Asimismo, en la economía nacional después de una fuerte recuperación en 2021, se observa ya para 2022</w:t>
      </w:r>
      <w:r w:rsidR="00A5531A">
        <w:t>,</w:t>
      </w:r>
      <w:r>
        <w:t xml:space="preserve"> una moderación en su crecimiento y </w:t>
      </w:r>
      <w:r w:rsidR="0041675B">
        <w:t xml:space="preserve">que </w:t>
      </w:r>
      <w:r>
        <w:t xml:space="preserve">se preserva en 2023 y en el mediano plazo ya que se espera el retorno a su tendencia histórica, muy cercana a su nivel potencial. </w:t>
      </w:r>
    </w:p>
    <w:p w14:paraId="7F43D444" w14:textId="77777777" w:rsidR="005954CA" w:rsidRDefault="005954CA" w:rsidP="005954CA">
      <w:pPr>
        <w:jc w:val="both"/>
      </w:pPr>
    </w:p>
    <w:p w14:paraId="68331E20" w14:textId="77777777" w:rsidR="005954CA" w:rsidRDefault="005954CA" w:rsidP="005954CA">
      <w:pPr>
        <w:jc w:val="both"/>
      </w:pPr>
      <w:r>
        <w:t xml:space="preserve">De esa cuenta, el planteamiento de un escenario de mediano plazo se constituye en una herramienta de apoyo para la toma de decisiones en materia de política fiscal.  La búsqueda de los equilibrios que apunten a un fortalecimiento del gasto público y la necesidad de contar con las fuentes de financiamiento son los factores prioritarios, dentro de un esquema de sostenibilidad de las finanzas públicas.  </w:t>
      </w:r>
    </w:p>
    <w:p w14:paraId="0C17A159" w14:textId="77777777" w:rsidR="005954CA" w:rsidRDefault="005954CA" w:rsidP="005954CA">
      <w:pPr>
        <w:jc w:val="both"/>
      </w:pPr>
    </w:p>
    <w:p w14:paraId="2C5F2B38" w14:textId="65AA78E4" w:rsidR="005954CA" w:rsidRDefault="005954CA" w:rsidP="005954CA">
      <w:pPr>
        <w:jc w:val="both"/>
      </w:pPr>
      <w:r>
        <w:t xml:space="preserve">El MFMP está estructurado con </w:t>
      </w:r>
      <w:r w:rsidR="005D11FF">
        <w:t>dos</w:t>
      </w:r>
      <w:r>
        <w:t xml:space="preserve"> apartados: </w:t>
      </w:r>
      <w:r w:rsidR="005D11FF">
        <w:t xml:space="preserve">el primero, denominado </w:t>
      </w:r>
      <w:r>
        <w:t>Análisis del Entorno Macroeconómico y Perspectivas de Mediano Plazo</w:t>
      </w:r>
      <w:r w:rsidR="00D5743C">
        <w:t>,</w:t>
      </w:r>
      <w:r>
        <w:t xml:space="preserve"> se analiza el contexto económico internacional de 2022-2023 y la evolución del desempeño sobre el cual la economía nacional viene </w:t>
      </w:r>
      <w:r w:rsidR="00D5743C">
        <w:t xml:space="preserve">desarrollándose </w:t>
      </w:r>
      <w:r>
        <w:t>y sus perspectivas de mediano plazo. En su segundo apartado se elabora el análisis del desempeño de la política fiscal de 2022, así como el comportamiento reciente y perspectivas del cierre 2023, para establecer el marco fiscal de mediano plazo que contiene las perspectivas 2024-2028, destacando dentro de ello, los objetivos y lineamentos estratégicos de la política fiscal.  Lo anterior, sobre la base de una proyección de ingresos tributarios que es congruente con el escenario macroeconómico de mediano plazo y un ejercicio de proyecciones de situación financiera de medio termino consistentes con la sostenibilidad fiscal.</w:t>
      </w:r>
    </w:p>
    <w:p w14:paraId="5E0900E7" w14:textId="1A749342" w:rsidR="005954CA" w:rsidRDefault="005954CA" w:rsidP="005954CA">
      <w:pPr>
        <w:jc w:val="both"/>
      </w:pPr>
    </w:p>
    <w:p w14:paraId="05420FB1" w14:textId="52609C11" w:rsidR="005954CA" w:rsidRDefault="005954CA" w:rsidP="005954CA">
      <w:pPr>
        <w:jc w:val="both"/>
      </w:pPr>
    </w:p>
    <w:p w14:paraId="5F501CCE" w14:textId="1F6DE281" w:rsidR="005954CA" w:rsidRDefault="005954CA" w:rsidP="005954CA">
      <w:pPr>
        <w:jc w:val="both"/>
      </w:pPr>
    </w:p>
    <w:p w14:paraId="55973645" w14:textId="2509D2E1" w:rsidR="005954CA" w:rsidRDefault="005954CA" w:rsidP="005954CA">
      <w:pPr>
        <w:jc w:val="both"/>
      </w:pPr>
    </w:p>
    <w:p w14:paraId="04EBC51A" w14:textId="63F5353C" w:rsidR="005954CA" w:rsidRDefault="005954CA" w:rsidP="005954CA">
      <w:pPr>
        <w:jc w:val="both"/>
      </w:pPr>
    </w:p>
    <w:p w14:paraId="510820E1" w14:textId="3FE228A9" w:rsidR="005954CA" w:rsidRDefault="005954CA" w:rsidP="005954CA">
      <w:pPr>
        <w:jc w:val="both"/>
      </w:pPr>
    </w:p>
    <w:p w14:paraId="623EBBD3" w14:textId="1BB88517" w:rsidR="005954CA" w:rsidRDefault="005954CA" w:rsidP="005954CA">
      <w:pPr>
        <w:jc w:val="both"/>
      </w:pPr>
    </w:p>
    <w:p w14:paraId="10D68B5D" w14:textId="11AD379E" w:rsidR="005954CA" w:rsidRDefault="005954CA" w:rsidP="005954CA">
      <w:pPr>
        <w:jc w:val="both"/>
      </w:pPr>
    </w:p>
    <w:p w14:paraId="3D3B7128" w14:textId="2C70CD52" w:rsidR="005954CA" w:rsidRDefault="005954CA" w:rsidP="005954CA">
      <w:pPr>
        <w:jc w:val="both"/>
      </w:pPr>
    </w:p>
    <w:p w14:paraId="7E8188B2" w14:textId="4A66008F" w:rsidR="005954CA" w:rsidRDefault="005954CA" w:rsidP="005954CA">
      <w:pPr>
        <w:jc w:val="both"/>
      </w:pPr>
    </w:p>
    <w:p w14:paraId="46305D5E" w14:textId="487ABCCF" w:rsidR="005954CA" w:rsidRDefault="005954CA" w:rsidP="005954CA">
      <w:pPr>
        <w:jc w:val="both"/>
      </w:pPr>
    </w:p>
    <w:p w14:paraId="27AA2CFD" w14:textId="468CACF1" w:rsidR="005954CA" w:rsidRDefault="005954CA" w:rsidP="005954CA">
      <w:pPr>
        <w:jc w:val="both"/>
      </w:pPr>
    </w:p>
    <w:p w14:paraId="1DD37AE3" w14:textId="551E0811" w:rsidR="005954CA" w:rsidRDefault="005954CA" w:rsidP="005954CA">
      <w:pPr>
        <w:jc w:val="both"/>
      </w:pPr>
    </w:p>
    <w:p w14:paraId="7C285774" w14:textId="32AFF0D5" w:rsidR="005954CA" w:rsidRDefault="005954CA" w:rsidP="005954CA">
      <w:pPr>
        <w:jc w:val="both"/>
      </w:pPr>
    </w:p>
    <w:p w14:paraId="22B6E03D" w14:textId="5CC55B3A" w:rsidR="005954CA" w:rsidRDefault="005954CA" w:rsidP="005954CA">
      <w:pPr>
        <w:jc w:val="both"/>
      </w:pPr>
    </w:p>
    <w:p w14:paraId="1A499C76" w14:textId="15040CEC" w:rsidR="005954CA" w:rsidRDefault="005954CA" w:rsidP="005954CA">
      <w:pPr>
        <w:jc w:val="both"/>
      </w:pPr>
    </w:p>
    <w:p w14:paraId="57707A19" w14:textId="1108EC0C" w:rsidR="005954CA" w:rsidRDefault="005954CA" w:rsidP="005954CA">
      <w:pPr>
        <w:jc w:val="both"/>
      </w:pPr>
    </w:p>
    <w:p w14:paraId="1E544F78" w14:textId="23797088" w:rsidR="005954CA" w:rsidRDefault="005954CA" w:rsidP="005954CA">
      <w:pPr>
        <w:jc w:val="both"/>
      </w:pPr>
    </w:p>
    <w:p w14:paraId="04DEE541" w14:textId="760DABE7" w:rsidR="005954CA" w:rsidRDefault="005954CA" w:rsidP="005954CA">
      <w:pPr>
        <w:jc w:val="both"/>
      </w:pPr>
    </w:p>
    <w:p w14:paraId="0588AD17" w14:textId="6764FBAF" w:rsidR="005954CA" w:rsidRDefault="005954CA" w:rsidP="005954CA">
      <w:pPr>
        <w:jc w:val="both"/>
      </w:pPr>
    </w:p>
    <w:p w14:paraId="2818487C" w14:textId="46A183B4" w:rsidR="005954CA" w:rsidRDefault="005954CA" w:rsidP="005954CA">
      <w:pPr>
        <w:jc w:val="both"/>
      </w:pPr>
    </w:p>
    <w:p w14:paraId="3D46753F" w14:textId="530CB818" w:rsidR="005954CA" w:rsidRDefault="005954CA" w:rsidP="005954CA">
      <w:pPr>
        <w:jc w:val="both"/>
      </w:pPr>
    </w:p>
    <w:p w14:paraId="29FF5221" w14:textId="42FE748F" w:rsidR="005954CA" w:rsidRDefault="005954CA" w:rsidP="005954CA">
      <w:pPr>
        <w:jc w:val="both"/>
      </w:pPr>
    </w:p>
    <w:p w14:paraId="36CA711C" w14:textId="0F620CE0" w:rsidR="005954CA" w:rsidRDefault="005954CA" w:rsidP="005954CA">
      <w:pPr>
        <w:jc w:val="both"/>
      </w:pPr>
    </w:p>
    <w:p w14:paraId="3F94AEB6" w14:textId="45FF64F1" w:rsidR="005954CA" w:rsidRDefault="005954CA" w:rsidP="005954CA">
      <w:pPr>
        <w:jc w:val="both"/>
      </w:pPr>
    </w:p>
    <w:p w14:paraId="71D04FCF" w14:textId="5F92A55E" w:rsidR="005954CA" w:rsidRDefault="005954CA" w:rsidP="005954CA">
      <w:pPr>
        <w:jc w:val="both"/>
      </w:pPr>
    </w:p>
    <w:p w14:paraId="17DEFA04" w14:textId="602A3063" w:rsidR="005954CA" w:rsidRDefault="005954CA" w:rsidP="005954CA">
      <w:pPr>
        <w:jc w:val="both"/>
      </w:pPr>
    </w:p>
    <w:p w14:paraId="4D8F2400" w14:textId="0764EC45" w:rsidR="005954CA" w:rsidRDefault="005954CA" w:rsidP="005954CA">
      <w:pPr>
        <w:jc w:val="both"/>
      </w:pPr>
    </w:p>
    <w:p w14:paraId="45C8C57E" w14:textId="424D55FB" w:rsidR="005954CA" w:rsidRDefault="005954CA" w:rsidP="005954CA">
      <w:pPr>
        <w:jc w:val="both"/>
      </w:pPr>
    </w:p>
    <w:p w14:paraId="2BE8448B" w14:textId="089A517B" w:rsidR="005954CA" w:rsidRDefault="005954CA" w:rsidP="005954CA">
      <w:pPr>
        <w:jc w:val="both"/>
      </w:pPr>
    </w:p>
    <w:p w14:paraId="23348C04" w14:textId="31EC2F00" w:rsidR="005954CA" w:rsidRDefault="005954CA" w:rsidP="005954CA">
      <w:pPr>
        <w:jc w:val="both"/>
      </w:pPr>
    </w:p>
    <w:p w14:paraId="4CD3D9A8" w14:textId="7651E6E2" w:rsidR="005954CA" w:rsidRDefault="005954CA" w:rsidP="005954CA">
      <w:pPr>
        <w:jc w:val="both"/>
      </w:pPr>
    </w:p>
    <w:p w14:paraId="3F1358AC" w14:textId="643D9FF7" w:rsidR="005954CA" w:rsidRDefault="005954CA" w:rsidP="005954CA">
      <w:pPr>
        <w:jc w:val="both"/>
      </w:pPr>
    </w:p>
    <w:p w14:paraId="2B2EACA2" w14:textId="38A19DE4" w:rsidR="005954CA" w:rsidRDefault="005954CA" w:rsidP="005954CA">
      <w:pPr>
        <w:jc w:val="both"/>
      </w:pPr>
    </w:p>
    <w:p w14:paraId="2B3301E8" w14:textId="5EDCDF18" w:rsidR="005954CA" w:rsidRDefault="005954CA" w:rsidP="005954CA">
      <w:pPr>
        <w:jc w:val="both"/>
      </w:pPr>
    </w:p>
    <w:p w14:paraId="5A67964D" w14:textId="52FDE81B" w:rsidR="005954CA" w:rsidRDefault="005954CA" w:rsidP="005954CA">
      <w:pPr>
        <w:jc w:val="both"/>
      </w:pPr>
    </w:p>
    <w:p w14:paraId="71BE2F5E" w14:textId="282C2801" w:rsidR="005954CA" w:rsidRDefault="005954CA" w:rsidP="005954CA">
      <w:pPr>
        <w:jc w:val="both"/>
      </w:pPr>
    </w:p>
    <w:p w14:paraId="410775C5" w14:textId="563DE460" w:rsidR="005954CA" w:rsidRDefault="005954CA" w:rsidP="005954CA">
      <w:pPr>
        <w:jc w:val="both"/>
      </w:pPr>
    </w:p>
    <w:p w14:paraId="1F6F209A" w14:textId="3F9AAF39" w:rsidR="005954CA" w:rsidRDefault="005954CA" w:rsidP="005954CA">
      <w:pPr>
        <w:jc w:val="both"/>
      </w:pPr>
    </w:p>
    <w:p w14:paraId="2C410197" w14:textId="37E59839" w:rsidR="003D7247" w:rsidRDefault="003D7247" w:rsidP="00531A1B">
      <w:pPr>
        <w:pStyle w:val="Prrafodelista"/>
        <w:numPr>
          <w:ilvl w:val="0"/>
          <w:numId w:val="2"/>
        </w:numPr>
        <w:ind w:left="284" w:hanging="284"/>
        <w:jc w:val="both"/>
        <w:outlineLvl w:val="0"/>
        <w:rPr>
          <w:b/>
          <w:bCs/>
          <w:sz w:val="28"/>
          <w:szCs w:val="28"/>
        </w:rPr>
      </w:pPr>
      <w:bookmarkStart w:id="2" w:name="_Toc143865769"/>
      <w:r w:rsidRPr="003D7247">
        <w:rPr>
          <w:b/>
          <w:bCs/>
          <w:sz w:val="28"/>
          <w:szCs w:val="28"/>
        </w:rPr>
        <w:t>Entorno macroeconómico</w:t>
      </w:r>
      <w:bookmarkEnd w:id="2"/>
    </w:p>
    <w:p w14:paraId="7E0D914E" w14:textId="77777777" w:rsidR="00017F3A" w:rsidRPr="00017F3A" w:rsidRDefault="00017F3A" w:rsidP="00017F3A">
      <w:pPr>
        <w:pStyle w:val="Prrafodelista"/>
        <w:ind w:left="284"/>
        <w:jc w:val="both"/>
        <w:rPr>
          <w:b/>
          <w:bCs/>
        </w:rPr>
      </w:pPr>
    </w:p>
    <w:p w14:paraId="2B687AD2" w14:textId="4D08E842" w:rsidR="005954CA" w:rsidRPr="00B91D9C" w:rsidRDefault="005954CA" w:rsidP="00354A9C">
      <w:pPr>
        <w:pStyle w:val="Ttulo2"/>
        <w:numPr>
          <w:ilvl w:val="0"/>
          <w:numId w:val="48"/>
        </w:numPr>
        <w:ind w:left="426" w:hanging="283"/>
        <w:rPr>
          <w:rFonts w:ascii="Times New Roman" w:hAnsi="Times New Roman" w:cs="Times New Roman"/>
          <w:b/>
          <w:bCs/>
          <w:noProof/>
          <w:color w:val="auto"/>
          <w:sz w:val="24"/>
          <w:szCs w:val="24"/>
          <w:lang w:val="es-MX"/>
        </w:rPr>
      </w:pPr>
      <w:bookmarkStart w:id="3" w:name="_Toc143865770"/>
      <w:r w:rsidRPr="00B91D9C">
        <w:rPr>
          <w:rFonts w:ascii="Times New Roman" w:hAnsi="Times New Roman" w:cs="Times New Roman"/>
          <w:b/>
          <w:bCs/>
          <w:color w:val="auto"/>
          <w:sz w:val="24"/>
          <w:szCs w:val="24"/>
          <w:lang w:val="es-MX"/>
        </w:rPr>
        <w:t xml:space="preserve">Contexto macroeconómico internacional </w:t>
      </w:r>
      <w:r w:rsidRPr="00B91D9C">
        <w:rPr>
          <w:rFonts w:ascii="Times New Roman" w:hAnsi="Times New Roman" w:cs="Times New Roman"/>
          <w:b/>
          <w:bCs/>
          <w:noProof/>
          <w:color w:val="auto"/>
          <w:sz w:val="24"/>
          <w:szCs w:val="24"/>
          <w:lang w:val="es-MX"/>
        </w:rPr>
        <w:t>2022</w:t>
      </w:r>
      <w:bookmarkEnd w:id="3"/>
    </w:p>
    <w:p w14:paraId="368CF40F" w14:textId="77777777" w:rsidR="005954CA" w:rsidRDefault="005954CA" w:rsidP="005954CA">
      <w:pPr>
        <w:rPr>
          <w:b/>
          <w:bCs/>
          <w:lang w:val="es-MX"/>
        </w:rPr>
      </w:pPr>
    </w:p>
    <w:p w14:paraId="13CB47DA" w14:textId="1A3258A8" w:rsidR="005954CA" w:rsidRPr="005954CA" w:rsidRDefault="005954CA" w:rsidP="000207CF">
      <w:pPr>
        <w:pStyle w:val="Ttulo3"/>
        <w:numPr>
          <w:ilvl w:val="1"/>
          <w:numId w:val="48"/>
        </w:numPr>
        <w:tabs>
          <w:tab w:val="left" w:pos="1134"/>
        </w:tabs>
        <w:ind w:left="709"/>
        <w:rPr>
          <w:rFonts w:ascii="Times New Roman" w:hAnsi="Times New Roman" w:cs="Times New Roman"/>
          <w:b/>
          <w:bCs/>
          <w:color w:val="auto"/>
          <w:lang w:val="es-MX"/>
        </w:rPr>
      </w:pPr>
      <w:bookmarkStart w:id="4" w:name="_Toc143865771"/>
      <w:r w:rsidRPr="005954CA">
        <w:rPr>
          <w:rFonts w:ascii="Times New Roman" w:hAnsi="Times New Roman" w:cs="Times New Roman"/>
          <w:b/>
          <w:bCs/>
          <w:color w:val="auto"/>
          <w:lang w:val="es-MX"/>
        </w:rPr>
        <w:t>La economía mundial</w:t>
      </w:r>
      <w:bookmarkEnd w:id="4"/>
    </w:p>
    <w:p w14:paraId="220C1DF2" w14:textId="2EA4507C" w:rsidR="005954CA" w:rsidRDefault="005954CA" w:rsidP="00FB56D6">
      <w:pPr>
        <w:ind w:left="708" w:hanging="708"/>
        <w:rPr>
          <w:lang w:val="es-MX"/>
        </w:rPr>
      </w:pPr>
    </w:p>
    <w:p w14:paraId="16C70F64" w14:textId="407AD29F" w:rsidR="005954CA" w:rsidRPr="005954CA" w:rsidRDefault="005954CA" w:rsidP="005954CA">
      <w:pPr>
        <w:jc w:val="both"/>
        <w:rPr>
          <w:lang w:val="es-MX"/>
        </w:rPr>
      </w:pPr>
      <w:r w:rsidRPr="005954CA">
        <w:rPr>
          <w:lang w:val="es-MX"/>
        </w:rPr>
        <w:t>El crecimiento económico mundial observado en el 2022 fue de 3.4%</w:t>
      </w:r>
      <w:r w:rsidR="00D5743C">
        <w:rPr>
          <w:lang w:val="es-MX"/>
        </w:rPr>
        <w:t>,</w:t>
      </w:r>
      <w:r w:rsidRPr="005954CA">
        <w:rPr>
          <w:lang w:val="es-MX"/>
        </w:rPr>
        <w:t xml:space="preserve"> mostrando una moderación después del efecto </w:t>
      </w:r>
      <w:r w:rsidRPr="002415A0">
        <w:rPr>
          <w:i/>
          <w:iCs/>
          <w:lang w:val="es-MX"/>
        </w:rPr>
        <w:t>catch-up</w:t>
      </w:r>
      <w:r w:rsidRPr="005954CA">
        <w:rPr>
          <w:lang w:val="es-MX"/>
        </w:rPr>
        <w:t xml:space="preserve"> de 6.3% en 2021</w:t>
      </w:r>
      <w:r w:rsidR="00D5743C">
        <w:rPr>
          <w:lang w:val="es-MX"/>
        </w:rPr>
        <w:t>,</w:t>
      </w:r>
      <w:r w:rsidRPr="005954CA">
        <w:rPr>
          <w:lang w:val="es-MX"/>
        </w:rPr>
        <w:t xml:space="preserve"> según el Fondo Monetario Internacional. </w:t>
      </w:r>
      <w:r w:rsidR="00D5743C">
        <w:rPr>
          <w:lang w:val="es-MX"/>
        </w:rPr>
        <w:t>E</w:t>
      </w:r>
      <w:r w:rsidRPr="005954CA">
        <w:rPr>
          <w:lang w:val="es-MX"/>
        </w:rPr>
        <w:t xml:space="preserve">l crecimiento </w:t>
      </w:r>
      <w:r w:rsidR="00D5743C">
        <w:rPr>
          <w:lang w:val="es-MX"/>
        </w:rPr>
        <w:t xml:space="preserve">2022 </w:t>
      </w:r>
      <w:r w:rsidRPr="005954CA">
        <w:rPr>
          <w:lang w:val="es-MX"/>
        </w:rPr>
        <w:t>fue bastante menor con respecto al esperado en enero de</w:t>
      </w:r>
      <w:r w:rsidR="00D5743C">
        <w:rPr>
          <w:lang w:val="es-MX"/>
        </w:rPr>
        <w:t xml:space="preserve"> dicho año</w:t>
      </w:r>
      <w:r w:rsidRPr="005954CA">
        <w:rPr>
          <w:lang w:val="es-MX"/>
        </w:rPr>
        <w:t xml:space="preserve">, ya que la expectativa de crecimiento se encontraba en 4.4%. El deterioro se debió a los continuos brotes de </w:t>
      </w:r>
      <w:r w:rsidR="00FB56D6">
        <w:rPr>
          <w:lang w:val="es-MX"/>
        </w:rPr>
        <w:t>COVID</w:t>
      </w:r>
      <w:r w:rsidRPr="005954CA">
        <w:rPr>
          <w:lang w:val="es-MX"/>
        </w:rPr>
        <w:t>-19, en particular en China, la disminución del apoyo fiscal, la incertidumbre generada por la guerra Rusia-Ucrania, la alta inflación en la mayoría de las economías</w:t>
      </w:r>
      <w:r w:rsidR="00D5743C">
        <w:rPr>
          <w:lang w:val="es-MX"/>
        </w:rPr>
        <w:t>,</w:t>
      </w:r>
      <w:r w:rsidRPr="005954CA">
        <w:rPr>
          <w:lang w:val="es-MX"/>
        </w:rPr>
        <w:t xml:space="preserve"> que disminuyó el ingreso real de los hogares</w:t>
      </w:r>
      <w:r w:rsidR="00D5743C">
        <w:rPr>
          <w:lang w:val="es-MX"/>
        </w:rPr>
        <w:t>,</w:t>
      </w:r>
      <w:r w:rsidRPr="005954CA">
        <w:rPr>
          <w:lang w:val="es-MX"/>
        </w:rPr>
        <w:t xml:space="preserve"> que provocó el endurecimiento de la política monetaria en muchos países del mundo</w:t>
      </w:r>
      <w:r w:rsidR="00D5743C">
        <w:rPr>
          <w:lang w:val="es-MX"/>
        </w:rPr>
        <w:t>,</w:t>
      </w:r>
      <w:r w:rsidRPr="005954CA">
        <w:rPr>
          <w:lang w:val="es-MX"/>
        </w:rPr>
        <w:t xml:space="preserve"> generando con ello el aumento de las tasas de interés en los mercados financieros.</w:t>
      </w:r>
    </w:p>
    <w:p w14:paraId="6DA63F93" w14:textId="77777777" w:rsidR="005954CA" w:rsidRPr="005954CA" w:rsidRDefault="005954CA" w:rsidP="005954CA">
      <w:pPr>
        <w:jc w:val="both"/>
        <w:rPr>
          <w:lang w:val="es-MX"/>
        </w:rPr>
      </w:pPr>
    </w:p>
    <w:p w14:paraId="1DE1D8D9" w14:textId="650C1225" w:rsidR="005954CA" w:rsidRPr="005954CA" w:rsidRDefault="005954CA" w:rsidP="005954CA">
      <w:pPr>
        <w:jc w:val="both"/>
        <w:rPr>
          <w:lang w:val="es-MX"/>
        </w:rPr>
      </w:pPr>
      <w:r w:rsidRPr="005954CA">
        <w:rPr>
          <w:lang w:val="es-MX"/>
        </w:rPr>
        <w:t>Las economías avanzadas presentaron un crecimiento de 2.7% en 2022</w:t>
      </w:r>
      <w:r w:rsidR="00D5743C">
        <w:rPr>
          <w:lang w:val="es-MX"/>
        </w:rPr>
        <w:t>.  E</w:t>
      </w:r>
      <w:r w:rsidRPr="005954CA">
        <w:rPr>
          <w:lang w:val="es-MX"/>
        </w:rPr>
        <w:t xml:space="preserve">n particular la zona del euro que tuvo un crecimiento de 3.5%, el promedio de dicho crecimiento </w:t>
      </w:r>
      <w:r w:rsidR="00D5743C">
        <w:rPr>
          <w:lang w:val="es-MX"/>
        </w:rPr>
        <w:t>en</w:t>
      </w:r>
      <w:r w:rsidR="00D5743C" w:rsidRPr="005954CA">
        <w:rPr>
          <w:lang w:val="es-MX"/>
        </w:rPr>
        <w:t xml:space="preserve"> </w:t>
      </w:r>
      <w:r w:rsidRPr="005954CA">
        <w:rPr>
          <w:lang w:val="es-MX"/>
        </w:rPr>
        <w:t>esta región esconde una heterogeneidad entre países, mientras Italia y España tuvieron una recuperación en los servicios de turismo y de producción industrial, para Francia y Alemania tuvieron un crecimiento menor, debido a los efectos negativos por la guerra.</w:t>
      </w:r>
    </w:p>
    <w:p w14:paraId="7C48CCC7" w14:textId="77777777" w:rsidR="005954CA" w:rsidRPr="005954CA" w:rsidRDefault="005954CA" w:rsidP="005954CA">
      <w:pPr>
        <w:jc w:val="both"/>
        <w:rPr>
          <w:lang w:val="es-MX"/>
        </w:rPr>
      </w:pPr>
    </w:p>
    <w:p w14:paraId="70B064CF" w14:textId="463BF1BE" w:rsidR="005954CA" w:rsidRDefault="005954CA" w:rsidP="005954CA">
      <w:pPr>
        <w:jc w:val="both"/>
        <w:rPr>
          <w:lang w:val="es-MX"/>
        </w:rPr>
      </w:pPr>
      <w:r w:rsidRPr="005954CA">
        <w:rPr>
          <w:lang w:val="es-MX"/>
        </w:rPr>
        <w:t>En el caso de las economías emergentes y en desarrollo</w:t>
      </w:r>
      <w:r w:rsidR="00D5743C">
        <w:rPr>
          <w:lang w:val="es-MX"/>
        </w:rPr>
        <w:t xml:space="preserve"> de Europa,</w:t>
      </w:r>
      <w:r w:rsidRPr="005954CA">
        <w:rPr>
          <w:lang w:val="es-MX"/>
        </w:rPr>
        <w:t xml:space="preserve"> el crecimiento fue de 3.9%, mayor al de las economías avanzadas y esto se debió a una menor contracción. Asimismo, las economías emergentes y en desarrollo de Asia tuvieron un leve crecimiento, debido a que China no tuvo el desempeño esperado debido </w:t>
      </w:r>
      <w:r w:rsidR="00D5743C">
        <w:rPr>
          <w:lang w:val="es-MX"/>
        </w:rPr>
        <w:t>a</w:t>
      </w:r>
      <w:r w:rsidR="00D5743C" w:rsidRPr="005954CA">
        <w:rPr>
          <w:lang w:val="es-MX"/>
        </w:rPr>
        <w:t xml:space="preserve"> </w:t>
      </w:r>
      <w:r w:rsidRPr="005954CA">
        <w:rPr>
          <w:lang w:val="es-MX"/>
        </w:rPr>
        <w:t>sus confinamientos y a que India fue afectad</w:t>
      </w:r>
      <w:r w:rsidR="0046286C">
        <w:rPr>
          <w:lang w:val="es-MX"/>
        </w:rPr>
        <w:t>a</w:t>
      </w:r>
      <w:r w:rsidRPr="005954CA">
        <w:rPr>
          <w:lang w:val="es-MX"/>
        </w:rPr>
        <w:t xml:space="preserve"> por las condiciones externas menos favorables por el rápido endurecimiento de la política monetaria. Por su parte la región de América Latina y el Caribe tuvo un crecimiento de 3.9%, más alto del esperado dad</w:t>
      </w:r>
      <w:r w:rsidR="0046286C">
        <w:rPr>
          <w:lang w:val="es-MX"/>
        </w:rPr>
        <w:t>a</w:t>
      </w:r>
      <w:r w:rsidRPr="005954CA">
        <w:rPr>
          <w:lang w:val="es-MX"/>
        </w:rPr>
        <w:t xml:space="preserve"> la coyuntura, explicado por una robusta recuperación de las economías de Brasil México, Colombia y Chile.</w:t>
      </w:r>
    </w:p>
    <w:p w14:paraId="2C59B499" w14:textId="77777777" w:rsidR="005954CA" w:rsidRPr="005954CA" w:rsidRDefault="005954CA" w:rsidP="005954CA">
      <w:pPr>
        <w:rPr>
          <w:lang w:val="es-MX"/>
        </w:rPr>
      </w:pPr>
    </w:p>
    <w:p w14:paraId="61387860" w14:textId="7AE550E5" w:rsidR="005954CA" w:rsidRPr="00FC3452" w:rsidRDefault="00FC3452" w:rsidP="00FC3452">
      <w:pPr>
        <w:pStyle w:val="Descripcin"/>
        <w:spacing w:after="0"/>
        <w:jc w:val="center"/>
        <w:rPr>
          <w:b/>
          <w:bCs/>
          <w:i w:val="0"/>
          <w:iCs w:val="0"/>
          <w:color w:val="auto"/>
          <w:sz w:val="24"/>
          <w:szCs w:val="24"/>
        </w:rPr>
      </w:pPr>
      <w:bookmarkStart w:id="5" w:name="_Toc143870668"/>
      <w:r w:rsidRPr="00FC3452">
        <w:rPr>
          <w:b/>
          <w:bCs/>
          <w:i w:val="0"/>
          <w:iCs w:val="0"/>
          <w:color w:val="auto"/>
          <w:sz w:val="24"/>
          <w:szCs w:val="24"/>
        </w:rPr>
        <w:t xml:space="preserve">Gráfico </w:t>
      </w:r>
      <w:r w:rsidRPr="00FC3452">
        <w:rPr>
          <w:b/>
          <w:bCs/>
          <w:i w:val="0"/>
          <w:iCs w:val="0"/>
          <w:color w:val="auto"/>
          <w:sz w:val="24"/>
          <w:szCs w:val="24"/>
        </w:rPr>
        <w:fldChar w:fldCharType="begin"/>
      </w:r>
      <w:r w:rsidRPr="00FC3452">
        <w:rPr>
          <w:b/>
          <w:bCs/>
          <w:i w:val="0"/>
          <w:iCs w:val="0"/>
          <w:color w:val="auto"/>
          <w:sz w:val="24"/>
          <w:szCs w:val="24"/>
        </w:rPr>
        <w:instrText xml:space="preserve"> SEQ Gráfico \* ARABIC </w:instrText>
      </w:r>
      <w:r w:rsidRPr="00FC3452">
        <w:rPr>
          <w:b/>
          <w:bCs/>
          <w:i w:val="0"/>
          <w:iCs w:val="0"/>
          <w:color w:val="auto"/>
          <w:sz w:val="24"/>
          <w:szCs w:val="24"/>
        </w:rPr>
        <w:fldChar w:fldCharType="separate"/>
      </w:r>
      <w:r w:rsidR="006622B2">
        <w:rPr>
          <w:b/>
          <w:bCs/>
          <w:i w:val="0"/>
          <w:iCs w:val="0"/>
          <w:noProof/>
          <w:color w:val="auto"/>
          <w:sz w:val="24"/>
          <w:szCs w:val="24"/>
        </w:rPr>
        <w:t>1</w:t>
      </w:r>
      <w:r w:rsidRPr="00FC3452">
        <w:rPr>
          <w:b/>
          <w:bCs/>
          <w:i w:val="0"/>
          <w:iCs w:val="0"/>
          <w:color w:val="auto"/>
          <w:sz w:val="24"/>
          <w:szCs w:val="24"/>
        </w:rPr>
        <w:fldChar w:fldCharType="end"/>
      </w:r>
      <w:r>
        <w:rPr>
          <w:b/>
          <w:bCs/>
          <w:i w:val="0"/>
          <w:iCs w:val="0"/>
          <w:color w:val="auto"/>
          <w:sz w:val="24"/>
          <w:szCs w:val="24"/>
        </w:rPr>
        <w:t xml:space="preserve">.  </w:t>
      </w:r>
      <w:r w:rsidR="005954CA" w:rsidRPr="00FC3452">
        <w:rPr>
          <w:b/>
          <w:bCs/>
          <w:i w:val="0"/>
          <w:iCs w:val="0"/>
          <w:color w:val="auto"/>
          <w:sz w:val="24"/>
          <w:szCs w:val="24"/>
        </w:rPr>
        <w:t>Crecimiento de la economía mundial (porcentaje)</w:t>
      </w:r>
      <w:bookmarkEnd w:id="5"/>
    </w:p>
    <w:p w14:paraId="5D1C5695" w14:textId="77777777" w:rsidR="005954CA" w:rsidRDefault="005954CA" w:rsidP="005954CA">
      <w:pPr>
        <w:jc w:val="center"/>
        <w:rPr>
          <w:noProof/>
          <w:sz w:val="18"/>
          <w:szCs w:val="18"/>
        </w:rPr>
      </w:pPr>
      <w:r w:rsidRPr="004E2E1E">
        <w:rPr>
          <w:noProof/>
        </w:rPr>
        <w:drawing>
          <wp:inline distT="0" distB="0" distL="0" distR="0" wp14:anchorId="7B811330" wp14:editId="3FE14E43">
            <wp:extent cx="4889500" cy="2340591"/>
            <wp:effectExtent l="0" t="0" r="6350" b="3175"/>
            <wp:docPr id="63" name="Gráfico 63">
              <a:extLst xmlns:a="http://schemas.openxmlformats.org/drawingml/2006/main">
                <a:ext uri="{FF2B5EF4-FFF2-40B4-BE49-F238E27FC236}">
                  <a16:creationId xmlns:a16="http://schemas.microsoft.com/office/drawing/2014/main" id="{00000000-0008-0000-01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Pr="005954CA">
        <w:rPr>
          <w:noProof/>
          <w:sz w:val="18"/>
          <w:szCs w:val="18"/>
        </w:rPr>
        <w:t xml:space="preserve"> </w:t>
      </w:r>
    </w:p>
    <w:p w14:paraId="1823F2C3" w14:textId="1F5BA453" w:rsidR="005954CA" w:rsidRPr="005954CA" w:rsidRDefault="005954CA" w:rsidP="005954CA">
      <w:pPr>
        <w:ind w:left="708" w:firstLine="708"/>
      </w:pPr>
      <w:r w:rsidRPr="005954CA">
        <w:rPr>
          <w:noProof/>
          <w:sz w:val="18"/>
          <w:szCs w:val="18"/>
        </w:rPr>
        <w:t>Fuente: Fondo Monetario Internacional.</w:t>
      </w:r>
    </w:p>
    <w:p w14:paraId="7989BB58" w14:textId="04B5D4DA" w:rsidR="005954CA" w:rsidRDefault="005954CA" w:rsidP="005954CA">
      <w:pPr>
        <w:jc w:val="both"/>
      </w:pPr>
      <w:r w:rsidRPr="005954CA">
        <w:t>La inflación mundial</w:t>
      </w:r>
      <w:r w:rsidR="0046286C">
        <w:t>,</w:t>
      </w:r>
      <w:r w:rsidRPr="005954CA">
        <w:t xml:space="preserve"> que se aceleró en el 2021 y se mantuvo constante en 2022, también llegó a sus máximos desde sus últimas décadas, disminuyendo el presupuesto real de los hogares</w:t>
      </w:r>
      <w:r w:rsidR="0046286C">
        <w:t>.  P</w:t>
      </w:r>
      <w:r w:rsidRPr="005954CA">
        <w:t>ara finales de dicho año se registró en 8.9%. En general el aumento de precios se generó debido al aumento acelerado de la demanda, las disrupciones en la oferta por las cadenas de suministros y al incremento continuo de los precios de las materias prima</w:t>
      </w:r>
      <w:r w:rsidR="0046286C">
        <w:t>s</w:t>
      </w:r>
      <w:r w:rsidRPr="005954CA">
        <w:t xml:space="preserve"> de alimentos y de energía derivados de la guerra.</w:t>
      </w:r>
    </w:p>
    <w:p w14:paraId="3653D633" w14:textId="494D30FA" w:rsidR="005954CA" w:rsidRDefault="005954CA" w:rsidP="005954CA">
      <w:pPr>
        <w:jc w:val="both"/>
      </w:pPr>
    </w:p>
    <w:p w14:paraId="315CC77B" w14:textId="535BAC77" w:rsidR="005954CA" w:rsidRDefault="005954CA" w:rsidP="005954CA">
      <w:pPr>
        <w:jc w:val="both"/>
      </w:pPr>
      <w:r w:rsidRPr="005954CA">
        <w:t xml:space="preserve">En el caso </w:t>
      </w:r>
      <w:r w:rsidR="0046286C">
        <w:t xml:space="preserve">de </w:t>
      </w:r>
      <w:r w:rsidRPr="005954CA">
        <w:t>las economías avanzadas</w:t>
      </w:r>
      <w:r w:rsidR="0046286C">
        <w:t>,</w:t>
      </w:r>
      <w:r w:rsidRPr="005954CA">
        <w:t xml:space="preserve"> la inflación </w:t>
      </w:r>
      <w:r w:rsidR="0046286C">
        <w:t xml:space="preserve">2022 </w:t>
      </w:r>
      <w:r w:rsidRPr="005954CA">
        <w:t>aumentó apreciablemente, no obstante, para final de año esta se encontró en 7.3 %. En el caso de las economías emergentes y en desarrollo</w:t>
      </w:r>
      <w:r w:rsidR="0046286C">
        <w:t>,</w:t>
      </w:r>
      <w:r w:rsidRPr="005954CA">
        <w:t xml:space="preserve"> el aumento de la inflación fue generalizada y se encontró al final de periodo en 5.8%, teniendo un impacto más profundo en las economías de ingreso bajo, dado que una mayor parte del gasto es para alimentos, lo que se traduce en un deterioro de la calidad y estándar de vida.</w:t>
      </w:r>
    </w:p>
    <w:p w14:paraId="0B8D22C5" w14:textId="407BA22E" w:rsidR="005954CA" w:rsidRDefault="005954CA" w:rsidP="005954CA">
      <w:pPr>
        <w:jc w:val="both"/>
      </w:pPr>
    </w:p>
    <w:p w14:paraId="6209848B" w14:textId="22F43F4E" w:rsidR="005954CA" w:rsidRPr="00FC3452" w:rsidRDefault="00FC3452" w:rsidP="00FC3452">
      <w:pPr>
        <w:pStyle w:val="Descripcin"/>
        <w:spacing w:after="0"/>
        <w:jc w:val="center"/>
        <w:rPr>
          <w:b/>
          <w:bCs/>
          <w:i w:val="0"/>
          <w:iCs w:val="0"/>
          <w:color w:val="auto"/>
          <w:sz w:val="24"/>
          <w:szCs w:val="24"/>
        </w:rPr>
      </w:pPr>
      <w:bookmarkStart w:id="6" w:name="_Toc143870669"/>
      <w:r w:rsidRPr="00FC3452">
        <w:rPr>
          <w:b/>
          <w:bCs/>
          <w:i w:val="0"/>
          <w:iCs w:val="0"/>
          <w:color w:val="auto"/>
          <w:sz w:val="24"/>
          <w:szCs w:val="24"/>
        </w:rPr>
        <w:t xml:space="preserve">Gráfico </w:t>
      </w:r>
      <w:r w:rsidRPr="00FC3452">
        <w:rPr>
          <w:b/>
          <w:bCs/>
          <w:i w:val="0"/>
          <w:iCs w:val="0"/>
          <w:color w:val="auto"/>
          <w:sz w:val="24"/>
          <w:szCs w:val="24"/>
        </w:rPr>
        <w:fldChar w:fldCharType="begin"/>
      </w:r>
      <w:r w:rsidRPr="00FC3452">
        <w:rPr>
          <w:b/>
          <w:bCs/>
          <w:i w:val="0"/>
          <w:iCs w:val="0"/>
          <w:color w:val="auto"/>
          <w:sz w:val="24"/>
          <w:szCs w:val="24"/>
        </w:rPr>
        <w:instrText xml:space="preserve"> SEQ Gráfico \* ARABIC </w:instrText>
      </w:r>
      <w:r w:rsidRPr="00FC3452">
        <w:rPr>
          <w:b/>
          <w:bCs/>
          <w:i w:val="0"/>
          <w:iCs w:val="0"/>
          <w:color w:val="auto"/>
          <w:sz w:val="24"/>
          <w:szCs w:val="24"/>
        </w:rPr>
        <w:fldChar w:fldCharType="separate"/>
      </w:r>
      <w:r w:rsidR="006622B2">
        <w:rPr>
          <w:b/>
          <w:bCs/>
          <w:i w:val="0"/>
          <w:iCs w:val="0"/>
          <w:noProof/>
          <w:color w:val="auto"/>
          <w:sz w:val="24"/>
          <w:szCs w:val="24"/>
        </w:rPr>
        <w:t>2</w:t>
      </w:r>
      <w:r w:rsidRPr="00FC3452">
        <w:rPr>
          <w:b/>
          <w:bCs/>
          <w:i w:val="0"/>
          <w:iCs w:val="0"/>
          <w:color w:val="auto"/>
          <w:sz w:val="24"/>
          <w:szCs w:val="24"/>
        </w:rPr>
        <w:fldChar w:fldCharType="end"/>
      </w:r>
      <w:r>
        <w:rPr>
          <w:b/>
          <w:bCs/>
          <w:i w:val="0"/>
          <w:iCs w:val="0"/>
          <w:color w:val="auto"/>
          <w:sz w:val="24"/>
          <w:szCs w:val="24"/>
        </w:rPr>
        <w:t xml:space="preserve">.  </w:t>
      </w:r>
      <w:r w:rsidR="005954CA" w:rsidRPr="00FC3452">
        <w:rPr>
          <w:b/>
          <w:bCs/>
          <w:i w:val="0"/>
          <w:iCs w:val="0"/>
          <w:color w:val="auto"/>
          <w:sz w:val="24"/>
          <w:szCs w:val="24"/>
        </w:rPr>
        <w:t>Inflación de la economía mundial</w:t>
      </w:r>
      <w:bookmarkEnd w:id="6"/>
    </w:p>
    <w:p w14:paraId="6EA8A00B" w14:textId="77777777" w:rsidR="005954CA" w:rsidRDefault="005954CA" w:rsidP="005954CA">
      <w:pPr>
        <w:jc w:val="center"/>
        <w:rPr>
          <w:noProof/>
          <w:sz w:val="18"/>
          <w:szCs w:val="18"/>
        </w:rPr>
      </w:pPr>
      <w:r w:rsidRPr="004E2E1E">
        <w:rPr>
          <w:noProof/>
        </w:rPr>
        <w:drawing>
          <wp:inline distT="0" distB="0" distL="0" distR="0" wp14:anchorId="546D10C3" wp14:editId="0DC95F7C">
            <wp:extent cx="5080635" cy="2463421"/>
            <wp:effectExtent l="0" t="0" r="5715" b="0"/>
            <wp:docPr id="1799" name="Gráfico 1799">
              <a:extLst xmlns:a="http://schemas.openxmlformats.org/drawingml/2006/main">
                <a:ext uri="{FF2B5EF4-FFF2-40B4-BE49-F238E27FC236}">
                  <a16:creationId xmlns:a16="http://schemas.microsoft.com/office/drawing/2014/main" id="{00000000-0008-0000-02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Pr="005954CA">
        <w:rPr>
          <w:noProof/>
          <w:sz w:val="18"/>
          <w:szCs w:val="18"/>
        </w:rPr>
        <w:t xml:space="preserve"> </w:t>
      </w:r>
    </w:p>
    <w:p w14:paraId="2676D365" w14:textId="19BBC32B" w:rsidR="005954CA" w:rsidRDefault="005954CA" w:rsidP="005954CA">
      <w:pPr>
        <w:ind w:firstLine="708"/>
      </w:pPr>
      <w:r w:rsidRPr="004E2E1E">
        <w:rPr>
          <w:noProof/>
          <w:sz w:val="18"/>
          <w:szCs w:val="18"/>
        </w:rPr>
        <w:t>Fuente: Fondo Monetario Internacional, WEO abril 2022</w:t>
      </w:r>
      <w:r>
        <w:rPr>
          <w:noProof/>
          <w:sz w:val="18"/>
          <w:szCs w:val="18"/>
        </w:rPr>
        <w:t>.</w:t>
      </w:r>
    </w:p>
    <w:p w14:paraId="6B827ADC" w14:textId="48F170A6" w:rsidR="005954CA" w:rsidRDefault="005954CA" w:rsidP="005954CA">
      <w:pPr>
        <w:jc w:val="both"/>
      </w:pPr>
    </w:p>
    <w:p w14:paraId="6ADC189B" w14:textId="77777777" w:rsidR="005954CA" w:rsidRDefault="005954CA" w:rsidP="005954CA">
      <w:pPr>
        <w:jc w:val="both"/>
      </w:pPr>
      <w:r>
        <w:t xml:space="preserve">La inflación subyacente global, que se mide excluyendo los precios de los productos alimenticios y de energía fue de 6.4% en 2022, mayor a la del año anterior que se ubicó en 3.5%, según estimaciones del FMI, reflejando el efecto </w:t>
      </w:r>
      <w:r w:rsidRPr="002415A0">
        <w:rPr>
          <w:i/>
          <w:iCs/>
        </w:rPr>
        <w:t>pass-through</w:t>
      </w:r>
      <w:r>
        <w:t xml:space="preserve"> de los precios de energía, las presiones de los costos de las cadenas de suministro, mercados laborales con poca oferta, especialmente en las economías avanzadas. Por otro lado, el enfriamiento de la economía de China aportó a aliviar la inflación subyacente.</w:t>
      </w:r>
    </w:p>
    <w:p w14:paraId="18A8DC09" w14:textId="77777777" w:rsidR="005954CA" w:rsidRDefault="005954CA" w:rsidP="005954CA">
      <w:pPr>
        <w:jc w:val="both"/>
      </w:pPr>
    </w:p>
    <w:p w14:paraId="210E0423" w14:textId="7CA0155A" w:rsidR="005954CA" w:rsidRDefault="005954CA" w:rsidP="005954CA">
      <w:pPr>
        <w:jc w:val="both"/>
      </w:pPr>
      <w:r>
        <w:t>Para contrarrestar la inflación</w:t>
      </w:r>
      <w:r w:rsidR="0046286C">
        <w:t>,</w:t>
      </w:r>
      <w:r>
        <w:t xml:space="preserve"> los bancos centrales aumentaron rápidamente sus tasas de interés nominales</w:t>
      </w:r>
      <w:r w:rsidR="0046286C">
        <w:t>.  L</w:t>
      </w:r>
      <w:r>
        <w:t xml:space="preserve">a Reserva Federal incrementó la tasa de fondos federales 4.25 puntos porcentuales en 2022. </w:t>
      </w:r>
      <w:r w:rsidR="0046286C">
        <w:t xml:space="preserve"> E</w:t>
      </w:r>
      <w:r>
        <w:t>l Banco de Inglaterra aumentó 3.25 puntos porcentuales, a pesar del débil crecimiento esperado para dicho año y el Banco Central Europeo aumentó 2.5 puntos porcentuales su tasa. La economía real y los mercados financieros reaccionaron a estas políticas con el enfriamiento de los mercados inmobiliarios, en particular en Estados Unidos, y la desaceleración del impulso en los mercados laborales.</w:t>
      </w:r>
    </w:p>
    <w:p w14:paraId="31C17567" w14:textId="77777777" w:rsidR="005954CA" w:rsidRDefault="005954CA" w:rsidP="005954CA">
      <w:pPr>
        <w:jc w:val="both"/>
      </w:pPr>
    </w:p>
    <w:p w14:paraId="65C1BD38" w14:textId="61155BE4" w:rsidR="005954CA" w:rsidRDefault="005954CA" w:rsidP="005954CA">
      <w:pPr>
        <w:jc w:val="both"/>
      </w:pPr>
      <w:r>
        <w:t xml:space="preserve">Por su parte, la política fiscal tuvo bastante presión durante el 2022 por las respuestas de los gobiernos para la mitigación del aumento del costo de vida de los hogares debido al incremento de los precios internacionales de alimentos y de energía. En las economías avanzadas fueron comunes las transferencias en efectivo o semi efectivo, pero la mayoría de las medidas tuvieron como objetivo disminuir los precios, en particular disminuyendo o exonerando el </w:t>
      </w:r>
      <w:r w:rsidR="0046286C">
        <w:t>I</w:t>
      </w:r>
      <w:r>
        <w:t xml:space="preserve">mpuesto al </w:t>
      </w:r>
      <w:r w:rsidR="0046286C">
        <w:t>V</w:t>
      </w:r>
      <w:r>
        <w:t xml:space="preserve">alor </w:t>
      </w:r>
      <w:r w:rsidR="0046286C">
        <w:t>A</w:t>
      </w:r>
      <w:r>
        <w:t>gregado a los productos de energía.  La deuda pública para estas economías se encontró en 112.5% del PIB en 2022, disminuyendo 4.9 puntos porcentuales con respecto al año anterior.</w:t>
      </w:r>
    </w:p>
    <w:p w14:paraId="5484EE26" w14:textId="77777777" w:rsidR="005954CA" w:rsidRDefault="005954CA" w:rsidP="005954CA">
      <w:pPr>
        <w:jc w:val="both"/>
      </w:pPr>
    </w:p>
    <w:p w14:paraId="717B5EC1" w14:textId="0B732BCC" w:rsidR="005954CA" w:rsidRDefault="005954CA" w:rsidP="005954CA">
      <w:pPr>
        <w:jc w:val="both"/>
      </w:pPr>
      <w:r>
        <w:t>En el caso de las economías emergentes y en desarrollo</w:t>
      </w:r>
      <w:r w:rsidR="0046286C">
        <w:t>,</w:t>
      </w:r>
      <w:r>
        <w:t xml:space="preserve"> tuvieron un menor </w:t>
      </w:r>
      <w:r w:rsidRPr="002415A0">
        <w:rPr>
          <w:i/>
          <w:iCs/>
        </w:rPr>
        <w:t>pass-though</w:t>
      </w:r>
      <w:r>
        <w:t xml:space="preserve"> por el aumento del precio de estos productos, explicado por la prevalencia de subsidios. Sin embargo, aunque los subsidios son útiles para evitar el traspaso del incremento de precios, cuando los precios internacionales bajan</w:t>
      </w:r>
      <w:r w:rsidR="0046286C">
        <w:t>,</w:t>
      </w:r>
      <w:r>
        <w:t xml:space="preserve"> es difícil que los nacionales vuelvan a sus niveles correspondientes. Por su parte su deuda aumentó en 0.3 puntos porcentuales con respecto al 2021, ubicándose en 64.6% del PIB, debido a que en general los gastos aumentaron en una proporción mayor que los ingresos. No obstante, en Latinoamérica y el Caribe</w:t>
      </w:r>
      <w:r w:rsidR="0046286C">
        <w:t>,</w:t>
      </w:r>
      <w:r>
        <w:t xml:space="preserve"> disminuyó 2.5 puntos porcentuales su ratio deuda PIB en 2022, debido a la disminución del déficit fiscal </w:t>
      </w:r>
      <w:r w:rsidR="0046286C">
        <w:t xml:space="preserve">dado </w:t>
      </w:r>
      <w:r>
        <w:t>el mejoramiento de los ingresos fiscales.</w:t>
      </w:r>
    </w:p>
    <w:p w14:paraId="43D89A60" w14:textId="67A73262" w:rsidR="005954CA" w:rsidRDefault="005954CA" w:rsidP="005954CA">
      <w:pPr>
        <w:jc w:val="both"/>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9"/>
        <w:gridCol w:w="4419"/>
      </w:tblGrid>
      <w:tr w:rsidR="005954CA" w:rsidRPr="004E2E1E" w14:paraId="1E3B76C8" w14:textId="77777777" w:rsidTr="00582CA7">
        <w:tc>
          <w:tcPr>
            <w:tcW w:w="4675" w:type="dxa"/>
          </w:tcPr>
          <w:p w14:paraId="6770BEC0" w14:textId="75483E6D" w:rsidR="00FC3452" w:rsidRPr="00FC3452" w:rsidRDefault="00FC3452" w:rsidP="00FC3452">
            <w:pPr>
              <w:pStyle w:val="Descripcin"/>
              <w:spacing w:after="0"/>
              <w:jc w:val="center"/>
              <w:rPr>
                <w:b/>
                <w:bCs/>
                <w:i w:val="0"/>
                <w:iCs w:val="0"/>
                <w:color w:val="auto"/>
                <w:sz w:val="24"/>
                <w:szCs w:val="24"/>
                <w:lang w:val="es-MX"/>
              </w:rPr>
            </w:pPr>
            <w:bookmarkStart w:id="7" w:name="_Toc143870670"/>
            <w:r w:rsidRPr="00FC3452">
              <w:rPr>
                <w:b/>
                <w:bCs/>
                <w:i w:val="0"/>
                <w:iCs w:val="0"/>
                <w:color w:val="auto"/>
                <w:sz w:val="24"/>
                <w:szCs w:val="24"/>
                <w:lang w:val="es-GT"/>
              </w:rPr>
              <w:t xml:space="preserve">Gráfico </w:t>
            </w:r>
            <w:r w:rsidRPr="00FC3452">
              <w:rPr>
                <w:b/>
                <w:bCs/>
                <w:i w:val="0"/>
                <w:iCs w:val="0"/>
                <w:color w:val="auto"/>
                <w:sz w:val="24"/>
                <w:szCs w:val="24"/>
              </w:rPr>
              <w:fldChar w:fldCharType="begin"/>
            </w:r>
            <w:r w:rsidRPr="00FC3452">
              <w:rPr>
                <w:b/>
                <w:bCs/>
                <w:i w:val="0"/>
                <w:iCs w:val="0"/>
                <w:color w:val="auto"/>
                <w:sz w:val="24"/>
                <w:szCs w:val="24"/>
                <w:lang w:val="es-GT"/>
              </w:rPr>
              <w:instrText xml:space="preserve"> SEQ Gráfico \* ARABIC </w:instrText>
            </w:r>
            <w:r w:rsidRPr="00FC3452">
              <w:rPr>
                <w:b/>
                <w:bCs/>
                <w:i w:val="0"/>
                <w:iCs w:val="0"/>
                <w:color w:val="auto"/>
                <w:sz w:val="24"/>
                <w:szCs w:val="24"/>
              </w:rPr>
              <w:fldChar w:fldCharType="separate"/>
            </w:r>
            <w:r w:rsidR="006622B2">
              <w:rPr>
                <w:b/>
                <w:bCs/>
                <w:i w:val="0"/>
                <w:iCs w:val="0"/>
                <w:noProof/>
                <w:color w:val="auto"/>
                <w:sz w:val="24"/>
                <w:szCs w:val="24"/>
                <w:lang w:val="es-GT"/>
              </w:rPr>
              <w:t>3</w:t>
            </w:r>
            <w:r w:rsidRPr="00FC3452">
              <w:rPr>
                <w:b/>
                <w:bCs/>
                <w:i w:val="0"/>
                <w:iCs w:val="0"/>
                <w:color w:val="auto"/>
                <w:sz w:val="24"/>
                <w:szCs w:val="24"/>
              </w:rPr>
              <w:fldChar w:fldCharType="end"/>
            </w:r>
            <w:r w:rsidRPr="00FC3452">
              <w:rPr>
                <w:b/>
                <w:bCs/>
                <w:i w:val="0"/>
                <w:iCs w:val="0"/>
                <w:color w:val="auto"/>
                <w:sz w:val="24"/>
                <w:szCs w:val="24"/>
                <w:lang w:val="es-GT"/>
              </w:rPr>
              <w:t xml:space="preserve">.  </w:t>
            </w:r>
            <w:r w:rsidR="005954CA" w:rsidRPr="00FC3452">
              <w:rPr>
                <w:b/>
                <w:bCs/>
                <w:i w:val="0"/>
                <w:iCs w:val="0"/>
                <w:color w:val="auto"/>
                <w:sz w:val="24"/>
                <w:szCs w:val="24"/>
                <w:lang w:val="es-MX"/>
              </w:rPr>
              <w:t>Déficit Fiscal</w:t>
            </w:r>
            <w:bookmarkEnd w:id="7"/>
            <w:r w:rsidR="005954CA" w:rsidRPr="00FC3452">
              <w:rPr>
                <w:b/>
                <w:bCs/>
                <w:i w:val="0"/>
                <w:iCs w:val="0"/>
                <w:color w:val="auto"/>
                <w:sz w:val="24"/>
                <w:szCs w:val="24"/>
                <w:lang w:val="es-MX"/>
              </w:rPr>
              <w:t xml:space="preserve"> </w:t>
            </w:r>
          </w:p>
          <w:p w14:paraId="093C58F5" w14:textId="77777777" w:rsidR="005954CA" w:rsidRPr="00B42903" w:rsidRDefault="005954CA" w:rsidP="00582CA7">
            <w:pPr>
              <w:jc w:val="center"/>
              <w:rPr>
                <w:sz w:val="20"/>
                <w:szCs w:val="20"/>
                <w:lang w:val="es-MX"/>
              </w:rPr>
            </w:pPr>
            <w:r w:rsidRPr="00B42903">
              <w:rPr>
                <w:sz w:val="20"/>
                <w:szCs w:val="20"/>
                <w:lang w:val="es-MX"/>
              </w:rPr>
              <w:t>(porcentaje del PIB)</w:t>
            </w:r>
          </w:p>
        </w:tc>
        <w:tc>
          <w:tcPr>
            <w:tcW w:w="4675" w:type="dxa"/>
          </w:tcPr>
          <w:p w14:paraId="6E8FE9D9" w14:textId="378C8DD1" w:rsidR="00FC3452" w:rsidRPr="007B7995" w:rsidRDefault="00FC3452" w:rsidP="00FC3452">
            <w:pPr>
              <w:keepNext/>
              <w:jc w:val="center"/>
              <w:rPr>
                <w:b/>
                <w:bCs/>
                <w:lang w:val="es-GT"/>
              </w:rPr>
            </w:pPr>
            <w:bookmarkStart w:id="8" w:name="_Toc143870671"/>
            <w:r w:rsidRPr="007B7995">
              <w:rPr>
                <w:b/>
                <w:bCs/>
                <w:lang w:val="es-GT"/>
              </w:rPr>
              <w:t xml:space="preserve">Gráfico </w:t>
            </w:r>
            <w:r w:rsidRPr="00FC3452">
              <w:rPr>
                <w:b/>
                <w:bCs/>
              </w:rPr>
              <w:fldChar w:fldCharType="begin"/>
            </w:r>
            <w:r w:rsidRPr="007B7995">
              <w:rPr>
                <w:b/>
                <w:bCs/>
                <w:lang w:val="es-GT"/>
              </w:rPr>
              <w:instrText xml:space="preserve"> SEQ Gráfico \* ARABIC </w:instrText>
            </w:r>
            <w:r w:rsidRPr="00FC3452">
              <w:rPr>
                <w:b/>
                <w:bCs/>
              </w:rPr>
              <w:fldChar w:fldCharType="separate"/>
            </w:r>
            <w:r w:rsidR="006622B2">
              <w:rPr>
                <w:b/>
                <w:bCs/>
                <w:noProof/>
                <w:lang w:val="es-GT"/>
              </w:rPr>
              <w:t>4</w:t>
            </w:r>
            <w:r w:rsidRPr="00FC3452">
              <w:rPr>
                <w:b/>
                <w:bCs/>
              </w:rPr>
              <w:fldChar w:fldCharType="end"/>
            </w:r>
            <w:r w:rsidRPr="007B7995">
              <w:rPr>
                <w:b/>
                <w:bCs/>
                <w:lang w:val="es-GT"/>
              </w:rPr>
              <w:t xml:space="preserve">.  </w:t>
            </w:r>
            <w:r w:rsidRPr="00FC3452">
              <w:rPr>
                <w:b/>
                <w:bCs/>
                <w:lang w:val="es-GT"/>
              </w:rPr>
              <w:t>D</w:t>
            </w:r>
            <w:r w:rsidRPr="00FC3452">
              <w:rPr>
                <w:b/>
                <w:bCs/>
                <w:lang w:val="es-MX"/>
              </w:rPr>
              <w:t>euda Pública</w:t>
            </w:r>
            <w:bookmarkEnd w:id="8"/>
          </w:p>
          <w:p w14:paraId="457E6D7F" w14:textId="76AA6777" w:rsidR="005954CA" w:rsidRPr="00B42903" w:rsidRDefault="005954CA" w:rsidP="0062508C">
            <w:pPr>
              <w:jc w:val="center"/>
              <w:rPr>
                <w:lang w:val="es-MX"/>
              </w:rPr>
            </w:pPr>
            <w:r w:rsidRPr="00B42903">
              <w:rPr>
                <w:b/>
                <w:bCs/>
                <w:lang w:val="es-MX"/>
              </w:rPr>
              <w:t xml:space="preserve"> </w:t>
            </w:r>
            <w:r w:rsidRPr="00B42903">
              <w:rPr>
                <w:sz w:val="20"/>
                <w:szCs w:val="20"/>
                <w:lang w:val="es-MX"/>
              </w:rPr>
              <w:t>(porcentaje del PIB)</w:t>
            </w:r>
          </w:p>
        </w:tc>
      </w:tr>
      <w:tr w:rsidR="005954CA" w:rsidRPr="004E2E1E" w14:paraId="40C66721" w14:textId="77777777" w:rsidTr="00582CA7">
        <w:tblPrEx>
          <w:tblCellMar>
            <w:left w:w="70" w:type="dxa"/>
            <w:right w:w="70" w:type="dxa"/>
          </w:tblCellMar>
        </w:tblPrEx>
        <w:tc>
          <w:tcPr>
            <w:tcW w:w="4675" w:type="dxa"/>
          </w:tcPr>
          <w:p w14:paraId="6A48A1BB" w14:textId="77777777" w:rsidR="005954CA" w:rsidRPr="004E2E1E" w:rsidRDefault="005954CA" w:rsidP="00582CA7">
            <w:pPr>
              <w:jc w:val="both"/>
              <w:rPr>
                <w:lang w:val="es-MX"/>
              </w:rPr>
            </w:pPr>
            <w:r w:rsidRPr="004E2E1E">
              <w:rPr>
                <w:noProof/>
              </w:rPr>
              <w:drawing>
                <wp:inline distT="0" distB="0" distL="0" distR="0" wp14:anchorId="22E52203" wp14:editId="254B3442">
                  <wp:extent cx="2879725" cy="2306472"/>
                  <wp:effectExtent l="0" t="0" r="0" b="0"/>
                  <wp:docPr id="17" name="Gráfico 17">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c>
        <w:tc>
          <w:tcPr>
            <w:tcW w:w="4675" w:type="dxa"/>
          </w:tcPr>
          <w:p w14:paraId="7F718348" w14:textId="77777777" w:rsidR="005954CA" w:rsidRPr="004E2E1E" w:rsidRDefault="005954CA" w:rsidP="00582CA7">
            <w:pPr>
              <w:jc w:val="both"/>
              <w:rPr>
                <w:lang w:val="es-MX"/>
              </w:rPr>
            </w:pPr>
            <w:r w:rsidRPr="004E2E1E">
              <w:rPr>
                <w:noProof/>
              </w:rPr>
              <w:drawing>
                <wp:inline distT="0" distB="0" distL="0" distR="0" wp14:anchorId="53CDC6F9" wp14:editId="5EDF7945">
                  <wp:extent cx="2879725" cy="2306320"/>
                  <wp:effectExtent l="0" t="0" r="0" b="0"/>
                  <wp:docPr id="18" name="Gráfico 18">
                    <a:extLst xmlns:a="http://schemas.openxmlformats.org/drawingml/2006/main">
                      <a:ext uri="{FF2B5EF4-FFF2-40B4-BE49-F238E27FC236}">
                        <a16:creationId xmlns:a16="http://schemas.microsoft.com/office/drawing/2014/main"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r>
      <w:tr w:rsidR="005954CA" w:rsidRPr="004E2E1E" w14:paraId="4249C3B0" w14:textId="77777777" w:rsidTr="00582CA7">
        <w:tblPrEx>
          <w:tblCellMar>
            <w:left w:w="70" w:type="dxa"/>
            <w:right w:w="70" w:type="dxa"/>
          </w:tblCellMar>
        </w:tblPrEx>
        <w:tc>
          <w:tcPr>
            <w:tcW w:w="9350" w:type="dxa"/>
            <w:gridSpan w:val="2"/>
          </w:tcPr>
          <w:p w14:paraId="166F2E23" w14:textId="0539D7B2" w:rsidR="005954CA" w:rsidRPr="005954CA" w:rsidRDefault="005954CA" w:rsidP="00582CA7">
            <w:pPr>
              <w:jc w:val="both"/>
              <w:rPr>
                <w:noProof/>
                <w:lang w:val="es-GT"/>
              </w:rPr>
            </w:pPr>
            <w:r w:rsidRPr="005954CA">
              <w:rPr>
                <w:noProof/>
                <w:sz w:val="18"/>
                <w:szCs w:val="18"/>
                <w:lang w:val="es-GT"/>
              </w:rPr>
              <w:t xml:space="preserve">      Fuente: Fondo Monetario Internacional, WEO abril 2022</w:t>
            </w:r>
            <w:r w:rsidR="00B42903">
              <w:rPr>
                <w:noProof/>
                <w:sz w:val="18"/>
                <w:szCs w:val="18"/>
                <w:lang w:val="es-GT"/>
              </w:rPr>
              <w:t>.</w:t>
            </w:r>
          </w:p>
        </w:tc>
      </w:tr>
    </w:tbl>
    <w:p w14:paraId="1444CDD1" w14:textId="10CE3648" w:rsidR="005954CA" w:rsidRDefault="005954CA" w:rsidP="005954CA">
      <w:pPr>
        <w:jc w:val="both"/>
      </w:pPr>
    </w:p>
    <w:p w14:paraId="10406BB9" w14:textId="77777777" w:rsidR="005954CA" w:rsidRPr="005318D0" w:rsidRDefault="005954CA" w:rsidP="00354A9C">
      <w:pPr>
        <w:pStyle w:val="Ttulo3"/>
        <w:numPr>
          <w:ilvl w:val="1"/>
          <w:numId w:val="48"/>
        </w:numPr>
        <w:tabs>
          <w:tab w:val="left" w:pos="1134"/>
        </w:tabs>
        <w:rPr>
          <w:rFonts w:ascii="Times New Roman" w:hAnsi="Times New Roman" w:cs="Times New Roman"/>
          <w:b/>
          <w:bCs/>
          <w:color w:val="auto"/>
          <w:lang w:val="es-MX"/>
        </w:rPr>
      </w:pPr>
      <w:bookmarkStart w:id="9" w:name="_Toc143865772"/>
      <w:r w:rsidRPr="00B91D9C">
        <w:rPr>
          <w:rFonts w:ascii="Times New Roman" w:hAnsi="Times New Roman" w:cs="Times New Roman"/>
          <w:b/>
          <w:bCs/>
          <w:color w:val="auto"/>
          <w:lang w:val="es-MX"/>
        </w:rPr>
        <w:t>Evolución de los principales socios comerciales de Guatemala</w:t>
      </w:r>
      <w:bookmarkEnd w:id="9"/>
      <w:r w:rsidRPr="005318D0">
        <w:rPr>
          <w:rFonts w:ascii="Times New Roman" w:hAnsi="Times New Roman" w:cs="Times New Roman"/>
          <w:b/>
          <w:bCs/>
          <w:color w:val="auto"/>
          <w:lang w:val="es-MX"/>
        </w:rPr>
        <w:t xml:space="preserve"> </w:t>
      </w:r>
    </w:p>
    <w:p w14:paraId="52051197" w14:textId="39CEACA9" w:rsidR="005954CA" w:rsidRDefault="005954CA" w:rsidP="005954CA">
      <w:pPr>
        <w:jc w:val="both"/>
        <w:rPr>
          <w:lang w:val="es-MX"/>
        </w:rPr>
      </w:pPr>
    </w:p>
    <w:p w14:paraId="48C2B3E0" w14:textId="346A84DE" w:rsidR="005954CA" w:rsidRDefault="005954CA" w:rsidP="005954CA">
      <w:pPr>
        <w:jc w:val="both"/>
        <w:rPr>
          <w:lang w:val="es-MX"/>
        </w:rPr>
      </w:pPr>
      <w:r w:rsidRPr="005954CA">
        <w:rPr>
          <w:lang w:val="es-MX"/>
        </w:rPr>
        <w:t>Los principales socios comerciales que forman una parte significativa del comercio internacional y de los flujos de inversión de la economía nacional, mostraron un crecimiento resiliente en 2022. Estados Unidos, como los otros países, a pesar de aumentar significativamente la tasa de interés de política monetaria, no tuvo efectos significativos en los indicadores de la actividad económica y el desempleo, situación que podría cambiar en el futuro debido al efecto en la demanda agregada. Por su parte, estos países tuvieron una política fiscal más moderada que en los años previos por la pandemia, pero aún con gastos extraordinarios por la mitigación del alza de precios de los combustibles y de agricultura, lo que afectó la consolidación fiscal, no obstante, el indicador de deuda PIB fue beneficiado por la alta inflación observada en este año.</w:t>
      </w:r>
    </w:p>
    <w:p w14:paraId="7577F749" w14:textId="77777777" w:rsidR="00B91D9C" w:rsidRDefault="00B91D9C" w:rsidP="005954CA">
      <w:pPr>
        <w:jc w:val="both"/>
        <w:rPr>
          <w:lang w:val="es-MX"/>
        </w:rPr>
      </w:pPr>
    </w:p>
    <w:p w14:paraId="2C5C18D2" w14:textId="77777777" w:rsidR="005954CA" w:rsidRPr="005318D0" w:rsidRDefault="005954CA" w:rsidP="00354A9C">
      <w:pPr>
        <w:pStyle w:val="Ttulo3"/>
        <w:numPr>
          <w:ilvl w:val="2"/>
          <w:numId w:val="48"/>
        </w:numPr>
        <w:ind w:left="851" w:hanging="567"/>
        <w:rPr>
          <w:rFonts w:ascii="Times New Roman" w:hAnsi="Times New Roman" w:cs="Times New Roman"/>
          <w:b/>
          <w:bCs/>
          <w:color w:val="auto"/>
          <w:lang w:val="es-MX"/>
        </w:rPr>
      </w:pPr>
      <w:bookmarkStart w:id="10" w:name="_Toc143865773"/>
      <w:r w:rsidRPr="005318D0">
        <w:rPr>
          <w:rFonts w:ascii="Times New Roman" w:hAnsi="Times New Roman" w:cs="Times New Roman"/>
          <w:b/>
          <w:bCs/>
          <w:color w:val="auto"/>
          <w:lang w:val="es-MX"/>
        </w:rPr>
        <w:t>Estados Unidos de América</w:t>
      </w:r>
      <w:bookmarkEnd w:id="10"/>
    </w:p>
    <w:p w14:paraId="29E8687F" w14:textId="77777777" w:rsidR="005954CA" w:rsidRDefault="005954CA" w:rsidP="005954CA">
      <w:pPr>
        <w:jc w:val="both"/>
        <w:rPr>
          <w:lang w:val="es-MX"/>
        </w:rPr>
      </w:pPr>
    </w:p>
    <w:p w14:paraId="2F92B29C" w14:textId="57ECC0DB" w:rsidR="00FB2F6F" w:rsidRPr="00FB2F6F" w:rsidRDefault="00FB2F6F" w:rsidP="00FB2F6F">
      <w:pPr>
        <w:jc w:val="both"/>
        <w:rPr>
          <w:lang w:val="es-MX"/>
        </w:rPr>
      </w:pPr>
      <w:r w:rsidRPr="00FB2F6F">
        <w:rPr>
          <w:lang w:val="es-MX"/>
        </w:rPr>
        <w:t>El crecimiento económico de Estados Unidos se desaceleró en el 2022</w:t>
      </w:r>
      <w:r w:rsidR="005D11FF">
        <w:rPr>
          <w:lang w:val="es-MX"/>
        </w:rPr>
        <w:t xml:space="preserve">, ubicándose en </w:t>
      </w:r>
      <w:r w:rsidRPr="00FB2F6F">
        <w:rPr>
          <w:lang w:val="es-MX"/>
        </w:rPr>
        <w:t xml:space="preserve">2.1%, con un deterioro en el índice de producción industrial, principalmente en los últimos meses del año. Los gastos de consumo de los hogares crecieron levemente y la inversión se debilitó, principalmente en el mercado inmobiliario. Los salarios aumentaron y afectaron los costos de producción, lo que contribuyó a las presiones inflacionarias. La inflación se mantuvo alta durante el año, pero su crecimiento empezó a disminuir a partir de septiembre, cerrando el año con un valor de 6.44%. </w:t>
      </w:r>
    </w:p>
    <w:p w14:paraId="29DAC7F7" w14:textId="77777777" w:rsidR="00FB2F6F" w:rsidRPr="00FB2F6F" w:rsidRDefault="00FB2F6F" w:rsidP="00FB2F6F">
      <w:pPr>
        <w:jc w:val="both"/>
        <w:rPr>
          <w:lang w:val="es-MX"/>
        </w:rPr>
      </w:pPr>
    </w:p>
    <w:p w14:paraId="1B6F702E" w14:textId="3E5AEDDB" w:rsidR="005954CA" w:rsidRDefault="00FB2F6F" w:rsidP="00FB2F6F">
      <w:pPr>
        <w:jc w:val="both"/>
        <w:rPr>
          <w:lang w:val="es-MX"/>
        </w:rPr>
      </w:pPr>
      <w:r w:rsidRPr="00FB2F6F">
        <w:rPr>
          <w:lang w:val="es-MX"/>
        </w:rPr>
        <w:t>La Reserva Federal tuvo una respuesta rápida ante la elevada inflación</w:t>
      </w:r>
      <w:r w:rsidR="0046286C">
        <w:rPr>
          <w:lang w:val="es-MX"/>
        </w:rPr>
        <w:t>,</w:t>
      </w:r>
      <w:r w:rsidRPr="00FB2F6F">
        <w:rPr>
          <w:lang w:val="es-MX"/>
        </w:rPr>
        <w:t xml:space="preserve"> aumentando la tasa de interés, como se mencionó con anterioridad. Estos aumentos tuvieron una transmisión casi inmediata en muchos mercados, en particular en los rendimientos de los bonos del tesoro con un vencimiento de corto plazo, además, la política restrictiva contribuyó a la apreciación del dólar estadounidense. A pesar de estos aumentos de la tasa de interés, el desempleo se mantuvo bajo y el desempeño en la actividad económica se mantuvo. Por otro lado, el apoyo del Gobierno por la pandemia </w:t>
      </w:r>
      <w:r w:rsidR="0046286C" w:rsidRPr="00FB2F6F">
        <w:rPr>
          <w:lang w:val="es-MX"/>
        </w:rPr>
        <w:t>termin</w:t>
      </w:r>
      <w:r w:rsidR="0046286C">
        <w:rPr>
          <w:lang w:val="es-MX"/>
        </w:rPr>
        <w:t>ó</w:t>
      </w:r>
      <w:r w:rsidRPr="00FB2F6F">
        <w:rPr>
          <w:lang w:val="es-MX"/>
        </w:rPr>
        <w:t xml:space="preserve">, pero parte de las transferencias a los hogares no se han gastado completamente y estos poseen aún ahorros acumulados de dichos programas. Por </w:t>
      </w:r>
      <w:r w:rsidRPr="002415A0">
        <w:rPr>
          <w:lang w:val="es-MX"/>
        </w:rPr>
        <w:t>el incremento de precios de los productos de energía, algunos Estados suspendieron impuestos</w:t>
      </w:r>
      <w:r w:rsidR="002415A0">
        <w:rPr>
          <w:lang w:val="es-MX"/>
        </w:rPr>
        <w:t>, no obstante, el aumento de la inflación y del deflactor del PIB influyó para que</w:t>
      </w:r>
      <w:r w:rsidRPr="002415A0">
        <w:rPr>
          <w:lang w:val="es-MX"/>
        </w:rPr>
        <w:t xml:space="preserve"> el déficit fiscal y la deuda pública </w:t>
      </w:r>
      <w:r w:rsidR="002415A0">
        <w:rPr>
          <w:lang w:val="es-MX"/>
        </w:rPr>
        <w:t>disminuyeran</w:t>
      </w:r>
      <w:r w:rsidRPr="002415A0">
        <w:rPr>
          <w:lang w:val="es-MX"/>
        </w:rPr>
        <w:t xml:space="preserve"> como porcentaje del PIB y se ubicaron en 5.5% y 94.2%</w:t>
      </w:r>
      <w:r w:rsidR="00B84724">
        <w:rPr>
          <w:lang w:val="es-MX"/>
        </w:rPr>
        <w:t>, respectivamente.</w:t>
      </w:r>
      <w:r w:rsidRPr="002415A0">
        <w:rPr>
          <w:lang w:val="es-MX"/>
        </w:rPr>
        <w:t xml:space="preserve"> </w:t>
      </w:r>
    </w:p>
    <w:p w14:paraId="3D5FACE8" w14:textId="1A790B10" w:rsidR="00FB2F6F" w:rsidRDefault="00FB2F6F" w:rsidP="00FB2F6F">
      <w:pPr>
        <w:jc w:val="both"/>
        <w:rPr>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6"/>
        <w:gridCol w:w="2946"/>
        <w:gridCol w:w="2946"/>
      </w:tblGrid>
      <w:tr w:rsidR="00FB2F6F" w:rsidRPr="004E2E1E" w14:paraId="45B930CB" w14:textId="77777777" w:rsidTr="00582CA7">
        <w:tc>
          <w:tcPr>
            <w:tcW w:w="9350" w:type="dxa"/>
            <w:gridSpan w:val="3"/>
          </w:tcPr>
          <w:p w14:paraId="196EAB95" w14:textId="6F6B5662" w:rsidR="00FB2F6F" w:rsidRPr="00816CC5" w:rsidRDefault="00816CC5" w:rsidP="00816CC5">
            <w:pPr>
              <w:keepNext/>
              <w:jc w:val="center"/>
              <w:rPr>
                <w:b/>
                <w:bCs/>
                <w:lang w:val="es-GT"/>
              </w:rPr>
            </w:pPr>
            <w:bookmarkStart w:id="11" w:name="_Toc143870672"/>
            <w:r w:rsidRPr="00816CC5">
              <w:rPr>
                <w:b/>
                <w:bCs/>
                <w:lang w:val="es-GT"/>
              </w:rPr>
              <w:t xml:space="preserve">Gráfico </w:t>
            </w:r>
            <w:r w:rsidRPr="00816CC5">
              <w:rPr>
                <w:b/>
                <w:bCs/>
              </w:rPr>
              <w:fldChar w:fldCharType="begin"/>
            </w:r>
            <w:r w:rsidRPr="00816CC5">
              <w:rPr>
                <w:b/>
                <w:bCs/>
                <w:lang w:val="es-GT"/>
              </w:rPr>
              <w:instrText xml:space="preserve"> SEQ Gráfico \* ARABIC </w:instrText>
            </w:r>
            <w:r w:rsidRPr="00816CC5">
              <w:rPr>
                <w:b/>
                <w:bCs/>
              </w:rPr>
              <w:fldChar w:fldCharType="separate"/>
            </w:r>
            <w:r w:rsidR="006622B2">
              <w:rPr>
                <w:b/>
                <w:bCs/>
                <w:noProof/>
                <w:lang w:val="es-GT"/>
              </w:rPr>
              <w:t>5</w:t>
            </w:r>
            <w:r w:rsidRPr="00816CC5">
              <w:rPr>
                <w:b/>
                <w:bCs/>
              </w:rPr>
              <w:fldChar w:fldCharType="end"/>
            </w:r>
            <w:r w:rsidRPr="00816CC5">
              <w:rPr>
                <w:b/>
                <w:bCs/>
                <w:lang w:val="es-GT"/>
              </w:rPr>
              <w:t xml:space="preserve">.  </w:t>
            </w:r>
            <w:r w:rsidRPr="00816CC5">
              <w:rPr>
                <w:b/>
                <w:bCs/>
                <w:lang w:val="es-MX"/>
              </w:rPr>
              <w:t>Indicadores económicos seleccionados para Estados Unidos en 2022</w:t>
            </w:r>
            <w:bookmarkEnd w:id="11"/>
          </w:p>
        </w:tc>
      </w:tr>
      <w:tr w:rsidR="00FB2F6F" w:rsidRPr="004E2E1E" w14:paraId="395A7A4C" w14:textId="77777777" w:rsidTr="00582CA7">
        <w:tc>
          <w:tcPr>
            <w:tcW w:w="3188" w:type="dxa"/>
          </w:tcPr>
          <w:p w14:paraId="6C91C864" w14:textId="77777777" w:rsidR="00FB2F6F" w:rsidRPr="004E2E1E" w:rsidRDefault="00FB2F6F" w:rsidP="00582CA7">
            <w:pPr>
              <w:jc w:val="center"/>
              <w:rPr>
                <w:b/>
                <w:bCs/>
                <w:sz w:val="18"/>
                <w:szCs w:val="18"/>
                <w:lang w:val="es-MX"/>
              </w:rPr>
            </w:pPr>
            <w:r w:rsidRPr="004E2E1E">
              <w:rPr>
                <w:b/>
                <w:bCs/>
                <w:sz w:val="18"/>
                <w:szCs w:val="18"/>
                <w:lang w:val="es-MX"/>
              </w:rPr>
              <w:t>Tasa de desempleo e índice de producción (%)</w:t>
            </w:r>
          </w:p>
        </w:tc>
        <w:tc>
          <w:tcPr>
            <w:tcW w:w="3188" w:type="dxa"/>
          </w:tcPr>
          <w:p w14:paraId="2FC18CB4" w14:textId="77777777" w:rsidR="00FB2F6F" w:rsidRPr="004E2E1E" w:rsidRDefault="00FB2F6F" w:rsidP="00582CA7">
            <w:pPr>
              <w:jc w:val="center"/>
              <w:rPr>
                <w:b/>
                <w:bCs/>
                <w:sz w:val="18"/>
                <w:szCs w:val="18"/>
                <w:lang w:val="es-MX"/>
              </w:rPr>
            </w:pPr>
            <w:r w:rsidRPr="00FB2F6F">
              <w:rPr>
                <w:b/>
                <w:bCs/>
                <w:sz w:val="18"/>
                <w:szCs w:val="18"/>
                <w:lang w:val="es-GT"/>
              </w:rPr>
              <w:t>Tasa de política e inflación (%)</w:t>
            </w:r>
          </w:p>
        </w:tc>
        <w:tc>
          <w:tcPr>
            <w:tcW w:w="2974" w:type="dxa"/>
          </w:tcPr>
          <w:p w14:paraId="2F3FB048" w14:textId="77777777" w:rsidR="00FB2F6F" w:rsidRPr="004E2E1E" w:rsidRDefault="00FB2F6F" w:rsidP="00582CA7">
            <w:pPr>
              <w:jc w:val="center"/>
              <w:rPr>
                <w:b/>
                <w:bCs/>
                <w:sz w:val="18"/>
                <w:szCs w:val="18"/>
                <w:lang w:val="es-MX"/>
              </w:rPr>
            </w:pPr>
            <w:r w:rsidRPr="004E2E1E">
              <w:rPr>
                <w:b/>
                <w:bCs/>
                <w:sz w:val="18"/>
                <w:szCs w:val="18"/>
                <w:lang w:val="es-MX"/>
              </w:rPr>
              <w:t>Deuda pública y déficit fiscal (% del PIB)</w:t>
            </w:r>
          </w:p>
        </w:tc>
      </w:tr>
      <w:tr w:rsidR="00FB2F6F" w:rsidRPr="004E2E1E" w14:paraId="6AB22B50" w14:textId="77777777" w:rsidTr="00582CA7">
        <w:tblPrEx>
          <w:tblCellMar>
            <w:left w:w="70" w:type="dxa"/>
            <w:right w:w="70" w:type="dxa"/>
          </w:tblCellMar>
        </w:tblPrEx>
        <w:tc>
          <w:tcPr>
            <w:tcW w:w="3188" w:type="dxa"/>
          </w:tcPr>
          <w:p w14:paraId="5F127BAA" w14:textId="77777777" w:rsidR="00FB2F6F" w:rsidRPr="004E2E1E" w:rsidRDefault="00FB2F6F" w:rsidP="00582CA7">
            <w:pPr>
              <w:jc w:val="both"/>
              <w:rPr>
                <w:lang w:val="es-MX"/>
              </w:rPr>
            </w:pPr>
            <w:r w:rsidRPr="004E2E1E">
              <w:rPr>
                <w:noProof/>
              </w:rPr>
              <w:drawing>
                <wp:inline distT="0" distB="0" distL="0" distR="0" wp14:anchorId="468951B3" wp14:editId="518EB2EE">
                  <wp:extent cx="1799590" cy="2408830"/>
                  <wp:effectExtent l="0" t="0" r="0" b="0"/>
                  <wp:docPr id="1802" name="Gráfico 1802">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c>
          <w:tcPr>
            <w:tcW w:w="3188" w:type="dxa"/>
          </w:tcPr>
          <w:p w14:paraId="631F2297" w14:textId="77777777" w:rsidR="00FB2F6F" w:rsidRPr="004E2E1E" w:rsidRDefault="00FB2F6F" w:rsidP="00582CA7">
            <w:pPr>
              <w:jc w:val="both"/>
              <w:rPr>
                <w:lang w:val="es-MX"/>
              </w:rPr>
            </w:pPr>
            <w:r w:rsidRPr="004E2E1E">
              <w:rPr>
                <w:noProof/>
              </w:rPr>
              <w:drawing>
                <wp:inline distT="0" distB="0" distL="0" distR="0" wp14:anchorId="0DEE0920" wp14:editId="372D7D72">
                  <wp:extent cx="1799590" cy="2442950"/>
                  <wp:effectExtent l="0" t="0" r="0" b="0"/>
                  <wp:docPr id="1803" name="Gráfico 1803">
                    <a:extLst xmlns:a="http://schemas.openxmlformats.org/drawingml/2006/main">
                      <a:ext uri="{FF2B5EF4-FFF2-40B4-BE49-F238E27FC236}">
                        <a16:creationId xmlns:a16="http://schemas.microsoft.com/office/drawing/2014/main" id="{00000000-0008-0000-0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c>
          <w:tcPr>
            <w:tcW w:w="2974" w:type="dxa"/>
          </w:tcPr>
          <w:p w14:paraId="3C7EE208" w14:textId="77777777" w:rsidR="00FB2F6F" w:rsidRPr="004E2E1E" w:rsidRDefault="00FB2F6F" w:rsidP="00582CA7">
            <w:pPr>
              <w:jc w:val="both"/>
              <w:rPr>
                <w:lang w:val="es-MX"/>
              </w:rPr>
            </w:pPr>
            <w:r w:rsidRPr="004E2E1E">
              <w:rPr>
                <w:noProof/>
              </w:rPr>
              <w:drawing>
                <wp:inline distT="0" distB="0" distL="0" distR="0" wp14:anchorId="6DBE8061" wp14:editId="2E20A99F">
                  <wp:extent cx="1799590" cy="2289810"/>
                  <wp:effectExtent l="0" t="0" r="0" b="0"/>
                  <wp:docPr id="1804" name="Gráfico 1804">
                    <a:extLst xmlns:a="http://schemas.openxmlformats.org/drawingml/2006/main">
                      <a:ext uri="{FF2B5EF4-FFF2-40B4-BE49-F238E27FC236}">
                        <a16:creationId xmlns:a16="http://schemas.microsoft.com/office/drawing/2014/main" id="{00000000-0008-0000-0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r>
      <w:tr w:rsidR="00FB2F6F" w:rsidRPr="004E2E1E" w14:paraId="0C98372C" w14:textId="77777777" w:rsidTr="00582CA7">
        <w:tblPrEx>
          <w:tblCellMar>
            <w:left w:w="70" w:type="dxa"/>
            <w:right w:w="70" w:type="dxa"/>
          </w:tblCellMar>
        </w:tblPrEx>
        <w:tc>
          <w:tcPr>
            <w:tcW w:w="9350" w:type="dxa"/>
            <w:gridSpan w:val="3"/>
          </w:tcPr>
          <w:p w14:paraId="5034972B" w14:textId="77777777" w:rsidR="00FB2F6F" w:rsidRPr="00FB2F6F" w:rsidRDefault="00FB2F6F" w:rsidP="00582CA7">
            <w:pPr>
              <w:jc w:val="both"/>
              <w:rPr>
                <w:sz w:val="18"/>
                <w:szCs w:val="18"/>
                <w:lang w:val="es-GT"/>
              </w:rPr>
            </w:pPr>
            <w:r w:rsidRPr="00FB2F6F">
              <w:rPr>
                <w:sz w:val="18"/>
                <w:szCs w:val="18"/>
                <w:lang w:val="es-GT"/>
              </w:rPr>
              <w:t>Fuente: Reserva Federal y WEO de abril 2023 del FMI.</w:t>
            </w:r>
          </w:p>
        </w:tc>
      </w:tr>
    </w:tbl>
    <w:p w14:paraId="30AA22EE" w14:textId="0A79D5D3" w:rsidR="00FB2F6F" w:rsidRDefault="00FB2F6F" w:rsidP="00FB2F6F">
      <w:pPr>
        <w:jc w:val="both"/>
      </w:pPr>
    </w:p>
    <w:p w14:paraId="7F0CAB42" w14:textId="13477DD4" w:rsidR="00017F3A" w:rsidRDefault="00017F3A" w:rsidP="00FB2F6F">
      <w:pPr>
        <w:jc w:val="both"/>
      </w:pPr>
    </w:p>
    <w:p w14:paraId="38B2E7C9" w14:textId="77777777" w:rsidR="00017F3A" w:rsidRDefault="00017F3A" w:rsidP="00FB2F6F">
      <w:pPr>
        <w:jc w:val="both"/>
      </w:pPr>
    </w:p>
    <w:p w14:paraId="6FC72329" w14:textId="77777777" w:rsidR="00FB2F6F" w:rsidRPr="005318D0" w:rsidRDefault="00FB2F6F" w:rsidP="00354A9C">
      <w:pPr>
        <w:pStyle w:val="Ttulo3"/>
        <w:numPr>
          <w:ilvl w:val="2"/>
          <w:numId w:val="48"/>
        </w:numPr>
        <w:ind w:left="851" w:hanging="567"/>
        <w:rPr>
          <w:rFonts w:ascii="Times New Roman" w:hAnsi="Times New Roman" w:cs="Times New Roman"/>
          <w:b/>
          <w:bCs/>
          <w:color w:val="auto"/>
          <w:lang w:val="es-MX"/>
        </w:rPr>
      </w:pPr>
      <w:bookmarkStart w:id="12" w:name="_Toc143865774"/>
      <w:r w:rsidRPr="005318D0">
        <w:rPr>
          <w:rFonts w:ascii="Times New Roman" w:hAnsi="Times New Roman" w:cs="Times New Roman"/>
          <w:b/>
          <w:bCs/>
          <w:color w:val="auto"/>
          <w:lang w:val="es-MX"/>
        </w:rPr>
        <w:t>Centroamérica y República Dominicana</w:t>
      </w:r>
      <w:bookmarkEnd w:id="12"/>
    </w:p>
    <w:p w14:paraId="0BB90A3C" w14:textId="1A185858" w:rsidR="00FB2F6F" w:rsidRDefault="00FB2F6F" w:rsidP="00FB2F6F">
      <w:pPr>
        <w:jc w:val="both"/>
      </w:pPr>
    </w:p>
    <w:p w14:paraId="659AEB71" w14:textId="139F401E" w:rsidR="00FB2F6F" w:rsidRDefault="00FB2F6F" w:rsidP="00FB2F6F">
      <w:pPr>
        <w:jc w:val="both"/>
      </w:pPr>
      <w:r>
        <w:t xml:space="preserve">El crecimiento promedio de los países de Centroamérica y República Dominicana para el 2022 fue de 4.0%, menor considerablemente al del año anterior por </w:t>
      </w:r>
      <w:r w:rsidRPr="00634517">
        <w:t xml:space="preserve">el </w:t>
      </w:r>
      <w:r w:rsidRPr="00DB3AC5">
        <w:t>efecto estadístico</w:t>
      </w:r>
      <w:r w:rsidR="00634517" w:rsidRPr="0047447B">
        <w:rPr>
          <w:rStyle w:val="Refdenotaalpie"/>
        </w:rPr>
        <w:footnoteReference w:id="1"/>
      </w:r>
      <w:r w:rsidRPr="00634517">
        <w:t>. El</w:t>
      </w:r>
      <w:r>
        <w:t xml:space="preserve"> principal efecto negativo económico en la región fue por el incremento de los precios internacionales de las materias primas y por las presiones hacia la depreciación de las monedas por el aumento de las tasas de interés internacionales y la incertidumbre de la economía mundial.  La cuenta corriente en promedio fue deficitaria con 3.8% del PIB, de la cual las remesas familiares tuvieron gran dinamismo y el incremento de las exportaciones, contrarrestaron el aumento de las importaciones.</w:t>
      </w:r>
    </w:p>
    <w:p w14:paraId="034728CB" w14:textId="77777777" w:rsidR="00FB2F6F" w:rsidRDefault="00FB2F6F" w:rsidP="00FB2F6F">
      <w:pPr>
        <w:jc w:val="both"/>
      </w:pPr>
    </w:p>
    <w:p w14:paraId="3301ED21" w14:textId="30AF7F54" w:rsidR="00FB2F6F" w:rsidRDefault="00FB2F6F" w:rsidP="00FB2F6F">
      <w:pPr>
        <w:jc w:val="both"/>
      </w:pPr>
      <w:r>
        <w:t xml:space="preserve">Por su parte, los países registraron una alta inflación, a excepción de Panamá, por lo que, los </w:t>
      </w:r>
      <w:r w:rsidR="00B84724">
        <w:t xml:space="preserve">Bancos </w:t>
      </w:r>
      <w:r>
        <w:t>Centrales de la región aumentaron sus tasas de interés, en las que destacó el aumento de 7.75 puntos porcentuales de Costa Rica y 5.0 puntos porcentuales de República Dominicana. Como respuesta al aumento de los precios de energía</w:t>
      </w:r>
      <w:r w:rsidR="00965C53">
        <w:t>,</w:t>
      </w:r>
      <w:r>
        <w:t xml:space="preserve"> los países respondieron con transferencias y subsidios, sin embargo, el déficit promedio de la región se mantuvo bajo en 2.2% del PIB, dado que la mayoría de los países tuvieron un aumento en los ingresos por el efecto de los precios, además, la región disminuyó la deuda como porcentaje del PIB en dicho año.</w:t>
      </w:r>
    </w:p>
    <w:p w14:paraId="363AFC7E" w14:textId="0FF52C91" w:rsidR="00FB2F6F" w:rsidRDefault="00FB2F6F" w:rsidP="00FB2F6F">
      <w:pPr>
        <w:jc w:val="both"/>
      </w:pPr>
    </w:p>
    <w:tbl>
      <w:tblPr>
        <w:tblStyle w:val="Tablaconcuadrcula"/>
        <w:tblW w:w="91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8"/>
      </w:tblGrid>
      <w:tr w:rsidR="00FB2F6F" w:rsidRPr="004E2E1E" w14:paraId="50BAFDFE" w14:textId="77777777" w:rsidTr="0013455C">
        <w:trPr>
          <w:trHeight w:val="34"/>
        </w:trPr>
        <w:tc>
          <w:tcPr>
            <w:tcW w:w="9128" w:type="dxa"/>
          </w:tcPr>
          <w:p w14:paraId="2AFD4133" w14:textId="1D12C59C" w:rsidR="00FB2F6F" w:rsidRPr="00816CC5" w:rsidRDefault="00816CC5" w:rsidP="00816CC5">
            <w:pPr>
              <w:pStyle w:val="Descripcin"/>
              <w:keepNext/>
              <w:spacing w:after="0"/>
              <w:jc w:val="center"/>
              <w:rPr>
                <w:b/>
                <w:bCs/>
                <w:i w:val="0"/>
                <w:iCs w:val="0"/>
                <w:color w:val="auto"/>
                <w:sz w:val="24"/>
                <w:szCs w:val="24"/>
                <w:lang w:val="es-GT"/>
              </w:rPr>
            </w:pPr>
            <w:bookmarkStart w:id="13" w:name="_Toc143871208"/>
            <w:r w:rsidRPr="00816CC5">
              <w:rPr>
                <w:b/>
                <w:bCs/>
                <w:i w:val="0"/>
                <w:iCs w:val="0"/>
                <w:color w:val="auto"/>
                <w:sz w:val="24"/>
                <w:szCs w:val="24"/>
                <w:lang w:val="es-GT"/>
              </w:rPr>
              <w:t xml:space="preserve">Tabla </w:t>
            </w:r>
            <w:r w:rsidRPr="00816CC5">
              <w:rPr>
                <w:b/>
                <w:bCs/>
                <w:i w:val="0"/>
                <w:iCs w:val="0"/>
                <w:color w:val="auto"/>
                <w:sz w:val="24"/>
                <w:szCs w:val="24"/>
              </w:rPr>
              <w:fldChar w:fldCharType="begin"/>
            </w:r>
            <w:r w:rsidRPr="00816CC5">
              <w:rPr>
                <w:b/>
                <w:bCs/>
                <w:i w:val="0"/>
                <w:iCs w:val="0"/>
                <w:color w:val="auto"/>
                <w:sz w:val="24"/>
                <w:szCs w:val="24"/>
                <w:lang w:val="es-GT"/>
              </w:rPr>
              <w:instrText xml:space="preserve"> SEQ Tabla \* ARABIC </w:instrText>
            </w:r>
            <w:r w:rsidRPr="00816CC5">
              <w:rPr>
                <w:b/>
                <w:bCs/>
                <w:i w:val="0"/>
                <w:iCs w:val="0"/>
                <w:color w:val="auto"/>
                <w:sz w:val="24"/>
                <w:szCs w:val="24"/>
              </w:rPr>
              <w:fldChar w:fldCharType="separate"/>
            </w:r>
            <w:r w:rsidR="006622B2">
              <w:rPr>
                <w:b/>
                <w:bCs/>
                <w:i w:val="0"/>
                <w:iCs w:val="0"/>
                <w:noProof/>
                <w:color w:val="auto"/>
                <w:sz w:val="24"/>
                <w:szCs w:val="24"/>
                <w:lang w:val="es-GT"/>
              </w:rPr>
              <w:t>1</w:t>
            </w:r>
            <w:r w:rsidRPr="00816CC5">
              <w:rPr>
                <w:b/>
                <w:bCs/>
                <w:i w:val="0"/>
                <w:iCs w:val="0"/>
                <w:color w:val="auto"/>
                <w:sz w:val="24"/>
                <w:szCs w:val="24"/>
              </w:rPr>
              <w:fldChar w:fldCharType="end"/>
            </w:r>
            <w:r w:rsidRPr="00816CC5">
              <w:rPr>
                <w:b/>
                <w:bCs/>
                <w:i w:val="0"/>
                <w:iCs w:val="0"/>
                <w:color w:val="auto"/>
                <w:sz w:val="24"/>
                <w:szCs w:val="24"/>
                <w:lang w:val="es-GT"/>
              </w:rPr>
              <w:t xml:space="preserve">.  </w:t>
            </w:r>
            <w:r w:rsidR="00FB2F6F" w:rsidRPr="00816CC5">
              <w:rPr>
                <w:b/>
                <w:bCs/>
                <w:i w:val="0"/>
                <w:iCs w:val="0"/>
                <w:color w:val="auto"/>
                <w:sz w:val="24"/>
                <w:szCs w:val="24"/>
                <w:lang w:val="es-MX"/>
              </w:rPr>
              <w:t>Indicadores económicos seleccionados para Centroamérica en 2022</w:t>
            </w:r>
            <w:bookmarkEnd w:id="13"/>
          </w:p>
        </w:tc>
      </w:tr>
      <w:tr w:rsidR="00FB2F6F" w:rsidRPr="004E2E1E" w14:paraId="41414A8A" w14:textId="77777777" w:rsidTr="0013455C">
        <w:tblPrEx>
          <w:tblCellMar>
            <w:left w:w="70" w:type="dxa"/>
            <w:right w:w="70" w:type="dxa"/>
          </w:tblCellMar>
        </w:tblPrEx>
        <w:trPr>
          <w:trHeight w:val="243"/>
        </w:trPr>
        <w:tc>
          <w:tcPr>
            <w:tcW w:w="9128" w:type="dxa"/>
          </w:tcPr>
          <w:p w14:paraId="30AEE984" w14:textId="77777777" w:rsidR="00FB2F6F" w:rsidRPr="004E2E1E" w:rsidRDefault="00FB2F6F" w:rsidP="00582CA7">
            <w:pPr>
              <w:jc w:val="both"/>
              <w:rPr>
                <w:lang w:val="es-MX"/>
              </w:rPr>
            </w:pPr>
            <w:r w:rsidRPr="004E2E1E">
              <w:rPr>
                <w:noProof/>
              </w:rPr>
              <w:drawing>
                <wp:inline distT="0" distB="0" distL="0" distR="0" wp14:anchorId="1DFADFB5" wp14:editId="2DBEDD15">
                  <wp:extent cx="5522502" cy="2242268"/>
                  <wp:effectExtent l="0" t="0" r="2540" b="5715"/>
                  <wp:docPr id="1808" name="CA_1">
                    <a:extLst xmlns:a="http://schemas.openxmlformats.org/drawingml/2006/main">
                      <a:ext uri="{FF2B5EF4-FFF2-40B4-BE49-F238E27FC236}">
                        <a16:creationId xmlns:a16="http://schemas.microsoft.com/office/drawing/2014/main" id="{00000000-0008-0000-0E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_1">
                            <a:extLst>
                              <a:ext uri="{FF2B5EF4-FFF2-40B4-BE49-F238E27FC236}">
                                <a16:creationId xmlns:a16="http://schemas.microsoft.com/office/drawing/2014/main" id="{00000000-0008-0000-0E00-000004000000}"/>
                              </a:ext>
                            </a:extLst>
                          </pic:cNvPr>
                          <pic:cNvPicPr>
                            <a:picLocks noChangeAspect="1" noChangeArrowheads="1"/>
                            <a:extLst>
                              <a:ext uri="{84589F7E-364E-4C9E-8A38-B11213B215E9}">
                                <a14:cameraTool xmlns:a14="http://schemas.microsoft.com/office/drawing/2010/main" cellRange="$B$3:$I$14" spid="_x0000_s21531"/>
                              </a:ext>
                            </a:extLst>
                          </pic:cNvPicPr>
                        </pic:nvPicPr>
                        <pic:blipFill>
                          <a:blip r:embed="rId17"/>
                          <a:srcRect/>
                          <a:stretch>
                            <a:fillRect/>
                          </a:stretch>
                        </pic:blipFill>
                        <pic:spPr bwMode="auto">
                          <a:xfrm>
                            <a:off x="0" y="0"/>
                            <a:ext cx="5594307" cy="2271423"/>
                          </a:xfrm>
                          <a:prstGeom prst="rect">
                            <a:avLst/>
                          </a:prstGeom>
                          <a:noFill/>
                        </pic:spPr>
                      </pic:pic>
                    </a:graphicData>
                  </a:graphic>
                </wp:inline>
              </w:drawing>
            </w:r>
          </w:p>
        </w:tc>
      </w:tr>
      <w:tr w:rsidR="00FB2F6F" w:rsidRPr="004E2E1E" w14:paraId="158EAFCC" w14:textId="77777777" w:rsidTr="0013455C">
        <w:tblPrEx>
          <w:tblCellMar>
            <w:left w:w="70" w:type="dxa"/>
            <w:right w:w="70" w:type="dxa"/>
          </w:tblCellMar>
        </w:tblPrEx>
        <w:trPr>
          <w:trHeight w:val="243"/>
        </w:trPr>
        <w:tc>
          <w:tcPr>
            <w:tcW w:w="9128" w:type="dxa"/>
          </w:tcPr>
          <w:p w14:paraId="00D564F5" w14:textId="77777777" w:rsidR="00FB2F6F" w:rsidRPr="004E2E1E" w:rsidRDefault="00FB2F6F" w:rsidP="00582CA7">
            <w:pPr>
              <w:jc w:val="both"/>
              <w:rPr>
                <w:sz w:val="18"/>
                <w:szCs w:val="18"/>
                <w:lang w:val="es-MX"/>
              </w:rPr>
            </w:pPr>
            <w:r w:rsidRPr="004E2E1E">
              <w:rPr>
                <w:sz w:val="18"/>
                <w:szCs w:val="18"/>
                <w:lang w:val="es-MX"/>
              </w:rPr>
              <w:t>Fuente: Consejo Monetario Centroamericano y WEO de abril de 2023 del FMI.</w:t>
            </w:r>
          </w:p>
        </w:tc>
      </w:tr>
    </w:tbl>
    <w:p w14:paraId="4BBB7265" w14:textId="2CD32ABA" w:rsidR="00FB2F6F" w:rsidRDefault="00FB2F6F" w:rsidP="00FB2F6F">
      <w:pPr>
        <w:jc w:val="both"/>
      </w:pPr>
    </w:p>
    <w:p w14:paraId="7A1EC560" w14:textId="77777777" w:rsidR="00FB2F6F" w:rsidRPr="005318D0" w:rsidRDefault="00FB2F6F" w:rsidP="00354A9C">
      <w:pPr>
        <w:pStyle w:val="Ttulo3"/>
        <w:numPr>
          <w:ilvl w:val="2"/>
          <w:numId w:val="48"/>
        </w:numPr>
        <w:ind w:left="851" w:hanging="567"/>
        <w:rPr>
          <w:rFonts w:ascii="Times New Roman" w:hAnsi="Times New Roman" w:cs="Times New Roman"/>
          <w:b/>
          <w:bCs/>
          <w:color w:val="auto"/>
          <w:lang w:val="es-MX"/>
        </w:rPr>
      </w:pPr>
      <w:bookmarkStart w:id="14" w:name="_Toc143865775"/>
      <w:r w:rsidRPr="005318D0">
        <w:rPr>
          <w:rFonts w:ascii="Times New Roman" w:hAnsi="Times New Roman" w:cs="Times New Roman"/>
          <w:b/>
          <w:bCs/>
          <w:color w:val="auto"/>
          <w:lang w:val="es-MX"/>
        </w:rPr>
        <w:t>México</w:t>
      </w:r>
      <w:bookmarkEnd w:id="14"/>
    </w:p>
    <w:p w14:paraId="3C1ADD37" w14:textId="03A686E3" w:rsidR="00FB2F6F" w:rsidRDefault="00FB2F6F" w:rsidP="00FB2F6F">
      <w:pPr>
        <w:jc w:val="both"/>
      </w:pPr>
    </w:p>
    <w:p w14:paraId="609C3EE4" w14:textId="77777777" w:rsidR="00FB2F6F" w:rsidRDefault="00FB2F6F" w:rsidP="00FB2F6F">
      <w:pPr>
        <w:jc w:val="both"/>
      </w:pPr>
      <w:r>
        <w:t>La economía mexicana mostró un crecimiento económico de 3.1% para 2022, revelando un desempeño creciente en los primeros tres trimestres del año y seguido de una leve desaceleración, como lo muestra su índice global de actividad económica (IGAE), esto principalmente por la contracción en el sector minero y de construcción. La inflación por su parte también se mantuvo alta y cerró con un valor de 7.8%. Asimismo, se observó una disminución del desempleo a lo largo del año y se situó en 3.0%.</w:t>
      </w:r>
    </w:p>
    <w:p w14:paraId="269155AF" w14:textId="4D1FAD70" w:rsidR="00FB2F6F" w:rsidRDefault="00FB2F6F" w:rsidP="00FB2F6F">
      <w:pPr>
        <w:jc w:val="both"/>
      </w:pPr>
      <w:r>
        <w:t>El Banco de México aumentó 5.5 puntos porcentuales la tasa de interés de política, como respuesta a la inflación observada y con el objetivo de anclar las expectativas, por lo que su tasa se ubicó en 10.5% a final de</w:t>
      </w:r>
      <w:r w:rsidR="00965C53">
        <w:t>l</w:t>
      </w:r>
      <w:r>
        <w:t xml:space="preserve"> año. Además, para apoyar el poder adquisitivo</w:t>
      </w:r>
      <w:r w:rsidR="00965C53">
        <w:t>,</w:t>
      </w:r>
      <w:r>
        <w:t xml:space="preserve"> puso en marcha un mecanismo de estabilización de precios de combustibles que fue financiado en parte por los mayores ingresos fiscales procedentes del petróleo y eliminó aranceles de importación de productos básicos para mitigar presiones sobre los precios. El déficit fiscal como porcentaje del PIB aumentó a 4.4% y la deuda como porcentaje del PIB disminuyó a 56.0%.</w:t>
      </w:r>
    </w:p>
    <w:p w14:paraId="43D967B9" w14:textId="77777777" w:rsidR="00B91D9C" w:rsidRDefault="00B91D9C" w:rsidP="00FB2F6F">
      <w:pPr>
        <w:jc w:val="both"/>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6"/>
        <w:gridCol w:w="2946"/>
        <w:gridCol w:w="2946"/>
      </w:tblGrid>
      <w:tr w:rsidR="00FB2F6F" w:rsidRPr="004E2E1E" w14:paraId="18720FD8" w14:textId="77777777" w:rsidTr="00582CA7">
        <w:tc>
          <w:tcPr>
            <w:tcW w:w="9350" w:type="dxa"/>
            <w:gridSpan w:val="3"/>
          </w:tcPr>
          <w:p w14:paraId="167B6F85" w14:textId="532D5414" w:rsidR="00FB2F6F" w:rsidRPr="00816CC5" w:rsidRDefault="00816CC5" w:rsidP="00816CC5">
            <w:pPr>
              <w:keepNext/>
              <w:jc w:val="center"/>
              <w:rPr>
                <w:b/>
                <w:bCs/>
                <w:lang w:val="es-GT"/>
              </w:rPr>
            </w:pPr>
            <w:bookmarkStart w:id="15" w:name="_Toc143870673"/>
            <w:r w:rsidRPr="00816CC5">
              <w:rPr>
                <w:b/>
                <w:bCs/>
                <w:lang w:val="es-GT"/>
              </w:rPr>
              <w:t xml:space="preserve">Gráfico </w:t>
            </w:r>
            <w:r w:rsidRPr="00816CC5">
              <w:rPr>
                <w:b/>
                <w:bCs/>
              </w:rPr>
              <w:fldChar w:fldCharType="begin"/>
            </w:r>
            <w:r w:rsidRPr="00816CC5">
              <w:rPr>
                <w:b/>
                <w:bCs/>
                <w:lang w:val="es-GT"/>
              </w:rPr>
              <w:instrText xml:space="preserve"> SEQ Gráfico \* ARABIC </w:instrText>
            </w:r>
            <w:r w:rsidRPr="00816CC5">
              <w:rPr>
                <w:b/>
                <w:bCs/>
              </w:rPr>
              <w:fldChar w:fldCharType="separate"/>
            </w:r>
            <w:r w:rsidR="006622B2">
              <w:rPr>
                <w:b/>
                <w:bCs/>
                <w:noProof/>
                <w:lang w:val="es-GT"/>
              </w:rPr>
              <w:t>6</w:t>
            </w:r>
            <w:r w:rsidRPr="00816CC5">
              <w:rPr>
                <w:b/>
                <w:bCs/>
              </w:rPr>
              <w:fldChar w:fldCharType="end"/>
            </w:r>
            <w:r w:rsidRPr="00816CC5">
              <w:rPr>
                <w:b/>
                <w:bCs/>
                <w:lang w:val="es-GT"/>
              </w:rPr>
              <w:t xml:space="preserve">.  </w:t>
            </w:r>
            <w:r w:rsidRPr="00816CC5">
              <w:rPr>
                <w:b/>
                <w:bCs/>
                <w:lang w:val="es-MX"/>
              </w:rPr>
              <w:t>Indicadores económicos seleccionados para México en 2022</w:t>
            </w:r>
            <w:bookmarkEnd w:id="15"/>
          </w:p>
        </w:tc>
      </w:tr>
      <w:tr w:rsidR="00FB2F6F" w:rsidRPr="004E2E1E" w14:paraId="4E904960" w14:textId="77777777" w:rsidTr="00582CA7">
        <w:tc>
          <w:tcPr>
            <w:tcW w:w="3188" w:type="dxa"/>
          </w:tcPr>
          <w:p w14:paraId="6AD692BB" w14:textId="77777777" w:rsidR="00FB2F6F" w:rsidRPr="004E2E1E" w:rsidRDefault="00FB2F6F" w:rsidP="00582CA7">
            <w:pPr>
              <w:jc w:val="center"/>
              <w:rPr>
                <w:b/>
                <w:bCs/>
                <w:sz w:val="18"/>
                <w:szCs w:val="18"/>
                <w:lang w:val="es-MX"/>
              </w:rPr>
            </w:pPr>
            <w:r w:rsidRPr="004E2E1E">
              <w:rPr>
                <w:b/>
                <w:bCs/>
                <w:sz w:val="18"/>
                <w:szCs w:val="18"/>
                <w:lang w:val="es-MX"/>
              </w:rPr>
              <w:t>Tasa de desempleo e IGAE (%)</w:t>
            </w:r>
          </w:p>
        </w:tc>
        <w:tc>
          <w:tcPr>
            <w:tcW w:w="3188" w:type="dxa"/>
          </w:tcPr>
          <w:p w14:paraId="44C7F1CA" w14:textId="77777777" w:rsidR="00FB2F6F" w:rsidRPr="004E2E1E" w:rsidRDefault="00FB2F6F" w:rsidP="00582CA7">
            <w:pPr>
              <w:jc w:val="center"/>
              <w:rPr>
                <w:b/>
                <w:bCs/>
                <w:sz w:val="18"/>
                <w:szCs w:val="18"/>
                <w:lang w:val="es-MX"/>
              </w:rPr>
            </w:pPr>
            <w:r w:rsidRPr="00FB2F6F">
              <w:rPr>
                <w:b/>
                <w:bCs/>
                <w:sz w:val="18"/>
                <w:szCs w:val="18"/>
                <w:lang w:val="es-GT"/>
              </w:rPr>
              <w:t>Tasa de política e inflación (%)</w:t>
            </w:r>
          </w:p>
        </w:tc>
        <w:tc>
          <w:tcPr>
            <w:tcW w:w="2974" w:type="dxa"/>
          </w:tcPr>
          <w:p w14:paraId="4593B4EA" w14:textId="77777777" w:rsidR="00FB2F6F" w:rsidRPr="004E2E1E" w:rsidRDefault="00FB2F6F" w:rsidP="00582CA7">
            <w:pPr>
              <w:jc w:val="center"/>
              <w:rPr>
                <w:b/>
                <w:bCs/>
                <w:sz w:val="18"/>
                <w:szCs w:val="18"/>
                <w:lang w:val="es-MX"/>
              </w:rPr>
            </w:pPr>
            <w:r w:rsidRPr="004E2E1E">
              <w:rPr>
                <w:b/>
                <w:bCs/>
                <w:sz w:val="18"/>
                <w:szCs w:val="18"/>
                <w:lang w:val="es-MX"/>
              </w:rPr>
              <w:t>Deuda pública y déficit fiscal (% del PIB)</w:t>
            </w:r>
          </w:p>
        </w:tc>
      </w:tr>
      <w:tr w:rsidR="00FB2F6F" w:rsidRPr="004E2E1E" w14:paraId="0FA092ED" w14:textId="77777777" w:rsidTr="00582CA7">
        <w:tblPrEx>
          <w:tblCellMar>
            <w:left w:w="70" w:type="dxa"/>
            <w:right w:w="70" w:type="dxa"/>
          </w:tblCellMar>
        </w:tblPrEx>
        <w:tc>
          <w:tcPr>
            <w:tcW w:w="3188" w:type="dxa"/>
          </w:tcPr>
          <w:p w14:paraId="105BD5F3" w14:textId="77777777" w:rsidR="00FB2F6F" w:rsidRPr="004E2E1E" w:rsidRDefault="00FB2F6F" w:rsidP="00582CA7">
            <w:pPr>
              <w:jc w:val="both"/>
              <w:rPr>
                <w:lang w:val="es-MX"/>
              </w:rPr>
            </w:pPr>
            <w:r w:rsidRPr="004E2E1E">
              <w:rPr>
                <w:noProof/>
              </w:rPr>
              <w:drawing>
                <wp:inline distT="0" distB="0" distL="0" distR="0" wp14:anchorId="1A234CD3" wp14:editId="03AFB103">
                  <wp:extent cx="1799590" cy="2122998"/>
                  <wp:effectExtent l="0" t="0" r="0" b="0"/>
                  <wp:docPr id="29" name="Gráfico 29">
                    <a:extLst xmlns:a="http://schemas.openxmlformats.org/drawingml/2006/main">
                      <a:ext uri="{FF2B5EF4-FFF2-40B4-BE49-F238E27FC236}">
                        <a16:creationId xmlns:a16="http://schemas.microsoft.com/office/drawing/2014/main" id="{00000000-0008-0000-08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c>
          <w:tcPr>
            <w:tcW w:w="3188" w:type="dxa"/>
          </w:tcPr>
          <w:p w14:paraId="2E2B783C" w14:textId="77777777" w:rsidR="00FB2F6F" w:rsidRPr="004E2E1E" w:rsidRDefault="00FB2F6F" w:rsidP="00582CA7">
            <w:pPr>
              <w:jc w:val="both"/>
              <w:rPr>
                <w:lang w:val="es-MX"/>
              </w:rPr>
            </w:pPr>
            <w:r w:rsidRPr="004E2E1E">
              <w:rPr>
                <w:noProof/>
              </w:rPr>
              <w:drawing>
                <wp:inline distT="0" distB="0" distL="0" distR="0" wp14:anchorId="56CB5DED" wp14:editId="0D4C6CF3">
                  <wp:extent cx="1799590" cy="2122805"/>
                  <wp:effectExtent l="0" t="0" r="0" b="0"/>
                  <wp:docPr id="30" name="Gráfico 30">
                    <a:extLst xmlns:a="http://schemas.openxmlformats.org/drawingml/2006/main">
                      <a:ext uri="{FF2B5EF4-FFF2-40B4-BE49-F238E27FC236}">
                        <a16:creationId xmlns:a16="http://schemas.microsoft.com/office/drawing/2014/main" id="{00000000-0008-0000-09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c>
          <w:tcPr>
            <w:tcW w:w="2974" w:type="dxa"/>
          </w:tcPr>
          <w:p w14:paraId="54B06F09" w14:textId="77777777" w:rsidR="00FB2F6F" w:rsidRPr="004E2E1E" w:rsidRDefault="00FB2F6F" w:rsidP="00582CA7">
            <w:pPr>
              <w:jc w:val="both"/>
              <w:rPr>
                <w:lang w:val="es-MX"/>
              </w:rPr>
            </w:pPr>
            <w:r w:rsidRPr="004E2E1E">
              <w:rPr>
                <w:noProof/>
              </w:rPr>
              <w:drawing>
                <wp:inline distT="0" distB="0" distL="0" distR="0" wp14:anchorId="58F6538D" wp14:editId="6BFB8054">
                  <wp:extent cx="1799590" cy="1979875"/>
                  <wp:effectExtent l="0" t="0" r="0" b="1905"/>
                  <wp:docPr id="43" name="Gráfico 43">
                    <a:extLst xmlns:a="http://schemas.openxmlformats.org/drawingml/2006/main">
                      <a:ext uri="{FF2B5EF4-FFF2-40B4-BE49-F238E27FC236}">
                        <a16:creationId xmlns:a16="http://schemas.microsoft.com/office/drawing/2014/main" id="{00000000-0008-0000-0A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r w:rsidR="00FB2F6F" w:rsidRPr="004E2E1E" w14:paraId="61CD4029" w14:textId="77777777" w:rsidTr="00582CA7">
        <w:tblPrEx>
          <w:tblCellMar>
            <w:left w:w="70" w:type="dxa"/>
            <w:right w:w="70" w:type="dxa"/>
          </w:tblCellMar>
        </w:tblPrEx>
        <w:tc>
          <w:tcPr>
            <w:tcW w:w="9350" w:type="dxa"/>
            <w:gridSpan w:val="3"/>
          </w:tcPr>
          <w:p w14:paraId="1E313BBB" w14:textId="6D6ABC18" w:rsidR="00FB2F6F" w:rsidRPr="00FB2F6F" w:rsidRDefault="00FB2F6F" w:rsidP="00582CA7">
            <w:pPr>
              <w:jc w:val="both"/>
              <w:rPr>
                <w:sz w:val="18"/>
                <w:szCs w:val="18"/>
                <w:lang w:val="es-GT"/>
              </w:rPr>
            </w:pPr>
            <w:r w:rsidRPr="00FB2F6F">
              <w:rPr>
                <w:sz w:val="18"/>
                <w:szCs w:val="18"/>
                <w:lang w:val="es-GT"/>
              </w:rPr>
              <w:t>Fuente: Banxico y WEO de abril 2023 del FMI</w:t>
            </w:r>
            <w:r w:rsidR="00B42903">
              <w:rPr>
                <w:sz w:val="18"/>
                <w:szCs w:val="18"/>
                <w:lang w:val="es-GT"/>
              </w:rPr>
              <w:t>.</w:t>
            </w:r>
          </w:p>
        </w:tc>
      </w:tr>
    </w:tbl>
    <w:p w14:paraId="30F06C0C" w14:textId="48D91B61" w:rsidR="00FB2F6F" w:rsidRDefault="00FB2F6F" w:rsidP="00FB2F6F">
      <w:pPr>
        <w:jc w:val="both"/>
      </w:pPr>
    </w:p>
    <w:p w14:paraId="6B27137D" w14:textId="33EBAA08" w:rsidR="00FB2F6F" w:rsidRPr="005318D0" w:rsidRDefault="00FB2F6F" w:rsidP="00354A9C">
      <w:pPr>
        <w:pStyle w:val="Ttulo3"/>
        <w:numPr>
          <w:ilvl w:val="2"/>
          <w:numId w:val="48"/>
        </w:numPr>
        <w:ind w:left="851" w:hanging="567"/>
        <w:rPr>
          <w:rFonts w:ascii="Times New Roman" w:hAnsi="Times New Roman" w:cs="Times New Roman"/>
          <w:b/>
          <w:bCs/>
          <w:color w:val="auto"/>
          <w:lang w:val="es-MX"/>
        </w:rPr>
      </w:pPr>
      <w:bookmarkStart w:id="16" w:name="_Toc143865776"/>
      <w:r w:rsidRPr="005318D0">
        <w:rPr>
          <w:rFonts w:ascii="Times New Roman" w:hAnsi="Times New Roman" w:cs="Times New Roman"/>
          <w:b/>
          <w:bCs/>
          <w:color w:val="auto"/>
          <w:lang w:val="es-MX"/>
        </w:rPr>
        <w:t xml:space="preserve">Zona del </w:t>
      </w:r>
      <w:r w:rsidR="00B42903" w:rsidRPr="005318D0">
        <w:rPr>
          <w:rFonts w:ascii="Times New Roman" w:hAnsi="Times New Roman" w:cs="Times New Roman"/>
          <w:b/>
          <w:bCs/>
          <w:color w:val="auto"/>
          <w:lang w:val="es-MX"/>
        </w:rPr>
        <w:t>euro</w:t>
      </w:r>
      <w:bookmarkEnd w:id="16"/>
    </w:p>
    <w:p w14:paraId="4BFC251D" w14:textId="29FB74F4" w:rsidR="00FB2F6F" w:rsidRDefault="00FB2F6F" w:rsidP="00FB2F6F">
      <w:pPr>
        <w:jc w:val="both"/>
      </w:pPr>
    </w:p>
    <w:p w14:paraId="35800954" w14:textId="1C2040DA" w:rsidR="00FB2F6F" w:rsidRDefault="00FB2F6F" w:rsidP="00FB2F6F">
      <w:pPr>
        <w:jc w:val="both"/>
      </w:pPr>
      <w:r>
        <w:t xml:space="preserve">El crecimiento económico de la Zona del </w:t>
      </w:r>
      <w:r w:rsidR="00B42903">
        <w:t>euro</w:t>
      </w:r>
      <w:r>
        <w:t xml:space="preserve"> fue de 3.5% para el año 2022, mostrando también una desaceleración con respecto el año anterior. En este año la confianza de los consumidores y de las empresas se deterioró y la inflación incrementó hasta octubre, posteriormente mostró una leve disminución y cerró en 9.2%. En general los salarios aumentaron constantemente debido de la disminución del ingreso real y el desempleo no aumentó, no obstante, muchos países acogieron a millones de refugiados ucranianos lo que podrá afectar la estructura de los mercados laborales. Asimismo, el comercio con Rusia disminuyó, y este proporcionaba alrededor del 40.0% del gas y una quinta parte del petróleo, lo que afectó considerablemente los precios de energía. Además, la guerra afectó persistentemente la cadena de suministros y aumentó los costos de los insumos.</w:t>
      </w:r>
    </w:p>
    <w:p w14:paraId="0BF2A9D2" w14:textId="77777777" w:rsidR="00FB2F6F" w:rsidRDefault="00FB2F6F" w:rsidP="00FB2F6F">
      <w:pPr>
        <w:jc w:val="both"/>
      </w:pPr>
    </w:p>
    <w:p w14:paraId="2EC28065" w14:textId="26D26D2A" w:rsidR="00FB2F6F" w:rsidRDefault="00FB2F6F" w:rsidP="00FB2F6F">
      <w:pPr>
        <w:jc w:val="both"/>
      </w:pPr>
      <w:r>
        <w:t>El Banco Central Europeo respondió a las presiones inflacionarias hasta el segundo semestre del año, aumentando 2.5 puntos porcentuales la tasa de política. Sin embargo, la disminución de los ingresos reales fue amortiguada por las medidas fiscales, pero la ausencia de directrices y coordinación de los países para su implementación limitó la eficacia y distorsionó levemente la competencia. Además, la guerra provocó el aumento del gasto militar en muchos países, así como las inversiones para asegurar el suministro de energía. En este año el déficit fiscal representó 3.8% del PIB y la deuda pública disminuyó a 90.9% del PIB.</w:t>
      </w:r>
    </w:p>
    <w:p w14:paraId="40AC8C56" w14:textId="2A77088F" w:rsidR="00FB2F6F" w:rsidRDefault="00FB2F6F" w:rsidP="00FB2F6F">
      <w:pPr>
        <w:jc w:val="both"/>
      </w:pPr>
    </w:p>
    <w:tbl>
      <w:tblPr>
        <w:tblStyle w:val="Tablaconcuadrcula"/>
        <w:tblW w:w="89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4"/>
        <w:gridCol w:w="2974"/>
        <w:gridCol w:w="2974"/>
      </w:tblGrid>
      <w:tr w:rsidR="00FB2F6F" w:rsidRPr="004E2E1E" w14:paraId="0F9C23F2" w14:textId="77777777" w:rsidTr="00321A34">
        <w:trPr>
          <w:trHeight w:val="179"/>
        </w:trPr>
        <w:tc>
          <w:tcPr>
            <w:tcW w:w="8922" w:type="dxa"/>
            <w:gridSpan w:val="3"/>
          </w:tcPr>
          <w:p w14:paraId="5659E0D6" w14:textId="1041A9C4" w:rsidR="00FB2F6F" w:rsidRDefault="0013455C" w:rsidP="0013455C">
            <w:pPr>
              <w:keepNext/>
              <w:jc w:val="center"/>
              <w:rPr>
                <w:b/>
                <w:bCs/>
                <w:lang w:val="es-MX"/>
              </w:rPr>
            </w:pPr>
            <w:bookmarkStart w:id="17" w:name="_Toc143870674"/>
            <w:r w:rsidRPr="0013455C">
              <w:rPr>
                <w:b/>
                <w:bCs/>
                <w:lang w:val="es-GT"/>
              </w:rPr>
              <w:t xml:space="preserve">Gráfico </w:t>
            </w:r>
            <w:r w:rsidRPr="0013455C">
              <w:rPr>
                <w:b/>
                <w:bCs/>
              </w:rPr>
              <w:fldChar w:fldCharType="begin"/>
            </w:r>
            <w:r w:rsidRPr="0013455C">
              <w:rPr>
                <w:b/>
                <w:bCs/>
                <w:lang w:val="es-GT"/>
              </w:rPr>
              <w:instrText xml:space="preserve"> SEQ Gráfico \* ARABIC </w:instrText>
            </w:r>
            <w:r w:rsidRPr="0013455C">
              <w:rPr>
                <w:b/>
                <w:bCs/>
              </w:rPr>
              <w:fldChar w:fldCharType="separate"/>
            </w:r>
            <w:r w:rsidR="006622B2">
              <w:rPr>
                <w:b/>
                <w:bCs/>
                <w:noProof/>
                <w:lang w:val="es-GT"/>
              </w:rPr>
              <w:t>7</w:t>
            </w:r>
            <w:r w:rsidRPr="0013455C">
              <w:rPr>
                <w:b/>
                <w:bCs/>
              </w:rPr>
              <w:fldChar w:fldCharType="end"/>
            </w:r>
            <w:r w:rsidRPr="0013455C">
              <w:rPr>
                <w:b/>
                <w:bCs/>
                <w:lang w:val="es-GT"/>
              </w:rPr>
              <w:t xml:space="preserve">.  </w:t>
            </w:r>
            <w:r w:rsidRPr="0013455C">
              <w:rPr>
                <w:b/>
                <w:bCs/>
                <w:lang w:val="es-MX"/>
              </w:rPr>
              <w:t>Indicadores económicos seleccionados para la Zona del Euro</w:t>
            </w:r>
            <w:bookmarkEnd w:id="17"/>
          </w:p>
          <w:p w14:paraId="385AD4A2" w14:textId="40FA1DE6" w:rsidR="0041675B" w:rsidRPr="0013455C" w:rsidRDefault="0041675B" w:rsidP="0013455C">
            <w:pPr>
              <w:keepNext/>
              <w:jc w:val="center"/>
              <w:rPr>
                <w:b/>
                <w:bCs/>
                <w:lang w:val="es-GT"/>
              </w:rPr>
            </w:pPr>
          </w:p>
        </w:tc>
      </w:tr>
      <w:tr w:rsidR="00FB2F6F" w:rsidRPr="004E2E1E" w14:paraId="75EBF061" w14:textId="77777777" w:rsidTr="00321A34">
        <w:trPr>
          <w:trHeight w:val="332"/>
        </w:trPr>
        <w:tc>
          <w:tcPr>
            <w:tcW w:w="2974" w:type="dxa"/>
          </w:tcPr>
          <w:p w14:paraId="741BAD43" w14:textId="77777777" w:rsidR="00FB2F6F" w:rsidRPr="004E2E1E" w:rsidRDefault="00FB2F6F" w:rsidP="00582CA7">
            <w:pPr>
              <w:jc w:val="center"/>
              <w:rPr>
                <w:b/>
                <w:bCs/>
                <w:sz w:val="18"/>
                <w:szCs w:val="18"/>
                <w:lang w:val="es-MX"/>
              </w:rPr>
            </w:pPr>
            <w:r w:rsidRPr="004E2E1E">
              <w:rPr>
                <w:b/>
                <w:bCs/>
                <w:sz w:val="18"/>
                <w:szCs w:val="18"/>
                <w:lang w:val="es-MX"/>
              </w:rPr>
              <w:t>Crecimiento económico y tasa de desempleo (%)</w:t>
            </w:r>
          </w:p>
        </w:tc>
        <w:tc>
          <w:tcPr>
            <w:tcW w:w="2974" w:type="dxa"/>
          </w:tcPr>
          <w:p w14:paraId="64D2E5F0" w14:textId="77777777" w:rsidR="00FB2F6F" w:rsidRPr="004E2E1E" w:rsidRDefault="00FB2F6F" w:rsidP="00582CA7">
            <w:pPr>
              <w:jc w:val="center"/>
              <w:rPr>
                <w:b/>
                <w:bCs/>
                <w:sz w:val="18"/>
                <w:szCs w:val="18"/>
                <w:lang w:val="es-MX"/>
              </w:rPr>
            </w:pPr>
            <w:r w:rsidRPr="00FB2F6F">
              <w:rPr>
                <w:b/>
                <w:bCs/>
                <w:sz w:val="18"/>
                <w:szCs w:val="18"/>
                <w:lang w:val="es-GT"/>
              </w:rPr>
              <w:t>Tasa de política e inflación (%)</w:t>
            </w:r>
          </w:p>
        </w:tc>
        <w:tc>
          <w:tcPr>
            <w:tcW w:w="2974" w:type="dxa"/>
          </w:tcPr>
          <w:p w14:paraId="09CC191C" w14:textId="77777777" w:rsidR="00FB2F6F" w:rsidRPr="004E2E1E" w:rsidRDefault="00FB2F6F" w:rsidP="00582CA7">
            <w:pPr>
              <w:jc w:val="center"/>
              <w:rPr>
                <w:b/>
                <w:bCs/>
                <w:sz w:val="18"/>
                <w:szCs w:val="18"/>
                <w:lang w:val="es-MX"/>
              </w:rPr>
            </w:pPr>
            <w:r w:rsidRPr="004E2E1E">
              <w:rPr>
                <w:b/>
                <w:bCs/>
                <w:sz w:val="18"/>
                <w:szCs w:val="18"/>
                <w:lang w:val="es-MX"/>
              </w:rPr>
              <w:t>Deuda pública y déficit fiscal (% del PIB)</w:t>
            </w:r>
          </w:p>
        </w:tc>
      </w:tr>
      <w:tr w:rsidR="00FB2F6F" w:rsidRPr="004E2E1E" w14:paraId="71CAC26D" w14:textId="77777777" w:rsidTr="00321A34">
        <w:tblPrEx>
          <w:tblCellMar>
            <w:left w:w="70" w:type="dxa"/>
            <w:right w:w="70" w:type="dxa"/>
          </w:tblCellMar>
        </w:tblPrEx>
        <w:trPr>
          <w:trHeight w:val="2704"/>
        </w:trPr>
        <w:tc>
          <w:tcPr>
            <w:tcW w:w="2974" w:type="dxa"/>
          </w:tcPr>
          <w:p w14:paraId="7771B5B1" w14:textId="77777777" w:rsidR="00FB2F6F" w:rsidRPr="004E2E1E" w:rsidRDefault="00FB2F6F" w:rsidP="00582CA7">
            <w:pPr>
              <w:jc w:val="both"/>
              <w:rPr>
                <w:lang w:val="es-MX"/>
              </w:rPr>
            </w:pPr>
            <w:r w:rsidRPr="004E2E1E">
              <w:rPr>
                <w:noProof/>
              </w:rPr>
              <w:drawing>
                <wp:inline distT="0" distB="0" distL="0" distR="0" wp14:anchorId="654B66B4" wp14:editId="5DD32CD7">
                  <wp:extent cx="1799590" cy="1733550"/>
                  <wp:effectExtent l="0" t="0" r="0" b="0"/>
                  <wp:docPr id="44" name="Gráfico 44">
                    <a:extLst xmlns:a="http://schemas.openxmlformats.org/drawingml/2006/main">
                      <a:ext uri="{FF2B5EF4-FFF2-40B4-BE49-F238E27FC236}">
                        <a16:creationId xmlns:a16="http://schemas.microsoft.com/office/drawing/2014/main" id="{00000000-0008-0000-0B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c>
          <w:tcPr>
            <w:tcW w:w="2974" w:type="dxa"/>
          </w:tcPr>
          <w:p w14:paraId="60543C43" w14:textId="77777777" w:rsidR="00FB2F6F" w:rsidRPr="004E2E1E" w:rsidRDefault="00FB2F6F" w:rsidP="00582CA7">
            <w:pPr>
              <w:jc w:val="both"/>
              <w:rPr>
                <w:lang w:val="es-MX"/>
              </w:rPr>
            </w:pPr>
            <w:r w:rsidRPr="004E2E1E">
              <w:rPr>
                <w:noProof/>
              </w:rPr>
              <w:drawing>
                <wp:inline distT="0" distB="0" distL="0" distR="0" wp14:anchorId="2F9C97E2" wp14:editId="6ADD7857">
                  <wp:extent cx="1799590" cy="1695450"/>
                  <wp:effectExtent l="0" t="0" r="0" b="0"/>
                  <wp:docPr id="45" name="Gráfico 45">
                    <a:extLst xmlns:a="http://schemas.openxmlformats.org/drawingml/2006/main">
                      <a:ext uri="{FF2B5EF4-FFF2-40B4-BE49-F238E27FC236}">
                        <a16:creationId xmlns:a16="http://schemas.microsoft.com/office/drawing/2014/main" id="{00000000-0008-0000-0C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c>
          <w:tcPr>
            <w:tcW w:w="2974" w:type="dxa"/>
          </w:tcPr>
          <w:p w14:paraId="1A98C503" w14:textId="77777777" w:rsidR="00FB2F6F" w:rsidRPr="004E2E1E" w:rsidRDefault="00FB2F6F" w:rsidP="00582CA7">
            <w:pPr>
              <w:jc w:val="both"/>
              <w:rPr>
                <w:lang w:val="es-MX"/>
              </w:rPr>
            </w:pPr>
            <w:r w:rsidRPr="004E2E1E">
              <w:rPr>
                <w:noProof/>
              </w:rPr>
              <w:drawing>
                <wp:inline distT="0" distB="0" distL="0" distR="0" wp14:anchorId="0BFE300F" wp14:editId="49C94C04">
                  <wp:extent cx="1799590" cy="1733550"/>
                  <wp:effectExtent l="0" t="0" r="0" b="0"/>
                  <wp:docPr id="47" name="Gráfico 47">
                    <a:extLst xmlns:a="http://schemas.openxmlformats.org/drawingml/2006/main">
                      <a:ext uri="{FF2B5EF4-FFF2-40B4-BE49-F238E27FC236}">
                        <a16:creationId xmlns:a16="http://schemas.microsoft.com/office/drawing/2014/main" id="{00000000-0008-0000-0D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r w:rsidR="00FB2F6F" w:rsidRPr="004E2E1E" w14:paraId="1795B4F2" w14:textId="77777777" w:rsidTr="00321A34">
        <w:tblPrEx>
          <w:tblCellMar>
            <w:left w:w="70" w:type="dxa"/>
            <w:right w:w="70" w:type="dxa"/>
          </w:tblCellMar>
        </w:tblPrEx>
        <w:trPr>
          <w:trHeight w:val="65"/>
        </w:trPr>
        <w:tc>
          <w:tcPr>
            <w:tcW w:w="8922" w:type="dxa"/>
            <w:gridSpan w:val="3"/>
          </w:tcPr>
          <w:p w14:paraId="0A91D499" w14:textId="0A6D75B7" w:rsidR="00FB2F6F" w:rsidRPr="00FB2F6F" w:rsidRDefault="00FB2F6F" w:rsidP="00582CA7">
            <w:pPr>
              <w:jc w:val="both"/>
              <w:rPr>
                <w:sz w:val="18"/>
                <w:szCs w:val="18"/>
                <w:lang w:val="es-GT"/>
              </w:rPr>
            </w:pPr>
            <w:r w:rsidRPr="00FB2F6F">
              <w:rPr>
                <w:sz w:val="18"/>
                <w:szCs w:val="18"/>
                <w:lang w:val="es-GT"/>
              </w:rPr>
              <w:t>Fuente: Banco Central Europeo y WEO de abril 2023 del FMI</w:t>
            </w:r>
            <w:r w:rsidR="00B42903">
              <w:rPr>
                <w:sz w:val="18"/>
                <w:szCs w:val="18"/>
                <w:lang w:val="es-GT"/>
              </w:rPr>
              <w:t>.</w:t>
            </w:r>
          </w:p>
        </w:tc>
      </w:tr>
    </w:tbl>
    <w:p w14:paraId="69D8D8B2" w14:textId="369083A7" w:rsidR="00FB2F6F" w:rsidRDefault="00FB2F6F" w:rsidP="00FB2F6F">
      <w:pPr>
        <w:jc w:val="both"/>
      </w:pPr>
    </w:p>
    <w:p w14:paraId="61177149" w14:textId="3FC95A31" w:rsidR="00FB2F6F" w:rsidRDefault="00FB2F6F" w:rsidP="00354A9C">
      <w:pPr>
        <w:pStyle w:val="Ttulo3"/>
        <w:numPr>
          <w:ilvl w:val="1"/>
          <w:numId w:val="48"/>
        </w:numPr>
        <w:tabs>
          <w:tab w:val="left" w:pos="1134"/>
        </w:tabs>
        <w:rPr>
          <w:rFonts w:ascii="Times New Roman" w:hAnsi="Times New Roman" w:cs="Times New Roman"/>
          <w:b/>
          <w:bCs/>
          <w:color w:val="auto"/>
          <w:lang w:val="es-MX"/>
        </w:rPr>
      </w:pPr>
      <w:bookmarkStart w:id="18" w:name="_Toc143865777"/>
      <w:r w:rsidRPr="00FB2F6F">
        <w:rPr>
          <w:rFonts w:ascii="Times New Roman" w:hAnsi="Times New Roman" w:cs="Times New Roman"/>
          <w:b/>
          <w:bCs/>
          <w:color w:val="auto"/>
          <w:lang w:val="es-MX"/>
        </w:rPr>
        <w:t>Comportamiento del precio del petróleo y de materias primas</w:t>
      </w:r>
      <w:bookmarkEnd w:id="18"/>
    </w:p>
    <w:p w14:paraId="2A95DF4C" w14:textId="55D4A20B" w:rsidR="00FB2F6F" w:rsidRDefault="00FB2F6F" w:rsidP="00FB2F6F">
      <w:pPr>
        <w:rPr>
          <w:lang w:val="es-MX"/>
        </w:rPr>
      </w:pPr>
    </w:p>
    <w:p w14:paraId="1A24F859" w14:textId="272D9B3D" w:rsidR="00FB2F6F" w:rsidRPr="00FB2F6F" w:rsidRDefault="00FB2F6F" w:rsidP="00FB2F6F">
      <w:pPr>
        <w:jc w:val="both"/>
        <w:rPr>
          <w:lang w:val="es-MX"/>
        </w:rPr>
      </w:pPr>
      <w:r w:rsidRPr="00FB2F6F">
        <w:rPr>
          <w:lang w:val="es-MX"/>
        </w:rPr>
        <w:t>En lo que respecta a los precios internacionales del crudo de petróleo, el precio spot del West Texas Intermediate -WTI-</w:t>
      </w:r>
      <w:r w:rsidR="007A1162">
        <w:rPr>
          <w:lang w:val="es-MX"/>
        </w:rPr>
        <w:t>,</w:t>
      </w:r>
      <w:r w:rsidRPr="00FB2F6F">
        <w:rPr>
          <w:lang w:val="es-MX"/>
        </w:rPr>
        <w:t xml:space="preserve"> se ubicó en USD$ 80.2 por barril para el 31 de diciembre de 2022, mostrando en el primer semestre los precios más altos registrados desde el 2008 </w:t>
      </w:r>
      <w:r w:rsidR="007A1162">
        <w:rPr>
          <w:lang w:val="es-MX"/>
        </w:rPr>
        <w:t>durante</w:t>
      </w:r>
      <w:r w:rsidR="007A1162" w:rsidRPr="00FB2F6F">
        <w:rPr>
          <w:lang w:val="es-MX"/>
        </w:rPr>
        <w:t xml:space="preserve"> </w:t>
      </w:r>
      <w:r w:rsidRPr="00FB2F6F">
        <w:rPr>
          <w:lang w:val="es-MX"/>
        </w:rPr>
        <w:t>la crisis financiera. El aumento precipitado del crudo se debió a las tensiones geopolíticas por la invasión de Rusia a Ucrania aunado con los bajos inventarios de crudo mundiales. En el segundo semestre los precios disminuyeron, aunque con una volatilidad significativa, no obstante, la apreciación de dólar ocasionó que los precios de los combustibles se mantuvieran altos en las monedas locales.</w:t>
      </w:r>
    </w:p>
    <w:p w14:paraId="17583631" w14:textId="77777777" w:rsidR="00FB2F6F" w:rsidRPr="00FB2F6F" w:rsidRDefault="00FB2F6F" w:rsidP="00FB2F6F">
      <w:pPr>
        <w:jc w:val="both"/>
        <w:rPr>
          <w:lang w:val="es-MX"/>
        </w:rPr>
      </w:pPr>
    </w:p>
    <w:p w14:paraId="59595856" w14:textId="4843D2F3" w:rsidR="00FB2F6F" w:rsidRDefault="007A1162" w:rsidP="00FB2F6F">
      <w:pPr>
        <w:jc w:val="both"/>
        <w:rPr>
          <w:lang w:val="es-MX"/>
        </w:rPr>
      </w:pPr>
      <w:r>
        <w:rPr>
          <w:lang w:val="es-MX"/>
        </w:rPr>
        <w:t>Por otra parte</w:t>
      </w:r>
      <w:r w:rsidR="00FB2F6F" w:rsidRPr="00FB2F6F">
        <w:rPr>
          <w:lang w:val="es-MX"/>
        </w:rPr>
        <w:t>, los precios de varias materias primas experimentaron durante los primeros meses incrementos sustantivos dado que Ucrania es uno de los principales exportadores de maíz y trigo, por lo que los incrementos de estos productos fueron constantes en el año; mientras que, en los precios de los metales, que registraron un fuerte crecimiento en el primer semestre, tendieron a regularizarse en el segundo semestre, a excepción de algunas materias prima como el cobre, el níquel, entre otros.</w:t>
      </w:r>
    </w:p>
    <w:tbl>
      <w:tblPr>
        <w:tblStyle w:val="Tablaconcuadrcula9"/>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9"/>
        <w:gridCol w:w="4419"/>
      </w:tblGrid>
      <w:tr w:rsidR="00FB2F6F" w:rsidRPr="004E2E1E" w14:paraId="4143088F" w14:textId="77777777" w:rsidTr="003512BC">
        <w:trPr>
          <w:trHeight w:val="20"/>
        </w:trPr>
        <w:tc>
          <w:tcPr>
            <w:tcW w:w="4419" w:type="dxa"/>
            <w:vAlign w:val="center"/>
          </w:tcPr>
          <w:p w14:paraId="2EBC55D4" w14:textId="79515851" w:rsidR="00FB2F6F" w:rsidRPr="0013455C" w:rsidRDefault="0013455C" w:rsidP="0013455C">
            <w:pPr>
              <w:pStyle w:val="Descripcin"/>
              <w:spacing w:after="0"/>
              <w:jc w:val="center"/>
              <w:rPr>
                <w:b/>
                <w:bCs/>
                <w:i w:val="0"/>
                <w:iCs w:val="0"/>
                <w:sz w:val="24"/>
                <w:szCs w:val="24"/>
              </w:rPr>
            </w:pPr>
            <w:bookmarkStart w:id="19" w:name="_Toc143870675"/>
            <w:r w:rsidRPr="0013455C">
              <w:rPr>
                <w:b/>
                <w:bCs/>
                <w:i w:val="0"/>
                <w:iCs w:val="0"/>
                <w:color w:val="auto"/>
                <w:sz w:val="24"/>
                <w:szCs w:val="24"/>
              </w:rPr>
              <w:t xml:space="preserve">Gráfico </w:t>
            </w:r>
            <w:r w:rsidRPr="0013455C">
              <w:rPr>
                <w:b/>
                <w:bCs/>
                <w:i w:val="0"/>
                <w:iCs w:val="0"/>
                <w:color w:val="auto"/>
                <w:sz w:val="24"/>
                <w:szCs w:val="24"/>
              </w:rPr>
              <w:fldChar w:fldCharType="begin"/>
            </w:r>
            <w:r w:rsidRPr="0013455C">
              <w:rPr>
                <w:b/>
                <w:bCs/>
                <w:i w:val="0"/>
                <w:iCs w:val="0"/>
                <w:color w:val="auto"/>
                <w:sz w:val="24"/>
                <w:szCs w:val="24"/>
              </w:rPr>
              <w:instrText xml:space="preserve"> SEQ Gráfico \* ARABIC </w:instrText>
            </w:r>
            <w:r w:rsidRPr="0013455C">
              <w:rPr>
                <w:b/>
                <w:bCs/>
                <w:i w:val="0"/>
                <w:iCs w:val="0"/>
                <w:color w:val="auto"/>
                <w:sz w:val="24"/>
                <w:szCs w:val="24"/>
              </w:rPr>
              <w:fldChar w:fldCharType="separate"/>
            </w:r>
            <w:r w:rsidR="006622B2">
              <w:rPr>
                <w:b/>
                <w:bCs/>
                <w:i w:val="0"/>
                <w:iCs w:val="0"/>
                <w:noProof/>
                <w:color w:val="auto"/>
                <w:sz w:val="24"/>
                <w:szCs w:val="24"/>
              </w:rPr>
              <w:t>8</w:t>
            </w:r>
            <w:r w:rsidRPr="0013455C">
              <w:rPr>
                <w:b/>
                <w:bCs/>
                <w:i w:val="0"/>
                <w:iCs w:val="0"/>
                <w:color w:val="auto"/>
                <w:sz w:val="24"/>
                <w:szCs w:val="24"/>
              </w:rPr>
              <w:fldChar w:fldCharType="end"/>
            </w:r>
            <w:r w:rsidRPr="0013455C">
              <w:rPr>
                <w:b/>
                <w:bCs/>
                <w:i w:val="0"/>
                <w:iCs w:val="0"/>
                <w:color w:val="auto"/>
                <w:sz w:val="24"/>
                <w:szCs w:val="24"/>
              </w:rPr>
              <w:t>.  Precio spot del crudo WTI</w:t>
            </w:r>
            <w:bookmarkEnd w:id="19"/>
            <w:r w:rsidRPr="0013455C">
              <w:rPr>
                <w:b/>
                <w:bCs/>
                <w:i w:val="0"/>
                <w:iCs w:val="0"/>
                <w:sz w:val="24"/>
                <w:szCs w:val="24"/>
              </w:rPr>
              <w:t xml:space="preserve">  </w:t>
            </w:r>
          </w:p>
        </w:tc>
        <w:tc>
          <w:tcPr>
            <w:tcW w:w="4419" w:type="dxa"/>
            <w:vAlign w:val="center"/>
          </w:tcPr>
          <w:p w14:paraId="2698B33B" w14:textId="56F0ABFA" w:rsidR="0013455C" w:rsidRDefault="0013455C" w:rsidP="0013455C">
            <w:pPr>
              <w:keepNext/>
              <w:spacing w:line="276" w:lineRule="auto"/>
              <w:contextualSpacing/>
              <w:jc w:val="center"/>
            </w:pPr>
          </w:p>
          <w:p w14:paraId="0A357E82" w14:textId="57C7133A" w:rsidR="00FB2F6F" w:rsidRPr="0013455C" w:rsidRDefault="0013455C" w:rsidP="0013455C">
            <w:pPr>
              <w:pStyle w:val="Descripcin"/>
              <w:spacing w:after="0"/>
              <w:jc w:val="center"/>
              <w:rPr>
                <w:b/>
                <w:bCs/>
                <w:i w:val="0"/>
                <w:iCs w:val="0"/>
                <w:sz w:val="24"/>
                <w:szCs w:val="24"/>
              </w:rPr>
            </w:pPr>
            <w:bookmarkStart w:id="20" w:name="_Toc143870676"/>
            <w:r w:rsidRPr="0013455C">
              <w:rPr>
                <w:b/>
                <w:bCs/>
                <w:i w:val="0"/>
                <w:iCs w:val="0"/>
                <w:color w:val="auto"/>
                <w:sz w:val="24"/>
                <w:szCs w:val="24"/>
              </w:rPr>
              <w:t xml:space="preserve">Gráfico </w:t>
            </w:r>
            <w:r w:rsidRPr="0013455C">
              <w:rPr>
                <w:b/>
                <w:bCs/>
                <w:i w:val="0"/>
                <w:iCs w:val="0"/>
                <w:color w:val="auto"/>
                <w:sz w:val="24"/>
                <w:szCs w:val="24"/>
              </w:rPr>
              <w:fldChar w:fldCharType="begin"/>
            </w:r>
            <w:r w:rsidRPr="0013455C">
              <w:rPr>
                <w:b/>
                <w:bCs/>
                <w:i w:val="0"/>
                <w:iCs w:val="0"/>
                <w:color w:val="auto"/>
                <w:sz w:val="24"/>
                <w:szCs w:val="24"/>
              </w:rPr>
              <w:instrText xml:space="preserve"> SEQ Gráfico \* ARABIC </w:instrText>
            </w:r>
            <w:r w:rsidRPr="0013455C">
              <w:rPr>
                <w:b/>
                <w:bCs/>
                <w:i w:val="0"/>
                <w:iCs w:val="0"/>
                <w:color w:val="auto"/>
                <w:sz w:val="24"/>
                <w:szCs w:val="24"/>
              </w:rPr>
              <w:fldChar w:fldCharType="separate"/>
            </w:r>
            <w:r w:rsidR="006622B2">
              <w:rPr>
                <w:b/>
                <w:bCs/>
                <w:i w:val="0"/>
                <w:iCs w:val="0"/>
                <w:noProof/>
                <w:color w:val="auto"/>
                <w:sz w:val="24"/>
                <w:szCs w:val="24"/>
              </w:rPr>
              <w:t>9</w:t>
            </w:r>
            <w:r w:rsidRPr="0013455C">
              <w:rPr>
                <w:b/>
                <w:bCs/>
                <w:i w:val="0"/>
                <w:iCs w:val="0"/>
                <w:color w:val="auto"/>
                <w:sz w:val="24"/>
                <w:szCs w:val="24"/>
              </w:rPr>
              <w:fldChar w:fldCharType="end"/>
            </w:r>
            <w:r w:rsidRPr="0013455C">
              <w:rPr>
                <w:b/>
                <w:bCs/>
                <w:i w:val="0"/>
                <w:iCs w:val="0"/>
                <w:color w:val="auto"/>
                <w:sz w:val="24"/>
                <w:szCs w:val="24"/>
              </w:rPr>
              <w:t>.  Precio de futuros de maíz y trigo</w:t>
            </w:r>
            <w:bookmarkEnd w:id="20"/>
            <w:r w:rsidRPr="0013455C">
              <w:rPr>
                <w:b/>
                <w:bCs/>
                <w:i w:val="0"/>
                <w:iCs w:val="0"/>
                <w:sz w:val="24"/>
                <w:szCs w:val="24"/>
              </w:rPr>
              <w:t xml:space="preserve">  </w:t>
            </w:r>
          </w:p>
        </w:tc>
      </w:tr>
      <w:tr w:rsidR="00FB2F6F" w:rsidRPr="004E2E1E" w14:paraId="7603A8D9" w14:textId="77777777" w:rsidTr="003512BC">
        <w:trPr>
          <w:trHeight w:val="1918"/>
        </w:trPr>
        <w:tc>
          <w:tcPr>
            <w:tcW w:w="4419" w:type="dxa"/>
          </w:tcPr>
          <w:p w14:paraId="43AC2CCB" w14:textId="77777777" w:rsidR="00FB2F6F" w:rsidRPr="004E2E1E" w:rsidRDefault="00FB2F6F" w:rsidP="00582CA7">
            <w:pPr>
              <w:spacing w:line="276" w:lineRule="auto"/>
              <w:ind w:right="49"/>
              <w:contextualSpacing/>
              <w:jc w:val="both"/>
              <w:rPr>
                <w:lang w:val="es-MX" w:eastAsia="es-ES"/>
              </w:rPr>
            </w:pPr>
            <w:r w:rsidRPr="004E2E1E">
              <w:rPr>
                <w:noProof/>
                <w:lang w:val="es-ES_tradnl" w:eastAsia="es-ES"/>
              </w:rPr>
              <w:drawing>
                <wp:inline distT="0" distB="0" distL="0" distR="0" wp14:anchorId="6C2E16C1" wp14:editId="379FBCD2">
                  <wp:extent cx="2701925" cy="1778000"/>
                  <wp:effectExtent l="0" t="0" r="3175" b="0"/>
                  <wp:docPr id="1809" name="Gráfico 180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c>
          <w:tcPr>
            <w:tcW w:w="4419" w:type="dxa"/>
          </w:tcPr>
          <w:p w14:paraId="3F3F2F3A" w14:textId="77777777" w:rsidR="00FB2F6F" w:rsidRPr="004E2E1E" w:rsidRDefault="00FB2F6F" w:rsidP="00582CA7">
            <w:pPr>
              <w:spacing w:line="276" w:lineRule="auto"/>
              <w:ind w:right="49"/>
              <w:contextualSpacing/>
              <w:jc w:val="both"/>
              <w:rPr>
                <w:lang w:val="es-MX" w:eastAsia="es-ES"/>
              </w:rPr>
            </w:pPr>
            <w:r w:rsidRPr="004E2E1E">
              <w:rPr>
                <w:noProof/>
                <w:lang w:val="es-ES_tradnl" w:eastAsia="es-ES"/>
              </w:rPr>
              <w:drawing>
                <wp:inline distT="0" distB="0" distL="0" distR="0" wp14:anchorId="0E6229DF" wp14:editId="3EE6CEFE">
                  <wp:extent cx="2701925" cy="1720850"/>
                  <wp:effectExtent l="0" t="0" r="3175" b="0"/>
                  <wp:docPr id="276" name="Gráfico 2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r w:rsidR="00FB2F6F" w:rsidRPr="004E2E1E" w14:paraId="6C3FF1DA" w14:textId="77777777" w:rsidTr="003512BC">
        <w:trPr>
          <w:trHeight w:val="116"/>
        </w:trPr>
        <w:tc>
          <w:tcPr>
            <w:tcW w:w="8838" w:type="dxa"/>
            <w:gridSpan w:val="2"/>
          </w:tcPr>
          <w:p w14:paraId="05717270" w14:textId="1F5AE241" w:rsidR="00FB2F6F" w:rsidRPr="004E2E1E" w:rsidRDefault="00FB2F6F" w:rsidP="00582CA7">
            <w:pPr>
              <w:spacing w:line="276" w:lineRule="auto"/>
              <w:ind w:right="49"/>
              <w:contextualSpacing/>
              <w:jc w:val="both"/>
              <w:rPr>
                <w:sz w:val="18"/>
                <w:szCs w:val="18"/>
                <w:lang w:val="es-MX" w:eastAsia="es-ES"/>
              </w:rPr>
            </w:pPr>
            <w:r w:rsidRPr="004E2E1E">
              <w:rPr>
                <w:sz w:val="18"/>
                <w:szCs w:val="18"/>
                <w:lang w:val="es-ES_tradnl" w:eastAsia="es-ES"/>
              </w:rPr>
              <w:t>Fuente: Administración de Información de Energía de EE.UU. e Investing</w:t>
            </w:r>
            <w:r w:rsidR="009C6B0A">
              <w:rPr>
                <w:sz w:val="18"/>
                <w:szCs w:val="18"/>
                <w:lang w:val="es-ES_tradnl" w:eastAsia="es-ES"/>
              </w:rPr>
              <w:t>.</w:t>
            </w:r>
          </w:p>
        </w:tc>
      </w:tr>
    </w:tbl>
    <w:p w14:paraId="547E12F0" w14:textId="1A440649" w:rsidR="00FB2F6F" w:rsidRPr="005318D0" w:rsidRDefault="00FB2F6F" w:rsidP="00354A9C">
      <w:pPr>
        <w:pStyle w:val="Ttulo2"/>
        <w:numPr>
          <w:ilvl w:val="0"/>
          <w:numId w:val="48"/>
        </w:numPr>
        <w:ind w:left="426" w:hanging="283"/>
        <w:rPr>
          <w:rFonts w:ascii="Times New Roman" w:hAnsi="Times New Roman" w:cs="Times New Roman"/>
          <w:b/>
          <w:bCs/>
          <w:color w:val="auto"/>
          <w:sz w:val="24"/>
          <w:szCs w:val="24"/>
          <w:lang w:val="es-MX"/>
        </w:rPr>
      </w:pPr>
      <w:bookmarkStart w:id="21" w:name="_Toc143865778"/>
      <w:r w:rsidRPr="005318D0">
        <w:rPr>
          <w:rFonts w:ascii="Times New Roman" w:hAnsi="Times New Roman" w:cs="Times New Roman"/>
          <w:b/>
          <w:bCs/>
          <w:color w:val="auto"/>
          <w:sz w:val="24"/>
          <w:szCs w:val="24"/>
          <w:lang w:val="es-MX"/>
        </w:rPr>
        <w:t>Perspectivas de la economía mundial 2023</w:t>
      </w:r>
      <w:bookmarkEnd w:id="21"/>
    </w:p>
    <w:p w14:paraId="7DFC5EFA" w14:textId="51F8BDBC" w:rsidR="00FB2F6F" w:rsidRDefault="00FB2F6F" w:rsidP="00FB2F6F"/>
    <w:p w14:paraId="6C4E1620" w14:textId="61B5221C" w:rsidR="00FB2F6F" w:rsidRPr="00A90452" w:rsidRDefault="00FB2F6F" w:rsidP="00FB2F6F">
      <w:pPr>
        <w:jc w:val="both"/>
      </w:pPr>
      <w:r>
        <w:t>Los Organismos internacionales prevén una desaceleración en la economía a nivel mundial para el presente año: el Fondo Monetario Internacional (FMI) indicó en sus perspectivas de abril 2023 que se espera una crecimiento interanual de 2.8%</w:t>
      </w:r>
      <w:r w:rsidR="007A1162">
        <w:t>,</w:t>
      </w:r>
      <w:r>
        <w:t xml:space="preserve"> en contraste con el crecimiento de 3.4% observado en 2022, siendo el de este año el más bajo desde 2001, sin considerar la crisis financiera global y la crisis por la pandemia </w:t>
      </w:r>
      <w:r w:rsidR="00FB56D6">
        <w:t>COVID</w:t>
      </w:r>
      <w:r>
        <w:t xml:space="preserve">-19, además que los países que representan alrededor de un tercio de la economía mundial registrarán durante dos trimestres consecutivos una contracción del PIB.  La Organización para la Cooperación y el Desarrollo Económico </w:t>
      </w:r>
      <w:r w:rsidR="007A1162">
        <w:t>-</w:t>
      </w:r>
      <w:r>
        <w:t>OCDE</w:t>
      </w:r>
      <w:r w:rsidR="007A1162">
        <w:t xml:space="preserve">-, </w:t>
      </w:r>
      <w:r>
        <w:t>en sus últimas previsiones de marzo 2023 indica que, el crecimiento de 2023 se encontrará en 2.6%</w:t>
      </w:r>
      <w:r w:rsidR="007A1162">
        <w:t>,</w:t>
      </w:r>
      <w:r>
        <w:t xml:space="preserve"> por las repercusiones de la crisis energética más grave desde los años 1970, lo cual es consecuencia de la guerra entre Ucrania-Rusia que ha hecho que la confianza se degrade, la incertidumbre aumente y con ello una </w:t>
      </w:r>
      <w:r w:rsidR="007A1162">
        <w:t xml:space="preserve">persista una </w:t>
      </w:r>
      <w:r>
        <w:t xml:space="preserve">elevada inflación.  Por su parte, el Banco Mundial </w:t>
      </w:r>
      <w:r w:rsidR="007A1162">
        <w:t>-</w:t>
      </w:r>
      <w:r>
        <w:t>BM</w:t>
      </w:r>
      <w:r w:rsidR="007A1162">
        <w:t xml:space="preserve">-, </w:t>
      </w:r>
      <w:r>
        <w:t>en enero de 2023 revisó a la baja el crecimiento de la economía mundial del presente año</w:t>
      </w:r>
      <w:r w:rsidR="007A1162">
        <w:t>,</w:t>
      </w:r>
      <w:r>
        <w:t xml:space="preserve"> situándolo en 1.</w:t>
      </w:r>
      <w:r w:rsidRPr="00A90452">
        <w:t>7%, esto a la vez de revisar a la baja el 95% de las economías avanzadas y casi el 70% de las emergentes y en desarrollo; además, advierte del riesgo de recesión global ante la fragilidad económica.</w:t>
      </w:r>
    </w:p>
    <w:p w14:paraId="0AB3BD18" w14:textId="77777777" w:rsidR="00FB2F6F" w:rsidRPr="00A90452" w:rsidRDefault="00FB2F6F" w:rsidP="00FB2F6F">
      <w:pPr>
        <w:jc w:val="both"/>
      </w:pPr>
    </w:p>
    <w:p w14:paraId="2C69F1C0" w14:textId="1CEA78DB" w:rsidR="00FB2F6F" w:rsidRDefault="007A1162" w:rsidP="00FB2F6F">
      <w:pPr>
        <w:jc w:val="both"/>
      </w:pPr>
      <w:r w:rsidRPr="00A90452">
        <w:t>P</w:t>
      </w:r>
      <w:r w:rsidR="00FB2F6F" w:rsidRPr="00A90452">
        <w:t xml:space="preserve">redominan </w:t>
      </w:r>
      <w:r w:rsidRPr="00A90452">
        <w:t xml:space="preserve">también </w:t>
      </w:r>
      <w:r w:rsidR="00FB2F6F" w:rsidRPr="00A90452">
        <w:t xml:space="preserve">riesgos a la baja debido al nerviosismo entre los inversionistas, que podría afectar a las instituciones financieras con exceso de apalancamiento, riesgo </w:t>
      </w:r>
      <w:r w:rsidR="00A90452" w:rsidRPr="00A90452">
        <w:t>crediticio</w:t>
      </w:r>
      <w:r w:rsidR="00FB2F6F" w:rsidRPr="00A90452">
        <w:t>, entre otros. Además, el endurecimiento de las condiciones financieras</w:t>
      </w:r>
      <w:r w:rsidR="00FB2F6F">
        <w:t xml:space="preserve"> podría afectar las condiciones de crédito de las finanzas públicas, en especial en las economías emergentes y en desarrollo con altos niveles de endeudamiento.</w:t>
      </w:r>
    </w:p>
    <w:p w14:paraId="385E46B9" w14:textId="77777777" w:rsidR="00FB2F6F" w:rsidRDefault="00FB2F6F" w:rsidP="00FB2F6F">
      <w:pPr>
        <w:jc w:val="both"/>
      </w:pPr>
    </w:p>
    <w:p w14:paraId="776C16C8" w14:textId="20BFC19E" w:rsidR="00FB2F6F" w:rsidRDefault="00FB2F6F" w:rsidP="00FB2F6F">
      <w:pPr>
        <w:jc w:val="both"/>
      </w:pPr>
      <w:r>
        <w:t>Se espera que la desaceleración de las economías avanzadas sea profunda en el presente año, al pasar de 2.7% en 2022 a 1.3% en 2023</w:t>
      </w:r>
      <w:r w:rsidR="007A1162">
        <w:t>,</w:t>
      </w:r>
      <w:r>
        <w:t xml:space="preserve"> concentrándose principalmente en Estados Unidos y las economías europeas. Por parte de la zona del euro se espera un crecimiento de 0.7% y para el Reino Unido se proyecta una contracción de 0.4%. Asimismo, el FMI estima que la tasa de desempleo aumentará en estas economías alrededor de 0.5 puntos porcentuales del promedio observado en el 2022. Por su parte, Alemania tendrá una contracción derivada principalmente a la guerra Rusia-Ucrania ya que es de las economías más expuestas a los recortes en el suministro de gas ruso. </w:t>
      </w:r>
    </w:p>
    <w:p w14:paraId="08B2F42A" w14:textId="77777777" w:rsidR="00FB2F6F" w:rsidRDefault="00FB2F6F" w:rsidP="00FB2F6F">
      <w:pPr>
        <w:jc w:val="both"/>
      </w:pPr>
    </w:p>
    <w:p w14:paraId="4E93AD69" w14:textId="1D73E6A9" w:rsidR="00FB2F6F" w:rsidRDefault="00FB2F6F" w:rsidP="00FB2F6F">
      <w:pPr>
        <w:jc w:val="both"/>
      </w:pPr>
      <w:r>
        <w:t xml:space="preserve">Por su parte, se proyecta que las economías de mercados emergentes y en desarrollo tengan un crecimiento de 3.9, menor al presentado en 2022. Las </w:t>
      </w:r>
      <w:r w:rsidR="007A1162">
        <w:t>e</w:t>
      </w:r>
      <w:r>
        <w:t xml:space="preserve">conomías </w:t>
      </w:r>
      <w:r w:rsidR="007A1162">
        <w:t>e</w:t>
      </w:r>
      <w:r>
        <w:t xml:space="preserve">mergentes y en </w:t>
      </w:r>
      <w:r w:rsidR="007A1162">
        <w:t>d</w:t>
      </w:r>
      <w:r>
        <w:t>esarrollo de Asia son las únicas a las que se prevé que puedan aumentar su crecimiento en 2023 con respecto al año anterior, pasando de 4.4% en 2022 a 5.3% en 2023; contrario a América Latina y el Caribe</w:t>
      </w:r>
      <w:r w:rsidR="007A1162">
        <w:t>, región en</w:t>
      </w:r>
      <w:r>
        <w:t xml:space="preserve"> la cual se espera que pasé de 4.0% en 2022 a 1.6% en 2023, a medida que se debilite el crecimiento de los países socios, se endurezcan las condiciones financieras y se relajen los precios de materias primas.  Además, el Banco Mundial prevé que se reduzca la demanda de exportaciones, la inversión regional disminuirá como consecuencia del aumento de los costos de financiamiento, la escasa confianza empresarial y la fuerte incertidumbre en cuanto a normas.</w:t>
      </w:r>
    </w:p>
    <w:p w14:paraId="1567CE7D" w14:textId="2AC244FF" w:rsidR="00FB2F6F" w:rsidRDefault="00FB2F6F" w:rsidP="00FB2F6F">
      <w:pPr>
        <w:jc w:val="both"/>
      </w:pPr>
    </w:p>
    <w:p w14:paraId="79DDB0FE" w14:textId="48DBEF9E" w:rsidR="009C6B0A" w:rsidRDefault="009C6B0A" w:rsidP="00FB2F6F">
      <w:pPr>
        <w:jc w:val="both"/>
      </w:pPr>
    </w:p>
    <w:p w14:paraId="3884573E" w14:textId="4813AD01" w:rsidR="009C6B0A" w:rsidRDefault="009C6B0A" w:rsidP="00FB2F6F">
      <w:pPr>
        <w:jc w:val="both"/>
      </w:pPr>
    </w:p>
    <w:p w14:paraId="35E0E425" w14:textId="77777777" w:rsidR="009C6B0A" w:rsidRDefault="009C6B0A" w:rsidP="00FB2F6F">
      <w:pPr>
        <w:jc w:val="both"/>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8"/>
      </w:tblGrid>
      <w:tr w:rsidR="00FB2F6F" w:rsidRPr="004E2E1E" w14:paraId="7473EA36" w14:textId="77777777" w:rsidTr="00582CA7">
        <w:tc>
          <w:tcPr>
            <w:tcW w:w="8828" w:type="dxa"/>
          </w:tcPr>
          <w:p w14:paraId="05438ED1" w14:textId="2286EB16" w:rsidR="00FB2F6F" w:rsidRPr="003512BC" w:rsidRDefault="003512BC" w:rsidP="003512BC">
            <w:pPr>
              <w:pStyle w:val="Descripcin"/>
              <w:keepNext/>
              <w:spacing w:after="0"/>
              <w:jc w:val="center"/>
              <w:rPr>
                <w:b/>
                <w:bCs/>
                <w:i w:val="0"/>
                <w:iCs w:val="0"/>
                <w:color w:val="auto"/>
                <w:sz w:val="24"/>
                <w:szCs w:val="24"/>
                <w:lang w:val="es-GT"/>
              </w:rPr>
            </w:pPr>
            <w:bookmarkStart w:id="22" w:name="_Toc143871209"/>
            <w:r w:rsidRPr="003512BC">
              <w:rPr>
                <w:b/>
                <w:bCs/>
                <w:i w:val="0"/>
                <w:iCs w:val="0"/>
                <w:color w:val="auto"/>
                <w:sz w:val="24"/>
                <w:szCs w:val="24"/>
                <w:lang w:val="es-GT"/>
              </w:rPr>
              <w:t xml:space="preserve">Tabla </w:t>
            </w:r>
            <w:r w:rsidRPr="003512BC">
              <w:rPr>
                <w:b/>
                <w:bCs/>
                <w:i w:val="0"/>
                <w:iCs w:val="0"/>
                <w:color w:val="auto"/>
                <w:sz w:val="24"/>
                <w:szCs w:val="24"/>
              </w:rPr>
              <w:fldChar w:fldCharType="begin"/>
            </w:r>
            <w:r w:rsidRPr="003512BC">
              <w:rPr>
                <w:b/>
                <w:bCs/>
                <w:i w:val="0"/>
                <w:iCs w:val="0"/>
                <w:color w:val="auto"/>
                <w:sz w:val="24"/>
                <w:szCs w:val="24"/>
                <w:lang w:val="es-GT"/>
              </w:rPr>
              <w:instrText xml:space="preserve"> SEQ Tabla \* ARABIC </w:instrText>
            </w:r>
            <w:r w:rsidRPr="003512BC">
              <w:rPr>
                <w:b/>
                <w:bCs/>
                <w:i w:val="0"/>
                <w:iCs w:val="0"/>
                <w:color w:val="auto"/>
                <w:sz w:val="24"/>
                <w:szCs w:val="24"/>
              </w:rPr>
              <w:fldChar w:fldCharType="separate"/>
            </w:r>
            <w:r w:rsidR="006622B2">
              <w:rPr>
                <w:b/>
                <w:bCs/>
                <w:i w:val="0"/>
                <w:iCs w:val="0"/>
                <w:noProof/>
                <w:color w:val="auto"/>
                <w:sz w:val="24"/>
                <w:szCs w:val="24"/>
                <w:lang w:val="es-GT"/>
              </w:rPr>
              <w:t>2</w:t>
            </w:r>
            <w:r w:rsidRPr="003512BC">
              <w:rPr>
                <w:b/>
                <w:bCs/>
                <w:i w:val="0"/>
                <w:iCs w:val="0"/>
                <w:color w:val="auto"/>
                <w:sz w:val="24"/>
                <w:szCs w:val="24"/>
              </w:rPr>
              <w:fldChar w:fldCharType="end"/>
            </w:r>
            <w:r w:rsidRPr="003512BC">
              <w:rPr>
                <w:b/>
                <w:bCs/>
                <w:i w:val="0"/>
                <w:iCs w:val="0"/>
                <w:color w:val="auto"/>
                <w:sz w:val="24"/>
                <w:szCs w:val="24"/>
                <w:lang w:val="es-GT"/>
              </w:rPr>
              <w:t xml:space="preserve">.  </w:t>
            </w:r>
            <w:r w:rsidR="00FB2F6F" w:rsidRPr="003512BC">
              <w:rPr>
                <w:b/>
                <w:bCs/>
                <w:i w:val="0"/>
                <w:iCs w:val="0"/>
                <w:color w:val="auto"/>
                <w:sz w:val="24"/>
                <w:szCs w:val="24"/>
                <w:lang w:val="es-GT"/>
              </w:rPr>
              <w:t>Proyecciones de crecimiento económico en 2023</w:t>
            </w:r>
            <w:bookmarkEnd w:id="22"/>
          </w:p>
          <w:p w14:paraId="0BCA8C45" w14:textId="77777777" w:rsidR="00FB2F6F" w:rsidRPr="004E2E1E" w:rsidRDefault="00FB2F6F" w:rsidP="00582CA7">
            <w:pPr>
              <w:jc w:val="center"/>
              <w:rPr>
                <w:lang w:val="es-MX"/>
              </w:rPr>
            </w:pPr>
            <w:r w:rsidRPr="009C6B0A">
              <w:rPr>
                <w:sz w:val="20"/>
                <w:szCs w:val="20"/>
                <w:lang w:val="es-MX"/>
              </w:rPr>
              <w:t>(En porcentaje)</w:t>
            </w:r>
          </w:p>
        </w:tc>
      </w:tr>
      <w:tr w:rsidR="00FB2F6F" w:rsidRPr="004E2E1E" w14:paraId="2A3873BB" w14:textId="77777777" w:rsidTr="00582CA7">
        <w:tblPrEx>
          <w:tblCellMar>
            <w:left w:w="70" w:type="dxa"/>
            <w:right w:w="70" w:type="dxa"/>
          </w:tblCellMar>
        </w:tblPrEx>
        <w:tc>
          <w:tcPr>
            <w:tcW w:w="8828" w:type="dxa"/>
          </w:tcPr>
          <w:p w14:paraId="1DED0DD5" w14:textId="77777777" w:rsidR="00FB2F6F" w:rsidRPr="004E2E1E" w:rsidRDefault="00FB2F6F" w:rsidP="00582CA7">
            <w:pPr>
              <w:jc w:val="center"/>
              <w:rPr>
                <w:lang w:val="es-MX"/>
              </w:rPr>
            </w:pPr>
            <w:r w:rsidRPr="004E2E1E">
              <w:rPr>
                <w:noProof/>
              </w:rPr>
              <w:drawing>
                <wp:inline distT="0" distB="0" distL="0" distR="0" wp14:anchorId="264F964F" wp14:editId="0D79E476">
                  <wp:extent cx="3816350" cy="4115079"/>
                  <wp:effectExtent l="0" t="0" r="0" b="0"/>
                  <wp:docPr id="1810" name="Imagen 4">
                    <a:extLst xmlns:a="http://schemas.openxmlformats.org/drawingml/2006/main">
                      <a:ext uri="{FF2B5EF4-FFF2-40B4-BE49-F238E27FC236}">
                        <a16:creationId xmlns:a16="http://schemas.microsoft.com/office/drawing/2014/main" id="{5D8AE9A3-1D13-484F-975A-0C3716B390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5D8AE9A3-1D13-484F-975A-0C3716B39007}"/>
                              </a:ext>
                            </a:extLst>
                          </pic:cNvPr>
                          <pic:cNvPicPr>
                            <a:picLocks noChangeAspect="1" noChangeArrowheads="1"/>
                            <a:extLst>
                              <a:ext uri="{84589F7E-364E-4C9E-8A38-B11213B215E9}">
                                <a14:cameraTool xmlns:a14="http://schemas.microsoft.com/office/drawing/2010/main" cellRange="$I$4:$K$30"/>
                              </a:ext>
                            </a:extLst>
                          </pic:cNvPicPr>
                        </pic:nvPicPr>
                        <pic:blipFill>
                          <a:blip r:embed="rId26"/>
                          <a:srcRect/>
                          <a:stretch>
                            <a:fillRect/>
                          </a:stretch>
                        </pic:blipFill>
                        <pic:spPr bwMode="auto">
                          <a:xfrm>
                            <a:off x="0" y="0"/>
                            <a:ext cx="3831237" cy="4131131"/>
                          </a:xfrm>
                          <a:prstGeom prst="rect">
                            <a:avLst/>
                          </a:prstGeom>
                          <a:noFill/>
                        </pic:spPr>
                      </pic:pic>
                    </a:graphicData>
                  </a:graphic>
                </wp:inline>
              </w:drawing>
            </w:r>
          </w:p>
        </w:tc>
      </w:tr>
      <w:tr w:rsidR="00FB2F6F" w:rsidRPr="004E2E1E" w14:paraId="26A51627" w14:textId="77777777" w:rsidTr="00582CA7">
        <w:tblPrEx>
          <w:tblCellMar>
            <w:left w:w="70" w:type="dxa"/>
            <w:right w:w="70" w:type="dxa"/>
          </w:tblCellMar>
        </w:tblPrEx>
        <w:tc>
          <w:tcPr>
            <w:tcW w:w="8828" w:type="dxa"/>
          </w:tcPr>
          <w:p w14:paraId="52BC8E1F" w14:textId="19AEDEBE" w:rsidR="00FB2F6F" w:rsidRPr="004E2E1E" w:rsidRDefault="00FB2F6F" w:rsidP="00582CA7">
            <w:pPr>
              <w:jc w:val="both"/>
              <w:rPr>
                <w:noProof/>
              </w:rPr>
            </w:pPr>
            <w:r w:rsidRPr="004E2E1E">
              <w:rPr>
                <w:noProof/>
                <w:sz w:val="18"/>
                <w:szCs w:val="18"/>
              </w:rPr>
              <w:t xml:space="preserve">                                 Fuente: Fondo Monetario Internacional</w:t>
            </w:r>
            <w:r w:rsidR="009C6B0A">
              <w:rPr>
                <w:noProof/>
                <w:sz w:val="18"/>
                <w:szCs w:val="18"/>
              </w:rPr>
              <w:t>.</w:t>
            </w:r>
          </w:p>
        </w:tc>
      </w:tr>
    </w:tbl>
    <w:p w14:paraId="5F4EBE5F" w14:textId="6AEA2EC8" w:rsidR="00FB2F6F" w:rsidRDefault="00FB2F6F" w:rsidP="00FB2F6F">
      <w:pPr>
        <w:jc w:val="both"/>
      </w:pPr>
    </w:p>
    <w:p w14:paraId="35119A8E" w14:textId="74106065" w:rsidR="00FB2F6F" w:rsidRPr="005318D0" w:rsidRDefault="00FB2F6F" w:rsidP="00354A9C">
      <w:pPr>
        <w:pStyle w:val="Ttulo3"/>
        <w:numPr>
          <w:ilvl w:val="1"/>
          <w:numId w:val="48"/>
        </w:numPr>
        <w:tabs>
          <w:tab w:val="left" w:pos="1134"/>
        </w:tabs>
        <w:rPr>
          <w:rFonts w:ascii="Times New Roman" w:hAnsi="Times New Roman" w:cs="Times New Roman"/>
          <w:b/>
          <w:bCs/>
          <w:color w:val="auto"/>
          <w:lang w:val="es-MX"/>
        </w:rPr>
      </w:pPr>
      <w:bookmarkStart w:id="23" w:name="_Toc143865779"/>
      <w:r w:rsidRPr="005318D0">
        <w:rPr>
          <w:rFonts w:ascii="Times New Roman" w:hAnsi="Times New Roman" w:cs="Times New Roman"/>
          <w:b/>
          <w:bCs/>
          <w:color w:val="auto"/>
          <w:lang w:val="es-MX"/>
        </w:rPr>
        <w:t>Principales socios comerciales de Guatemala</w:t>
      </w:r>
      <w:bookmarkEnd w:id="23"/>
    </w:p>
    <w:p w14:paraId="334F0584" w14:textId="7993787C" w:rsidR="00FB2F6F" w:rsidRDefault="00FB2F6F" w:rsidP="00FB2F6F"/>
    <w:p w14:paraId="0ECC3E84" w14:textId="026496D3" w:rsidR="00FB2F6F" w:rsidRDefault="00FB2F6F" w:rsidP="00FB2F6F">
      <w:pPr>
        <w:jc w:val="both"/>
      </w:pPr>
      <w:r>
        <w:t>Después de una fuerte recuperación del comercio exterior en 2021 y 2022, se espera que la tendencia favorable continúe en 2023, aunque a un ritmo más moderado. Lo anterior resultaría de una demanda externa que ha sido afectada por el sincronizado aument</w:t>
      </w:r>
      <w:r w:rsidR="007A1162">
        <w:t>o</w:t>
      </w:r>
      <w:r>
        <w:t xml:space="preserve"> de la tasa de interés en la mayoría de países.</w:t>
      </w:r>
    </w:p>
    <w:p w14:paraId="73D27E18" w14:textId="77777777" w:rsidR="00FB2F6F" w:rsidRDefault="00FB2F6F" w:rsidP="00FB2F6F">
      <w:pPr>
        <w:jc w:val="both"/>
      </w:pPr>
    </w:p>
    <w:p w14:paraId="29821D97" w14:textId="51B05EA4" w:rsidR="00FB2F6F" w:rsidRDefault="00FB2F6F" w:rsidP="00FB2F6F">
      <w:pPr>
        <w:jc w:val="both"/>
      </w:pPr>
      <w:r w:rsidRPr="00A90452">
        <w:t xml:space="preserve">Existe un </w:t>
      </w:r>
      <w:r w:rsidR="00A90452" w:rsidRPr="00A90452">
        <w:t>alto</w:t>
      </w:r>
      <w:r w:rsidRPr="00A90452">
        <w:t xml:space="preserve"> riesgo</w:t>
      </w:r>
      <w:r w:rsidR="00A90452" w:rsidRPr="00A90452">
        <w:t xml:space="preserve"> a una recesión,</w:t>
      </w:r>
      <w:r w:rsidRPr="00A90452">
        <w:t xml:space="preserve"> </w:t>
      </w:r>
      <w:r w:rsidR="00A90452" w:rsidRPr="00A90452">
        <w:t>debido a</w:t>
      </w:r>
      <w:r w:rsidRPr="00A90452">
        <w:t xml:space="preserve"> que el crecimiento económico se ha desacelerado con respecto </w:t>
      </w:r>
      <w:r w:rsidR="00B84724">
        <w:t xml:space="preserve">a </w:t>
      </w:r>
      <w:r w:rsidRPr="00A90452">
        <w:t>sus niveles históricos y la inflación se mantiene alta en muchas regiones, principalmente la inflación subyacente. Si las autoridades monetarias generan una expectativa de abandonar la lucha contra la inflación</w:t>
      </w:r>
      <w:r w:rsidR="00A90452" w:rsidRPr="00A90452">
        <w:t xml:space="preserve">, esto </w:t>
      </w:r>
      <w:r w:rsidRPr="00A90452">
        <w:t xml:space="preserve">podría </w:t>
      </w:r>
      <w:r w:rsidR="00A90452" w:rsidRPr="00A90452">
        <w:t>retroceder los avances en su disminución.</w:t>
      </w:r>
      <w:r>
        <w:t xml:space="preserve"> Además, se espera que la política fiscal desempeñe un papel restrictivo para enfriar la actividad económica, no obstante, esto tendrá repercusiones en la demanda agregada y el desempleo.</w:t>
      </w:r>
    </w:p>
    <w:p w14:paraId="7391BD44" w14:textId="191C14E1" w:rsidR="00FB2F6F" w:rsidRDefault="00FB2F6F" w:rsidP="00FB2F6F">
      <w:pPr>
        <w:jc w:val="both"/>
      </w:pPr>
    </w:p>
    <w:p w14:paraId="6559A984" w14:textId="3BC92C7B" w:rsidR="009C6B0A" w:rsidRDefault="009C6B0A" w:rsidP="00FB2F6F">
      <w:pPr>
        <w:jc w:val="both"/>
      </w:pPr>
    </w:p>
    <w:p w14:paraId="2FBC4A5E" w14:textId="657DD043" w:rsidR="009C6B0A" w:rsidRDefault="009C6B0A" w:rsidP="00FB2F6F">
      <w:pPr>
        <w:jc w:val="both"/>
      </w:pPr>
    </w:p>
    <w:p w14:paraId="26AB8B8F" w14:textId="1E15B209" w:rsidR="009C6B0A" w:rsidRDefault="009C6B0A" w:rsidP="00FB2F6F">
      <w:pPr>
        <w:jc w:val="both"/>
      </w:pPr>
    </w:p>
    <w:p w14:paraId="146DC639" w14:textId="183E3DEA" w:rsidR="009C6B0A" w:rsidRDefault="009C6B0A" w:rsidP="00FB2F6F">
      <w:pPr>
        <w:jc w:val="both"/>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8"/>
      </w:tblGrid>
      <w:tr w:rsidR="00FB2F6F" w:rsidRPr="004E2E1E" w14:paraId="3CCC9623" w14:textId="77777777" w:rsidTr="00582CA7">
        <w:tc>
          <w:tcPr>
            <w:tcW w:w="8828" w:type="dxa"/>
          </w:tcPr>
          <w:p w14:paraId="55DA5DC3" w14:textId="5A7BA2A0" w:rsidR="00FB2F6F" w:rsidRPr="003512BC" w:rsidRDefault="003512BC" w:rsidP="003512BC">
            <w:pPr>
              <w:pStyle w:val="Descripcin"/>
              <w:keepNext/>
              <w:spacing w:after="0"/>
              <w:jc w:val="center"/>
              <w:rPr>
                <w:b/>
                <w:bCs/>
                <w:i w:val="0"/>
                <w:iCs w:val="0"/>
                <w:sz w:val="24"/>
                <w:szCs w:val="24"/>
                <w:lang w:val="es-GT"/>
              </w:rPr>
            </w:pPr>
            <w:bookmarkStart w:id="24" w:name="_Toc143871210"/>
            <w:r w:rsidRPr="003512BC">
              <w:rPr>
                <w:b/>
                <w:bCs/>
                <w:i w:val="0"/>
                <w:iCs w:val="0"/>
                <w:color w:val="auto"/>
                <w:sz w:val="24"/>
                <w:szCs w:val="24"/>
                <w:lang w:val="es-GT"/>
              </w:rPr>
              <w:t xml:space="preserve">Tabla </w:t>
            </w:r>
            <w:r w:rsidRPr="003512BC">
              <w:rPr>
                <w:b/>
                <w:bCs/>
                <w:i w:val="0"/>
                <w:iCs w:val="0"/>
                <w:color w:val="auto"/>
                <w:sz w:val="24"/>
                <w:szCs w:val="24"/>
              </w:rPr>
              <w:fldChar w:fldCharType="begin"/>
            </w:r>
            <w:r w:rsidRPr="003512BC">
              <w:rPr>
                <w:b/>
                <w:bCs/>
                <w:i w:val="0"/>
                <w:iCs w:val="0"/>
                <w:color w:val="auto"/>
                <w:sz w:val="24"/>
                <w:szCs w:val="24"/>
                <w:lang w:val="es-GT"/>
              </w:rPr>
              <w:instrText xml:space="preserve"> SEQ Tabla \* ARABIC </w:instrText>
            </w:r>
            <w:r w:rsidRPr="003512BC">
              <w:rPr>
                <w:b/>
                <w:bCs/>
                <w:i w:val="0"/>
                <w:iCs w:val="0"/>
                <w:color w:val="auto"/>
                <w:sz w:val="24"/>
                <w:szCs w:val="24"/>
              </w:rPr>
              <w:fldChar w:fldCharType="separate"/>
            </w:r>
            <w:r w:rsidR="006622B2">
              <w:rPr>
                <w:b/>
                <w:bCs/>
                <w:i w:val="0"/>
                <w:iCs w:val="0"/>
                <w:noProof/>
                <w:color w:val="auto"/>
                <w:sz w:val="24"/>
                <w:szCs w:val="24"/>
                <w:lang w:val="es-GT"/>
              </w:rPr>
              <w:t>3</w:t>
            </w:r>
            <w:r w:rsidRPr="003512BC">
              <w:rPr>
                <w:b/>
                <w:bCs/>
                <w:i w:val="0"/>
                <w:iCs w:val="0"/>
                <w:color w:val="auto"/>
                <w:sz w:val="24"/>
                <w:szCs w:val="24"/>
              </w:rPr>
              <w:fldChar w:fldCharType="end"/>
            </w:r>
            <w:r w:rsidRPr="003512BC">
              <w:rPr>
                <w:b/>
                <w:bCs/>
                <w:i w:val="0"/>
                <w:iCs w:val="0"/>
                <w:color w:val="auto"/>
                <w:sz w:val="24"/>
                <w:szCs w:val="24"/>
                <w:lang w:val="es-GT"/>
              </w:rPr>
              <w:t xml:space="preserve">.  </w:t>
            </w:r>
            <w:r w:rsidR="00FB2F6F" w:rsidRPr="003512BC">
              <w:rPr>
                <w:b/>
                <w:bCs/>
                <w:i w:val="0"/>
                <w:iCs w:val="0"/>
                <w:color w:val="auto"/>
                <w:sz w:val="24"/>
                <w:szCs w:val="24"/>
                <w:lang w:val="es-GT"/>
              </w:rPr>
              <w:t>Proyecciones de crecimiento de Estados Unidos, México, Centro América y República Dominicana</w:t>
            </w:r>
            <w:bookmarkEnd w:id="24"/>
          </w:p>
          <w:p w14:paraId="354BECEA" w14:textId="77777777" w:rsidR="00FB2F6F" w:rsidRPr="004E2E1E" w:rsidRDefault="00FB2F6F" w:rsidP="00582CA7">
            <w:pPr>
              <w:jc w:val="center"/>
              <w:rPr>
                <w:lang w:val="es-MX"/>
              </w:rPr>
            </w:pPr>
            <w:r w:rsidRPr="009C6B0A">
              <w:rPr>
                <w:sz w:val="20"/>
                <w:szCs w:val="20"/>
                <w:lang w:val="es-MX"/>
              </w:rPr>
              <w:t>(En porcentaje)</w:t>
            </w:r>
          </w:p>
        </w:tc>
      </w:tr>
      <w:tr w:rsidR="00FB2F6F" w:rsidRPr="004E2E1E" w14:paraId="534284A2" w14:textId="77777777" w:rsidTr="00582CA7">
        <w:tblPrEx>
          <w:tblCellMar>
            <w:left w:w="70" w:type="dxa"/>
            <w:right w:w="70" w:type="dxa"/>
          </w:tblCellMar>
        </w:tblPrEx>
        <w:tc>
          <w:tcPr>
            <w:tcW w:w="8828" w:type="dxa"/>
          </w:tcPr>
          <w:p w14:paraId="0FA8A159" w14:textId="77777777" w:rsidR="00FB2F6F" w:rsidRPr="004E2E1E" w:rsidRDefault="00FB2F6F" w:rsidP="00582CA7">
            <w:pPr>
              <w:jc w:val="center"/>
              <w:rPr>
                <w:lang w:val="es-MX"/>
              </w:rPr>
            </w:pPr>
            <w:r w:rsidRPr="004E2E1E">
              <w:rPr>
                <w:noProof/>
              </w:rPr>
              <w:drawing>
                <wp:inline distT="0" distB="0" distL="0" distR="0" wp14:anchorId="60C37FC3" wp14:editId="47094111">
                  <wp:extent cx="3935896" cy="2149265"/>
                  <wp:effectExtent l="0" t="0" r="7620" b="3810"/>
                  <wp:docPr id="26" name="Imagen 1">
                    <a:extLst xmlns:a="http://schemas.openxmlformats.org/drawingml/2006/main">
                      <a:ext uri="{FF2B5EF4-FFF2-40B4-BE49-F238E27FC236}">
                        <a16:creationId xmlns:a16="http://schemas.microsoft.com/office/drawing/2014/main" id="{85C62CC2-41ED-4D97-889F-204D8392C1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85C62CC2-41ED-4D97-889F-204D8392C136}"/>
                              </a:ext>
                            </a:extLst>
                          </pic:cNvPr>
                          <pic:cNvPicPr>
                            <a:picLocks noChangeAspect="1" noChangeArrowheads="1"/>
                            <a:extLst>
                              <a:ext uri="{84589F7E-364E-4C9E-8A38-B11213B215E9}">
                                <a14:cameraTool xmlns:a14="http://schemas.microsoft.com/office/drawing/2010/main" cellRange="$T$6:$Z$17"/>
                              </a:ext>
                            </a:extLst>
                          </pic:cNvPicPr>
                        </pic:nvPicPr>
                        <pic:blipFill>
                          <a:blip r:embed="rId27"/>
                          <a:srcRect/>
                          <a:stretch>
                            <a:fillRect/>
                          </a:stretch>
                        </pic:blipFill>
                        <pic:spPr bwMode="auto">
                          <a:xfrm>
                            <a:off x="0" y="0"/>
                            <a:ext cx="3951084" cy="2157559"/>
                          </a:xfrm>
                          <a:prstGeom prst="rect">
                            <a:avLst/>
                          </a:prstGeom>
                          <a:noFill/>
                        </pic:spPr>
                      </pic:pic>
                    </a:graphicData>
                  </a:graphic>
                </wp:inline>
              </w:drawing>
            </w:r>
          </w:p>
        </w:tc>
      </w:tr>
      <w:tr w:rsidR="00FB2F6F" w:rsidRPr="004E2E1E" w14:paraId="740E3992" w14:textId="77777777" w:rsidTr="00582CA7">
        <w:tblPrEx>
          <w:tblCellMar>
            <w:left w:w="70" w:type="dxa"/>
            <w:right w:w="70" w:type="dxa"/>
          </w:tblCellMar>
        </w:tblPrEx>
        <w:tc>
          <w:tcPr>
            <w:tcW w:w="8828" w:type="dxa"/>
          </w:tcPr>
          <w:p w14:paraId="39E7289F" w14:textId="217CAFCD" w:rsidR="00FB2F6F" w:rsidRPr="004E2E1E" w:rsidRDefault="00FB2F6F" w:rsidP="00582CA7">
            <w:pPr>
              <w:jc w:val="both"/>
              <w:rPr>
                <w:noProof/>
              </w:rPr>
            </w:pPr>
            <w:r w:rsidRPr="004E2E1E">
              <w:rPr>
                <w:noProof/>
                <w:sz w:val="18"/>
                <w:szCs w:val="18"/>
              </w:rPr>
              <w:t xml:space="preserve">      Fuente: Fondo Monetario Internacional</w:t>
            </w:r>
            <w:r w:rsidR="009C6B0A">
              <w:rPr>
                <w:noProof/>
                <w:sz w:val="18"/>
                <w:szCs w:val="18"/>
              </w:rPr>
              <w:t>.</w:t>
            </w:r>
          </w:p>
        </w:tc>
      </w:tr>
    </w:tbl>
    <w:p w14:paraId="38880952" w14:textId="24C7849E" w:rsidR="00FB2F6F" w:rsidRDefault="00FB2F6F" w:rsidP="00FB2F6F">
      <w:pPr>
        <w:jc w:val="both"/>
      </w:pPr>
    </w:p>
    <w:p w14:paraId="264B9B2E" w14:textId="77777777" w:rsidR="00FB2F6F" w:rsidRPr="005318D0" w:rsidRDefault="00FB2F6F" w:rsidP="00354A9C">
      <w:pPr>
        <w:pStyle w:val="Ttulo3"/>
        <w:numPr>
          <w:ilvl w:val="2"/>
          <w:numId w:val="48"/>
        </w:numPr>
        <w:tabs>
          <w:tab w:val="left" w:pos="1134"/>
        </w:tabs>
        <w:rPr>
          <w:rFonts w:ascii="Times New Roman" w:hAnsi="Times New Roman" w:cs="Times New Roman"/>
          <w:b/>
          <w:bCs/>
          <w:color w:val="auto"/>
          <w:lang w:val="es-MX"/>
        </w:rPr>
      </w:pPr>
      <w:bookmarkStart w:id="25" w:name="_Toc143865780"/>
      <w:r w:rsidRPr="005318D0">
        <w:rPr>
          <w:rFonts w:ascii="Times New Roman" w:hAnsi="Times New Roman" w:cs="Times New Roman"/>
          <w:b/>
          <w:bCs/>
          <w:color w:val="auto"/>
          <w:lang w:val="es-MX"/>
        </w:rPr>
        <w:t>Estados Unidos de América</w:t>
      </w:r>
      <w:bookmarkEnd w:id="25"/>
    </w:p>
    <w:p w14:paraId="1537624A" w14:textId="62F4E7C5" w:rsidR="00FB2F6F" w:rsidRDefault="00FB2F6F" w:rsidP="00FB2F6F">
      <w:pPr>
        <w:jc w:val="both"/>
      </w:pPr>
    </w:p>
    <w:p w14:paraId="2D08FBD3" w14:textId="52BEC91F" w:rsidR="00FB2F6F" w:rsidRDefault="00FB2F6F" w:rsidP="00FB2F6F">
      <w:pPr>
        <w:jc w:val="both"/>
      </w:pPr>
      <w:r>
        <w:t>Para Estados Unidos se espera un crecimiento de 1.6% en 2023, esta disminución considerable en la tasa de crecimiento se debe a que la alta inflación y el endurecimiento de las políticas monetarias limitarán el gasto de consumo de los hogares en la economía. Con una notable ralentización en la producción, la demanda laboral y los salarios disminuirán. Aunque se espera que las presiones inflacionarias de los precios de las materias prima de energía disminuyan.</w:t>
      </w:r>
    </w:p>
    <w:p w14:paraId="7C3694E2" w14:textId="77777777" w:rsidR="00FB2F6F" w:rsidRDefault="00FB2F6F" w:rsidP="00FB2F6F">
      <w:pPr>
        <w:jc w:val="both"/>
      </w:pPr>
    </w:p>
    <w:p w14:paraId="686C5A5D" w14:textId="4C013D17" w:rsidR="00FB2F6F" w:rsidRPr="00540355" w:rsidRDefault="001D3B0D" w:rsidP="00FB2F6F">
      <w:pPr>
        <w:jc w:val="both"/>
        <w:rPr>
          <w:highlight w:val="yellow"/>
        </w:rPr>
      </w:pPr>
      <w:r>
        <w:t>S</w:t>
      </w:r>
      <w:r w:rsidR="00FB2F6F">
        <w:t>e espera que la inflación se ubique en 3.0% a final del año, pero no se prevé que la inflación subyacente retorne a la meta de la Reserva Federal en el presente año. La política monetaria restrictiva será un obstáculo para el crecimiento en el corto plazo</w:t>
      </w:r>
      <w:r>
        <w:t>.  E</w:t>
      </w:r>
      <w:r w:rsidR="00FB2F6F">
        <w:t>n el presente año la Reserva Federal ha aumentado constantemente la tasa de interés</w:t>
      </w:r>
      <w:r>
        <w:t>,</w:t>
      </w:r>
      <w:r w:rsidR="00FB2F6F">
        <w:t xml:space="preserve"> ubicándola entre 5.0% a 5.25% a inicios de </w:t>
      </w:r>
      <w:r w:rsidR="00FB2F6F" w:rsidRPr="00232C80">
        <w:t xml:space="preserve">mayo 2023, niveles </w:t>
      </w:r>
      <w:r w:rsidRPr="00232C80">
        <w:t xml:space="preserve">que se consideran los </w:t>
      </w:r>
      <w:r w:rsidR="00FB2F6F" w:rsidRPr="00232C80">
        <w:t xml:space="preserve">más altos observados en los últimos 16 años. Además, </w:t>
      </w:r>
      <w:r w:rsidR="00232C80">
        <w:t>dado</w:t>
      </w:r>
      <w:r w:rsidR="00FB2F6F" w:rsidRPr="00232C80">
        <w:t xml:space="preserve"> que </w:t>
      </w:r>
      <w:r w:rsidR="00232C80">
        <w:t xml:space="preserve">el </w:t>
      </w:r>
      <w:r w:rsidR="00FB2F6F" w:rsidRPr="00232C80">
        <w:t xml:space="preserve">gobierno </w:t>
      </w:r>
      <w:r w:rsidR="00232C80">
        <w:t>disminuyó</w:t>
      </w:r>
      <w:r w:rsidR="00FB2F6F" w:rsidRPr="00232C80">
        <w:t xml:space="preserve"> </w:t>
      </w:r>
      <w:r w:rsidR="00232C80">
        <w:t xml:space="preserve">el gasto </w:t>
      </w:r>
      <w:r w:rsidR="00FB2F6F" w:rsidRPr="00232C80">
        <w:t xml:space="preserve">por </w:t>
      </w:r>
      <w:r w:rsidR="00FB56D6">
        <w:t>COVID</w:t>
      </w:r>
      <w:r w:rsidR="00FB2F6F" w:rsidRPr="00232C80">
        <w:t>-19</w:t>
      </w:r>
      <w:r w:rsidR="00232C80">
        <w:t xml:space="preserve"> </w:t>
      </w:r>
      <w:r w:rsidR="00FB2F6F" w:rsidRPr="00232C80">
        <w:t>y</w:t>
      </w:r>
      <w:r w:rsidR="00540355" w:rsidRPr="00232C80">
        <w:t xml:space="preserve"> suspendió el apoyo por el aumento de los precios de energía</w:t>
      </w:r>
      <w:r w:rsidR="00232C80">
        <w:t>,</w:t>
      </w:r>
      <w:r w:rsidR="00FB2F6F" w:rsidRPr="00232C80">
        <w:t xml:space="preserve"> </w:t>
      </w:r>
      <w:r w:rsidR="00540355" w:rsidRPr="00232C80">
        <w:t>e</w:t>
      </w:r>
      <w:r w:rsidR="00FB2F6F" w:rsidRPr="00232C80">
        <w:t xml:space="preserve">l FMI prevé que </w:t>
      </w:r>
      <w:r w:rsidR="00232C80" w:rsidRPr="00232C80">
        <w:t>su</w:t>
      </w:r>
      <w:r w:rsidR="00FB2F6F" w:rsidRPr="00232C80">
        <w:t xml:space="preserve"> déficit se ubique en 6.8% del PIB y que la deuda aumente a 122.2% del PIB</w:t>
      </w:r>
      <w:r w:rsidR="00FB2F6F">
        <w:t xml:space="preserve"> para 2023.</w:t>
      </w:r>
    </w:p>
    <w:p w14:paraId="2B2C1EF3" w14:textId="56AC0D45" w:rsidR="00FB2F6F" w:rsidRDefault="00FB2F6F" w:rsidP="00FB2F6F">
      <w:pPr>
        <w:jc w:val="both"/>
      </w:pPr>
    </w:p>
    <w:p w14:paraId="2185E45D" w14:textId="11F1DFB8" w:rsidR="00FB2F6F" w:rsidRPr="00FB2F6F" w:rsidRDefault="00FB2F6F" w:rsidP="00354A9C">
      <w:pPr>
        <w:pStyle w:val="Ttulo3"/>
        <w:numPr>
          <w:ilvl w:val="2"/>
          <w:numId w:val="48"/>
        </w:numPr>
        <w:tabs>
          <w:tab w:val="left" w:pos="1134"/>
        </w:tabs>
        <w:rPr>
          <w:rFonts w:ascii="Times New Roman" w:hAnsi="Times New Roman" w:cs="Times New Roman"/>
          <w:b/>
          <w:bCs/>
          <w:color w:val="auto"/>
        </w:rPr>
      </w:pPr>
      <w:bookmarkStart w:id="26" w:name="_Toc143865781"/>
      <w:r w:rsidRPr="005318D0">
        <w:rPr>
          <w:rFonts w:ascii="Times New Roman" w:hAnsi="Times New Roman" w:cs="Times New Roman"/>
          <w:b/>
          <w:bCs/>
          <w:color w:val="auto"/>
          <w:lang w:val="es-MX"/>
        </w:rPr>
        <w:t>Centroamérica y República Dominicana</w:t>
      </w:r>
      <w:bookmarkEnd w:id="26"/>
    </w:p>
    <w:p w14:paraId="3166E01F" w14:textId="587C3E22" w:rsidR="00FB2F6F" w:rsidRDefault="00FB2F6F" w:rsidP="00FB2F6F">
      <w:pPr>
        <w:jc w:val="both"/>
      </w:pPr>
    </w:p>
    <w:p w14:paraId="18F9CA75" w14:textId="76CE1A04" w:rsidR="00FB2F6F" w:rsidRDefault="00FB2F6F" w:rsidP="00FB2F6F">
      <w:pPr>
        <w:jc w:val="both"/>
      </w:pPr>
      <w:r>
        <w:t>En Centroamérica, según el FMI, el crecimiento se mantendrá en 3.5%, debido a la resiliencia de la demanda agregada</w:t>
      </w:r>
      <w:r w:rsidR="001D3B0D">
        <w:t>,</w:t>
      </w:r>
      <w:r>
        <w:t xml:space="preserve"> principalmente que ha sido impulsada por las remesas familiares</w:t>
      </w:r>
      <w:r w:rsidR="001D3B0D">
        <w:t>.</w:t>
      </w:r>
      <w:r>
        <w:t xml:space="preserve"> </w:t>
      </w:r>
      <w:r w:rsidR="001D3B0D">
        <w:t>N</w:t>
      </w:r>
      <w:r>
        <w:t>o obstante</w:t>
      </w:r>
      <w:r w:rsidR="006D7CD8">
        <w:t xml:space="preserve"> lo anterior</w:t>
      </w:r>
      <w:r>
        <w:t>, estas podrían disminuir</w:t>
      </w:r>
      <w:r w:rsidR="006D7CD8">
        <w:t>,</w:t>
      </w:r>
      <w:r>
        <w:t xml:space="preserve"> de materializarse el riesgo de una recesión en Estados Unidos. A pesar de que </w:t>
      </w:r>
      <w:r w:rsidR="001D3B0D">
        <w:t xml:space="preserve">la </w:t>
      </w:r>
      <w:r>
        <w:t xml:space="preserve">economía </w:t>
      </w:r>
      <w:r w:rsidR="001D3B0D">
        <w:t xml:space="preserve">de Costa Rica </w:t>
      </w:r>
      <w:r>
        <w:t xml:space="preserve">es de las más robustas en Centroamérica, </w:t>
      </w:r>
      <w:r w:rsidR="001D3B0D">
        <w:t xml:space="preserve">ésta </w:t>
      </w:r>
      <w:r>
        <w:t>tendrá una desaceleración de 2.7% para 2023, comparada al 4.3% del año pasado. Honduras y Nicaragua tendrán crecimiento de 3.7% y 3.0% respectivamente, mientras que República Dominicana tendrá un crecimiento de 4.2%.</w:t>
      </w:r>
    </w:p>
    <w:p w14:paraId="4ACA8236" w14:textId="77777777" w:rsidR="00BD33CC" w:rsidRDefault="00BD33CC" w:rsidP="00FB2F6F">
      <w:pPr>
        <w:jc w:val="both"/>
      </w:pPr>
    </w:p>
    <w:p w14:paraId="31687139" w14:textId="529CC19D" w:rsidR="00FB2F6F" w:rsidRDefault="00FB2F6F" w:rsidP="00FB2F6F">
      <w:pPr>
        <w:jc w:val="both"/>
      </w:pPr>
      <w:r w:rsidRPr="003A4EE0">
        <w:t>El saldo de cuenta corriente y la inflación se proyecta en -3.2% y 4.8%. Honduras para fin del período tendrá la inflación más alta de la región con 6.4% y El Salvador</w:t>
      </w:r>
      <w:r>
        <w:t xml:space="preserve"> la menor inflación con 2.5%. Asimismo, se espera que Guatemala sea el único país de la región que presente una cuenta corriente positiva de 1.1% del PIB en el presente año.</w:t>
      </w:r>
    </w:p>
    <w:p w14:paraId="2ED5507C" w14:textId="487D79B7" w:rsidR="00FB2F6F" w:rsidRDefault="00FB2F6F" w:rsidP="00FB2F6F">
      <w:pPr>
        <w:jc w:val="both"/>
      </w:pPr>
    </w:p>
    <w:p w14:paraId="10B34510" w14:textId="22487A08" w:rsidR="00FB2F6F" w:rsidRPr="005318D0" w:rsidRDefault="00FB2F6F" w:rsidP="00354A9C">
      <w:pPr>
        <w:pStyle w:val="Ttulo3"/>
        <w:numPr>
          <w:ilvl w:val="2"/>
          <w:numId w:val="48"/>
        </w:numPr>
        <w:tabs>
          <w:tab w:val="left" w:pos="1134"/>
        </w:tabs>
        <w:rPr>
          <w:rFonts w:ascii="Times New Roman" w:hAnsi="Times New Roman" w:cs="Times New Roman"/>
          <w:b/>
          <w:bCs/>
          <w:color w:val="auto"/>
          <w:lang w:val="es-MX"/>
        </w:rPr>
      </w:pPr>
      <w:bookmarkStart w:id="27" w:name="_Toc143865782"/>
      <w:r w:rsidRPr="005318D0">
        <w:rPr>
          <w:rFonts w:ascii="Times New Roman" w:hAnsi="Times New Roman" w:cs="Times New Roman"/>
          <w:b/>
          <w:bCs/>
          <w:color w:val="auto"/>
          <w:lang w:val="es-MX"/>
        </w:rPr>
        <w:t>México</w:t>
      </w:r>
      <w:bookmarkEnd w:id="27"/>
    </w:p>
    <w:p w14:paraId="2149700C" w14:textId="136D967C" w:rsidR="00FB2F6F" w:rsidRDefault="00FB2F6F" w:rsidP="00FB2F6F">
      <w:pPr>
        <w:jc w:val="both"/>
      </w:pPr>
    </w:p>
    <w:p w14:paraId="6E32E0F8" w14:textId="26A836CE" w:rsidR="00FB2F6F" w:rsidRDefault="00FB2F6F" w:rsidP="00FB2F6F">
      <w:pPr>
        <w:jc w:val="both"/>
      </w:pPr>
      <w:r w:rsidRPr="00FB2F6F">
        <w:t>Se proyecta que esta economía crezca 1.7% en 2023 después de crecer un 3.1% en 2022. Las exportaciones seguirán beneficiándose de la fuerte recuperación de Estados Unidos. Las exportaciones se seguirán beneficiando de la continua integración de las cadenas de suministr</w:t>
      </w:r>
      <w:r w:rsidR="00170F3F">
        <w:t>o</w:t>
      </w:r>
      <w:r w:rsidRPr="00FB2F6F">
        <w:t>, pero su dinamismo puede ser mitigado por la desaceleración de Estados Unidos.  Se espera que la inflación disminuya y se ubique en 3.9%, pero siguen siendo inciertas y sujetas a riesgos de endurecimiento de la política monetaria y a la volatilidad de los precios de las materias prima.</w:t>
      </w:r>
    </w:p>
    <w:p w14:paraId="477ABF03" w14:textId="4AFEB9E5" w:rsidR="00FB2F6F" w:rsidRDefault="00FB2F6F" w:rsidP="00FB2F6F">
      <w:pPr>
        <w:jc w:val="both"/>
      </w:pPr>
    </w:p>
    <w:p w14:paraId="292E5DEF" w14:textId="45555C55" w:rsidR="00FB2F6F" w:rsidRPr="005318D0" w:rsidRDefault="00FB2F6F" w:rsidP="00354A9C">
      <w:pPr>
        <w:pStyle w:val="Ttulo3"/>
        <w:numPr>
          <w:ilvl w:val="2"/>
          <w:numId w:val="48"/>
        </w:numPr>
        <w:tabs>
          <w:tab w:val="left" w:pos="1134"/>
        </w:tabs>
        <w:rPr>
          <w:rFonts w:ascii="Times New Roman" w:hAnsi="Times New Roman" w:cs="Times New Roman"/>
          <w:b/>
          <w:bCs/>
          <w:color w:val="auto"/>
          <w:lang w:val="es-MX"/>
        </w:rPr>
      </w:pPr>
      <w:bookmarkStart w:id="28" w:name="_Toc143865783"/>
      <w:r w:rsidRPr="005318D0">
        <w:rPr>
          <w:rFonts w:ascii="Times New Roman" w:hAnsi="Times New Roman" w:cs="Times New Roman"/>
          <w:b/>
          <w:bCs/>
          <w:color w:val="auto"/>
          <w:lang w:val="es-MX"/>
        </w:rPr>
        <w:t>Zona del euro</w:t>
      </w:r>
      <w:bookmarkEnd w:id="28"/>
    </w:p>
    <w:p w14:paraId="26684638" w14:textId="46B76479" w:rsidR="00FB2F6F" w:rsidRDefault="00FB2F6F" w:rsidP="00FB2F6F">
      <w:pPr>
        <w:jc w:val="both"/>
      </w:pPr>
    </w:p>
    <w:p w14:paraId="0E54A869" w14:textId="28EC1FEF" w:rsidR="00FB2F6F" w:rsidRDefault="00FB2F6F" w:rsidP="00FB2F6F">
      <w:pPr>
        <w:jc w:val="both"/>
      </w:pPr>
      <w:r>
        <w:t xml:space="preserve">Después de la ralentización </w:t>
      </w:r>
      <w:r w:rsidR="00170F3F">
        <w:t>d</w:t>
      </w:r>
      <w:r>
        <w:t xml:space="preserve">el crecimiento </w:t>
      </w:r>
      <w:r w:rsidR="00170F3F">
        <w:t xml:space="preserve">en </w:t>
      </w:r>
      <w:r>
        <w:t>2022</w:t>
      </w:r>
      <w:r w:rsidR="00170F3F">
        <w:t>,</w:t>
      </w:r>
      <w:r>
        <w:t xml:space="preserve"> se espera que para el 2023 el crecimiento económico se encuentre en 0.7% dado que, al ser importador neto de energía, la zona del euro se ve directamente afectad</w:t>
      </w:r>
      <w:r w:rsidR="00170F3F">
        <w:t>a</w:t>
      </w:r>
      <w:r>
        <w:t xml:space="preserve"> por el conflicto Rusia- Ucrania y queda sujeta al aumento de los precios mundiales, afectado negativamente por los términos de intercambio. </w:t>
      </w:r>
      <w:r w:rsidR="00170F3F">
        <w:t>L</w:t>
      </w:r>
      <w:r>
        <w:t>as interrupciones en la cadena de suministros también han afectado las industrias de automóviles y de alimentos.</w:t>
      </w:r>
    </w:p>
    <w:p w14:paraId="17E846B9" w14:textId="77777777" w:rsidR="00FB2F6F" w:rsidRDefault="00FB2F6F" w:rsidP="00FB2F6F">
      <w:pPr>
        <w:jc w:val="both"/>
      </w:pPr>
    </w:p>
    <w:p w14:paraId="04965319" w14:textId="47B102F3" w:rsidR="00FB2F6F" w:rsidRDefault="00170F3F" w:rsidP="00FB2F6F">
      <w:pPr>
        <w:jc w:val="both"/>
      </w:pPr>
      <w:r>
        <w:t>E</w:t>
      </w:r>
      <w:r w:rsidR="00FB2F6F">
        <w:t>l Banco Central Europeo ha aumentado la tasa a 3.75% en mayo del presente año, y se espera que se mantenga esta política monetaria restrictiva y que afecte</w:t>
      </w:r>
      <w:r>
        <w:t>,</w:t>
      </w:r>
      <w:r w:rsidR="00FB2F6F">
        <w:t xml:space="preserve"> conjuntamente con la disminución del ingreso real</w:t>
      </w:r>
      <w:r>
        <w:t>,</w:t>
      </w:r>
      <w:r w:rsidR="00FB2F6F">
        <w:t xml:space="preserve"> a la demanda agregada. Se espera que la inflación de la zona del euro se encuentre en 3.8% a final del año, y que el déficit fiscal y l</w:t>
      </w:r>
      <w:r>
        <w:t>a</w:t>
      </w:r>
      <w:r w:rsidR="00FB2F6F">
        <w:t xml:space="preserve"> deuda representen como porcentaje del PIB </w:t>
      </w:r>
      <w:r>
        <w:t xml:space="preserve">el </w:t>
      </w:r>
      <w:r w:rsidR="00FB2F6F">
        <w:t>3.7% y 88.9%</w:t>
      </w:r>
      <w:r>
        <w:t>,</w:t>
      </w:r>
      <w:r w:rsidR="00FB2F6F">
        <w:t xml:space="preserve"> respectivamente.</w:t>
      </w:r>
    </w:p>
    <w:p w14:paraId="7735775A" w14:textId="5930A53D" w:rsidR="00FB2F6F" w:rsidRDefault="00FB2F6F" w:rsidP="00FB2F6F">
      <w:pPr>
        <w:jc w:val="both"/>
      </w:pPr>
    </w:p>
    <w:p w14:paraId="3A400494" w14:textId="76370BBD" w:rsidR="00FB2F6F" w:rsidRPr="005318D0" w:rsidRDefault="0048017B" w:rsidP="00354A9C">
      <w:pPr>
        <w:pStyle w:val="Ttulo3"/>
        <w:numPr>
          <w:ilvl w:val="1"/>
          <w:numId w:val="48"/>
        </w:numPr>
        <w:tabs>
          <w:tab w:val="left" w:pos="1134"/>
        </w:tabs>
        <w:rPr>
          <w:rFonts w:ascii="Times New Roman" w:hAnsi="Times New Roman" w:cs="Times New Roman"/>
          <w:b/>
          <w:bCs/>
          <w:color w:val="auto"/>
          <w:lang w:val="es-MX"/>
        </w:rPr>
      </w:pPr>
      <w:bookmarkStart w:id="29" w:name="_Toc143865784"/>
      <w:r w:rsidRPr="005318D0">
        <w:rPr>
          <w:rFonts w:ascii="Times New Roman" w:hAnsi="Times New Roman" w:cs="Times New Roman"/>
          <w:b/>
          <w:bCs/>
          <w:color w:val="auto"/>
          <w:lang w:val="es-MX"/>
        </w:rPr>
        <w:t>Comportamiento del precio del petróleo y de materias primas</w:t>
      </w:r>
      <w:bookmarkEnd w:id="29"/>
    </w:p>
    <w:p w14:paraId="25B15463" w14:textId="1EFF2100" w:rsidR="00FB2F6F" w:rsidRDefault="00FB2F6F" w:rsidP="00FB2F6F">
      <w:pPr>
        <w:jc w:val="both"/>
      </w:pPr>
    </w:p>
    <w:p w14:paraId="42C46B76" w14:textId="77777777" w:rsidR="00962D40" w:rsidRPr="00962D40" w:rsidRDefault="00962D40" w:rsidP="00962D40">
      <w:pPr>
        <w:jc w:val="both"/>
      </w:pPr>
      <w:r w:rsidRPr="00962D40">
        <w:t>La fuerte desaceleración esperada en el crecimiento mundial en el 2023, así como la preocupación acerca de una probable recesión, ha tenido un significativo impacto sobre los precios de las materias primas. No obstante, dada las depreciaciones de las monedas, han impulsado los precios en sus respectivas economías, se podría profundizar la crisis en los alimentos y en la energía que se ha experimentado en varios países. Conforme la desaceleración económica se intensifique los precios de las materias primas disminuirán, no obstante, se mantendrán arriba del promedio de los últimos años.</w:t>
      </w:r>
    </w:p>
    <w:p w14:paraId="045B568D" w14:textId="77777777" w:rsidR="00962D40" w:rsidRPr="00962D40" w:rsidRDefault="00962D40" w:rsidP="00962D40">
      <w:pPr>
        <w:jc w:val="both"/>
      </w:pPr>
    </w:p>
    <w:p w14:paraId="3F141A0B" w14:textId="77777777" w:rsidR="00962D40" w:rsidRPr="00962D40" w:rsidRDefault="00962D40" w:rsidP="00962D40">
      <w:pPr>
        <w:jc w:val="both"/>
      </w:pPr>
      <w:r w:rsidRPr="00962D40">
        <w:t>Los precios de las materias primas de energía se espera que disminuyan un 11.2% en 2023, después de un incremento de 60.0% en 2022. En particular, Bloomberg pronóstica que el precio del crudo de petróleo se encuentre en USD$82.8 en 2023 y que en 2024 en promedio este alrededor de USD$83.3.  Este pronóstico va en línea con el deterioro de las perspectivas macroeconómicas, que compensan un cambio en el consumo de gas natural con el consumo de petróleo y una menor producción de la OPEP+. No obstante, estos pronósticos están sujetos a una alta incertidumbre derivada del desempeño de la economía global, cambios en políticas para contener el COVID-19 y las tensiones geopolíticas.</w:t>
      </w:r>
    </w:p>
    <w:p w14:paraId="0137E208" w14:textId="77777777" w:rsidR="00962D40" w:rsidRPr="00962D40" w:rsidRDefault="00962D40" w:rsidP="00962D40">
      <w:pPr>
        <w:jc w:val="both"/>
      </w:pPr>
    </w:p>
    <w:p w14:paraId="57E6EBB3" w14:textId="77777777" w:rsidR="00962D40" w:rsidRPr="00962D40" w:rsidRDefault="00962D40" w:rsidP="00962D40">
      <w:pPr>
        <w:jc w:val="both"/>
      </w:pPr>
      <w:r w:rsidRPr="00962D40">
        <w:t>Por su parte, el índice de precios de materias primas de agricultura se espera que disminuya 7.2% en 2023, derivado también del deterioro global. A su vez se proyecta un declive en los inventarios de las materias primas de alimentos, debido a una disminución de la producción mundial de maíz, trigo y arroz de esta temporada, según el Departamento de Agricultura de E.E.U.U.  En lo que respecta a metales y minerales, el Banco Mundial proyecta una disminución del 8.4% debido al debilitamiento industrial global después de la pandemia y que China, el país con mayor consumo de estos metales, continúa con restricciones por COVID-19 y por el estrés en el sector inmobiliario. Por último, para los metales preciosos se espera un aumento del 5.5% para 2023 por el aumento de las tasas de interés y la posibilidad de una posible recesión.</w:t>
      </w:r>
    </w:p>
    <w:p w14:paraId="50ED24F8" w14:textId="77777777" w:rsidR="00962D40" w:rsidRPr="00962D40" w:rsidRDefault="00962D40" w:rsidP="00962D40">
      <w:pPr>
        <w:jc w:val="both"/>
      </w:pPr>
    </w:p>
    <w:tbl>
      <w:tblPr>
        <w:tblStyle w:val="Tablaconcuadrcul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2"/>
        <w:gridCol w:w="4648"/>
      </w:tblGrid>
      <w:tr w:rsidR="00962D40" w:rsidRPr="00962D40" w14:paraId="05002423" w14:textId="77777777" w:rsidTr="00F75999">
        <w:tc>
          <w:tcPr>
            <w:tcW w:w="3979" w:type="dxa"/>
          </w:tcPr>
          <w:p w14:paraId="34B01576" w14:textId="7645DB7E" w:rsidR="00962D40" w:rsidRPr="00962D40" w:rsidRDefault="00962D40" w:rsidP="00962D40">
            <w:pPr>
              <w:spacing w:after="200"/>
              <w:jc w:val="center"/>
              <w:rPr>
                <w:b/>
                <w:bCs/>
                <w:color w:val="44546A" w:themeColor="text2"/>
                <w:lang w:val="es-GT"/>
              </w:rPr>
            </w:pPr>
            <w:bookmarkStart w:id="30" w:name="_Toc143870677"/>
            <w:r w:rsidRPr="00962D40">
              <w:rPr>
                <w:b/>
                <w:bCs/>
                <w:lang w:val="es-GT"/>
              </w:rPr>
              <w:t xml:space="preserve">Gráfico </w:t>
            </w:r>
            <w:r w:rsidRPr="00962D40">
              <w:rPr>
                <w:b/>
                <w:bCs/>
              </w:rPr>
              <w:fldChar w:fldCharType="begin"/>
            </w:r>
            <w:r w:rsidRPr="00962D40">
              <w:rPr>
                <w:b/>
                <w:bCs/>
                <w:lang w:val="es-GT"/>
              </w:rPr>
              <w:instrText xml:space="preserve"> SEQ Gráfico \* ARABIC </w:instrText>
            </w:r>
            <w:r w:rsidRPr="00962D40">
              <w:rPr>
                <w:b/>
                <w:bCs/>
              </w:rPr>
              <w:fldChar w:fldCharType="separate"/>
            </w:r>
            <w:r w:rsidR="006622B2">
              <w:rPr>
                <w:b/>
                <w:bCs/>
                <w:noProof/>
                <w:lang w:val="es-GT"/>
              </w:rPr>
              <w:t>10</w:t>
            </w:r>
            <w:r w:rsidRPr="00962D40">
              <w:rPr>
                <w:b/>
                <w:bCs/>
              </w:rPr>
              <w:fldChar w:fldCharType="end"/>
            </w:r>
            <w:r w:rsidRPr="00962D40">
              <w:rPr>
                <w:b/>
                <w:bCs/>
                <w:lang w:val="es-GT"/>
              </w:rPr>
              <w:t xml:space="preserve">.  </w:t>
            </w:r>
            <w:bookmarkStart w:id="31" w:name="_Toc125733220"/>
            <w:r w:rsidRPr="00962D40">
              <w:rPr>
                <w:rFonts w:eastAsia="AGaramondPro-Regular"/>
                <w:b/>
                <w:bCs/>
                <w:lang w:val="es-GT"/>
              </w:rPr>
              <w:t>Pronóstico del precio del barril de crudo de petróleo WTI (USD$).</w:t>
            </w:r>
            <w:bookmarkEnd w:id="30"/>
            <w:bookmarkEnd w:id="31"/>
          </w:p>
        </w:tc>
        <w:tc>
          <w:tcPr>
            <w:tcW w:w="4751" w:type="dxa"/>
          </w:tcPr>
          <w:p w14:paraId="623421C3" w14:textId="5496BCC4" w:rsidR="00962D40" w:rsidRPr="00962D40" w:rsidRDefault="00962D40" w:rsidP="00962D40">
            <w:pPr>
              <w:keepNext/>
              <w:jc w:val="center"/>
              <w:rPr>
                <w:b/>
                <w:bCs/>
                <w:lang w:val="es-GT"/>
              </w:rPr>
            </w:pPr>
            <w:bookmarkStart w:id="32" w:name="_Toc143870678"/>
            <w:r w:rsidRPr="00962D40">
              <w:rPr>
                <w:b/>
                <w:bCs/>
                <w:lang w:val="es-GT"/>
              </w:rPr>
              <w:t xml:space="preserve">Gráfico </w:t>
            </w:r>
            <w:r w:rsidRPr="00962D40">
              <w:rPr>
                <w:b/>
                <w:bCs/>
              </w:rPr>
              <w:fldChar w:fldCharType="begin"/>
            </w:r>
            <w:r w:rsidRPr="00962D40">
              <w:rPr>
                <w:b/>
                <w:bCs/>
                <w:lang w:val="es-GT"/>
              </w:rPr>
              <w:instrText xml:space="preserve"> SEQ Gráfico \* ARABIC </w:instrText>
            </w:r>
            <w:r w:rsidRPr="00962D40">
              <w:rPr>
                <w:b/>
                <w:bCs/>
              </w:rPr>
              <w:fldChar w:fldCharType="separate"/>
            </w:r>
            <w:r w:rsidR="006622B2">
              <w:rPr>
                <w:b/>
                <w:bCs/>
                <w:noProof/>
                <w:lang w:val="es-GT"/>
              </w:rPr>
              <w:t>11</w:t>
            </w:r>
            <w:r w:rsidRPr="00962D40">
              <w:rPr>
                <w:b/>
                <w:bCs/>
              </w:rPr>
              <w:fldChar w:fldCharType="end"/>
            </w:r>
            <w:r w:rsidRPr="00962D40">
              <w:rPr>
                <w:b/>
                <w:bCs/>
                <w:lang w:val="es-GT"/>
              </w:rPr>
              <w:t xml:space="preserve">.  </w:t>
            </w:r>
            <w:bookmarkStart w:id="33" w:name="_Toc125733221"/>
            <w:r w:rsidRPr="00962D40">
              <w:rPr>
                <w:rFonts w:eastAsia="AGaramondPro-Regular"/>
                <w:b/>
                <w:bCs/>
                <w:lang w:val="es-GT"/>
              </w:rPr>
              <w:t>Pronóstico de la variación interanual de los índices de precios del Banco Mundial (%)</w:t>
            </w:r>
            <w:bookmarkEnd w:id="32"/>
            <w:bookmarkEnd w:id="33"/>
          </w:p>
        </w:tc>
      </w:tr>
      <w:tr w:rsidR="00962D40" w:rsidRPr="00962D40" w14:paraId="14390182" w14:textId="77777777" w:rsidTr="00F75999">
        <w:tblPrEx>
          <w:tblCellMar>
            <w:left w:w="70" w:type="dxa"/>
            <w:right w:w="70" w:type="dxa"/>
          </w:tblCellMar>
        </w:tblPrEx>
        <w:tc>
          <w:tcPr>
            <w:tcW w:w="3979" w:type="dxa"/>
          </w:tcPr>
          <w:p w14:paraId="71771493" w14:textId="05617BD0" w:rsidR="00962D40" w:rsidRPr="00962D40" w:rsidRDefault="00962D40" w:rsidP="00962D40">
            <w:pPr>
              <w:spacing w:line="276" w:lineRule="auto"/>
              <w:contextualSpacing/>
              <w:jc w:val="center"/>
              <w:rPr>
                <w:rFonts w:eastAsia="AGaramondPro-Regular"/>
              </w:rPr>
            </w:pPr>
            <w:r w:rsidRPr="00962D40">
              <w:rPr>
                <w:noProof/>
              </w:rPr>
              <w:drawing>
                <wp:inline distT="0" distB="0" distL="0" distR="0" wp14:anchorId="470798B8" wp14:editId="53B5ED67">
                  <wp:extent cx="2517775" cy="1801495"/>
                  <wp:effectExtent l="0" t="0" r="0" b="8255"/>
                  <wp:docPr id="202" name="Gráfico 20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c>
          <w:tcPr>
            <w:tcW w:w="4751" w:type="dxa"/>
          </w:tcPr>
          <w:p w14:paraId="005D3EA5" w14:textId="72B8DAFE" w:rsidR="00962D40" w:rsidRPr="00962D40" w:rsidRDefault="00962D40" w:rsidP="00962D40">
            <w:pPr>
              <w:spacing w:line="276" w:lineRule="auto"/>
              <w:contextualSpacing/>
              <w:jc w:val="center"/>
              <w:rPr>
                <w:rFonts w:eastAsia="AGaramondPro-Regular"/>
              </w:rPr>
            </w:pPr>
            <w:r w:rsidRPr="00962D40">
              <w:rPr>
                <w:noProof/>
              </w:rPr>
              <w:drawing>
                <wp:inline distT="0" distB="0" distL="0" distR="0" wp14:anchorId="097AB027" wp14:editId="4CE11A40">
                  <wp:extent cx="2879725" cy="1801495"/>
                  <wp:effectExtent l="0" t="0" r="0" b="8255"/>
                  <wp:docPr id="201" name="Gráfico 20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r w:rsidR="00962D40" w:rsidRPr="00962D40" w14:paraId="4CD8AA08" w14:textId="77777777" w:rsidTr="00F75999">
        <w:tc>
          <w:tcPr>
            <w:tcW w:w="8730" w:type="dxa"/>
            <w:gridSpan w:val="2"/>
          </w:tcPr>
          <w:p w14:paraId="69FB893B" w14:textId="77777777" w:rsidR="00962D40" w:rsidRPr="00962D40" w:rsidRDefault="00962D40" w:rsidP="00962D40">
            <w:pPr>
              <w:spacing w:line="276" w:lineRule="auto"/>
              <w:contextualSpacing/>
              <w:jc w:val="both"/>
              <w:rPr>
                <w:rFonts w:eastAsia="AGaramondPro-Regular"/>
                <w:sz w:val="18"/>
                <w:szCs w:val="18"/>
                <w:lang w:val="es-GT"/>
              </w:rPr>
            </w:pPr>
            <w:r w:rsidRPr="00962D40">
              <w:rPr>
                <w:rFonts w:eastAsia="AGaramondPro-Regular"/>
                <w:sz w:val="20"/>
                <w:szCs w:val="20"/>
                <w:lang w:val="es-GT"/>
              </w:rPr>
              <w:t xml:space="preserve"> </w:t>
            </w:r>
            <w:r w:rsidRPr="00962D40">
              <w:rPr>
                <w:rFonts w:eastAsia="AGaramondPro-Regular"/>
                <w:sz w:val="18"/>
                <w:szCs w:val="18"/>
                <w:lang w:val="es-GT"/>
              </w:rPr>
              <w:t>Fuente: Banco Mundial</w:t>
            </w:r>
          </w:p>
          <w:p w14:paraId="71CC7CB2" w14:textId="77777777" w:rsidR="00962D40" w:rsidRPr="00962D40" w:rsidRDefault="00962D40" w:rsidP="00962D40">
            <w:pPr>
              <w:spacing w:line="276" w:lineRule="auto"/>
              <w:contextualSpacing/>
              <w:jc w:val="both"/>
              <w:rPr>
                <w:rFonts w:eastAsia="AGaramondPro-Regular"/>
                <w:sz w:val="20"/>
                <w:szCs w:val="20"/>
                <w:lang w:val="es-GT"/>
              </w:rPr>
            </w:pPr>
            <w:r w:rsidRPr="00962D40">
              <w:rPr>
                <w:rFonts w:eastAsia="AGaramondPro-Regular"/>
                <w:sz w:val="18"/>
                <w:szCs w:val="18"/>
                <w:lang w:val="es-GT"/>
              </w:rPr>
              <w:t xml:space="preserve"> Nota: las perspectivas de las materias prima corresponden a abril 2023 y de Bloomberg el precio del WTI.</w:t>
            </w:r>
          </w:p>
        </w:tc>
      </w:tr>
    </w:tbl>
    <w:p w14:paraId="0F3332F8" w14:textId="3A371DC0" w:rsidR="00E85FB3" w:rsidRDefault="00E85FB3" w:rsidP="00E85FB3">
      <w:pPr>
        <w:jc w:val="both"/>
      </w:pPr>
    </w:p>
    <w:p w14:paraId="6F7D176E" w14:textId="576D292E" w:rsidR="00E85FB3" w:rsidRPr="005318D0" w:rsidRDefault="00E85FB3" w:rsidP="00354A9C">
      <w:pPr>
        <w:pStyle w:val="Ttulo2"/>
        <w:numPr>
          <w:ilvl w:val="0"/>
          <w:numId w:val="48"/>
        </w:numPr>
        <w:ind w:left="426" w:hanging="283"/>
        <w:rPr>
          <w:rFonts w:ascii="Times New Roman" w:hAnsi="Times New Roman" w:cs="Times New Roman"/>
          <w:b/>
          <w:bCs/>
          <w:color w:val="auto"/>
          <w:sz w:val="24"/>
          <w:szCs w:val="24"/>
          <w:lang w:val="es-MX"/>
        </w:rPr>
      </w:pPr>
      <w:bookmarkStart w:id="34" w:name="_Toc143865785"/>
      <w:r w:rsidRPr="005318D0">
        <w:rPr>
          <w:rFonts w:ascii="Times New Roman" w:hAnsi="Times New Roman" w:cs="Times New Roman"/>
          <w:b/>
          <w:bCs/>
          <w:color w:val="auto"/>
          <w:sz w:val="24"/>
          <w:szCs w:val="24"/>
          <w:lang w:val="es-MX"/>
        </w:rPr>
        <w:t>Contexto económico nacional 2022</w:t>
      </w:r>
      <w:bookmarkEnd w:id="34"/>
    </w:p>
    <w:p w14:paraId="559B8745" w14:textId="4AA136A9" w:rsidR="00E85FB3" w:rsidRDefault="00E85FB3" w:rsidP="00E85FB3">
      <w:pPr>
        <w:jc w:val="both"/>
      </w:pPr>
    </w:p>
    <w:p w14:paraId="25BACE02" w14:textId="4A5FD662" w:rsidR="00E85FB3" w:rsidRPr="005318D0" w:rsidRDefault="00E85FB3" w:rsidP="00354A9C">
      <w:pPr>
        <w:pStyle w:val="Ttulo3"/>
        <w:numPr>
          <w:ilvl w:val="1"/>
          <w:numId w:val="48"/>
        </w:numPr>
        <w:tabs>
          <w:tab w:val="left" w:pos="1134"/>
        </w:tabs>
        <w:rPr>
          <w:rFonts w:ascii="Times New Roman" w:hAnsi="Times New Roman" w:cs="Times New Roman"/>
          <w:b/>
          <w:bCs/>
          <w:color w:val="auto"/>
          <w:lang w:val="es-MX"/>
        </w:rPr>
      </w:pPr>
      <w:bookmarkStart w:id="35" w:name="_Toc143865786"/>
      <w:r w:rsidRPr="005318D0">
        <w:rPr>
          <w:rFonts w:ascii="Times New Roman" w:hAnsi="Times New Roman" w:cs="Times New Roman"/>
          <w:b/>
          <w:bCs/>
          <w:color w:val="auto"/>
          <w:lang w:val="es-MX"/>
        </w:rPr>
        <w:t>Sector real</w:t>
      </w:r>
      <w:bookmarkEnd w:id="35"/>
    </w:p>
    <w:p w14:paraId="1B7AB8F1" w14:textId="1B4933CE" w:rsidR="00E85FB3" w:rsidRDefault="00E85FB3" w:rsidP="00E85FB3">
      <w:pPr>
        <w:jc w:val="both"/>
      </w:pPr>
    </w:p>
    <w:p w14:paraId="64C5321B" w14:textId="6CDD28A2" w:rsidR="00E85FB3" w:rsidRDefault="00E85FB3" w:rsidP="00E85FB3">
      <w:pPr>
        <w:jc w:val="both"/>
      </w:pPr>
      <w:r w:rsidRPr="00E85FB3">
        <w:t>La actividad económica ha mostrado una continua resiliencia en los últimos años, esto debido al incesante impulso de la demanda interna, principalmente el gasto de consumo final, y al volumen de las exportaciones, a pesar de las distintas tensiones de la economía mundial en 2022 que han afectado el desempeño económico en distintas regiones. Asimismo, las principales actividades económicas mostraron dinamismo y se mantuvo la recuperación después de la pandemia en los sectores asociados a los servicios y transporte, en particular las actividades de alojamiento. La inflación finalizó con un nivel muy por encima del límite superior de la meta del Banco de Guatemala, lo que disminuyó el ingreso disponible de los hogares, no obstante, las transferencias a los hogares por las remesas familiares se mantuvieron robustas en dicho año. Por su parte, los indicadores de empleo muestran un leve deterioro con respecto al 2021, sin embargo, estos se encuentran en niveles bajos a excepción del subempleo.</w:t>
      </w:r>
    </w:p>
    <w:p w14:paraId="7B6CAF48" w14:textId="77777777" w:rsidR="005318D0" w:rsidRDefault="005318D0" w:rsidP="00E85FB3">
      <w:pPr>
        <w:jc w:val="both"/>
      </w:pPr>
    </w:p>
    <w:p w14:paraId="7A044B6C" w14:textId="04DB4EF2" w:rsidR="00E85FB3" w:rsidRPr="005318D0" w:rsidRDefault="00E85FB3" w:rsidP="00354A9C">
      <w:pPr>
        <w:pStyle w:val="Ttulo3"/>
        <w:numPr>
          <w:ilvl w:val="2"/>
          <w:numId w:val="48"/>
        </w:numPr>
        <w:tabs>
          <w:tab w:val="left" w:pos="1134"/>
        </w:tabs>
        <w:rPr>
          <w:rFonts w:ascii="Times New Roman" w:hAnsi="Times New Roman" w:cs="Times New Roman"/>
          <w:b/>
          <w:bCs/>
          <w:color w:val="auto"/>
          <w:lang w:val="es-MX"/>
        </w:rPr>
      </w:pPr>
      <w:bookmarkStart w:id="36" w:name="_Toc143865787"/>
      <w:r w:rsidRPr="005318D0">
        <w:rPr>
          <w:rFonts w:ascii="Times New Roman" w:hAnsi="Times New Roman" w:cs="Times New Roman"/>
          <w:b/>
          <w:bCs/>
          <w:color w:val="auto"/>
          <w:lang w:val="es-MX"/>
        </w:rPr>
        <w:t>Producto Interno Bruto</w:t>
      </w:r>
      <w:bookmarkEnd w:id="36"/>
    </w:p>
    <w:p w14:paraId="38838405" w14:textId="286C8830" w:rsidR="00E85FB3" w:rsidRDefault="00E85FB3" w:rsidP="00E85FB3">
      <w:pPr>
        <w:jc w:val="both"/>
      </w:pPr>
    </w:p>
    <w:p w14:paraId="2A33D2F7" w14:textId="503B7889" w:rsidR="00E85FB3" w:rsidRDefault="00E85FB3" w:rsidP="00E85FB3">
      <w:pPr>
        <w:jc w:val="both"/>
      </w:pPr>
      <w:r>
        <w:t xml:space="preserve">La actividad económica tuvo un crecimiento robusto y mayor al potencial al registrar 4.1% en 2022, esto después de haber mostrado </w:t>
      </w:r>
      <w:r w:rsidRPr="007274AE">
        <w:t xml:space="preserve">un crecimiento del 8.0% en 2021, año en el que se tuvo un efecto espejo por la pandemia del </w:t>
      </w:r>
      <w:r w:rsidR="00FB56D6">
        <w:t>COVID</w:t>
      </w:r>
      <w:r w:rsidRPr="007274AE">
        <w:t>-19 en 2020. Este crecimiento se debe principalmente a la demanda interna que fue impulsada</w:t>
      </w:r>
      <w:r>
        <w:t xml:space="preserve"> por el consumo final, por su parte el consumo privado presentó un incremento de 4.2% y el consumo público de 7.2%. Asimismo, la formación bruta de capital fijo mostró una desaceleración y su crecimiento fue de 3.5%, después de la recuperación de este componente en 2021 (19.8%.). Lo anterior se debe en parte a que la maquinaria y equipo tuvo un leve crecimiento de 0.3%, pero la construcción lo compensó con un incremento de 5.4% </w:t>
      </w:r>
    </w:p>
    <w:p w14:paraId="21310A33" w14:textId="77777777" w:rsidR="00E85FB3" w:rsidRDefault="00E85FB3" w:rsidP="00E85FB3">
      <w:pPr>
        <w:jc w:val="both"/>
      </w:pPr>
    </w:p>
    <w:p w14:paraId="66B16124" w14:textId="33BF435E" w:rsidR="00E85FB3" w:rsidRDefault="00E85FB3" w:rsidP="00E85FB3">
      <w:pPr>
        <w:jc w:val="both"/>
      </w:pPr>
      <w:r>
        <w:t>Asimismo, el volumen de las exportaciones presentó una tasa de crecimiento de 7.0% en 2022, las cuales fueron influenciadas por una mayor demanda externa de los principales socios económicos, esto a pesar de las distintas tensiones de la economía mundial en dicho año, dado que los productos de agricultura tienen una demanda más inelástica con respecto al ingreso que otros productos. Por su lado, el volumen de las importaciones mostró un crecimiento de 4.4%, a pesar de la disminución de importaciones de bienes de capital. Lo anterior, dio como resultado que las exportaciones netas contribuyeran al crecimiento económico de forma negativa con 0.2 puntos porcentuales.</w:t>
      </w:r>
    </w:p>
    <w:p w14:paraId="4B88420B" w14:textId="455A721E" w:rsidR="00E85FB3" w:rsidRDefault="00E85FB3" w:rsidP="00E85FB3">
      <w:pPr>
        <w:jc w:val="both"/>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E85FB3" w:rsidRPr="004E2E1E" w14:paraId="1C54411F" w14:textId="77777777" w:rsidTr="00582CA7">
        <w:tc>
          <w:tcPr>
            <w:tcW w:w="9350" w:type="dxa"/>
          </w:tcPr>
          <w:p w14:paraId="496E021F" w14:textId="56004B4D" w:rsidR="00E85FB3" w:rsidRPr="00DB0531" w:rsidRDefault="00DB0531" w:rsidP="00DB0531">
            <w:pPr>
              <w:keepNext/>
              <w:jc w:val="center"/>
              <w:rPr>
                <w:b/>
                <w:bCs/>
                <w:lang w:val="es-GT"/>
              </w:rPr>
            </w:pPr>
            <w:bookmarkStart w:id="37" w:name="_Toc143870679"/>
            <w:r w:rsidRPr="00DB0531">
              <w:rPr>
                <w:b/>
                <w:bCs/>
                <w:lang w:val="es-GT"/>
              </w:rPr>
              <w:t xml:space="preserve">Gráfico </w:t>
            </w:r>
            <w:r w:rsidRPr="00DB0531">
              <w:rPr>
                <w:b/>
                <w:bCs/>
              </w:rPr>
              <w:fldChar w:fldCharType="begin"/>
            </w:r>
            <w:r w:rsidRPr="00DB0531">
              <w:rPr>
                <w:b/>
                <w:bCs/>
                <w:lang w:val="es-GT"/>
              </w:rPr>
              <w:instrText xml:space="preserve"> SEQ Gráfico \* ARABIC </w:instrText>
            </w:r>
            <w:r w:rsidRPr="00DB0531">
              <w:rPr>
                <w:b/>
                <w:bCs/>
              </w:rPr>
              <w:fldChar w:fldCharType="separate"/>
            </w:r>
            <w:r w:rsidR="006622B2">
              <w:rPr>
                <w:b/>
                <w:bCs/>
                <w:noProof/>
                <w:lang w:val="es-GT"/>
              </w:rPr>
              <w:t>12</w:t>
            </w:r>
            <w:r w:rsidRPr="00DB0531">
              <w:rPr>
                <w:b/>
                <w:bCs/>
              </w:rPr>
              <w:fldChar w:fldCharType="end"/>
            </w:r>
            <w:r w:rsidRPr="00DB0531">
              <w:rPr>
                <w:b/>
                <w:bCs/>
                <w:lang w:val="es-GT"/>
              </w:rPr>
              <w:t>.  Contribución al crecimiento económico por el enfoque del gasto en 2022</w:t>
            </w:r>
            <w:bookmarkEnd w:id="37"/>
            <w:r w:rsidRPr="00DB0531">
              <w:rPr>
                <w:b/>
                <w:bCs/>
                <w:lang w:val="es-GT"/>
              </w:rPr>
              <w:t xml:space="preserve">  </w:t>
            </w:r>
          </w:p>
        </w:tc>
      </w:tr>
      <w:tr w:rsidR="00E85FB3" w:rsidRPr="004E2E1E" w14:paraId="75F1D696" w14:textId="77777777" w:rsidTr="00582CA7">
        <w:tblPrEx>
          <w:tblCellMar>
            <w:left w:w="70" w:type="dxa"/>
            <w:right w:w="70" w:type="dxa"/>
          </w:tblCellMar>
        </w:tblPrEx>
        <w:tc>
          <w:tcPr>
            <w:tcW w:w="9350" w:type="dxa"/>
          </w:tcPr>
          <w:p w14:paraId="6752FE47" w14:textId="77777777" w:rsidR="00E85FB3" w:rsidRPr="004E2E1E" w:rsidRDefault="00E85FB3" w:rsidP="00582CA7">
            <w:pPr>
              <w:jc w:val="center"/>
            </w:pPr>
            <w:r w:rsidRPr="004E2E1E">
              <w:rPr>
                <w:noProof/>
              </w:rPr>
              <w:drawing>
                <wp:inline distT="0" distB="0" distL="0" distR="0" wp14:anchorId="1DB0C0F0" wp14:editId="5DE29201">
                  <wp:extent cx="5186149" cy="2824480"/>
                  <wp:effectExtent l="0" t="0" r="0" b="0"/>
                  <wp:docPr id="1812" name="Gráfico 1812">
                    <a:extLst xmlns:a="http://schemas.openxmlformats.org/drawingml/2006/main">
                      <a:ext uri="{FF2B5EF4-FFF2-40B4-BE49-F238E27FC236}">
                        <a16:creationId xmlns:a16="http://schemas.microsoft.com/office/drawing/2014/main" id="{00000000-0008-0000-20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r>
      <w:tr w:rsidR="00E85FB3" w:rsidRPr="004E2E1E" w14:paraId="098A677C" w14:textId="77777777" w:rsidTr="00582CA7">
        <w:tblPrEx>
          <w:tblCellMar>
            <w:left w:w="70" w:type="dxa"/>
            <w:right w:w="70" w:type="dxa"/>
          </w:tblCellMar>
        </w:tblPrEx>
        <w:tc>
          <w:tcPr>
            <w:tcW w:w="9350" w:type="dxa"/>
          </w:tcPr>
          <w:p w14:paraId="59C22ECD" w14:textId="77777777" w:rsidR="00E85FB3" w:rsidRPr="004E2E1E" w:rsidRDefault="00E85FB3" w:rsidP="00582CA7">
            <w:pPr>
              <w:rPr>
                <w:noProof/>
              </w:rPr>
            </w:pPr>
            <w:r w:rsidRPr="004E2E1E">
              <w:rPr>
                <w:noProof/>
                <w:sz w:val="18"/>
                <w:szCs w:val="18"/>
              </w:rPr>
              <w:t xml:space="preserve">              Fuente: Banco de Guatemala</w:t>
            </w:r>
          </w:p>
        </w:tc>
      </w:tr>
    </w:tbl>
    <w:p w14:paraId="7FBC2A9F" w14:textId="70BC063A" w:rsidR="00E85FB3" w:rsidRDefault="00E85FB3" w:rsidP="00E85FB3">
      <w:pPr>
        <w:jc w:val="both"/>
      </w:pPr>
    </w:p>
    <w:p w14:paraId="11771F8E" w14:textId="578EFA5B" w:rsidR="00E85FB3" w:rsidRDefault="00E85FB3" w:rsidP="00E85FB3">
      <w:pPr>
        <w:jc w:val="both"/>
      </w:pPr>
      <w:r>
        <w:t>En lo que respecta al PIB por origen de la producción, el 68.4% del total fue representada por 8 de las 18 actividades económicas, de las cuales el comercio al por mayor y menor presentó un crecimiento de 3.4%</w:t>
      </w:r>
      <w:r w:rsidR="006D2D2A">
        <w:t>;</w:t>
      </w:r>
      <w:r>
        <w:t xml:space="preserve"> las industrias manufactureras de 3.6%</w:t>
      </w:r>
      <w:r w:rsidR="006D2D2A">
        <w:t>;</w:t>
      </w:r>
      <w:r>
        <w:t xml:space="preserve"> la agricultura de 2.6%</w:t>
      </w:r>
      <w:r w:rsidR="006D2D2A">
        <w:t>;</w:t>
      </w:r>
      <w:r>
        <w:t xml:space="preserve"> las actividades inmobiliarias de 5.0%</w:t>
      </w:r>
      <w:r w:rsidR="006D2D2A">
        <w:t>;</w:t>
      </w:r>
      <w:r>
        <w:t xml:space="preserve"> las actividades de información y comunicaciones de 0.4%</w:t>
      </w:r>
      <w:r w:rsidR="006D2D2A">
        <w:t>;</w:t>
      </w:r>
      <w:r>
        <w:t xml:space="preserve"> la construcción de 7.3%</w:t>
      </w:r>
      <w:r w:rsidR="006D2D2A">
        <w:t>;</w:t>
      </w:r>
      <w:r>
        <w:t xml:space="preserve"> las actividades financieras de 8.6%</w:t>
      </w:r>
      <w:r w:rsidR="006D2D2A">
        <w:t>;</w:t>
      </w:r>
      <w:r>
        <w:t xml:space="preserve"> y</w:t>
      </w:r>
      <w:r w:rsidR="006D2D2A">
        <w:t>,</w:t>
      </w:r>
      <w:r>
        <w:t xml:space="preserve"> la administración pública y defensa de 2.8%. </w:t>
      </w:r>
    </w:p>
    <w:p w14:paraId="22023EBD" w14:textId="77777777" w:rsidR="00E85FB3" w:rsidRDefault="00E85FB3" w:rsidP="00E85FB3">
      <w:pPr>
        <w:jc w:val="both"/>
      </w:pPr>
    </w:p>
    <w:p w14:paraId="7847DD2C" w14:textId="38FDEE0D" w:rsidR="00E85FB3" w:rsidRDefault="006D2D2A" w:rsidP="00E85FB3">
      <w:pPr>
        <w:jc w:val="both"/>
      </w:pPr>
      <w:r>
        <w:t>O</w:t>
      </w:r>
      <w:r w:rsidR="00E85FB3">
        <w:t>tras actividades que mostraron una recuperación relevante a pesar de tener una menor participación en la producción fueron las actividades de alojamiento con un crecimiento de 14.9%, reflejando la gradual mejora en el sector turismo</w:t>
      </w:r>
      <w:r>
        <w:t>;</w:t>
      </w:r>
      <w:r w:rsidR="00E85FB3">
        <w:t xml:space="preserve"> el transporte y almacenamiento con un crecimiento de 7.9%, que mostró el impacto por el desvanecimiento de restricciones de confinamiento</w:t>
      </w:r>
      <w:r>
        <w:t>;</w:t>
      </w:r>
      <w:r w:rsidR="00E85FB3">
        <w:t xml:space="preserve"> las actividades de servicios administrativos con 8.5%</w:t>
      </w:r>
      <w:r>
        <w:t>;</w:t>
      </w:r>
      <w:r w:rsidR="00E85FB3">
        <w:t xml:space="preserve"> y</w:t>
      </w:r>
      <w:r>
        <w:t>,</w:t>
      </w:r>
      <w:r w:rsidR="00E85FB3">
        <w:t xml:space="preserve"> otras actividades de servicios con 2.7%.</w:t>
      </w:r>
    </w:p>
    <w:p w14:paraId="4593C3BD" w14:textId="50C8FC15" w:rsidR="00E85FB3" w:rsidRDefault="00E85FB3" w:rsidP="00E85FB3">
      <w:pPr>
        <w:jc w:val="both"/>
      </w:pPr>
    </w:p>
    <w:p w14:paraId="6B94BB8B" w14:textId="0EC21B08" w:rsidR="00E85FB3" w:rsidRPr="00DB0531" w:rsidRDefault="00DB0531" w:rsidP="00DB0531">
      <w:pPr>
        <w:pStyle w:val="Descripcin"/>
        <w:keepNext/>
        <w:spacing w:after="0"/>
        <w:jc w:val="center"/>
        <w:rPr>
          <w:b/>
          <w:bCs/>
          <w:i w:val="0"/>
          <w:iCs w:val="0"/>
          <w:sz w:val="24"/>
          <w:szCs w:val="24"/>
        </w:rPr>
      </w:pPr>
      <w:bookmarkStart w:id="38" w:name="_Toc143871211"/>
      <w:r w:rsidRPr="00DB0531">
        <w:rPr>
          <w:b/>
          <w:bCs/>
          <w:i w:val="0"/>
          <w:iCs w:val="0"/>
          <w:color w:val="auto"/>
          <w:sz w:val="24"/>
          <w:szCs w:val="24"/>
        </w:rPr>
        <w:t xml:space="preserve">Tabla </w:t>
      </w:r>
      <w:r w:rsidRPr="00DB0531">
        <w:rPr>
          <w:b/>
          <w:bCs/>
          <w:i w:val="0"/>
          <w:iCs w:val="0"/>
          <w:color w:val="auto"/>
          <w:sz w:val="24"/>
          <w:szCs w:val="24"/>
        </w:rPr>
        <w:fldChar w:fldCharType="begin"/>
      </w:r>
      <w:r w:rsidRPr="00DB0531">
        <w:rPr>
          <w:b/>
          <w:bCs/>
          <w:i w:val="0"/>
          <w:iCs w:val="0"/>
          <w:color w:val="auto"/>
          <w:sz w:val="24"/>
          <w:szCs w:val="24"/>
        </w:rPr>
        <w:instrText xml:space="preserve"> SEQ Tabla \* ARABIC </w:instrText>
      </w:r>
      <w:r w:rsidRPr="00DB0531">
        <w:rPr>
          <w:b/>
          <w:bCs/>
          <w:i w:val="0"/>
          <w:iCs w:val="0"/>
          <w:color w:val="auto"/>
          <w:sz w:val="24"/>
          <w:szCs w:val="24"/>
        </w:rPr>
        <w:fldChar w:fldCharType="separate"/>
      </w:r>
      <w:r w:rsidR="006622B2">
        <w:rPr>
          <w:b/>
          <w:bCs/>
          <w:i w:val="0"/>
          <w:iCs w:val="0"/>
          <w:noProof/>
          <w:color w:val="auto"/>
          <w:sz w:val="24"/>
          <w:szCs w:val="24"/>
        </w:rPr>
        <w:t>4</w:t>
      </w:r>
      <w:r w:rsidRPr="00DB0531">
        <w:rPr>
          <w:b/>
          <w:bCs/>
          <w:i w:val="0"/>
          <w:iCs w:val="0"/>
          <w:color w:val="auto"/>
          <w:sz w:val="24"/>
          <w:szCs w:val="24"/>
        </w:rPr>
        <w:fldChar w:fldCharType="end"/>
      </w:r>
      <w:r w:rsidRPr="00DB0531">
        <w:rPr>
          <w:b/>
          <w:bCs/>
          <w:i w:val="0"/>
          <w:iCs w:val="0"/>
          <w:color w:val="auto"/>
          <w:sz w:val="24"/>
          <w:szCs w:val="24"/>
        </w:rPr>
        <w:t xml:space="preserve">.  </w:t>
      </w:r>
      <w:r w:rsidR="00E85FB3" w:rsidRPr="00DB0531">
        <w:rPr>
          <w:b/>
          <w:bCs/>
          <w:i w:val="0"/>
          <w:iCs w:val="0"/>
          <w:color w:val="auto"/>
          <w:sz w:val="24"/>
          <w:szCs w:val="24"/>
        </w:rPr>
        <w:t>Producto Interno Bruto real por el enfoque de la producción</w:t>
      </w:r>
      <w:bookmarkEnd w:id="38"/>
    </w:p>
    <w:p w14:paraId="43EBA427" w14:textId="77777777" w:rsidR="00E85FB3" w:rsidRPr="004E2E1E" w:rsidRDefault="00E85FB3" w:rsidP="00E85FB3">
      <w:pPr>
        <w:jc w:val="center"/>
      </w:pPr>
      <w:r w:rsidRPr="004E2E1E">
        <w:rPr>
          <w:noProof/>
        </w:rPr>
        <w:drawing>
          <wp:inline distT="0" distB="0" distL="0" distR="0" wp14:anchorId="4205524C" wp14:editId="2167572E">
            <wp:extent cx="5533002" cy="3638550"/>
            <wp:effectExtent l="0" t="0" r="0" b="0"/>
            <wp:docPr id="1813" name="Imagen 25">
              <a:extLst xmlns:a="http://schemas.openxmlformats.org/drawingml/2006/main">
                <a:ext uri="{FF2B5EF4-FFF2-40B4-BE49-F238E27FC236}">
                  <a16:creationId xmlns:a16="http://schemas.microsoft.com/office/drawing/2014/main" id="{24A9DD64-F354-4934-9916-542E2F4F13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5">
                      <a:extLst>
                        <a:ext uri="{FF2B5EF4-FFF2-40B4-BE49-F238E27FC236}">
                          <a16:creationId xmlns:a16="http://schemas.microsoft.com/office/drawing/2014/main" id="{24A9DD64-F354-4934-9916-542E2F4F1303}"/>
                        </a:ext>
                      </a:extLst>
                    </pic:cNvPr>
                    <pic:cNvPicPr>
                      <a:picLocks noChangeAspect="1" noChangeArrowheads="1"/>
                      <a:extLst>
                        <a:ext uri="{84589F7E-364E-4C9E-8A38-B11213B215E9}">
                          <a14:cameraTool xmlns:a14="http://schemas.microsoft.com/office/drawing/2010/main" cellRange="$BR$102:$BW$122"/>
                        </a:ext>
                      </a:extLst>
                    </pic:cNvPicPr>
                  </pic:nvPicPr>
                  <pic:blipFill>
                    <a:blip r:embed="rId31"/>
                    <a:srcRect/>
                    <a:stretch>
                      <a:fillRect/>
                    </a:stretch>
                  </pic:blipFill>
                  <pic:spPr bwMode="auto">
                    <a:xfrm>
                      <a:off x="0" y="0"/>
                      <a:ext cx="5542953" cy="3645094"/>
                    </a:xfrm>
                    <a:prstGeom prst="rect">
                      <a:avLst/>
                    </a:prstGeom>
                    <a:noFill/>
                  </pic:spPr>
                </pic:pic>
              </a:graphicData>
            </a:graphic>
          </wp:inline>
        </w:drawing>
      </w:r>
    </w:p>
    <w:p w14:paraId="497B83FA" w14:textId="7B41D482" w:rsidR="00E85FB3" w:rsidRDefault="00E85FB3" w:rsidP="00E85FB3">
      <w:pPr>
        <w:jc w:val="both"/>
      </w:pPr>
    </w:p>
    <w:p w14:paraId="1013BA3A" w14:textId="00A24D95" w:rsidR="00E85FB3" w:rsidRDefault="006D2D2A" w:rsidP="00E85FB3">
      <w:pPr>
        <w:jc w:val="both"/>
      </w:pPr>
      <w:r>
        <w:t>E</w:t>
      </w:r>
      <w:r w:rsidR="00E85FB3">
        <w:t>l índice de rigor de Oxford, que mide el nivel de rigurosidad en las medidas de respuesta para contener la propagación de la pandemia por parte de los gobiernos, registró un nivel promedio de 42.7 en 2022 menor al registrado en 2021 de 53.6, lo que es consistente con el desvanecimiento de las restricciones del gobierno para contener la pandemia en dicho año.</w:t>
      </w:r>
    </w:p>
    <w:p w14:paraId="5FDC035B" w14:textId="77777777" w:rsidR="00E85FB3" w:rsidRDefault="00E85FB3" w:rsidP="00E85FB3">
      <w:pPr>
        <w:jc w:val="both"/>
      </w:pPr>
    </w:p>
    <w:p w14:paraId="0A5A50D0" w14:textId="4CCC544F" w:rsidR="009C6B0A" w:rsidRDefault="00E85FB3" w:rsidP="00E85FB3">
      <w:pPr>
        <w:jc w:val="both"/>
      </w:pPr>
      <w:r>
        <w:t>Asimismo, el índice de movilidad de Google que muestra el cambio de la cantidad de visitantes en distintos sectores en comparación de días de referencias previo a la pandemia, es congruente con el incremento de la actividad económica y la normalización de los patrones de consumo e inversión de los agentes económicos, dado que en todas las categorías se muestra un incremento continuo hasta octubre de 2022, fecha en la cual se cesó de publicar dicho indicador.</w:t>
      </w:r>
    </w:p>
    <w:p w14:paraId="7A8CEA40" w14:textId="0C362ABB" w:rsidR="009C6B0A" w:rsidRDefault="009C6B0A" w:rsidP="00E85FB3">
      <w:pPr>
        <w:jc w:val="both"/>
      </w:pPr>
    </w:p>
    <w:p w14:paraId="1512023B" w14:textId="6EEC510C" w:rsidR="00017F3A" w:rsidRDefault="00017F3A" w:rsidP="00E85FB3">
      <w:pPr>
        <w:jc w:val="both"/>
      </w:pPr>
    </w:p>
    <w:p w14:paraId="23BB4D8C" w14:textId="77777777" w:rsidR="009C6B0A" w:rsidRDefault="009C6B0A" w:rsidP="00E85FB3">
      <w:pPr>
        <w:jc w:val="both"/>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E85FB3" w:rsidRPr="004E2E1E" w14:paraId="1A9F8D5F" w14:textId="77777777" w:rsidTr="00582CA7">
        <w:tc>
          <w:tcPr>
            <w:tcW w:w="9350" w:type="dxa"/>
          </w:tcPr>
          <w:p w14:paraId="0CBF1BF0" w14:textId="0E0170D3" w:rsidR="00E85FB3" w:rsidRPr="009A47AF" w:rsidRDefault="00E06583" w:rsidP="009A47AF">
            <w:pPr>
              <w:pStyle w:val="Descripcin"/>
              <w:spacing w:after="0"/>
              <w:jc w:val="center"/>
              <w:rPr>
                <w:b/>
                <w:bCs/>
                <w:i w:val="0"/>
                <w:iCs w:val="0"/>
                <w:sz w:val="24"/>
                <w:szCs w:val="24"/>
                <w:lang w:val="es-GT"/>
              </w:rPr>
            </w:pPr>
            <w:bookmarkStart w:id="39" w:name="_Toc143870680"/>
            <w:r w:rsidRPr="00E06583">
              <w:rPr>
                <w:b/>
                <w:bCs/>
                <w:i w:val="0"/>
                <w:iCs w:val="0"/>
                <w:color w:val="auto"/>
                <w:sz w:val="24"/>
                <w:szCs w:val="24"/>
                <w:lang w:val="es-GT"/>
              </w:rPr>
              <w:t xml:space="preserve">Gráfico </w:t>
            </w:r>
            <w:r w:rsidRPr="00E06583">
              <w:rPr>
                <w:b/>
                <w:bCs/>
                <w:i w:val="0"/>
                <w:iCs w:val="0"/>
                <w:color w:val="auto"/>
                <w:sz w:val="24"/>
                <w:szCs w:val="24"/>
              </w:rPr>
              <w:fldChar w:fldCharType="begin"/>
            </w:r>
            <w:r w:rsidRPr="00E06583">
              <w:rPr>
                <w:b/>
                <w:bCs/>
                <w:i w:val="0"/>
                <w:iCs w:val="0"/>
                <w:color w:val="auto"/>
                <w:sz w:val="24"/>
                <w:szCs w:val="24"/>
                <w:lang w:val="es-GT"/>
              </w:rPr>
              <w:instrText xml:space="preserve"> SEQ Gráfico \* ARABIC </w:instrText>
            </w:r>
            <w:r w:rsidRPr="00E06583">
              <w:rPr>
                <w:b/>
                <w:bCs/>
                <w:i w:val="0"/>
                <w:iCs w:val="0"/>
                <w:color w:val="auto"/>
                <w:sz w:val="24"/>
                <w:szCs w:val="24"/>
              </w:rPr>
              <w:fldChar w:fldCharType="separate"/>
            </w:r>
            <w:r w:rsidR="006622B2">
              <w:rPr>
                <w:b/>
                <w:bCs/>
                <w:i w:val="0"/>
                <w:iCs w:val="0"/>
                <w:noProof/>
                <w:color w:val="auto"/>
                <w:sz w:val="24"/>
                <w:szCs w:val="24"/>
                <w:lang w:val="es-GT"/>
              </w:rPr>
              <w:t>13</w:t>
            </w:r>
            <w:r w:rsidRPr="00E06583">
              <w:rPr>
                <w:b/>
                <w:bCs/>
                <w:i w:val="0"/>
                <w:iCs w:val="0"/>
                <w:color w:val="auto"/>
                <w:sz w:val="24"/>
                <w:szCs w:val="24"/>
              </w:rPr>
              <w:fldChar w:fldCharType="end"/>
            </w:r>
            <w:r w:rsidRPr="00E06583">
              <w:rPr>
                <w:b/>
                <w:bCs/>
                <w:i w:val="0"/>
                <w:iCs w:val="0"/>
                <w:color w:val="auto"/>
                <w:sz w:val="24"/>
                <w:szCs w:val="24"/>
                <w:lang w:val="es-GT"/>
              </w:rPr>
              <w:t>.  Índices de rigor y de movilidad durante la pandemia de 2020 a 2022</w:t>
            </w:r>
            <w:bookmarkEnd w:id="39"/>
            <w:r w:rsidRPr="00E06583">
              <w:rPr>
                <w:b/>
                <w:bCs/>
                <w:i w:val="0"/>
                <w:iCs w:val="0"/>
                <w:color w:val="auto"/>
                <w:sz w:val="24"/>
                <w:szCs w:val="24"/>
                <w:lang w:val="es-GT"/>
              </w:rPr>
              <w:t xml:space="preserve"> </w:t>
            </w:r>
            <w:r w:rsidRPr="00E06583">
              <w:rPr>
                <w:b/>
                <w:bCs/>
                <w:i w:val="0"/>
                <w:iCs w:val="0"/>
                <w:sz w:val="24"/>
                <w:szCs w:val="24"/>
                <w:lang w:val="es-GT"/>
              </w:rPr>
              <w:t xml:space="preserve"> </w:t>
            </w:r>
          </w:p>
        </w:tc>
      </w:tr>
      <w:tr w:rsidR="00E85FB3" w:rsidRPr="004E2E1E" w14:paraId="5C0A5E98" w14:textId="77777777" w:rsidTr="00582CA7">
        <w:tblPrEx>
          <w:tblCellMar>
            <w:left w:w="70" w:type="dxa"/>
            <w:right w:w="70" w:type="dxa"/>
          </w:tblCellMar>
        </w:tblPrEx>
        <w:tc>
          <w:tcPr>
            <w:tcW w:w="9350" w:type="dxa"/>
          </w:tcPr>
          <w:p w14:paraId="75FF3E6A" w14:textId="77777777" w:rsidR="00E85FB3" w:rsidRPr="004E2E1E" w:rsidRDefault="00E85FB3" w:rsidP="00582CA7">
            <w:pPr>
              <w:jc w:val="center"/>
            </w:pPr>
            <w:r w:rsidRPr="004E2E1E">
              <w:rPr>
                <w:noProof/>
              </w:rPr>
              <w:drawing>
                <wp:inline distT="0" distB="0" distL="0" distR="0" wp14:anchorId="5CF32BC8" wp14:editId="3CCE13C9">
                  <wp:extent cx="5524500" cy="2495550"/>
                  <wp:effectExtent l="0" t="0" r="0" b="0"/>
                  <wp:docPr id="1814" name="Gráfico 1814">
                    <a:extLst xmlns:a="http://schemas.openxmlformats.org/drawingml/2006/main">
                      <a:ext uri="{FF2B5EF4-FFF2-40B4-BE49-F238E27FC236}">
                        <a16:creationId xmlns:a16="http://schemas.microsoft.com/office/drawing/2014/main" id="{A8650320-D4C1-EFE2-68D8-9C77C713B0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r>
      <w:tr w:rsidR="00E85FB3" w:rsidRPr="004E2E1E" w14:paraId="4FF74A88" w14:textId="77777777" w:rsidTr="00582CA7">
        <w:tblPrEx>
          <w:tblCellMar>
            <w:left w:w="70" w:type="dxa"/>
            <w:right w:w="70" w:type="dxa"/>
          </w:tblCellMar>
        </w:tblPrEx>
        <w:tc>
          <w:tcPr>
            <w:tcW w:w="9350" w:type="dxa"/>
          </w:tcPr>
          <w:p w14:paraId="14DBD140" w14:textId="55CB4014" w:rsidR="00E85FB3" w:rsidRPr="00E85FB3" w:rsidRDefault="00E85FB3" w:rsidP="00582CA7">
            <w:pPr>
              <w:rPr>
                <w:noProof/>
                <w:sz w:val="18"/>
                <w:szCs w:val="18"/>
                <w:lang w:val="es-GT"/>
              </w:rPr>
            </w:pPr>
            <w:r w:rsidRPr="00E85FB3">
              <w:rPr>
                <w:noProof/>
                <w:sz w:val="18"/>
                <w:szCs w:val="18"/>
                <w:lang w:val="es-GT"/>
              </w:rPr>
              <w:t xml:space="preserve">                         Fuente: Índice de rigor de Oxford e índice de movilidad de google</w:t>
            </w:r>
            <w:r w:rsidR="009C6B0A">
              <w:rPr>
                <w:noProof/>
                <w:sz w:val="18"/>
                <w:szCs w:val="18"/>
                <w:lang w:val="es-GT"/>
              </w:rPr>
              <w:t>.</w:t>
            </w:r>
          </w:p>
        </w:tc>
      </w:tr>
    </w:tbl>
    <w:p w14:paraId="2084B59E" w14:textId="42111B57" w:rsidR="00E85FB3" w:rsidRDefault="00E85FB3" w:rsidP="00E85FB3">
      <w:pPr>
        <w:jc w:val="both"/>
      </w:pPr>
    </w:p>
    <w:p w14:paraId="2552A5C9" w14:textId="6252B7BF" w:rsidR="00E85FB3" w:rsidRPr="005318D0" w:rsidRDefault="00E85FB3" w:rsidP="00354A9C">
      <w:pPr>
        <w:pStyle w:val="Ttulo3"/>
        <w:numPr>
          <w:ilvl w:val="2"/>
          <w:numId w:val="48"/>
        </w:numPr>
        <w:tabs>
          <w:tab w:val="left" w:pos="1134"/>
        </w:tabs>
        <w:rPr>
          <w:rFonts w:ascii="Times New Roman" w:hAnsi="Times New Roman" w:cs="Times New Roman"/>
          <w:b/>
          <w:bCs/>
          <w:color w:val="auto"/>
          <w:lang w:val="es-MX"/>
        </w:rPr>
      </w:pPr>
      <w:bookmarkStart w:id="40" w:name="_Toc143865788"/>
      <w:r w:rsidRPr="005318D0">
        <w:rPr>
          <w:rFonts w:ascii="Times New Roman" w:hAnsi="Times New Roman" w:cs="Times New Roman"/>
          <w:b/>
          <w:bCs/>
          <w:color w:val="auto"/>
          <w:lang w:val="es-MX"/>
        </w:rPr>
        <w:t>Ritmo inflacionario y deflactores del PIB</w:t>
      </w:r>
      <w:bookmarkEnd w:id="40"/>
    </w:p>
    <w:p w14:paraId="4212EADC" w14:textId="236D7E40" w:rsidR="00E85FB3" w:rsidRDefault="00E85FB3" w:rsidP="00E85FB3">
      <w:pPr>
        <w:jc w:val="both"/>
      </w:pPr>
    </w:p>
    <w:p w14:paraId="46D5D45A" w14:textId="00645D2C" w:rsidR="00E85FB3" w:rsidRDefault="00E85FB3" w:rsidP="00E85FB3">
      <w:pPr>
        <w:jc w:val="both"/>
      </w:pPr>
      <w:r>
        <w:t>La inflación interanual del 2022 se ubicó en 9.2%</w:t>
      </w:r>
      <w:r w:rsidR="00E34703">
        <w:t>,</w:t>
      </w:r>
      <w:r>
        <w:t xml:space="preserve"> cerca del límite superior del rango de la meta fijada por el Banco de Guatemala de 4% +-1%, y mayor a la reportada en 2021 que fue de 3.1%.  No obstante, la inflación durante el periodo 2010-2021 rondó alrededor de la meta explicita de inflación, lo cual indica que se ha logrado mantener la estabilidad de la inflación en los últimos años.</w:t>
      </w:r>
    </w:p>
    <w:p w14:paraId="1440597D" w14:textId="77777777" w:rsidR="00E85FB3" w:rsidRDefault="00E85FB3" w:rsidP="00E85FB3">
      <w:pPr>
        <w:jc w:val="both"/>
      </w:pPr>
    </w:p>
    <w:p w14:paraId="03B5CD42" w14:textId="6C3DEDDD" w:rsidR="00E85FB3" w:rsidRDefault="00E85FB3" w:rsidP="00E85FB3">
      <w:pPr>
        <w:jc w:val="both"/>
      </w:pPr>
      <w:r>
        <w:t>Los alimentos y bebidas mostraron una inflación de 11.8% y fue unos de los componentes que contribuyeron más a la inflación general de 2022, dado que su ponderador es mayor al de los demás componentes. Por su lado, el transporte mostró un alto incremento</w:t>
      </w:r>
      <w:r w:rsidR="00E34703">
        <w:t>,</w:t>
      </w:r>
      <w:r>
        <w:t xml:space="preserve"> 16.9%</w:t>
      </w:r>
      <w:r w:rsidR="00E34703">
        <w:t>,</w:t>
      </w:r>
      <w:r>
        <w:t xml:space="preserve"> principalmente por el aumento de los precios de combustibles que fueron impulsados por el incremento internacional del crudo de petróleo. La vivienda, agua, electricidad, gas y otros combustibles mostraron una inflación de 5.3%</w:t>
      </w:r>
      <w:r w:rsidR="00E34703">
        <w:t>;</w:t>
      </w:r>
      <w:r>
        <w:t xml:space="preserve"> los muebles, artículos para el hogar y para la conservación del hogar mostraron una inflación de 8.8%</w:t>
      </w:r>
      <w:r w:rsidR="00E34703">
        <w:t>;</w:t>
      </w:r>
      <w:r>
        <w:t xml:space="preserve"> y</w:t>
      </w:r>
      <w:r w:rsidR="00E34703">
        <w:t>,</w:t>
      </w:r>
      <w:r>
        <w:t xml:space="preserve"> los restaurantes y hoteles tuvieron una inflación de 9.9%.</w:t>
      </w:r>
    </w:p>
    <w:p w14:paraId="708FFCF8" w14:textId="77777777" w:rsidR="00E85FB3" w:rsidRDefault="00E85FB3" w:rsidP="00E85FB3">
      <w:pPr>
        <w:jc w:val="both"/>
      </w:pPr>
    </w:p>
    <w:p w14:paraId="3A912A21" w14:textId="6BD83DF1" w:rsidR="00E85FB3" w:rsidRDefault="00E85FB3" w:rsidP="00E85FB3">
      <w:pPr>
        <w:jc w:val="both"/>
      </w:pPr>
      <w:r>
        <w:t xml:space="preserve">Otros indicadores de precios de la economía son los deflactores del PIB </w:t>
      </w:r>
      <w:r w:rsidR="00E34703">
        <w:t xml:space="preserve">en </w:t>
      </w:r>
      <w:r>
        <w:t>sus distintos componentes</w:t>
      </w:r>
      <w:r w:rsidR="00E34703">
        <w:t>.  E</w:t>
      </w:r>
      <w:r>
        <w:t>n el caso del enfoque</w:t>
      </w:r>
      <w:r w:rsidR="00E34703">
        <w:t>,</w:t>
      </w:r>
      <w:r>
        <w:t xml:space="preserve"> los componentes del comercio exterior mostraron un incremento debido al aumento de las materias primas y a la inflación de los socios comerciales</w:t>
      </w:r>
      <w:r w:rsidR="00E34703">
        <w:t>.  E</w:t>
      </w:r>
      <w:r>
        <w:t>n el caso del deflactor de las importaciones</w:t>
      </w:r>
      <w:r w:rsidR="00E34703">
        <w:t>,</w:t>
      </w:r>
      <w:r>
        <w:t xml:space="preserve"> tuvo un incremento interanual de 18.9% en 2022 después de haber aumentado 19.0% en el año anterior. E</w:t>
      </w:r>
      <w:r w:rsidR="00E34703">
        <w:t>l</w:t>
      </w:r>
      <w:r>
        <w:t xml:space="preserve"> deflactor de las exportaciones tuvo también un crecimiento significativo del 11.0%. Por su parte, el deflactor del consumo tuvo incremento de 8.8% impulsado por la recuperación de la demanda interna y a la inflación importada</w:t>
      </w:r>
      <w:r w:rsidR="00E34703">
        <w:t>;</w:t>
      </w:r>
      <w:r>
        <w:t xml:space="preserve"> y</w:t>
      </w:r>
      <w:r w:rsidR="00E34703">
        <w:t>,</w:t>
      </w:r>
      <w:r>
        <w:t xml:space="preserve"> el deflactor de la formación bruta de capital tuvo un crecimiento de 10.6%. De esta manera el deflactor del PIB que muestra el incremento de precios de la totalidad de bienes transaccionados en la economía en el 2022 fue de 6.2%.</w:t>
      </w:r>
    </w:p>
    <w:p w14:paraId="3BF878E3" w14:textId="02D56847" w:rsidR="00E85FB3" w:rsidRDefault="00E85FB3" w:rsidP="00E85FB3">
      <w:pPr>
        <w:jc w:val="both"/>
      </w:pPr>
    </w:p>
    <w:p w14:paraId="500E1DFF" w14:textId="77777777" w:rsidR="009A47AF" w:rsidRDefault="009A47AF" w:rsidP="00E85FB3">
      <w:pPr>
        <w:jc w:val="both"/>
      </w:pPr>
    </w:p>
    <w:tbl>
      <w:tblPr>
        <w:tblStyle w:val="Tablaconcuadrcula"/>
        <w:tblW w:w="18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6"/>
        <w:gridCol w:w="4869"/>
        <w:gridCol w:w="9405"/>
      </w:tblGrid>
      <w:tr w:rsidR="00E85FB3" w:rsidRPr="004E2E1E" w14:paraId="3BCAEA75" w14:textId="77777777" w:rsidTr="009C6B0A">
        <w:trPr>
          <w:trHeight w:val="239"/>
        </w:trPr>
        <w:tc>
          <w:tcPr>
            <w:tcW w:w="9405" w:type="dxa"/>
            <w:gridSpan w:val="2"/>
          </w:tcPr>
          <w:p w14:paraId="22AF5C89" w14:textId="04A0F2AC" w:rsidR="00E85FB3" w:rsidRPr="00E06583" w:rsidRDefault="00E06583" w:rsidP="00E06583">
            <w:pPr>
              <w:pStyle w:val="Descripcin"/>
              <w:spacing w:after="0"/>
              <w:jc w:val="center"/>
              <w:rPr>
                <w:b/>
                <w:bCs/>
                <w:i w:val="0"/>
                <w:iCs w:val="0"/>
                <w:sz w:val="24"/>
                <w:szCs w:val="24"/>
                <w:lang w:val="es-GT"/>
              </w:rPr>
            </w:pPr>
            <w:bookmarkStart w:id="41" w:name="_Toc143870681"/>
            <w:r w:rsidRPr="00E06583">
              <w:rPr>
                <w:b/>
                <w:bCs/>
                <w:i w:val="0"/>
                <w:iCs w:val="0"/>
                <w:color w:val="auto"/>
                <w:sz w:val="24"/>
                <w:szCs w:val="24"/>
                <w:lang w:val="es-GT"/>
              </w:rPr>
              <w:t xml:space="preserve">Gráfico </w:t>
            </w:r>
            <w:r w:rsidRPr="00E06583">
              <w:rPr>
                <w:b/>
                <w:bCs/>
                <w:i w:val="0"/>
                <w:iCs w:val="0"/>
                <w:color w:val="auto"/>
                <w:sz w:val="24"/>
                <w:szCs w:val="24"/>
              </w:rPr>
              <w:fldChar w:fldCharType="begin"/>
            </w:r>
            <w:r w:rsidRPr="00E06583">
              <w:rPr>
                <w:b/>
                <w:bCs/>
                <w:i w:val="0"/>
                <w:iCs w:val="0"/>
                <w:color w:val="auto"/>
                <w:sz w:val="24"/>
                <w:szCs w:val="24"/>
                <w:lang w:val="es-GT"/>
              </w:rPr>
              <w:instrText xml:space="preserve"> SEQ Gráfico \* ARABIC </w:instrText>
            </w:r>
            <w:r w:rsidRPr="00E06583">
              <w:rPr>
                <w:b/>
                <w:bCs/>
                <w:i w:val="0"/>
                <w:iCs w:val="0"/>
                <w:color w:val="auto"/>
                <w:sz w:val="24"/>
                <w:szCs w:val="24"/>
              </w:rPr>
              <w:fldChar w:fldCharType="separate"/>
            </w:r>
            <w:r w:rsidR="006622B2">
              <w:rPr>
                <w:b/>
                <w:bCs/>
                <w:i w:val="0"/>
                <w:iCs w:val="0"/>
                <w:noProof/>
                <w:color w:val="auto"/>
                <w:sz w:val="24"/>
                <w:szCs w:val="24"/>
                <w:lang w:val="es-GT"/>
              </w:rPr>
              <w:t>14</w:t>
            </w:r>
            <w:r w:rsidRPr="00E06583">
              <w:rPr>
                <w:b/>
                <w:bCs/>
                <w:i w:val="0"/>
                <w:iCs w:val="0"/>
                <w:color w:val="auto"/>
                <w:sz w:val="24"/>
                <w:szCs w:val="24"/>
              </w:rPr>
              <w:fldChar w:fldCharType="end"/>
            </w:r>
            <w:r w:rsidRPr="00E06583">
              <w:rPr>
                <w:b/>
                <w:bCs/>
                <w:i w:val="0"/>
                <w:iCs w:val="0"/>
                <w:color w:val="auto"/>
                <w:sz w:val="24"/>
                <w:szCs w:val="24"/>
                <w:lang w:val="es-GT"/>
              </w:rPr>
              <w:t>.  Inflación y tasa interanual de los deflactores del PIB</w:t>
            </w:r>
            <w:bookmarkEnd w:id="41"/>
            <w:r w:rsidRPr="00E06583">
              <w:rPr>
                <w:b/>
                <w:bCs/>
                <w:i w:val="0"/>
                <w:iCs w:val="0"/>
                <w:sz w:val="24"/>
                <w:szCs w:val="24"/>
                <w:lang w:val="es-GT"/>
              </w:rPr>
              <w:t xml:space="preserve">  </w:t>
            </w:r>
          </w:p>
        </w:tc>
        <w:tc>
          <w:tcPr>
            <w:tcW w:w="9405" w:type="dxa"/>
          </w:tcPr>
          <w:p w14:paraId="3C7DA90B" w14:textId="77777777" w:rsidR="00E85FB3" w:rsidRPr="00E85FB3" w:rsidRDefault="00E85FB3" w:rsidP="00582CA7">
            <w:pPr>
              <w:jc w:val="center"/>
              <w:rPr>
                <w:b/>
                <w:bCs/>
                <w:lang w:val="es-GT"/>
              </w:rPr>
            </w:pPr>
          </w:p>
        </w:tc>
      </w:tr>
      <w:tr w:rsidR="00E85FB3" w:rsidRPr="004E2E1E" w14:paraId="19EA5416" w14:textId="77777777" w:rsidTr="009C6B0A">
        <w:trPr>
          <w:trHeight w:val="239"/>
        </w:trPr>
        <w:tc>
          <w:tcPr>
            <w:tcW w:w="4536" w:type="dxa"/>
          </w:tcPr>
          <w:p w14:paraId="72914DB6" w14:textId="77777777" w:rsidR="00E85FB3" w:rsidRPr="004E2E1E" w:rsidRDefault="00E85FB3" w:rsidP="00582CA7">
            <w:pPr>
              <w:jc w:val="center"/>
              <w:rPr>
                <w:b/>
                <w:bCs/>
              </w:rPr>
            </w:pPr>
            <w:r w:rsidRPr="004E2E1E">
              <w:rPr>
                <w:b/>
                <w:bCs/>
              </w:rPr>
              <w:t>Inflación</w:t>
            </w:r>
          </w:p>
        </w:tc>
        <w:tc>
          <w:tcPr>
            <w:tcW w:w="4869" w:type="dxa"/>
          </w:tcPr>
          <w:p w14:paraId="4B5F3CB2" w14:textId="77777777" w:rsidR="00E85FB3" w:rsidRPr="004E2E1E" w:rsidRDefault="00E85FB3" w:rsidP="00582CA7">
            <w:pPr>
              <w:jc w:val="center"/>
              <w:rPr>
                <w:b/>
                <w:bCs/>
              </w:rPr>
            </w:pPr>
            <w:r w:rsidRPr="004E2E1E">
              <w:rPr>
                <w:b/>
                <w:bCs/>
              </w:rPr>
              <w:t>Deflactores</w:t>
            </w:r>
          </w:p>
        </w:tc>
        <w:tc>
          <w:tcPr>
            <w:tcW w:w="9405" w:type="dxa"/>
          </w:tcPr>
          <w:p w14:paraId="1FA862FD" w14:textId="77777777" w:rsidR="00E85FB3" w:rsidRPr="004E2E1E" w:rsidRDefault="00E85FB3" w:rsidP="00582CA7">
            <w:pPr>
              <w:jc w:val="center"/>
              <w:rPr>
                <w:b/>
                <w:bCs/>
              </w:rPr>
            </w:pPr>
          </w:p>
        </w:tc>
      </w:tr>
      <w:tr w:rsidR="00E85FB3" w:rsidRPr="004E2E1E" w14:paraId="555691D9" w14:textId="77777777" w:rsidTr="009C6B0A">
        <w:tblPrEx>
          <w:tblCellMar>
            <w:left w:w="70" w:type="dxa"/>
            <w:right w:w="70" w:type="dxa"/>
          </w:tblCellMar>
        </w:tblPrEx>
        <w:trPr>
          <w:trHeight w:val="3136"/>
        </w:trPr>
        <w:tc>
          <w:tcPr>
            <w:tcW w:w="4536" w:type="dxa"/>
          </w:tcPr>
          <w:p w14:paraId="4DA8911B" w14:textId="3ECF23D2" w:rsidR="009C6B0A" w:rsidRPr="009C6B0A" w:rsidRDefault="00E85FB3" w:rsidP="009C6B0A">
            <w:pPr>
              <w:ind w:right="235"/>
              <w:jc w:val="both"/>
              <w:rPr>
                <w:noProof/>
              </w:rPr>
            </w:pPr>
            <w:r w:rsidRPr="004E2E1E">
              <w:rPr>
                <w:noProof/>
              </w:rPr>
              <w:drawing>
                <wp:inline distT="0" distB="0" distL="0" distR="0" wp14:anchorId="02B6121A" wp14:editId="7FC0F152">
                  <wp:extent cx="2673350" cy="1962150"/>
                  <wp:effectExtent l="0" t="0" r="0" b="0"/>
                  <wp:docPr id="1815" name="Gráfico 1815">
                    <a:extLst xmlns:a="http://schemas.openxmlformats.org/drawingml/2006/main">
                      <a:ext uri="{FF2B5EF4-FFF2-40B4-BE49-F238E27FC236}">
                        <a16:creationId xmlns:a16="http://schemas.microsoft.com/office/drawing/2014/main" id="{00000000-0008-0000-13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c>
          <w:tcPr>
            <w:tcW w:w="4869" w:type="dxa"/>
          </w:tcPr>
          <w:p w14:paraId="56D38CBA" w14:textId="77777777" w:rsidR="00E85FB3" w:rsidRPr="004E2E1E" w:rsidRDefault="00E85FB3" w:rsidP="00582CA7">
            <w:pPr>
              <w:jc w:val="both"/>
            </w:pPr>
            <w:r w:rsidRPr="004E2E1E">
              <w:rPr>
                <w:noProof/>
              </w:rPr>
              <w:drawing>
                <wp:inline distT="0" distB="0" distL="0" distR="0" wp14:anchorId="614D662C" wp14:editId="4B3CE894">
                  <wp:extent cx="2578100" cy="1885950"/>
                  <wp:effectExtent l="0" t="0" r="0" b="0"/>
                  <wp:docPr id="1816" name="Gráfico 1816">
                    <a:extLst xmlns:a="http://schemas.openxmlformats.org/drawingml/2006/main">
                      <a:ext uri="{FF2B5EF4-FFF2-40B4-BE49-F238E27FC236}">
                        <a16:creationId xmlns:a16="http://schemas.microsoft.com/office/drawing/2014/main" id="{00000000-0008-0000-13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c>
          <w:tcPr>
            <w:tcW w:w="9405" w:type="dxa"/>
          </w:tcPr>
          <w:p w14:paraId="0CCAA632" w14:textId="77777777" w:rsidR="00E85FB3" w:rsidRPr="004E2E1E" w:rsidRDefault="00E85FB3" w:rsidP="00582CA7">
            <w:pPr>
              <w:jc w:val="both"/>
              <w:rPr>
                <w:noProof/>
              </w:rPr>
            </w:pPr>
          </w:p>
        </w:tc>
      </w:tr>
      <w:tr w:rsidR="00E85FB3" w:rsidRPr="004E2E1E" w14:paraId="0A79EE42" w14:textId="77777777" w:rsidTr="009C6B0A">
        <w:trPr>
          <w:trHeight w:val="60"/>
        </w:trPr>
        <w:tc>
          <w:tcPr>
            <w:tcW w:w="4536" w:type="dxa"/>
          </w:tcPr>
          <w:p w14:paraId="752608D2" w14:textId="77777777" w:rsidR="00E85FB3" w:rsidRPr="004E2E1E" w:rsidRDefault="00E85FB3" w:rsidP="00582CA7">
            <w:pPr>
              <w:jc w:val="both"/>
              <w:rPr>
                <w:sz w:val="18"/>
                <w:szCs w:val="18"/>
              </w:rPr>
            </w:pPr>
            <w:r w:rsidRPr="004E2E1E">
              <w:rPr>
                <w:sz w:val="18"/>
                <w:szCs w:val="18"/>
              </w:rPr>
              <w:t>Fuente: INE</w:t>
            </w:r>
          </w:p>
        </w:tc>
        <w:tc>
          <w:tcPr>
            <w:tcW w:w="4869" w:type="dxa"/>
          </w:tcPr>
          <w:p w14:paraId="4F2D5C12" w14:textId="77777777" w:rsidR="00E85FB3" w:rsidRPr="004E2E1E" w:rsidRDefault="00E85FB3" w:rsidP="00582CA7">
            <w:pPr>
              <w:jc w:val="both"/>
              <w:rPr>
                <w:sz w:val="18"/>
                <w:szCs w:val="18"/>
              </w:rPr>
            </w:pPr>
            <w:r w:rsidRPr="004E2E1E">
              <w:rPr>
                <w:sz w:val="18"/>
                <w:szCs w:val="18"/>
              </w:rPr>
              <w:t>Fuente: Banco de Guatemala</w:t>
            </w:r>
          </w:p>
        </w:tc>
        <w:tc>
          <w:tcPr>
            <w:tcW w:w="9405" w:type="dxa"/>
          </w:tcPr>
          <w:p w14:paraId="6FE40C1B" w14:textId="77777777" w:rsidR="00E85FB3" w:rsidRDefault="00E85FB3" w:rsidP="00582CA7">
            <w:pPr>
              <w:jc w:val="both"/>
              <w:rPr>
                <w:sz w:val="16"/>
                <w:szCs w:val="16"/>
              </w:rPr>
            </w:pPr>
          </w:p>
          <w:p w14:paraId="1A31FB14" w14:textId="5EDA1853" w:rsidR="009C6B0A" w:rsidRPr="004E2E1E" w:rsidRDefault="009C6B0A" w:rsidP="00582CA7">
            <w:pPr>
              <w:jc w:val="both"/>
              <w:rPr>
                <w:sz w:val="16"/>
                <w:szCs w:val="16"/>
              </w:rPr>
            </w:pPr>
          </w:p>
        </w:tc>
      </w:tr>
    </w:tbl>
    <w:p w14:paraId="00650D21" w14:textId="68671A95" w:rsidR="00E85FB3" w:rsidRPr="005318D0" w:rsidRDefault="00E85FB3" w:rsidP="00354A9C">
      <w:pPr>
        <w:pStyle w:val="Ttulo3"/>
        <w:numPr>
          <w:ilvl w:val="2"/>
          <w:numId w:val="48"/>
        </w:numPr>
        <w:tabs>
          <w:tab w:val="left" w:pos="1134"/>
        </w:tabs>
        <w:rPr>
          <w:rFonts w:ascii="Times New Roman" w:hAnsi="Times New Roman" w:cs="Times New Roman"/>
          <w:b/>
          <w:bCs/>
          <w:color w:val="auto"/>
          <w:lang w:val="es-MX"/>
        </w:rPr>
      </w:pPr>
      <w:bookmarkStart w:id="42" w:name="_Toc143865789"/>
      <w:r w:rsidRPr="005318D0">
        <w:rPr>
          <w:rFonts w:ascii="Times New Roman" w:hAnsi="Times New Roman" w:cs="Times New Roman"/>
          <w:b/>
          <w:bCs/>
          <w:color w:val="auto"/>
          <w:lang w:val="es-MX"/>
        </w:rPr>
        <w:t>Empleo</w:t>
      </w:r>
      <w:bookmarkEnd w:id="42"/>
    </w:p>
    <w:p w14:paraId="2DB638BB" w14:textId="45D40B85" w:rsidR="00E85FB3" w:rsidRDefault="00E85FB3" w:rsidP="00E85FB3">
      <w:pPr>
        <w:jc w:val="both"/>
      </w:pPr>
    </w:p>
    <w:p w14:paraId="4EBA0739" w14:textId="172C5963" w:rsidR="00E85FB3" w:rsidRDefault="00E85FB3" w:rsidP="00E85FB3">
      <w:pPr>
        <w:jc w:val="both"/>
      </w:pPr>
      <w:r>
        <w:t>Entre algunos indicadores del factor trabajo se encuentran el desempleo abierto del Instituto Nacional de Estadística (INE)</w:t>
      </w:r>
      <w:r w:rsidR="00E34703">
        <w:t>,</w:t>
      </w:r>
      <w:r>
        <w:t xml:space="preserve"> </w:t>
      </w:r>
      <w:r w:rsidR="00E34703">
        <w:t xml:space="preserve">el </w:t>
      </w:r>
      <w:r>
        <w:t>cual mostró un valor de 3.0% para el año 2022, un desempleo mayor al registrado en el año anterior (2.2%)</w:t>
      </w:r>
      <w:r w:rsidR="00E34703">
        <w:t>.  E</w:t>
      </w:r>
      <w:r>
        <w:t>ste valor de desempleo es bajo, pero superior a los niveles prepandemia. La tasa de participación global fue de 60.2% (personas económicamente activas con respecto a la población en edad de trabajar), además, de la población ocupada, el sector informal representa un 71.1%. Por su parte, el subempleo se registró en 11.3%, mayor al registrado en el 2021 de 8.1%.</w:t>
      </w:r>
    </w:p>
    <w:p w14:paraId="0FD3E1CF" w14:textId="77777777" w:rsidR="00E85FB3" w:rsidRDefault="00E85FB3" w:rsidP="00E85FB3">
      <w:pPr>
        <w:jc w:val="both"/>
      </w:pPr>
    </w:p>
    <w:p w14:paraId="72CAD4F1" w14:textId="0C569091" w:rsidR="00E85FB3" w:rsidRDefault="00E85FB3" w:rsidP="00E85FB3">
      <w:pPr>
        <w:jc w:val="both"/>
      </w:pPr>
      <w:r>
        <w:t>Por otro lado, los afiliados al IGSS en 2022 incrementaron en 86,975</w:t>
      </w:r>
      <w:r w:rsidR="00F22BFD">
        <w:t>,</w:t>
      </w:r>
      <w:r>
        <w:t xml:space="preserve"> menor al incremento de 98,366 en 2021. Asimismo, el crecimiento de los afiliados indica una normalización en </w:t>
      </w:r>
      <w:r w:rsidR="00F22BFD">
        <w:t xml:space="preserve">el </w:t>
      </w:r>
      <w:r>
        <w:t xml:space="preserve">empleo, después de la crisis de la pandemia en 2020, dado que presenta una tasa de variación acumulada de 0.9% del 2019 al 2022. En los afiliados de la actividad económica de comercio se observó un incremento del 8.7% con </w:t>
      </w:r>
      <w:r w:rsidRPr="00CA557C">
        <w:t>respecto al 2020, año en el cual los afiliados disminuyeron 12.0%. Otros sectores que mostraron una recuperación en el número de los afiliados fueron el sector de hoteles y restaurantes (19.5%)</w:t>
      </w:r>
      <w:r w:rsidR="00F22BFD" w:rsidRPr="00CA557C">
        <w:t>;</w:t>
      </w:r>
      <w:r w:rsidRPr="00CA557C">
        <w:t xml:space="preserve"> las industrias manufactureras (7.0%)</w:t>
      </w:r>
      <w:r w:rsidR="00F22BFD" w:rsidRPr="00CA557C">
        <w:t>;</w:t>
      </w:r>
      <w:r w:rsidRPr="00CA557C">
        <w:t xml:space="preserve"> las actividades inmobiliarias (12.1%)</w:t>
      </w:r>
      <w:r w:rsidR="00F22BFD" w:rsidRPr="00CA557C">
        <w:t>;</w:t>
      </w:r>
      <w:r w:rsidRPr="00CA557C">
        <w:t xml:space="preserve"> y</w:t>
      </w:r>
      <w:r w:rsidR="00F22BFD" w:rsidRPr="00CA557C">
        <w:t>,</w:t>
      </w:r>
      <w:r w:rsidRPr="00CA557C">
        <w:t xml:space="preserve"> los servicios en general</w:t>
      </w:r>
      <w:r w:rsidR="00F22BFD" w:rsidRPr="00CA557C">
        <w:t xml:space="preserve"> (</w:t>
      </w:r>
      <w:r w:rsidR="00CA557C" w:rsidRPr="00CA557C">
        <w:t>7.0</w:t>
      </w:r>
      <w:r w:rsidR="00F22BFD" w:rsidRPr="00CA557C">
        <w:t>%)</w:t>
      </w:r>
      <w:r w:rsidRPr="00CA557C">
        <w:t>.</w:t>
      </w:r>
    </w:p>
    <w:p w14:paraId="2FF450E5" w14:textId="4AD02274" w:rsidR="00E85FB3" w:rsidRDefault="00E85FB3" w:rsidP="00E85FB3">
      <w:pPr>
        <w:jc w:val="both"/>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8"/>
        <w:gridCol w:w="4390"/>
      </w:tblGrid>
      <w:tr w:rsidR="00E85FB3" w:rsidRPr="004E2E1E" w14:paraId="5ED8D844" w14:textId="77777777" w:rsidTr="009A47AF">
        <w:tc>
          <w:tcPr>
            <w:tcW w:w="8838" w:type="dxa"/>
            <w:gridSpan w:val="2"/>
          </w:tcPr>
          <w:p w14:paraId="4FADEFE4" w14:textId="21D7F524" w:rsidR="00E85FB3" w:rsidRPr="00E06583" w:rsidRDefault="00E06583" w:rsidP="00E06583">
            <w:pPr>
              <w:keepNext/>
              <w:jc w:val="center"/>
              <w:rPr>
                <w:b/>
                <w:bCs/>
                <w:lang w:val="es-GT"/>
              </w:rPr>
            </w:pPr>
            <w:bookmarkStart w:id="43" w:name="_Toc143870682"/>
            <w:r w:rsidRPr="00E06583">
              <w:rPr>
                <w:b/>
                <w:bCs/>
                <w:lang w:val="es-GT"/>
              </w:rPr>
              <w:t xml:space="preserve">Gráfico </w:t>
            </w:r>
            <w:r w:rsidRPr="00E06583">
              <w:rPr>
                <w:b/>
                <w:bCs/>
              </w:rPr>
              <w:fldChar w:fldCharType="begin"/>
            </w:r>
            <w:r w:rsidRPr="00E06583">
              <w:rPr>
                <w:b/>
                <w:bCs/>
                <w:lang w:val="es-GT"/>
              </w:rPr>
              <w:instrText xml:space="preserve"> SEQ Gráfico \* ARABIC </w:instrText>
            </w:r>
            <w:r w:rsidRPr="00E06583">
              <w:rPr>
                <w:b/>
                <w:bCs/>
              </w:rPr>
              <w:fldChar w:fldCharType="separate"/>
            </w:r>
            <w:r w:rsidR="006622B2">
              <w:rPr>
                <w:b/>
                <w:bCs/>
                <w:noProof/>
                <w:lang w:val="es-GT"/>
              </w:rPr>
              <w:t>15</w:t>
            </w:r>
            <w:r w:rsidRPr="00E06583">
              <w:rPr>
                <w:b/>
                <w:bCs/>
              </w:rPr>
              <w:fldChar w:fldCharType="end"/>
            </w:r>
            <w:r w:rsidRPr="00E06583">
              <w:rPr>
                <w:b/>
                <w:bCs/>
                <w:lang w:val="es-GT"/>
              </w:rPr>
              <w:t xml:space="preserve">.  Desempleo y </w:t>
            </w:r>
            <w:r w:rsidR="0041675B">
              <w:rPr>
                <w:b/>
                <w:bCs/>
                <w:lang w:val="es-GT"/>
              </w:rPr>
              <w:t>a</w:t>
            </w:r>
            <w:r w:rsidRPr="00E06583">
              <w:rPr>
                <w:b/>
                <w:bCs/>
                <w:lang w:val="es-GT"/>
              </w:rPr>
              <w:t>filiados al IGSS</w:t>
            </w:r>
            <w:bookmarkEnd w:id="43"/>
            <w:r w:rsidR="00E85FB3" w:rsidRPr="00E06583">
              <w:rPr>
                <w:b/>
                <w:bCs/>
                <w:lang w:val="es-GT"/>
              </w:rPr>
              <w:t xml:space="preserve"> </w:t>
            </w:r>
          </w:p>
        </w:tc>
      </w:tr>
      <w:tr w:rsidR="00E85FB3" w:rsidRPr="004E2E1E" w14:paraId="793A8B8F" w14:textId="77777777" w:rsidTr="009A47AF">
        <w:tc>
          <w:tcPr>
            <w:tcW w:w="4448" w:type="dxa"/>
          </w:tcPr>
          <w:p w14:paraId="3FED8BC2" w14:textId="77777777" w:rsidR="00E85FB3" w:rsidRPr="004E2E1E" w:rsidRDefault="00E85FB3" w:rsidP="00582CA7">
            <w:pPr>
              <w:jc w:val="center"/>
              <w:rPr>
                <w:b/>
                <w:bCs/>
              </w:rPr>
            </w:pPr>
            <w:r w:rsidRPr="004E2E1E">
              <w:rPr>
                <w:b/>
                <w:bCs/>
              </w:rPr>
              <w:t>Tasas de desempleo</w:t>
            </w:r>
          </w:p>
        </w:tc>
        <w:tc>
          <w:tcPr>
            <w:tcW w:w="4390" w:type="dxa"/>
          </w:tcPr>
          <w:p w14:paraId="17177044" w14:textId="7A42388B" w:rsidR="00E85FB3" w:rsidRPr="00E85FB3" w:rsidRDefault="00E85FB3" w:rsidP="00582CA7">
            <w:pPr>
              <w:jc w:val="center"/>
              <w:rPr>
                <w:b/>
                <w:bCs/>
                <w:lang w:val="es-GT"/>
              </w:rPr>
            </w:pPr>
            <w:r w:rsidRPr="00E85FB3">
              <w:rPr>
                <w:b/>
                <w:bCs/>
                <w:lang w:val="es-GT"/>
              </w:rPr>
              <w:t xml:space="preserve">Variación </w:t>
            </w:r>
            <w:r w:rsidR="0041675B">
              <w:rPr>
                <w:b/>
                <w:bCs/>
                <w:lang w:val="es-GT"/>
              </w:rPr>
              <w:t>a</w:t>
            </w:r>
            <w:r w:rsidRPr="00E85FB3">
              <w:rPr>
                <w:b/>
                <w:bCs/>
                <w:lang w:val="es-GT"/>
              </w:rPr>
              <w:t xml:space="preserve">nual de </w:t>
            </w:r>
            <w:r w:rsidR="0041675B">
              <w:rPr>
                <w:b/>
                <w:bCs/>
                <w:lang w:val="es-GT"/>
              </w:rPr>
              <w:t>a</w:t>
            </w:r>
            <w:r w:rsidRPr="00E85FB3">
              <w:rPr>
                <w:b/>
                <w:bCs/>
                <w:lang w:val="es-GT"/>
              </w:rPr>
              <w:t>filiados al IGSS</w:t>
            </w:r>
          </w:p>
        </w:tc>
      </w:tr>
      <w:tr w:rsidR="00E85FB3" w:rsidRPr="004E2E1E" w14:paraId="46BAE90D" w14:textId="77777777" w:rsidTr="009A47AF">
        <w:tblPrEx>
          <w:tblCellMar>
            <w:left w:w="70" w:type="dxa"/>
            <w:right w:w="70" w:type="dxa"/>
          </w:tblCellMar>
        </w:tblPrEx>
        <w:tc>
          <w:tcPr>
            <w:tcW w:w="4448" w:type="dxa"/>
          </w:tcPr>
          <w:p w14:paraId="5608E941" w14:textId="77777777" w:rsidR="00E85FB3" w:rsidRPr="004E2E1E" w:rsidRDefault="00E85FB3" w:rsidP="00582CA7">
            <w:pPr>
              <w:jc w:val="both"/>
            </w:pPr>
            <w:r w:rsidRPr="004E2E1E">
              <w:rPr>
                <w:noProof/>
              </w:rPr>
              <w:drawing>
                <wp:inline distT="0" distB="0" distL="0" distR="0" wp14:anchorId="3840588C" wp14:editId="2CB2BD2A">
                  <wp:extent cx="2795270" cy="1587500"/>
                  <wp:effectExtent l="0" t="0" r="5080" b="0"/>
                  <wp:docPr id="1817" name="Gráfico 1817">
                    <a:extLst xmlns:a="http://schemas.openxmlformats.org/drawingml/2006/main">
                      <a:ext uri="{FF2B5EF4-FFF2-40B4-BE49-F238E27FC236}">
                        <a16:creationId xmlns:a16="http://schemas.microsoft.com/office/drawing/2014/main" id="{A2DA847F-DF4B-431D-9E48-CFA87B44D5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c>
          <w:tcPr>
            <w:tcW w:w="4390" w:type="dxa"/>
          </w:tcPr>
          <w:p w14:paraId="2EE949A4" w14:textId="77777777" w:rsidR="00E85FB3" w:rsidRPr="004E2E1E" w:rsidRDefault="00E85FB3" w:rsidP="00582CA7">
            <w:pPr>
              <w:jc w:val="both"/>
            </w:pPr>
            <w:r w:rsidRPr="004E2E1E">
              <w:rPr>
                <w:noProof/>
              </w:rPr>
              <w:drawing>
                <wp:inline distT="0" distB="0" distL="0" distR="0" wp14:anchorId="4C89C1AD" wp14:editId="72DEA013">
                  <wp:extent cx="2757805" cy="1587500"/>
                  <wp:effectExtent l="0" t="0" r="4445" b="0"/>
                  <wp:docPr id="1818" name="Gráfico 1818">
                    <a:extLst xmlns:a="http://schemas.openxmlformats.org/drawingml/2006/main">
                      <a:ext uri="{FF2B5EF4-FFF2-40B4-BE49-F238E27FC236}">
                        <a16:creationId xmlns:a16="http://schemas.microsoft.com/office/drawing/2014/main" id="{0C04D832-3090-9036-6C2D-DB292B151C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r w:rsidR="00E85FB3" w:rsidRPr="004E2E1E" w14:paraId="64D41BEE" w14:textId="77777777" w:rsidTr="009A47AF">
        <w:tc>
          <w:tcPr>
            <w:tcW w:w="4448" w:type="dxa"/>
          </w:tcPr>
          <w:p w14:paraId="0B8B74B6" w14:textId="600FC3E8" w:rsidR="00E85FB3" w:rsidRPr="00E85FB3" w:rsidRDefault="00E85FB3" w:rsidP="00582CA7">
            <w:pPr>
              <w:jc w:val="both"/>
              <w:rPr>
                <w:sz w:val="18"/>
                <w:szCs w:val="18"/>
                <w:lang w:val="es-GT"/>
              </w:rPr>
            </w:pPr>
            <w:r w:rsidRPr="00E85FB3">
              <w:rPr>
                <w:sz w:val="18"/>
                <w:szCs w:val="18"/>
                <w:lang w:val="es-GT"/>
              </w:rPr>
              <w:t>Fuente: INE</w:t>
            </w:r>
            <w:r w:rsidR="009C6B0A">
              <w:rPr>
                <w:sz w:val="18"/>
                <w:szCs w:val="18"/>
                <w:lang w:val="es-GT"/>
              </w:rPr>
              <w:t>.</w:t>
            </w:r>
          </w:p>
          <w:p w14:paraId="00092D8F" w14:textId="77777777" w:rsidR="00E85FB3" w:rsidRPr="00E85FB3" w:rsidRDefault="00E85FB3" w:rsidP="00582CA7">
            <w:pPr>
              <w:jc w:val="both"/>
              <w:rPr>
                <w:sz w:val="18"/>
                <w:szCs w:val="18"/>
                <w:lang w:val="es-GT"/>
              </w:rPr>
            </w:pPr>
            <w:r w:rsidRPr="00E85FB3">
              <w:rPr>
                <w:sz w:val="18"/>
                <w:szCs w:val="18"/>
                <w:lang w:val="es-GT"/>
              </w:rPr>
              <w:t>Nota: a abril no se ha publicado el dato de la OIT.</w:t>
            </w:r>
          </w:p>
        </w:tc>
        <w:tc>
          <w:tcPr>
            <w:tcW w:w="4390" w:type="dxa"/>
          </w:tcPr>
          <w:p w14:paraId="22F4843E" w14:textId="77777777" w:rsidR="0062508C" w:rsidRPr="00F644DC" w:rsidRDefault="0062508C" w:rsidP="00582CA7">
            <w:pPr>
              <w:jc w:val="both"/>
              <w:rPr>
                <w:sz w:val="18"/>
                <w:szCs w:val="18"/>
                <w:lang w:val="es-GT"/>
              </w:rPr>
            </w:pPr>
          </w:p>
          <w:p w14:paraId="7B256657" w14:textId="57B702D5" w:rsidR="00E85FB3" w:rsidRPr="004E2E1E" w:rsidRDefault="00E85FB3" w:rsidP="00582CA7">
            <w:pPr>
              <w:jc w:val="both"/>
              <w:rPr>
                <w:sz w:val="18"/>
                <w:szCs w:val="18"/>
              </w:rPr>
            </w:pPr>
            <w:r w:rsidRPr="004E2E1E">
              <w:rPr>
                <w:sz w:val="18"/>
                <w:szCs w:val="18"/>
              </w:rPr>
              <w:t>Fuente: IGSS</w:t>
            </w:r>
          </w:p>
        </w:tc>
      </w:tr>
    </w:tbl>
    <w:p w14:paraId="50AD4301" w14:textId="6FF4D214" w:rsidR="00E85FB3" w:rsidRPr="005318D0" w:rsidRDefault="00E85FB3" w:rsidP="00354A9C">
      <w:pPr>
        <w:pStyle w:val="Ttulo3"/>
        <w:numPr>
          <w:ilvl w:val="1"/>
          <w:numId w:val="48"/>
        </w:numPr>
        <w:tabs>
          <w:tab w:val="left" w:pos="1134"/>
        </w:tabs>
        <w:rPr>
          <w:rFonts w:ascii="Times New Roman" w:hAnsi="Times New Roman" w:cs="Times New Roman"/>
          <w:b/>
          <w:bCs/>
          <w:color w:val="auto"/>
          <w:lang w:val="es-MX"/>
        </w:rPr>
      </w:pPr>
      <w:bookmarkStart w:id="44" w:name="_Toc143865790"/>
      <w:r w:rsidRPr="005318D0">
        <w:rPr>
          <w:rFonts w:ascii="Times New Roman" w:hAnsi="Times New Roman" w:cs="Times New Roman"/>
          <w:b/>
          <w:bCs/>
          <w:color w:val="auto"/>
          <w:lang w:val="es-MX"/>
        </w:rPr>
        <w:t>Sector monetario</w:t>
      </w:r>
      <w:bookmarkEnd w:id="44"/>
    </w:p>
    <w:p w14:paraId="4D878F50" w14:textId="27E6D23B" w:rsidR="00E85FB3" w:rsidRDefault="00E85FB3" w:rsidP="00E85FB3">
      <w:pPr>
        <w:jc w:val="both"/>
      </w:pPr>
    </w:p>
    <w:p w14:paraId="5D1BD9DA" w14:textId="0AE2BF36" w:rsidR="00E85FB3" w:rsidRDefault="00E85FB3" w:rsidP="00E85FB3">
      <w:pPr>
        <w:jc w:val="both"/>
      </w:pPr>
      <w:r w:rsidRPr="00E85FB3">
        <w:t>En 2022 los agregados monetarios mantuvieron un crecimiento dinámico a pesar de la incertidumbre del sector externo y del cambio de postura en la política monetaria hacia una posición más restrictiva. El crédito al sector privado que tiene un efeto directo en la actividad económica mostró un crecimiento robusto en la mayoría de sectores. La tasa de interés líder del Banco de Guatemala tuvo incrementos constantes desde mediados de año, sin embargo, aún no se observa un incremento significativo en las tasas del mercado en moneda nacional.</w:t>
      </w:r>
    </w:p>
    <w:p w14:paraId="37CE397C" w14:textId="7D800CBB" w:rsidR="00E85FB3" w:rsidRDefault="00E85FB3" w:rsidP="00E85FB3">
      <w:pPr>
        <w:jc w:val="both"/>
      </w:pPr>
    </w:p>
    <w:p w14:paraId="34755519" w14:textId="15AD119A" w:rsidR="00E85FB3" w:rsidRPr="005318D0" w:rsidRDefault="00E85FB3" w:rsidP="00354A9C">
      <w:pPr>
        <w:pStyle w:val="Ttulo3"/>
        <w:numPr>
          <w:ilvl w:val="2"/>
          <w:numId w:val="48"/>
        </w:numPr>
        <w:tabs>
          <w:tab w:val="left" w:pos="1134"/>
        </w:tabs>
        <w:rPr>
          <w:rFonts w:ascii="Times New Roman" w:hAnsi="Times New Roman" w:cs="Times New Roman"/>
          <w:b/>
          <w:bCs/>
          <w:color w:val="auto"/>
          <w:lang w:val="es-MX"/>
        </w:rPr>
      </w:pPr>
      <w:bookmarkStart w:id="45" w:name="_Toc143865791"/>
      <w:r w:rsidRPr="005318D0">
        <w:rPr>
          <w:rFonts w:ascii="Times New Roman" w:hAnsi="Times New Roman" w:cs="Times New Roman"/>
          <w:b/>
          <w:bCs/>
          <w:color w:val="auto"/>
          <w:lang w:val="es-MX"/>
        </w:rPr>
        <w:t>Emisión monetaria y los medios de pago</w:t>
      </w:r>
      <w:bookmarkEnd w:id="45"/>
    </w:p>
    <w:p w14:paraId="0F1839DA" w14:textId="6ADD4BF7" w:rsidR="00E85FB3" w:rsidRDefault="00E85FB3" w:rsidP="00E85FB3">
      <w:pPr>
        <w:jc w:val="both"/>
      </w:pPr>
    </w:p>
    <w:p w14:paraId="5845F928" w14:textId="77777777" w:rsidR="00E85FB3" w:rsidRDefault="00E85FB3" w:rsidP="00E85FB3">
      <w:pPr>
        <w:jc w:val="both"/>
      </w:pPr>
      <w:r>
        <w:t xml:space="preserve">La emisión monetaria en 2022 tuvo un crecimiento interanual de 12.3%, 0.3 puntos porcentuales mayor al crecimiento del año 2021. El numerario en circulación explicó la mayoría del crecimiento de la emisión monetaria, mientras que la caja de los bancos tuvo un crecimiento similar al de años anteriores. El comportamiento de la emisión monetaria está relacionado con la preferencia por billetes y monedas que puede ser aproximado por el coeficiente de preferencia de liquidez, el cual tuvo un promedio de 20.2% en 2022, mayor al coeficiente promedio del año anterior que se ubicó en 19.6%. </w:t>
      </w:r>
    </w:p>
    <w:p w14:paraId="0F745CF5" w14:textId="77777777" w:rsidR="00E85FB3" w:rsidRDefault="00E85FB3" w:rsidP="00E85FB3">
      <w:pPr>
        <w:jc w:val="both"/>
      </w:pPr>
    </w:p>
    <w:p w14:paraId="46B84016" w14:textId="035B78BA" w:rsidR="00E85FB3" w:rsidRDefault="00E85FB3" w:rsidP="00E85FB3">
      <w:pPr>
        <w:jc w:val="both"/>
      </w:pPr>
      <w:r>
        <w:t>Los medios de pago en 2022 se situaron en Q410,256.7 millones, presentando una tasa de crecimiento anual de 11.1%, siendo congruente con el desempeño económico de dicho año. La mayor contribución del crecimiento de los medios de pago fue debido al crecimiento en el cuasidinero (10.4%) de moneda nacional, que, dada su alta participación del total, contribuyó con 10.4 puntos porcentuales. Por su parte, los depósitos monetarios en moneda nacional tuvieron un crecimiento de 0.1% y contribuyeron al crecimiento con 2.7 puntos porcentuales. El numerario en circulación tuvo una contribución de 2.2 puntos porcentuales en el total del crecimiento de los medios de pago.</w:t>
      </w:r>
    </w:p>
    <w:p w14:paraId="673320B4" w14:textId="2F7A8EE1" w:rsidR="00E85FB3" w:rsidRDefault="00E85FB3" w:rsidP="00E85FB3">
      <w:pPr>
        <w:jc w:val="both"/>
      </w:pPr>
    </w:p>
    <w:p w14:paraId="1D2CAC38" w14:textId="18DCD1EE" w:rsidR="00E85FB3" w:rsidRPr="00E06583" w:rsidRDefault="00E06583" w:rsidP="00E06583">
      <w:pPr>
        <w:keepNext/>
        <w:jc w:val="center"/>
        <w:rPr>
          <w:b/>
          <w:bCs/>
        </w:rPr>
      </w:pPr>
      <w:bookmarkStart w:id="46" w:name="_Toc143870683"/>
      <w:r w:rsidRPr="00E06583">
        <w:rPr>
          <w:b/>
          <w:bCs/>
        </w:rPr>
        <w:t xml:space="preserve">Gráfico </w:t>
      </w:r>
      <w:r w:rsidRPr="00E06583">
        <w:rPr>
          <w:b/>
          <w:bCs/>
        </w:rPr>
        <w:fldChar w:fldCharType="begin"/>
      </w:r>
      <w:r w:rsidRPr="00E06583">
        <w:rPr>
          <w:b/>
          <w:bCs/>
        </w:rPr>
        <w:instrText xml:space="preserve"> SEQ Gráfico \* ARABIC </w:instrText>
      </w:r>
      <w:r w:rsidRPr="00E06583">
        <w:rPr>
          <w:b/>
          <w:bCs/>
        </w:rPr>
        <w:fldChar w:fldCharType="separate"/>
      </w:r>
      <w:r w:rsidR="006622B2">
        <w:rPr>
          <w:b/>
          <w:bCs/>
          <w:noProof/>
        </w:rPr>
        <w:t>16</w:t>
      </w:r>
      <w:r w:rsidRPr="00E06583">
        <w:rPr>
          <w:b/>
          <w:bCs/>
        </w:rPr>
        <w:fldChar w:fldCharType="end"/>
      </w:r>
      <w:r w:rsidRPr="00E06583">
        <w:rPr>
          <w:b/>
          <w:bCs/>
        </w:rPr>
        <w:t>.  Coeficiente de preferencia de liquidez y contribución al crecimiento de los medios de pago (en porcentaje)</w:t>
      </w:r>
      <w:bookmarkEnd w:id="46"/>
      <w:r w:rsidRPr="00E06583">
        <w:rPr>
          <w:b/>
          <w:bCs/>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3"/>
        <w:gridCol w:w="4345"/>
      </w:tblGrid>
      <w:tr w:rsidR="00E85FB3" w:rsidRPr="004E2E1E" w14:paraId="4EE09C53" w14:textId="77777777" w:rsidTr="00582CA7">
        <w:tc>
          <w:tcPr>
            <w:tcW w:w="8838" w:type="dxa"/>
            <w:gridSpan w:val="2"/>
          </w:tcPr>
          <w:p w14:paraId="55D7B250" w14:textId="77777777" w:rsidR="00E85FB3" w:rsidRPr="00E85FB3" w:rsidRDefault="00E85FB3" w:rsidP="00582CA7">
            <w:pPr>
              <w:rPr>
                <w:b/>
                <w:bCs/>
                <w:sz w:val="10"/>
                <w:szCs w:val="10"/>
                <w:lang w:val="es-GT"/>
              </w:rPr>
            </w:pPr>
          </w:p>
        </w:tc>
      </w:tr>
      <w:tr w:rsidR="00E85FB3" w:rsidRPr="004E2E1E" w14:paraId="0EC3E254" w14:textId="77777777" w:rsidTr="00582CA7">
        <w:tc>
          <w:tcPr>
            <w:tcW w:w="4419" w:type="dxa"/>
          </w:tcPr>
          <w:p w14:paraId="19DA0042" w14:textId="77777777" w:rsidR="00E85FB3" w:rsidRPr="00E85FB3" w:rsidRDefault="00E85FB3" w:rsidP="00582CA7">
            <w:pPr>
              <w:jc w:val="center"/>
              <w:rPr>
                <w:b/>
                <w:bCs/>
                <w:sz w:val="20"/>
                <w:szCs w:val="20"/>
                <w:lang w:val="es-GT"/>
              </w:rPr>
            </w:pPr>
            <w:r w:rsidRPr="00E85FB3">
              <w:rPr>
                <w:b/>
                <w:bCs/>
                <w:sz w:val="20"/>
                <w:szCs w:val="20"/>
                <w:lang w:val="es-GT"/>
              </w:rPr>
              <w:t>Coeficiente de preferencia de liquidez</w:t>
            </w:r>
          </w:p>
        </w:tc>
        <w:tc>
          <w:tcPr>
            <w:tcW w:w="4419" w:type="dxa"/>
          </w:tcPr>
          <w:p w14:paraId="5B48B13A" w14:textId="77777777" w:rsidR="00E85FB3" w:rsidRPr="00E85FB3" w:rsidRDefault="00E85FB3" w:rsidP="00582CA7">
            <w:pPr>
              <w:jc w:val="center"/>
              <w:rPr>
                <w:b/>
                <w:bCs/>
                <w:sz w:val="20"/>
                <w:szCs w:val="20"/>
                <w:lang w:val="es-GT"/>
              </w:rPr>
            </w:pPr>
            <w:r w:rsidRPr="00E85FB3">
              <w:rPr>
                <w:b/>
                <w:bCs/>
                <w:sz w:val="20"/>
                <w:szCs w:val="20"/>
                <w:lang w:val="es-GT"/>
              </w:rPr>
              <w:t>Contribución al crecimiento de los medios de pago</w:t>
            </w:r>
          </w:p>
        </w:tc>
      </w:tr>
      <w:tr w:rsidR="00E85FB3" w:rsidRPr="004E2E1E" w14:paraId="4C290756" w14:textId="77777777" w:rsidTr="00582CA7">
        <w:tblPrEx>
          <w:tblCellMar>
            <w:left w:w="70" w:type="dxa"/>
            <w:right w:w="70" w:type="dxa"/>
          </w:tblCellMar>
        </w:tblPrEx>
        <w:tc>
          <w:tcPr>
            <w:tcW w:w="4419" w:type="dxa"/>
          </w:tcPr>
          <w:p w14:paraId="0BCE6558" w14:textId="77777777" w:rsidR="00E85FB3" w:rsidRPr="004E2E1E" w:rsidRDefault="00E85FB3" w:rsidP="00582CA7">
            <w:r w:rsidRPr="00E85FB3">
              <w:rPr>
                <w:noProof/>
                <w:lang w:val="es-GT"/>
              </w:rPr>
              <w:t xml:space="preserve"> </w:t>
            </w:r>
            <w:r w:rsidRPr="004E2E1E">
              <w:rPr>
                <w:noProof/>
              </w:rPr>
              <w:drawing>
                <wp:inline distT="0" distB="0" distL="0" distR="0" wp14:anchorId="06A4AED6" wp14:editId="6E934D01">
                  <wp:extent cx="2879725" cy="1746250"/>
                  <wp:effectExtent l="0" t="0" r="0" b="6350"/>
                  <wp:docPr id="48" name="Gráfico 48">
                    <a:extLst xmlns:a="http://schemas.openxmlformats.org/drawingml/2006/main">
                      <a:ext uri="{FF2B5EF4-FFF2-40B4-BE49-F238E27FC236}">
                        <a16:creationId xmlns:a16="http://schemas.microsoft.com/office/drawing/2014/main" id="{00000000-0008-0000-26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c>
          <w:tcPr>
            <w:tcW w:w="4419" w:type="dxa"/>
          </w:tcPr>
          <w:p w14:paraId="0812969F" w14:textId="77777777" w:rsidR="00E85FB3" w:rsidRPr="004E2E1E" w:rsidRDefault="00E85FB3" w:rsidP="00582CA7">
            <w:r w:rsidRPr="004E2E1E">
              <w:rPr>
                <w:noProof/>
              </w:rPr>
              <w:drawing>
                <wp:inline distT="0" distB="0" distL="0" distR="0" wp14:anchorId="3B0C1F87" wp14:editId="2444FD7A">
                  <wp:extent cx="2778760" cy="1917700"/>
                  <wp:effectExtent l="0" t="0" r="2540" b="6350"/>
                  <wp:docPr id="1819" name="Gráfico 1819">
                    <a:extLst xmlns:a="http://schemas.openxmlformats.org/drawingml/2006/main">
                      <a:ext uri="{FF2B5EF4-FFF2-40B4-BE49-F238E27FC236}">
                        <a16:creationId xmlns:a16="http://schemas.microsoft.com/office/drawing/2014/main" id="{00000000-0008-0000-26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r>
      <w:tr w:rsidR="00E85FB3" w:rsidRPr="004E2E1E" w14:paraId="68B1C378" w14:textId="77777777" w:rsidTr="00582CA7">
        <w:tc>
          <w:tcPr>
            <w:tcW w:w="8838" w:type="dxa"/>
            <w:gridSpan w:val="2"/>
          </w:tcPr>
          <w:p w14:paraId="5D0B4336" w14:textId="1016089F" w:rsidR="00E85FB3" w:rsidRPr="00E85FB3" w:rsidRDefault="00E85FB3" w:rsidP="00582CA7">
            <w:pPr>
              <w:rPr>
                <w:sz w:val="18"/>
                <w:szCs w:val="18"/>
                <w:lang w:val="es-GT"/>
              </w:rPr>
            </w:pPr>
            <w:r w:rsidRPr="00E85FB3">
              <w:rPr>
                <w:sz w:val="18"/>
                <w:szCs w:val="18"/>
                <w:lang w:val="es-GT"/>
              </w:rPr>
              <w:t>Fuente: Banco de Guatemala</w:t>
            </w:r>
            <w:r w:rsidR="00434108">
              <w:rPr>
                <w:sz w:val="18"/>
                <w:szCs w:val="18"/>
                <w:lang w:val="es-GT"/>
              </w:rPr>
              <w:t>.</w:t>
            </w:r>
          </w:p>
          <w:p w14:paraId="141E47B6" w14:textId="385583FE" w:rsidR="00E85FB3" w:rsidRPr="00E85FB3" w:rsidRDefault="00E85FB3" w:rsidP="00582CA7">
            <w:pPr>
              <w:rPr>
                <w:sz w:val="18"/>
                <w:szCs w:val="18"/>
                <w:lang w:val="es-GT"/>
              </w:rPr>
            </w:pPr>
            <w:r w:rsidRPr="00E85FB3">
              <w:rPr>
                <w:sz w:val="18"/>
                <w:szCs w:val="18"/>
                <w:lang w:val="es-GT"/>
              </w:rPr>
              <w:t>Nota: El coeficiente de preferencia de liquidez se calculó como el numerario en circulación como proporción de los depósitos totales</w:t>
            </w:r>
            <w:r w:rsidR="00434108">
              <w:rPr>
                <w:sz w:val="18"/>
                <w:szCs w:val="18"/>
                <w:lang w:val="es-GT"/>
              </w:rPr>
              <w:t>.</w:t>
            </w:r>
          </w:p>
        </w:tc>
      </w:tr>
    </w:tbl>
    <w:p w14:paraId="116C96DF" w14:textId="0DE4B345" w:rsidR="00E85FB3" w:rsidRDefault="00E85FB3" w:rsidP="00E85FB3">
      <w:pPr>
        <w:jc w:val="both"/>
      </w:pPr>
    </w:p>
    <w:p w14:paraId="19BE11C5" w14:textId="2A8A15E2" w:rsidR="00E85FB3" w:rsidRPr="005318D0" w:rsidRDefault="00E85FB3" w:rsidP="00354A9C">
      <w:pPr>
        <w:pStyle w:val="Ttulo3"/>
        <w:numPr>
          <w:ilvl w:val="2"/>
          <w:numId w:val="48"/>
        </w:numPr>
        <w:tabs>
          <w:tab w:val="left" w:pos="1134"/>
        </w:tabs>
        <w:rPr>
          <w:rFonts w:ascii="Times New Roman" w:hAnsi="Times New Roman" w:cs="Times New Roman"/>
          <w:b/>
          <w:bCs/>
          <w:color w:val="auto"/>
          <w:lang w:val="es-MX"/>
        </w:rPr>
      </w:pPr>
      <w:bookmarkStart w:id="47" w:name="_Toc143865792"/>
      <w:r w:rsidRPr="005318D0">
        <w:rPr>
          <w:rFonts w:ascii="Times New Roman" w:hAnsi="Times New Roman" w:cs="Times New Roman"/>
          <w:b/>
          <w:bCs/>
          <w:color w:val="auto"/>
          <w:lang w:val="es-MX"/>
        </w:rPr>
        <w:t>Crédito del sistema bancario al sector privado</w:t>
      </w:r>
      <w:bookmarkEnd w:id="47"/>
    </w:p>
    <w:p w14:paraId="79BAFEA3" w14:textId="1E70263C" w:rsidR="00E85FB3" w:rsidRDefault="00E85FB3" w:rsidP="00E85FB3">
      <w:pPr>
        <w:jc w:val="both"/>
      </w:pPr>
    </w:p>
    <w:p w14:paraId="723BC016" w14:textId="664B4A6E" w:rsidR="00E85FB3" w:rsidRDefault="00E85FB3" w:rsidP="00E85FB3">
      <w:pPr>
        <w:jc w:val="both"/>
      </w:pPr>
      <w:r>
        <w:t>El crédito del sistema bancario tuvo una tasa de crecimiento interanual de 16.2% en diciembre de 2022, mayor en 3.1 puntos porcentuales que el del año previo, crecimiento dinámico a pesar del aumento de las tasas de interés que afectan los costos de financiamiento. El crédito en moneda nacional representó 67.2% del total, estructura que ha sido estable en los últimos años, su crecimiento interanual presentó una ralentización en los últimos meses y cerrando con una tasa de 9.7% y por su parte el crédito en moneda extranjera mostró una tasa de crecimiento de 19.7%.</w:t>
      </w:r>
    </w:p>
    <w:p w14:paraId="71734BE1" w14:textId="77777777" w:rsidR="00E85FB3" w:rsidRDefault="00E85FB3" w:rsidP="00E85FB3">
      <w:pPr>
        <w:jc w:val="both"/>
      </w:pPr>
    </w:p>
    <w:p w14:paraId="4F7791DB" w14:textId="797DB28F" w:rsidR="00E85FB3" w:rsidRDefault="00E85FB3" w:rsidP="00E85FB3">
      <w:pPr>
        <w:jc w:val="both"/>
      </w:pPr>
      <w:r>
        <w:t xml:space="preserve">Por actividad </w:t>
      </w:r>
      <w:r w:rsidRPr="00CA557C">
        <w:t>económica</w:t>
      </w:r>
      <w:r w:rsidR="00F22BFD" w:rsidRPr="00CA557C">
        <w:t>,</w:t>
      </w:r>
      <w:r w:rsidRPr="00CA557C">
        <w:t xml:space="preserve"> el crédito del consumo presentó una participación de 38.4% del total y registró una tasa de crecimiento de 23.0%. Por su parte, el crédito del comercio que representó el 13.8% tuvo un crecimiento interanual de 9.7%, menor en comparación al crecimiento de 16.0% del</w:t>
      </w:r>
      <w:r w:rsidR="00CA557C" w:rsidRPr="00CA557C">
        <w:t xml:space="preserve"> año anterior</w:t>
      </w:r>
      <w:r w:rsidRPr="00CA557C">
        <w:t>. El crédito</w:t>
      </w:r>
      <w:r>
        <w:t xml:space="preserve"> en industrias manufactureras mostró una tasa de crecimiento de 30.1%</w:t>
      </w:r>
      <w:r w:rsidR="00F22BFD">
        <w:t>;</w:t>
      </w:r>
      <w:r>
        <w:t xml:space="preserve"> el de las actividades de alojamiento de 9.6%</w:t>
      </w:r>
      <w:r w:rsidR="00F22BFD">
        <w:t>;</w:t>
      </w:r>
      <w:r>
        <w:t xml:space="preserve"> y</w:t>
      </w:r>
      <w:r w:rsidR="00F22BFD">
        <w:t>,</w:t>
      </w:r>
      <w:r>
        <w:t xml:space="preserve"> el del sector construcción de 0.8%.</w:t>
      </w:r>
    </w:p>
    <w:p w14:paraId="0E2790AF" w14:textId="1EE630C4" w:rsidR="00E85FB3" w:rsidRDefault="00E85FB3" w:rsidP="00E85FB3">
      <w:pPr>
        <w:jc w:val="both"/>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4"/>
        <w:gridCol w:w="4274"/>
      </w:tblGrid>
      <w:tr w:rsidR="00E85FB3" w:rsidRPr="004E2E1E" w14:paraId="7AA2A79F" w14:textId="77777777" w:rsidTr="00582CA7">
        <w:tc>
          <w:tcPr>
            <w:tcW w:w="8838" w:type="dxa"/>
            <w:gridSpan w:val="2"/>
          </w:tcPr>
          <w:p w14:paraId="3A1E54B7" w14:textId="7552E125" w:rsidR="00085D28" w:rsidRPr="00085D28" w:rsidRDefault="00E06583" w:rsidP="00E06583">
            <w:pPr>
              <w:pStyle w:val="Descripcin"/>
              <w:spacing w:after="0"/>
              <w:jc w:val="center"/>
              <w:rPr>
                <w:b/>
                <w:bCs/>
                <w:i w:val="0"/>
                <w:iCs w:val="0"/>
                <w:color w:val="000000" w:themeColor="text1"/>
                <w:sz w:val="24"/>
                <w:szCs w:val="24"/>
                <w:lang w:val="es-GT"/>
              </w:rPr>
            </w:pPr>
            <w:bookmarkStart w:id="48" w:name="_Toc143870684"/>
            <w:r w:rsidRPr="00E06583">
              <w:rPr>
                <w:b/>
                <w:bCs/>
                <w:i w:val="0"/>
                <w:iCs w:val="0"/>
                <w:color w:val="auto"/>
                <w:sz w:val="24"/>
                <w:szCs w:val="24"/>
                <w:lang w:val="es-GT"/>
              </w:rPr>
              <w:t xml:space="preserve">Gráfico </w:t>
            </w:r>
            <w:r w:rsidRPr="00E06583">
              <w:rPr>
                <w:b/>
                <w:bCs/>
                <w:i w:val="0"/>
                <w:iCs w:val="0"/>
                <w:color w:val="auto"/>
                <w:sz w:val="24"/>
                <w:szCs w:val="24"/>
              </w:rPr>
              <w:fldChar w:fldCharType="begin"/>
            </w:r>
            <w:r w:rsidRPr="00E06583">
              <w:rPr>
                <w:b/>
                <w:bCs/>
                <w:i w:val="0"/>
                <w:iCs w:val="0"/>
                <w:color w:val="auto"/>
                <w:sz w:val="24"/>
                <w:szCs w:val="24"/>
                <w:lang w:val="es-GT"/>
              </w:rPr>
              <w:instrText xml:space="preserve"> SEQ Gráfico \* ARABIC </w:instrText>
            </w:r>
            <w:r w:rsidRPr="00E06583">
              <w:rPr>
                <w:b/>
                <w:bCs/>
                <w:i w:val="0"/>
                <w:iCs w:val="0"/>
                <w:color w:val="auto"/>
                <w:sz w:val="24"/>
                <w:szCs w:val="24"/>
              </w:rPr>
              <w:fldChar w:fldCharType="separate"/>
            </w:r>
            <w:r w:rsidR="006622B2">
              <w:rPr>
                <w:b/>
                <w:bCs/>
                <w:i w:val="0"/>
                <w:iCs w:val="0"/>
                <w:noProof/>
                <w:color w:val="auto"/>
                <w:sz w:val="24"/>
                <w:szCs w:val="24"/>
                <w:lang w:val="es-GT"/>
              </w:rPr>
              <w:t>17</w:t>
            </w:r>
            <w:r w:rsidRPr="00E06583">
              <w:rPr>
                <w:b/>
                <w:bCs/>
                <w:i w:val="0"/>
                <w:iCs w:val="0"/>
                <w:color w:val="auto"/>
                <w:sz w:val="24"/>
                <w:szCs w:val="24"/>
              </w:rPr>
              <w:fldChar w:fldCharType="end"/>
            </w:r>
            <w:r w:rsidRPr="00E06583">
              <w:rPr>
                <w:b/>
                <w:bCs/>
                <w:i w:val="0"/>
                <w:iCs w:val="0"/>
                <w:color w:val="auto"/>
                <w:sz w:val="24"/>
                <w:szCs w:val="24"/>
                <w:lang w:val="es-GT"/>
              </w:rPr>
              <w:t xml:space="preserve">.  Crecimiento </w:t>
            </w:r>
            <w:r w:rsidRPr="00085D28">
              <w:rPr>
                <w:b/>
                <w:bCs/>
                <w:i w:val="0"/>
                <w:iCs w:val="0"/>
                <w:color w:val="000000" w:themeColor="text1"/>
                <w:sz w:val="24"/>
                <w:szCs w:val="24"/>
                <w:lang w:val="es-GT"/>
              </w:rPr>
              <w:t>interanual del crédito del sistema bancario</w:t>
            </w:r>
            <w:bookmarkEnd w:id="48"/>
          </w:p>
          <w:p w14:paraId="72F6A19B" w14:textId="329AA905" w:rsidR="00E85FB3" w:rsidRPr="00085D28" w:rsidRDefault="00085D28" w:rsidP="00E06583">
            <w:pPr>
              <w:pStyle w:val="Descripcin"/>
              <w:spacing w:after="0"/>
              <w:jc w:val="center"/>
              <w:rPr>
                <w:i w:val="0"/>
                <w:iCs w:val="0"/>
                <w:sz w:val="24"/>
                <w:szCs w:val="24"/>
                <w:lang w:val="es-GT"/>
              </w:rPr>
            </w:pPr>
            <w:r w:rsidRPr="00085D28">
              <w:rPr>
                <w:i w:val="0"/>
                <w:iCs w:val="0"/>
                <w:color w:val="000000" w:themeColor="text1"/>
                <w:sz w:val="22"/>
                <w:szCs w:val="22"/>
                <w:lang w:val="es-GT"/>
              </w:rPr>
              <w:t>En porcentaje</w:t>
            </w:r>
            <w:r w:rsidR="00E06583" w:rsidRPr="00085D28">
              <w:rPr>
                <w:i w:val="0"/>
                <w:iCs w:val="0"/>
                <w:color w:val="000000" w:themeColor="text1"/>
                <w:sz w:val="22"/>
                <w:szCs w:val="22"/>
                <w:lang w:val="es-GT"/>
              </w:rPr>
              <w:t xml:space="preserve"> </w:t>
            </w:r>
          </w:p>
        </w:tc>
      </w:tr>
      <w:tr w:rsidR="00E85FB3" w:rsidRPr="004E2E1E" w14:paraId="72C907EE" w14:textId="77777777" w:rsidTr="00582CA7">
        <w:tc>
          <w:tcPr>
            <w:tcW w:w="4564" w:type="dxa"/>
          </w:tcPr>
          <w:p w14:paraId="4D0589C1" w14:textId="77777777" w:rsidR="00E85FB3" w:rsidRPr="004E2E1E" w:rsidRDefault="00E85FB3" w:rsidP="00582CA7">
            <w:pPr>
              <w:jc w:val="center"/>
              <w:rPr>
                <w:b/>
                <w:bCs/>
                <w:sz w:val="20"/>
                <w:szCs w:val="20"/>
              </w:rPr>
            </w:pPr>
            <w:r w:rsidRPr="004E2E1E">
              <w:rPr>
                <w:b/>
                <w:bCs/>
                <w:sz w:val="20"/>
                <w:szCs w:val="20"/>
              </w:rPr>
              <w:t>Por tipo de moneda</w:t>
            </w:r>
          </w:p>
        </w:tc>
        <w:tc>
          <w:tcPr>
            <w:tcW w:w="4274" w:type="dxa"/>
          </w:tcPr>
          <w:p w14:paraId="688288DA" w14:textId="77777777" w:rsidR="00E85FB3" w:rsidRPr="004E2E1E" w:rsidRDefault="00E85FB3" w:rsidP="00582CA7">
            <w:pPr>
              <w:jc w:val="center"/>
              <w:rPr>
                <w:b/>
                <w:bCs/>
                <w:sz w:val="20"/>
                <w:szCs w:val="20"/>
              </w:rPr>
            </w:pPr>
            <w:r w:rsidRPr="004E2E1E">
              <w:rPr>
                <w:b/>
                <w:bCs/>
                <w:sz w:val="20"/>
                <w:szCs w:val="20"/>
              </w:rPr>
              <w:t>Por actividad económica</w:t>
            </w:r>
          </w:p>
        </w:tc>
      </w:tr>
      <w:tr w:rsidR="00E85FB3" w:rsidRPr="004E2E1E" w14:paraId="77BB3D70" w14:textId="77777777" w:rsidTr="00582CA7">
        <w:tblPrEx>
          <w:tblCellMar>
            <w:left w:w="70" w:type="dxa"/>
            <w:right w:w="70" w:type="dxa"/>
          </w:tblCellMar>
        </w:tblPrEx>
        <w:tc>
          <w:tcPr>
            <w:tcW w:w="4564" w:type="dxa"/>
          </w:tcPr>
          <w:p w14:paraId="25423584" w14:textId="77777777" w:rsidR="00E85FB3" w:rsidRPr="004E2E1E" w:rsidRDefault="00E85FB3" w:rsidP="00582CA7">
            <w:r w:rsidRPr="004E2E1E">
              <w:rPr>
                <w:noProof/>
              </w:rPr>
              <w:t xml:space="preserve"> </w:t>
            </w:r>
            <w:r w:rsidRPr="004E2E1E">
              <w:rPr>
                <w:noProof/>
              </w:rPr>
              <w:drawing>
                <wp:inline distT="0" distB="0" distL="0" distR="0" wp14:anchorId="1473ACD1" wp14:editId="3D93978D">
                  <wp:extent cx="2807335" cy="2019300"/>
                  <wp:effectExtent l="0" t="0" r="0" b="0"/>
                  <wp:docPr id="49" name="Gráfico 49">
                    <a:extLst xmlns:a="http://schemas.openxmlformats.org/drawingml/2006/main">
                      <a:ext uri="{FF2B5EF4-FFF2-40B4-BE49-F238E27FC236}">
                        <a16:creationId xmlns:a16="http://schemas.microsoft.com/office/drawing/2014/main" id="{00000000-0008-0000-2600-00001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c>
          <w:tcPr>
            <w:tcW w:w="4274" w:type="dxa"/>
          </w:tcPr>
          <w:p w14:paraId="780BCCC3" w14:textId="77777777" w:rsidR="00E85FB3" w:rsidRPr="004E2E1E" w:rsidRDefault="00E85FB3" w:rsidP="00582CA7">
            <w:r w:rsidRPr="004E2E1E">
              <w:rPr>
                <w:noProof/>
              </w:rPr>
              <w:drawing>
                <wp:inline distT="0" distB="0" distL="0" distR="0" wp14:anchorId="4E2FC0DD" wp14:editId="72AAD8F4">
                  <wp:extent cx="2520000" cy="2253507"/>
                  <wp:effectExtent l="0" t="0" r="0" b="317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20000" cy="2253507"/>
                          </a:xfrm>
                          <a:prstGeom prst="rect">
                            <a:avLst/>
                          </a:prstGeom>
                        </pic:spPr>
                      </pic:pic>
                    </a:graphicData>
                  </a:graphic>
                </wp:inline>
              </w:drawing>
            </w:r>
          </w:p>
        </w:tc>
      </w:tr>
      <w:tr w:rsidR="00E85FB3" w:rsidRPr="004E2E1E" w14:paraId="1F442607" w14:textId="77777777" w:rsidTr="00582CA7">
        <w:tc>
          <w:tcPr>
            <w:tcW w:w="8838" w:type="dxa"/>
            <w:gridSpan w:val="2"/>
          </w:tcPr>
          <w:p w14:paraId="6530E167" w14:textId="31412190" w:rsidR="00E85FB3" w:rsidRPr="004E2E1E" w:rsidRDefault="00E85FB3" w:rsidP="00582CA7">
            <w:pPr>
              <w:rPr>
                <w:sz w:val="18"/>
                <w:szCs w:val="18"/>
              </w:rPr>
            </w:pPr>
            <w:r w:rsidRPr="00434108">
              <w:rPr>
                <w:sz w:val="18"/>
                <w:szCs w:val="18"/>
              </w:rPr>
              <w:t>Fuente: Banco de Guatemala</w:t>
            </w:r>
            <w:r w:rsidR="00434108" w:rsidRPr="00434108">
              <w:rPr>
                <w:sz w:val="18"/>
                <w:szCs w:val="18"/>
              </w:rPr>
              <w:t>.</w:t>
            </w:r>
          </w:p>
        </w:tc>
      </w:tr>
    </w:tbl>
    <w:p w14:paraId="16EE5732" w14:textId="5093E01F" w:rsidR="00E85FB3" w:rsidRDefault="00E85FB3" w:rsidP="00E85FB3">
      <w:pPr>
        <w:jc w:val="both"/>
      </w:pPr>
    </w:p>
    <w:p w14:paraId="5409DFA0" w14:textId="534CE99E" w:rsidR="00E85FB3" w:rsidRPr="005318D0" w:rsidRDefault="00E85FB3" w:rsidP="00354A9C">
      <w:pPr>
        <w:pStyle w:val="Ttulo3"/>
        <w:numPr>
          <w:ilvl w:val="2"/>
          <w:numId w:val="48"/>
        </w:numPr>
        <w:tabs>
          <w:tab w:val="left" w:pos="1134"/>
        </w:tabs>
        <w:rPr>
          <w:rFonts w:ascii="Times New Roman" w:hAnsi="Times New Roman" w:cs="Times New Roman"/>
          <w:b/>
          <w:bCs/>
          <w:color w:val="auto"/>
          <w:lang w:val="es-MX"/>
        </w:rPr>
      </w:pPr>
      <w:bookmarkStart w:id="49" w:name="_Toc143865793"/>
      <w:r w:rsidRPr="005318D0">
        <w:rPr>
          <w:rFonts w:ascii="Times New Roman" w:hAnsi="Times New Roman" w:cs="Times New Roman"/>
          <w:b/>
          <w:bCs/>
          <w:color w:val="auto"/>
          <w:lang w:val="es-MX"/>
        </w:rPr>
        <w:t>Tasa de interés líder de política monetaria</w:t>
      </w:r>
      <w:bookmarkEnd w:id="49"/>
    </w:p>
    <w:p w14:paraId="1B0EBDB9" w14:textId="59106EC6" w:rsidR="00E85FB3" w:rsidRDefault="00E85FB3" w:rsidP="00E85FB3">
      <w:pPr>
        <w:jc w:val="both"/>
      </w:pPr>
    </w:p>
    <w:p w14:paraId="71D86606" w14:textId="77777777" w:rsidR="00E85FB3" w:rsidRDefault="00E85FB3" w:rsidP="00E85FB3">
      <w:pPr>
        <w:jc w:val="both"/>
      </w:pPr>
      <w:r>
        <w:t>En lo que respecta a la tasa de interés líder de política monetaria, la Junta Monetaria aumentó en 200 puntos básicos, dejando la tasa en 3.75% a diciembre de 2022, con el objetivo de frenar la inflación y proteger la moneda, lo cual es congruente con períodos inusuales de inflación en la economía guatemalteca a partir del segundo trimestre del año.</w:t>
      </w:r>
    </w:p>
    <w:p w14:paraId="15CEF3B6" w14:textId="77777777" w:rsidR="00E85FB3" w:rsidRDefault="00E85FB3" w:rsidP="00E85FB3">
      <w:pPr>
        <w:jc w:val="both"/>
      </w:pPr>
    </w:p>
    <w:p w14:paraId="5638DC4C" w14:textId="762B99A3" w:rsidR="00F34098" w:rsidRDefault="00E85FB3" w:rsidP="00E85FB3">
      <w:pPr>
        <w:jc w:val="both"/>
      </w:pPr>
      <w:r>
        <w:t xml:space="preserve">La tasa activa promedio ponderada de moneda nacional para diciembre de 2022 </w:t>
      </w:r>
      <w:r w:rsidR="00F34098">
        <w:t>mostró</w:t>
      </w:r>
      <w:r>
        <w:t xml:space="preserve"> un valor de 11.8%, manteniéndose levemente inferior al valor de cierre del 2021. Por su lado, la tasa pasiva fue de 4.0% para la misma fecha. Ambas tasas no reflejan un incremento por el efecto de transmisión de la política monetaria, en parte debido a que el incremento se observa en los créditos y depósitos a plazo nuevos de cada periodo y no en los ponderados del todo el sistema.</w:t>
      </w:r>
    </w:p>
    <w:p w14:paraId="01B1EDD1" w14:textId="77777777" w:rsidR="00321A34" w:rsidRDefault="00321A34" w:rsidP="00E85FB3">
      <w:pPr>
        <w:jc w:val="both"/>
      </w:pPr>
    </w:p>
    <w:tbl>
      <w:tblPr>
        <w:tblStyle w:val="Tablaconcuadrcula"/>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0"/>
        <w:gridCol w:w="4660"/>
      </w:tblGrid>
      <w:tr w:rsidR="00F34098" w:rsidRPr="004E2E1E" w14:paraId="116EF338" w14:textId="77777777" w:rsidTr="00582CA7">
        <w:trPr>
          <w:trHeight w:val="24"/>
        </w:trPr>
        <w:tc>
          <w:tcPr>
            <w:tcW w:w="4692" w:type="dxa"/>
          </w:tcPr>
          <w:p w14:paraId="468B97B8" w14:textId="7A3507B3" w:rsidR="00F34098" w:rsidRPr="007C082F" w:rsidRDefault="007C082F" w:rsidP="007C082F">
            <w:pPr>
              <w:pStyle w:val="Descripcin"/>
              <w:spacing w:after="0"/>
              <w:jc w:val="center"/>
              <w:rPr>
                <w:b/>
                <w:bCs/>
                <w:i w:val="0"/>
                <w:iCs w:val="0"/>
                <w:sz w:val="24"/>
                <w:szCs w:val="24"/>
              </w:rPr>
            </w:pPr>
            <w:bookmarkStart w:id="50" w:name="_Toc143870685"/>
            <w:r w:rsidRPr="007C082F">
              <w:rPr>
                <w:b/>
                <w:bCs/>
                <w:i w:val="0"/>
                <w:iCs w:val="0"/>
                <w:color w:val="auto"/>
                <w:sz w:val="24"/>
                <w:szCs w:val="24"/>
              </w:rPr>
              <w:t xml:space="preserve">Gráfico </w:t>
            </w:r>
            <w:r w:rsidRPr="007C082F">
              <w:rPr>
                <w:b/>
                <w:bCs/>
                <w:i w:val="0"/>
                <w:iCs w:val="0"/>
                <w:color w:val="auto"/>
                <w:sz w:val="24"/>
                <w:szCs w:val="24"/>
              </w:rPr>
              <w:fldChar w:fldCharType="begin"/>
            </w:r>
            <w:r w:rsidRPr="007C082F">
              <w:rPr>
                <w:b/>
                <w:bCs/>
                <w:i w:val="0"/>
                <w:iCs w:val="0"/>
                <w:color w:val="auto"/>
                <w:sz w:val="24"/>
                <w:szCs w:val="24"/>
              </w:rPr>
              <w:instrText xml:space="preserve"> SEQ Gráfico \* ARABIC </w:instrText>
            </w:r>
            <w:r w:rsidRPr="007C082F">
              <w:rPr>
                <w:b/>
                <w:bCs/>
                <w:i w:val="0"/>
                <w:iCs w:val="0"/>
                <w:color w:val="auto"/>
                <w:sz w:val="24"/>
                <w:szCs w:val="24"/>
              </w:rPr>
              <w:fldChar w:fldCharType="separate"/>
            </w:r>
            <w:r w:rsidR="006622B2">
              <w:rPr>
                <w:b/>
                <w:bCs/>
                <w:i w:val="0"/>
                <w:iCs w:val="0"/>
                <w:noProof/>
                <w:color w:val="auto"/>
                <w:sz w:val="24"/>
                <w:szCs w:val="24"/>
              </w:rPr>
              <w:t>18</w:t>
            </w:r>
            <w:r w:rsidRPr="007C082F">
              <w:rPr>
                <w:b/>
                <w:bCs/>
                <w:i w:val="0"/>
                <w:iCs w:val="0"/>
                <w:color w:val="auto"/>
                <w:sz w:val="24"/>
                <w:szCs w:val="24"/>
              </w:rPr>
              <w:fldChar w:fldCharType="end"/>
            </w:r>
            <w:r w:rsidRPr="007C082F">
              <w:rPr>
                <w:b/>
                <w:bCs/>
                <w:i w:val="0"/>
                <w:iCs w:val="0"/>
                <w:color w:val="auto"/>
                <w:sz w:val="24"/>
                <w:szCs w:val="24"/>
              </w:rPr>
              <w:t>.  Tasa Líder</w:t>
            </w:r>
            <w:bookmarkEnd w:id="50"/>
            <w:r w:rsidRPr="007C082F">
              <w:rPr>
                <w:b/>
                <w:bCs/>
                <w:i w:val="0"/>
                <w:iCs w:val="0"/>
                <w:sz w:val="24"/>
                <w:szCs w:val="24"/>
              </w:rPr>
              <w:t xml:space="preserve">  </w:t>
            </w:r>
          </w:p>
        </w:tc>
        <w:tc>
          <w:tcPr>
            <w:tcW w:w="4668" w:type="dxa"/>
          </w:tcPr>
          <w:p w14:paraId="744836E5" w14:textId="5F5E90BF" w:rsidR="00F34098" w:rsidRPr="007C082F" w:rsidRDefault="007C082F" w:rsidP="007C082F">
            <w:pPr>
              <w:pStyle w:val="Descripcin"/>
              <w:spacing w:after="0"/>
              <w:jc w:val="center"/>
              <w:rPr>
                <w:b/>
                <w:bCs/>
                <w:i w:val="0"/>
                <w:iCs w:val="0"/>
                <w:color w:val="auto"/>
                <w:sz w:val="24"/>
                <w:szCs w:val="24"/>
                <w:lang w:val="es-GT"/>
              </w:rPr>
            </w:pPr>
            <w:bookmarkStart w:id="51" w:name="_Toc143870686"/>
            <w:r w:rsidRPr="007C082F">
              <w:rPr>
                <w:b/>
                <w:bCs/>
                <w:i w:val="0"/>
                <w:iCs w:val="0"/>
                <w:color w:val="auto"/>
                <w:sz w:val="24"/>
                <w:szCs w:val="24"/>
                <w:lang w:val="es-GT"/>
              </w:rPr>
              <w:t xml:space="preserve">Gráfico </w:t>
            </w:r>
            <w:r w:rsidRPr="007C082F">
              <w:rPr>
                <w:b/>
                <w:bCs/>
                <w:i w:val="0"/>
                <w:iCs w:val="0"/>
                <w:color w:val="auto"/>
                <w:sz w:val="24"/>
                <w:szCs w:val="24"/>
              </w:rPr>
              <w:fldChar w:fldCharType="begin"/>
            </w:r>
            <w:r w:rsidRPr="007C082F">
              <w:rPr>
                <w:b/>
                <w:bCs/>
                <w:i w:val="0"/>
                <w:iCs w:val="0"/>
                <w:color w:val="auto"/>
                <w:sz w:val="24"/>
                <w:szCs w:val="24"/>
                <w:lang w:val="es-GT"/>
              </w:rPr>
              <w:instrText xml:space="preserve"> SEQ Gráfico \* ARABIC </w:instrText>
            </w:r>
            <w:r w:rsidRPr="007C082F">
              <w:rPr>
                <w:b/>
                <w:bCs/>
                <w:i w:val="0"/>
                <w:iCs w:val="0"/>
                <w:color w:val="auto"/>
                <w:sz w:val="24"/>
                <w:szCs w:val="24"/>
              </w:rPr>
              <w:fldChar w:fldCharType="separate"/>
            </w:r>
            <w:r w:rsidR="006622B2">
              <w:rPr>
                <w:b/>
                <w:bCs/>
                <w:i w:val="0"/>
                <w:iCs w:val="0"/>
                <w:noProof/>
                <w:color w:val="auto"/>
                <w:sz w:val="24"/>
                <w:szCs w:val="24"/>
                <w:lang w:val="es-GT"/>
              </w:rPr>
              <w:t>19</w:t>
            </w:r>
            <w:r w:rsidRPr="007C082F">
              <w:rPr>
                <w:b/>
                <w:bCs/>
                <w:i w:val="0"/>
                <w:iCs w:val="0"/>
                <w:color w:val="auto"/>
                <w:sz w:val="24"/>
                <w:szCs w:val="24"/>
              </w:rPr>
              <w:fldChar w:fldCharType="end"/>
            </w:r>
            <w:r w:rsidRPr="007C082F">
              <w:rPr>
                <w:b/>
                <w:bCs/>
                <w:i w:val="0"/>
                <w:iCs w:val="0"/>
                <w:color w:val="auto"/>
                <w:sz w:val="24"/>
                <w:szCs w:val="24"/>
                <w:lang w:val="es-GT"/>
              </w:rPr>
              <w:t>.  Tasa activa y pasiva promedio ponderado</w:t>
            </w:r>
            <w:bookmarkEnd w:id="51"/>
            <w:r w:rsidRPr="007C082F">
              <w:rPr>
                <w:b/>
                <w:bCs/>
                <w:i w:val="0"/>
                <w:iCs w:val="0"/>
                <w:color w:val="auto"/>
                <w:sz w:val="24"/>
                <w:szCs w:val="24"/>
                <w:lang w:val="es-GT"/>
              </w:rPr>
              <w:t xml:space="preserve">  </w:t>
            </w:r>
          </w:p>
        </w:tc>
      </w:tr>
      <w:tr w:rsidR="00F34098" w:rsidRPr="004E2E1E" w14:paraId="695E9EB1" w14:textId="77777777" w:rsidTr="00582CA7">
        <w:tblPrEx>
          <w:tblCellMar>
            <w:left w:w="70" w:type="dxa"/>
            <w:right w:w="70" w:type="dxa"/>
          </w:tblCellMar>
        </w:tblPrEx>
        <w:trPr>
          <w:trHeight w:val="184"/>
        </w:trPr>
        <w:tc>
          <w:tcPr>
            <w:tcW w:w="4692" w:type="dxa"/>
          </w:tcPr>
          <w:p w14:paraId="687560EA" w14:textId="77777777" w:rsidR="00F34098" w:rsidRPr="004E2E1E" w:rsidRDefault="00F34098" w:rsidP="00582CA7">
            <w:pPr>
              <w:rPr>
                <w:noProof/>
              </w:rPr>
            </w:pPr>
            <w:r w:rsidRPr="004E2E1E">
              <w:rPr>
                <w:noProof/>
              </w:rPr>
              <w:drawing>
                <wp:inline distT="0" distB="0" distL="0" distR="0" wp14:anchorId="50FF3F48" wp14:editId="6EA2B8B0">
                  <wp:extent cx="2887345" cy="1873250"/>
                  <wp:effectExtent l="0" t="0" r="8255" b="0"/>
                  <wp:docPr id="51" name="Gráfico 51">
                    <a:extLst xmlns:a="http://schemas.openxmlformats.org/drawingml/2006/main">
                      <a:ext uri="{FF2B5EF4-FFF2-40B4-BE49-F238E27FC236}">
                        <a16:creationId xmlns:a16="http://schemas.microsoft.com/office/drawing/2014/main" id="{C973D2A3-AD51-4D28-98C2-43D8064C6B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c>
          <w:tcPr>
            <w:tcW w:w="4668" w:type="dxa"/>
          </w:tcPr>
          <w:p w14:paraId="7A13EC56" w14:textId="77777777" w:rsidR="00F34098" w:rsidRPr="004E2E1E" w:rsidRDefault="00F34098" w:rsidP="00582CA7">
            <w:r w:rsidRPr="004E2E1E">
              <w:rPr>
                <w:noProof/>
              </w:rPr>
              <w:drawing>
                <wp:inline distT="0" distB="0" distL="0" distR="0" wp14:anchorId="7F6DFBBD" wp14:editId="35B43CC0">
                  <wp:extent cx="2673350" cy="1917700"/>
                  <wp:effectExtent l="0" t="0" r="0" b="6350"/>
                  <wp:docPr id="52" name="Gráfico 52">
                    <a:extLst xmlns:a="http://schemas.openxmlformats.org/drawingml/2006/main">
                      <a:ext uri="{FF2B5EF4-FFF2-40B4-BE49-F238E27FC236}">
                        <a16:creationId xmlns:a16="http://schemas.microsoft.com/office/drawing/2014/main" id="{2F70352B-5F55-42F2-86BC-2E7AD33A76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r>
      <w:tr w:rsidR="00F34098" w:rsidRPr="004E2E1E" w14:paraId="61D8B0B0" w14:textId="77777777" w:rsidTr="00582CA7">
        <w:tblPrEx>
          <w:tblCellMar>
            <w:left w:w="70" w:type="dxa"/>
            <w:right w:w="70" w:type="dxa"/>
          </w:tblCellMar>
        </w:tblPrEx>
        <w:trPr>
          <w:trHeight w:val="184"/>
        </w:trPr>
        <w:tc>
          <w:tcPr>
            <w:tcW w:w="4692" w:type="dxa"/>
          </w:tcPr>
          <w:p w14:paraId="6DFAEB74" w14:textId="3AC4E4EC" w:rsidR="00F34098" w:rsidRPr="004E2E1E" w:rsidRDefault="00F34098" w:rsidP="00582CA7">
            <w:pPr>
              <w:rPr>
                <w:noProof/>
                <w:sz w:val="18"/>
                <w:szCs w:val="18"/>
              </w:rPr>
            </w:pPr>
            <w:r w:rsidRPr="004E2E1E">
              <w:rPr>
                <w:noProof/>
                <w:sz w:val="18"/>
                <w:szCs w:val="18"/>
              </w:rPr>
              <w:t>Fuente: Banco de Guatemala</w:t>
            </w:r>
            <w:r>
              <w:rPr>
                <w:noProof/>
                <w:sz w:val="18"/>
                <w:szCs w:val="18"/>
              </w:rPr>
              <w:t>.</w:t>
            </w:r>
          </w:p>
        </w:tc>
        <w:tc>
          <w:tcPr>
            <w:tcW w:w="4668" w:type="dxa"/>
          </w:tcPr>
          <w:p w14:paraId="4E27A458" w14:textId="77777777" w:rsidR="00F34098" w:rsidRPr="004E2E1E" w:rsidRDefault="00F34098" w:rsidP="00582CA7">
            <w:pPr>
              <w:rPr>
                <w:noProof/>
              </w:rPr>
            </w:pPr>
          </w:p>
        </w:tc>
      </w:tr>
    </w:tbl>
    <w:p w14:paraId="5C501ADB" w14:textId="001666C6" w:rsidR="00F34098" w:rsidRDefault="00F34098" w:rsidP="00E85FB3">
      <w:pPr>
        <w:jc w:val="both"/>
      </w:pPr>
    </w:p>
    <w:p w14:paraId="7671787E" w14:textId="663820C4" w:rsidR="00F34098" w:rsidRPr="005318D0" w:rsidRDefault="00F34098" w:rsidP="00354A9C">
      <w:pPr>
        <w:pStyle w:val="Ttulo3"/>
        <w:numPr>
          <w:ilvl w:val="1"/>
          <w:numId w:val="48"/>
        </w:numPr>
        <w:tabs>
          <w:tab w:val="left" w:pos="1134"/>
        </w:tabs>
        <w:rPr>
          <w:rFonts w:ascii="Times New Roman" w:hAnsi="Times New Roman" w:cs="Times New Roman"/>
          <w:b/>
          <w:bCs/>
          <w:color w:val="auto"/>
          <w:lang w:val="es-MX"/>
        </w:rPr>
      </w:pPr>
      <w:bookmarkStart w:id="52" w:name="_Toc143865794"/>
      <w:r w:rsidRPr="005318D0">
        <w:rPr>
          <w:rFonts w:ascii="Times New Roman" w:hAnsi="Times New Roman" w:cs="Times New Roman"/>
          <w:b/>
          <w:bCs/>
          <w:color w:val="auto"/>
          <w:lang w:val="es-MX"/>
        </w:rPr>
        <w:t>Sector externo</w:t>
      </w:r>
      <w:bookmarkEnd w:id="52"/>
    </w:p>
    <w:p w14:paraId="7BF68122" w14:textId="22D4DF0A" w:rsidR="00F34098" w:rsidRDefault="00F34098" w:rsidP="00E85FB3">
      <w:pPr>
        <w:jc w:val="both"/>
      </w:pPr>
    </w:p>
    <w:p w14:paraId="5B7D4013" w14:textId="37CF32BE" w:rsidR="00F34098" w:rsidRDefault="00F34098" w:rsidP="00E85FB3">
      <w:pPr>
        <w:jc w:val="both"/>
      </w:pPr>
      <w:r w:rsidRPr="00F34098">
        <w:t>El sector externo de la economía nacional presentó un alto dinamismo en 2022, a pesar del endurecimiento de la política monetaria en la mayoría de países, las tensiones geopolíticas por el conflicto entre Rusia y Ucrania, el aumento de los precios internacionales de las materias prima, las disrupciones en las cadenas de suministro y los cierres observados en China por la propagación de la pandemia. Estos factores tuvieron un efecto en los distintos componentes de la balanza de pagos, en el comercio exterior las importaciones y las exportaciones mostraron un crecimiento alto debido principalmente al aumento de los precios. Las remesas familiares mostraron un alto dinamismo que compensó nuevamente los déficits de la cuenta corriente. Asimismo, el constante aumento en los activos, en los que destacan las reservas monetarias internacionales, y la disminución leve de los pasivos</w:t>
      </w:r>
      <w:r w:rsidR="00F22BFD">
        <w:t>,</w:t>
      </w:r>
      <w:r w:rsidRPr="00F34098">
        <w:t xml:space="preserve"> han mejorado y fortalecido la posición de inversión internacional neta.</w:t>
      </w:r>
    </w:p>
    <w:p w14:paraId="4937722E" w14:textId="6F241FDB" w:rsidR="00F34098" w:rsidRDefault="00F34098" w:rsidP="00E85FB3">
      <w:pPr>
        <w:jc w:val="both"/>
      </w:pPr>
    </w:p>
    <w:p w14:paraId="57E709E5" w14:textId="3F9C7F8B" w:rsidR="00F34098" w:rsidRPr="005318D0" w:rsidRDefault="00F34098" w:rsidP="00354A9C">
      <w:pPr>
        <w:pStyle w:val="Ttulo3"/>
        <w:numPr>
          <w:ilvl w:val="2"/>
          <w:numId w:val="48"/>
        </w:numPr>
        <w:tabs>
          <w:tab w:val="left" w:pos="1134"/>
        </w:tabs>
        <w:rPr>
          <w:rFonts w:ascii="Times New Roman" w:hAnsi="Times New Roman" w:cs="Times New Roman"/>
          <w:b/>
          <w:bCs/>
          <w:color w:val="auto"/>
          <w:lang w:val="es-MX"/>
        </w:rPr>
      </w:pPr>
      <w:bookmarkStart w:id="53" w:name="_Toc143865795"/>
      <w:r w:rsidRPr="005318D0">
        <w:rPr>
          <w:rFonts w:ascii="Times New Roman" w:hAnsi="Times New Roman" w:cs="Times New Roman"/>
          <w:b/>
          <w:bCs/>
          <w:color w:val="auto"/>
          <w:lang w:val="es-MX"/>
        </w:rPr>
        <w:t>Balanza de pagos</w:t>
      </w:r>
      <w:bookmarkEnd w:id="53"/>
    </w:p>
    <w:p w14:paraId="301E9B3E" w14:textId="4B303CAE" w:rsidR="00E85FB3" w:rsidRDefault="00E85FB3" w:rsidP="00E85FB3">
      <w:pPr>
        <w:jc w:val="both"/>
      </w:pPr>
    </w:p>
    <w:p w14:paraId="00EE48CB" w14:textId="05954549" w:rsidR="00F34098" w:rsidRDefault="00F34098" w:rsidP="00F34098">
      <w:pPr>
        <w:jc w:val="both"/>
      </w:pPr>
      <w:r>
        <w:t>En el 2022</w:t>
      </w:r>
      <w:r w:rsidR="00F22BFD">
        <w:t>, el</w:t>
      </w:r>
      <w:r>
        <w:t xml:space="preserve"> saldo de la cuenta corriente fue superavitario por US$1,319.4 millones y representó 1.4% del PIB. No obstante, el saldo de la balanza comercial fue deficitario por US$15,789.2 millones en ese año, mostrando un déficit mayor al de los años previos explicado principalmente a un efecto precio en el comercio exterior, dado que los precios de los productos y servicios importados han tenido un crecimiento mayor que el de los exportados, lo cual se ve reflejado también en un deterioro de los términos de intercambio.</w:t>
      </w:r>
    </w:p>
    <w:p w14:paraId="506B39F5" w14:textId="77777777" w:rsidR="00F34098" w:rsidRDefault="00F34098" w:rsidP="00F34098">
      <w:pPr>
        <w:jc w:val="both"/>
      </w:pPr>
    </w:p>
    <w:p w14:paraId="1494CD22" w14:textId="53749FA9" w:rsidR="00F34098" w:rsidRDefault="00F34098" w:rsidP="00F34098">
      <w:pPr>
        <w:jc w:val="both"/>
      </w:pPr>
      <w:r>
        <w:t>En el caso del ingreso primario</w:t>
      </w:r>
      <w:r w:rsidR="00F22BFD">
        <w:t>,</w:t>
      </w:r>
      <w:r>
        <w:t xml:space="preserve"> que registra las rentas de los factores de la producción</w:t>
      </w:r>
      <w:r w:rsidR="00F22BFD">
        <w:t>,</w:t>
      </w:r>
      <w:r>
        <w:t xml:space="preserve"> tuvo un déficit de US$1,852.6 millones, y la cuenta de ingreso secundario tuvo un saldo superavitario de US$18,961.2 millones, que fue la principal razón del superávit de cuenta corriente dado que tuvo la magnitud suficiente para cubrir los déficits de la balanza comercial y del ingreso primario y aun así generar superávit</w:t>
      </w:r>
      <w:r w:rsidR="00F22BFD">
        <w:t>.  E</w:t>
      </w:r>
      <w:r>
        <w:t>l rubro de la cuenta secundaria</w:t>
      </w:r>
      <w:r w:rsidR="00F22BFD">
        <w:t>,</w:t>
      </w:r>
      <w:r>
        <w:t xml:space="preserve"> de la cual se derivó dicho superávit</w:t>
      </w:r>
      <w:r w:rsidR="00F22BFD">
        <w:t>,</w:t>
      </w:r>
      <w:r>
        <w:t xml:space="preserve"> fueron los créditos por transferencias personales que corresponden al ingreso de divisas por remesas familiares. La cuenta de capital no presentó saldo y el de la cuenta financiera fue de US$863.4 millones incluyendo los activos de reservas y los errores y omisiones representaron un saldo negativo de 0.5% con respecto al PIB.</w:t>
      </w:r>
    </w:p>
    <w:p w14:paraId="58518E66" w14:textId="77777777" w:rsidR="007C082F" w:rsidRDefault="007C082F" w:rsidP="00F34098">
      <w:pPr>
        <w:jc w:val="both"/>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6"/>
        <w:gridCol w:w="4532"/>
      </w:tblGrid>
      <w:tr w:rsidR="00F34098" w:rsidRPr="004E2E1E" w14:paraId="2717BC9B" w14:textId="77777777" w:rsidTr="00434108">
        <w:tc>
          <w:tcPr>
            <w:tcW w:w="4419" w:type="dxa"/>
          </w:tcPr>
          <w:p w14:paraId="15BAB217" w14:textId="12721017" w:rsidR="00F34098" w:rsidRDefault="007C082F" w:rsidP="007C082F">
            <w:pPr>
              <w:keepNext/>
              <w:jc w:val="center"/>
              <w:rPr>
                <w:b/>
                <w:bCs/>
                <w:lang w:val="es-GT"/>
              </w:rPr>
            </w:pPr>
            <w:bookmarkStart w:id="54" w:name="_Toc143870687"/>
            <w:r w:rsidRPr="007C082F">
              <w:rPr>
                <w:b/>
                <w:bCs/>
                <w:lang w:val="es-GT"/>
              </w:rPr>
              <w:t xml:space="preserve">Gráfico </w:t>
            </w:r>
            <w:r w:rsidRPr="007C082F">
              <w:rPr>
                <w:b/>
                <w:bCs/>
              </w:rPr>
              <w:fldChar w:fldCharType="begin"/>
            </w:r>
            <w:r w:rsidRPr="007C082F">
              <w:rPr>
                <w:b/>
                <w:bCs/>
                <w:lang w:val="es-GT"/>
              </w:rPr>
              <w:instrText xml:space="preserve"> SEQ Gráfico \* ARABIC </w:instrText>
            </w:r>
            <w:r w:rsidRPr="007C082F">
              <w:rPr>
                <w:b/>
                <w:bCs/>
              </w:rPr>
              <w:fldChar w:fldCharType="separate"/>
            </w:r>
            <w:r w:rsidR="006622B2">
              <w:rPr>
                <w:b/>
                <w:bCs/>
                <w:noProof/>
                <w:lang w:val="es-GT"/>
              </w:rPr>
              <w:t>20</w:t>
            </w:r>
            <w:r w:rsidRPr="007C082F">
              <w:rPr>
                <w:b/>
                <w:bCs/>
              </w:rPr>
              <w:fldChar w:fldCharType="end"/>
            </w:r>
            <w:r w:rsidRPr="007C082F">
              <w:rPr>
                <w:b/>
                <w:bCs/>
                <w:lang w:val="es-GT"/>
              </w:rPr>
              <w:t>.  Cuenta corriente de la balanza de pagos</w:t>
            </w:r>
            <w:bookmarkEnd w:id="54"/>
            <w:r w:rsidRPr="007C082F">
              <w:rPr>
                <w:b/>
                <w:bCs/>
                <w:lang w:val="es-GT"/>
              </w:rPr>
              <w:t xml:space="preserve"> </w:t>
            </w:r>
          </w:p>
          <w:p w14:paraId="7F2A68EA" w14:textId="351AB73A" w:rsidR="00085D28" w:rsidRPr="00085D28" w:rsidRDefault="00085D28" w:rsidP="007C082F">
            <w:pPr>
              <w:keepNext/>
              <w:jc w:val="center"/>
              <w:rPr>
                <w:lang w:val="es-GT"/>
              </w:rPr>
            </w:pPr>
            <w:r w:rsidRPr="00085D28">
              <w:rPr>
                <w:sz w:val="20"/>
                <w:szCs w:val="20"/>
                <w:lang w:val="es-GT"/>
              </w:rPr>
              <w:t>Como porcentaje del PIB</w:t>
            </w:r>
          </w:p>
        </w:tc>
        <w:tc>
          <w:tcPr>
            <w:tcW w:w="4419" w:type="dxa"/>
          </w:tcPr>
          <w:p w14:paraId="351BD90E" w14:textId="09EDA704" w:rsidR="007C082F" w:rsidRPr="007C082F" w:rsidRDefault="007C082F" w:rsidP="007C082F">
            <w:pPr>
              <w:keepNext/>
              <w:jc w:val="center"/>
              <w:rPr>
                <w:b/>
                <w:bCs/>
                <w:lang w:val="es-GT"/>
              </w:rPr>
            </w:pPr>
            <w:bookmarkStart w:id="55" w:name="_Toc143870688"/>
            <w:r w:rsidRPr="007C082F">
              <w:rPr>
                <w:b/>
                <w:bCs/>
                <w:lang w:val="es-GT"/>
              </w:rPr>
              <w:t xml:space="preserve">Gráfico </w:t>
            </w:r>
            <w:r w:rsidRPr="007C082F">
              <w:rPr>
                <w:b/>
                <w:bCs/>
              </w:rPr>
              <w:fldChar w:fldCharType="begin"/>
            </w:r>
            <w:r w:rsidRPr="007C082F">
              <w:rPr>
                <w:b/>
                <w:bCs/>
                <w:lang w:val="es-GT"/>
              </w:rPr>
              <w:instrText xml:space="preserve"> SEQ Gráfico \* ARABIC </w:instrText>
            </w:r>
            <w:r w:rsidRPr="007C082F">
              <w:rPr>
                <w:b/>
                <w:bCs/>
              </w:rPr>
              <w:fldChar w:fldCharType="separate"/>
            </w:r>
            <w:r w:rsidR="006622B2">
              <w:rPr>
                <w:b/>
                <w:bCs/>
                <w:noProof/>
                <w:lang w:val="es-GT"/>
              </w:rPr>
              <w:t>21</w:t>
            </w:r>
            <w:r w:rsidRPr="007C082F">
              <w:rPr>
                <w:b/>
                <w:bCs/>
              </w:rPr>
              <w:fldChar w:fldCharType="end"/>
            </w:r>
            <w:r w:rsidRPr="007C082F">
              <w:rPr>
                <w:b/>
                <w:bCs/>
                <w:lang w:val="es-GT"/>
              </w:rPr>
              <w:t>. Términos de intercambio</w:t>
            </w:r>
            <w:bookmarkEnd w:id="55"/>
          </w:p>
          <w:p w14:paraId="5A6D1DA9" w14:textId="5358501D" w:rsidR="00F34098" w:rsidRPr="007C082F" w:rsidRDefault="007C082F" w:rsidP="00085D28">
            <w:pPr>
              <w:keepNext/>
              <w:jc w:val="center"/>
              <w:rPr>
                <w:i/>
                <w:iCs/>
                <w:lang w:val="es-GT"/>
              </w:rPr>
            </w:pPr>
            <w:r w:rsidRPr="007C082F">
              <w:rPr>
                <w:lang w:val="es-GT"/>
              </w:rPr>
              <w:t xml:space="preserve">  </w:t>
            </w:r>
            <w:r w:rsidR="00F34098" w:rsidRPr="007C082F">
              <w:rPr>
                <w:sz w:val="20"/>
                <w:szCs w:val="20"/>
                <w:lang w:val="es-GT"/>
              </w:rPr>
              <w:t>En porcentaje</w:t>
            </w:r>
          </w:p>
        </w:tc>
      </w:tr>
      <w:tr w:rsidR="00F34098" w:rsidRPr="004E2E1E" w14:paraId="3BCD4C02" w14:textId="77777777" w:rsidTr="00434108">
        <w:tblPrEx>
          <w:tblCellMar>
            <w:left w:w="70" w:type="dxa"/>
            <w:right w:w="70" w:type="dxa"/>
          </w:tblCellMar>
        </w:tblPrEx>
        <w:tc>
          <w:tcPr>
            <w:tcW w:w="4419" w:type="dxa"/>
          </w:tcPr>
          <w:p w14:paraId="54AB427A" w14:textId="77777777" w:rsidR="00F34098" w:rsidRPr="004E2E1E" w:rsidRDefault="00F34098" w:rsidP="00582CA7">
            <w:pPr>
              <w:jc w:val="center"/>
            </w:pPr>
            <w:r w:rsidRPr="004E2E1E">
              <w:rPr>
                <w:noProof/>
              </w:rPr>
              <w:drawing>
                <wp:inline distT="0" distB="0" distL="0" distR="0" wp14:anchorId="06530ECC" wp14:editId="4AA69A7F">
                  <wp:extent cx="2692400" cy="1993900"/>
                  <wp:effectExtent l="0" t="0" r="0" b="6350"/>
                  <wp:docPr id="32" name="Gráfico 32">
                    <a:extLst xmlns:a="http://schemas.openxmlformats.org/drawingml/2006/main">
                      <a:ext uri="{FF2B5EF4-FFF2-40B4-BE49-F238E27FC236}">
                        <a16:creationId xmlns:a16="http://schemas.microsoft.com/office/drawing/2014/main" id="{00000000-0008-0000-21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c>
          <w:tcPr>
            <w:tcW w:w="4419" w:type="dxa"/>
          </w:tcPr>
          <w:p w14:paraId="492216B0" w14:textId="77777777" w:rsidR="00F34098" w:rsidRPr="004E2E1E" w:rsidRDefault="00F34098" w:rsidP="00582CA7">
            <w:pPr>
              <w:jc w:val="center"/>
            </w:pPr>
            <w:r w:rsidRPr="004E2E1E">
              <w:rPr>
                <w:noProof/>
              </w:rPr>
              <w:drawing>
                <wp:inline distT="0" distB="0" distL="0" distR="0" wp14:anchorId="1E74D463" wp14:editId="01689A32">
                  <wp:extent cx="2838450" cy="1943100"/>
                  <wp:effectExtent l="0" t="0" r="0" b="0"/>
                  <wp:docPr id="33" name="Gráfico 33">
                    <a:extLst xmlns:a="http://schemas.openxmlformats.org/drawingml/2006/main">
                      <a:ext uri="{FF2B5EF4-FFF2-40B4-BE49-F238E27FC236}">
                        <a16:creationId xmlns:a16="http://schemas.microsoft.com/office/drawing/2014/main" id="{00000000-0008-0000-16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r>
      <w:tr w:rsidR="00F34098" w:rsidRPr="004E2E1E" w14:paraId="1C44613C" w14:textId="77777777" w:rsidTr="00434108">
        <w:tc>
          <w:tcPr>
            <w:tcW w:w="8838" w:type="dxa"/>
            <w:gridSpan w:val="2"/>
          </w:tcPr>
          <w:p w14:paraId="4DE9BC0C" w14:textId="24F01C39" w:rsidR="00F34098" w:rsidRPr="00F34098" w:rsidRDefault="00F34098" w:rsidP="00582CA7">
            <w:pPr>
              <w:jc w:val="both"/>
              <w:rPr>
                <w:sz w:val="18"/>
                <w:szCs w:val="18"/>
                <w:lang w:val="es-GT"/>
              </w:rPr>
            </w:pPr>
            <w:r w:rsidRPr="00F34098">
              <w:rPr>
                <w:sz w:val="18"/>
                <w:szCs w:val="18"/>
                <w:lang w:val="es-GT"/>
              </w:rPr>
              <w:t>Fuente: Banco de Guatemala</w:t>
            </w:r>
            <w:r w:rsidR="00434108">
              <w:rPr>
                <w:sz w:val="18"/>
                <w:szCs w:val="18"/>
                <w:lang w:val="es-GT"/>
              </w:rPr>
              <w:t>.</w:t>
            </w:r>
          </w:p>
          <w:p w14:paraId="1ADFF19A" w14:textId="2A77890E" w:rsidR="00F34098" w:rsidRPr="00F34098" w:rsidRDefault="00F34098" w:rsidP="00582CA7">
            <w:pPr>
              <w:jc w:val="both"/>
              <w:rPr>
                <w:sz w:val="18"/>
                <w:szCs w:val="18"/>
                <w:lang w:val="es-GT"/>
              </w:rPr>
            </w:pPr>
            <w:r w:rsidRPr="00F34098">
              <w:rPr>
                <w:sz w:val="18"/>
                <w:szCs w:val="18"/>
                <w:lang w:val="es-GT"/>
              </w:rPr>
              <w:t>Nota: Los términos de intercambio se calcularon con los deflactores de las exportaciones e importaciones</w:t>
            </w:r>
            <w:r w:rsidR="00434108">
              <w:rPr>
                <w:sz w:val="18"/>
                <w:szCs w:val="18"/>
                <w:lang w:val="es-GT"/>
              </w:rPr>
              <w:t>.</w:t>
            </w:r>
          </w:p>
        </w:tc>
      </w:tr>
    </w:tbl>
    <w:p w14:paraId="64A06D5B" w14:textId="4B99FC46" w:rsidR="00F34098" w:rsidRDefault="00F34098" w:rsidP="00F34098">
      <w:pPr>
        <w:jc w:val="both"/>
      </w:pPr>
    </w:p>
    <w:p w14:paraId="50756385" w14:textId="77777777" w:rsidR="00F34098" w:rsidRPr="005318D0" w:rsidRDefault="00F34098" w:rsidP="00354A9C">
      <w:pPr>
        <w:pStyle w:val="Ttulo3"/>
        <w:numPr>
          <w:ilvl w:val="2"/>
          <w:numId w:val="48"/>
        </w:numPr>
        <w:tabs>
          <w:tab w:val="left" w:pos="1134"/>
        </w:tabs>
        <w:rPr>
          <w:rFonts w:ascii="Times New Roman" w:hAnsi="Times New Roman" w:cs="Times New Roman"/>
          <w:b/>
          <w:bCs/>
          <w:color w:val="auto"/>
          <w:lang w:val="es-MX"/>
        </w:rPr>
      </w:pPr>
      <w:bookmarkStart w:id="56" w:name="_Toc143865796"/>
      <w:r w:rsidRPr="005318D0">
        <w:rPr>
          <w:rFonts w:ascii="Times New Roman" w:hAnsi="Times New Roman" w:cs="Times New Roman"/>
          <w:b/>
          <w:bCs/>
          <w:color w:val="auto"/>
          <w:lang w:val="es-MX"/>
        </w:rPr>
        <w:t>Balanza comercial</w:t>
      </w:r>
      <w:bookmarkEnd w:id="56"/>
      <w:r w:rsidRPr="005318D0">
        <w:rPr>
          <w:rFonts w:ascii="Times New Roman" w:hAnsi="Times New Roman" w:cs="Times New Roman"/>
          <w:b/>
          <w:bCs/>
          <w:color w:val="auto"/>
          <w:lang w:val="es-MX"/>
        </w:rPr>
        <w:t xml:space="preserve"> </w:t>
      </w:r>
    </w:p>
    <w:p w14:paraId="6D6FF0C1" w14:textId="41FC711C" w:rsidR="00F34098" w:rsidRDefault="00F34098" w:rsidP="00F34098">
      <w:pPr>
        <w:jc w:val="both"/>
      </w:pPr>
    </w:p>
    <w:p w14:paraId="62B2EDEE" w14:textId="7252EEEB" w:rsidR="00F34098" w:rsidRDefault="00F34098" w:rsidP="00F34098">
      <w:pPr>
        <w:jc w:val="both"/>
      </w:pPr>
      <w:r>
        <w:t xml:space="preserve">El déficit de balanza comercial fue de US$15,789.2 millones en 2022, como se indicó anteriormente, y representó como proporción del PIB un 16.7%. Este déficit ha presentado un constante aumento a </w:t>
      </w:r>
      <w:r w:rsidR="007C082F">
        <w:t>través</w:t>
      </w:r>
      <w:r>
        <w:t xml:space="preserve"> del tiempo, dado que el crecimiento en el largo plazo de las exportaciones ha sido menor que el de las importaciones. Asimismo, las exportaciones de bienes tuvieron un crecimiento de 15.5% y representaron 79.0% del total</w:t>
      </w:r>
      <w:r w:rsidR="00280649">
        <w:t>.  P</w:t>
      </w:r>
      <w:r>
        <w:t>or su lado</w:t>
      </w:r>
      <w:r w:rsidR="00280649">
        <w:t>,</w:t>
      </w:r>
      <w:r>
        <w:t xml:space="preserve"> la</w:t>
      </w:r>
      <w:r w:rsidR="00434108">
        <w:t>s</w:t>
      </w:r>
      <w:r>
        <w:t xml:space="preserve"> importaciones de bienes registraron una tasa de crecimiento de 22.2%, y representaron 84.0% del total. </w:t>
      </w:r>
    </w:p>
    <w:p w14:paraId="055EA433" w14:textId="77777777" w:rsidR="00F34098" w:rsidRDefault="00F34098" w:rsidP="00F34098">
      <w:pPr>
        <w:jc w:val="both"/>
      </w:pPr>
    </w:p>
    <w:p w14:paraId="1ACDD8C0" w14:textId="7DC5EF93" w:rsidR="00F34098" w:rsidRDefault="00F34098" w:rsidP="00F34098">
      <w:pPr>
        <w:jc w:val="both"/>
      </w:pPr>
      <w:r>
        <w:t xml:space="preserve">Previo a mostrar el análisis sobre las exportaciones e importaciones de bienes que se derivan de las </w:t>
      </w:r>
      <w:r w:rsidR="00434108">
        <w:t>estadísticas</w:t>
      </w:r>
      <w:r>
        <w:t xml:space="preserve"> de comercio exterior</w:t>
      </w:r>
      <w:r w:rsidR="00A202ED">
        <w:t>,</w:t>
      </w:r>
      <w:r>
        <w:t xml:space="preserve"> es importante indicar que estos datos difieren con los de la balanza de pagos que fueron presentados anteriormente, esta diferencia se encuentra detallada en los cuadros de conciliación del Banco de Guatemala</w:t>
      </w:r>
      <w:r w:rsidR="00085D28">
        <w:t>, que en parte se explica por los conceptos de bienes que cambiaron su propiedad en depósitos aduaneros u otras zonas, ajuste CIF/FOB, entre otras.</w:t>
      </w:r>
    </w:p>
    <w:p w14:paraId="6600F545" w14:textId="77777777" w:rsidR="00F34098" w:rsidRDefault="00F34098" w:rsidP="00F34098">
      <w:pPr>
        <w:jc w:val="both"/>
      </w:pPr>
    </w:p>
    <w:p w14:paraId="4DCE48C2" w14:textId="2AF336DC" w:rsidR="00F34098" w:rsidRDefault="00F34098" w:rsidP="00F34098">
      <w:pPr>
        <w:jc w:val="both"/>
      </w:pPr>
      <w:r>
        <w:t>Las exportaciones FOB</w:t>
      </w:r>
      <w:r w:rsidR="00A202ED">
        <w:t>,</w:t>
      </w:r>
      <w:r>
        <w:t xml:space="preserve"> según comercio exterior</w:t>
      </w:r>
      <w:r w:rsidR="00A202ED">
        <w:t>,</w:t>
      </w:r>
      <w:r>
        <w:t xml:space="preserve"> fueron de US$15,657.8 millones en 2022, mayores a las del 2021 por US$2,038.0 millones. La tasa de crecimiento fue de 15.0% y se explica principalmente a que la demanda externa de los principales socios económicos se ha mantenido y además de un incremento general en los precios de los productos de exportación como lo refleja el deflactor de las exportaciones de bienes y servicios, y el incremento en el precio medio de las exportaciones de bienes.</w:t>
      </w:r>
    </w:p>
    <w:p w14:paraId="7DCA1B81" w14:textId="77777777" w:rsidR="00F34098" w:rsidRDefault="00F34098" w:rsidP="00F34098">
      <w:pPr>
        <w:jc w:val="both"/>
      </w:pPr>
    </w:p>
    <w:p w14:paraId="0C8C06F5" w14:textId="6FCD7FF1" w:rsidR="00F34098" w:rsidRDefault="00F34098" w:rsidP="00F34098">
      <w:pPr>
        <w:jc w:val="both"/>
      </w:pPr>
      <w:r>
        <w:t>Los principales destinos de exportación de bienes fueron Centroamérica (35.7%), Estados Unidos (31.0%), México (4.4%</w:t>
      </w:r>
      <w:r w:rsidR="00434108">
        <w:t>)</w:t>
      </w:r>
      <w:r>
        <w:t>, Países Bajos (4.1%), China (2.8%), España (2.0%) e Italia (1.3%). Asimismo, entre los principales productos de exportación en 2022 se encuentran los artículos de vestuario que tuvieron un crecimiento de 16.8% explicado por los precios, dado que el volumen disminuyó. Por su lado, el café tuvo un alto crecimiento de 20.2%, también explicado por el precio dado que su volumen disminuyó significativamente. Las grasas y aceites comestibles tuvieron un crecimiento de 30.0% explicado por un aumento de ambos factores. El banano tuvo un crecimiento de 11.7% por el incremento de los precios y volumen. El hierro y acero tuvieron un incremento de 10.9% explicado por el aumento de precios. Por su lado, los materiales plásticos y sus manufacturas mostraron un crecimiento de 16.7%, las manufacturas de papel y cartón de 10.7% y el azúcar de 55.2%. Por su parte el cardamomo, producto que impulsó las exportaciones en los últimos años, registró una disminución de 21.3%. Estos productos de exportación representaron 51.0 % del total FOB de comercio exterior.</w:t>
      </w:r>
    </w:p>
    <w:p w14:paraId="43F91308" w14:textId="455BF77E" w:rsidR="00F34098" w:rsidRDefault="00F34098" w:rsidP="00F34098">
      <w:pPr>
        <w:jc w:val="both"/>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1"/>
        <w:gridCol w:w="4397"/>
      </w:tblGrid>
      <w:tr w:rsidR="00F34098" w:rsidRPr="004E2E1E" w14:paraId="27FB1DEE" w14:textId="77777777" w:rsidTr="00582CA7">
        <w:tc>
          <w:tcPr>
            <w:tcW w:w="9350" w:type="dxa"/>
            <w:gridSpan w:val="2"/>
          </w:tcPr>
          <w:p w14:paraId="24B75315" w14:textId="409E803D" w:rsidR="00F34098" w:rsidRPr="00CA6857" w:rsidRDefault="00CA6857" w:rsidP="00CA6857">
            <w:pPr>
              <w:pStyle w:val="Descripcin"/>
              <w:spacing w:after="0"/>
              <w:jc w:val="center"/>
              <w:rPr>
                <w:b/>
                <w:bCs/>
                <w:i w:val="0"/>
                <w:iCs w:val="0"/>
                <w:sz w:val="24"/>
                <w:szCs w:val="24"/>
                <w:u w:val="single"/>
                <w:lang w:val="es-GT"/>
              </w:rPr>
            </w:pPr>
            <w:bookmarkStart w:id="57" w:name="_Toc143870689"/>
            <w:r w:rsidRPr="00CA6857">
              <w:rPr>
                <w:b/>
                <w:bCs/>
                <w:i w:val="0"/>
                <w:iCs w:val="0"/>
                <w:color w:val="auto"/>
                <w:sz w:val="24"/>
                <w:szCs w:val="24"/>
                <w:lang w:val="es-GT"/>
              </w:rPr>
              <w:t xml:space="preserve">Gráfico </w:t>
            </w:r>
            <w:r w:rsidRPr="00CA6857">
              <w:rPr>
                <w:b/>
                <w:bCs/>
                <w:i w:val="0"/>
                <w:iCs w:val="0"/>
                <w:color w:val="auto"/>
                <w:sz w:val="24"/>
                <w:szCs w:val="24"/>
              </w:rPr>
              <w:fldChar w:fldCharType="begin"/>
            </w:r>
            <w:r w:rsidRPr="00CA6857">
              <w:rPr>
                <w:b/>
                <w:bCs/>
                <w:i w:val="0"/>
                <w:iCs w:val="0"/>
                <w:color w:val="auto"/>
                <w:sz w:val="24"/>
                <w:szCs w:val="24"/>
                <w:lang w:val="es-GT"/>
              </w:rPr>
              <w:instrText xml:space="preserve"> SEQ Gráfico \* ARABIC </w:instrText>
            </w:r>
            <w:r w:rsidRPr="00CA6857">
              <w:rPr>
                <w:b/>
                <w:bCs/>
                <w:i w:val="0"/>
                <w:iCs w:val="0"/>
                <w:color w:val="auto"/>
                <w:sz w:val="24"/>
                <w:szCs w:val="24"/>
              </w:rPr>
              <w:fldChar w:fldCharType="separate"/>
            </w:r>
            <w:r w:rsidR="006622B2">
              <w:rPr>
                <w:b/>
                <w:bCs/>
                <w:i w:val="0"/>
                <w:iCs w:val="0"/>
                <w:noProof/>
                <w:color w:val="auto"/>
                <w:sz w:val="24"/>
                <w:szCs w:val="24"/>
                <w:lang w:val="es-GT"/>
              </w:rPr>
              <w:t>22</w:t>
            </w:r>
            <w:r w:rsidRPr="00CA6857">
              <w:rPr>
                <w:b/>
                <w:bCs/>
                <w:i w:val="0"/>
                <w:iCs w:val="0"/>
                <w:color w:val="auto"/>
                <w:sz w:val="24"/>
                <w:szCs w:val="24"/>
              </w:rPr>
              <w:fldChar w:fldCharType="end"/>
            </w:r>
            <w:r w:rsidRPr="00CA6857">
              <w:rPr>
                <w:b/>
                <w:bCs/>
                <w:i w:val="0"/>
                <w:iCs w:val="0"/>
                <w:color w:val="auto"/>
                <w:sz w:val="24"/>
                <w:szCs w:val="24"/>
                <w:lang w:val="es-GT"/>
              </w:rPr>
              <w:t>.  Exportaciones FOB de comercio exterior en 2022</w:t>
            </w:r>
            <w:bookmarkEnd w:id="57"/>
          </w:p>
        </w:tc>
      </w:tr>
      <w:tr w:rsidR="00F34098" w:rsidRPr="004E2E1E" w14:paraId="310F04D4" w14:textId="77777777" w:rsidTr="00582CA7">
        <w:tc>
          <w:tcPr>
            <w:tcW w:w="4698" w:type="dxa"/>
          </w:tcPr>
          <w:p w14:paraId="67B7EA02" w14:textId="77777777" w:rsidR="00F34098" w:rsidRPr="004E2E1E" w:rsidRDefault="00F34098" w:rsidP="00582CA7">
            <w:pPr>
              <w:jc w:val="center"/>
              <w:rPr>
                <w:b/>
                <w:bCs/>
                <w:sz w:val="18"/>
                <w:szCs w:val="18"/>
              </w:rPr>
            </w:pPr>
            <w:r w:rsidRPr="004E2E1E">
              <w:rPr>
                <w:b/>
                <w:bCs/>
                <w:sz w:val="18"/>
                <w:szCs w:val="18"/>
              </w:rPr>
              <w:t>Principales destinos (en porcentaje)</w:t>
            </w:r>
          </w:p>
        </w:tc>
        <w:tc>
          <w:tcPr>
            <w:tcW w:w="4652" w:type="dxa"/>
          </w:tcPr>
          <w:p w14:paraId="1599318F" w14:textId="77777777" w:rsidR="00F34098" w:rsidRPr="004E2E1E" w:rsidRDefault="00F34098" w:rsidP="00582CA7">
            <w:pPr>
              <w:jc w:val="center"/>
              <w:rPr>
                <w:b/>
                <w:bCs/>
                <w:sz w:val="18"/>
                <w:szCs w:val="18"/>
              </w:rPr>
            </w:pPr>
            <w:r w:rsidRPr="004E2E1E">
              <w:rPr>
                <w:b/>
                <w:bCs/>
                <w:sz w:val="18"/>
                <w:szCs w:val="18"/>
              </w:rPr>
              <w:t>Principales productos</w:t>
            </w:r>
          </w:p>
        </w:tc>
      </w:tr>
      <w:tr w:rsidR="00F34098" w:rsidRPr="004E2E1E" w14:paraId="6FB5B85B" w14:textId="77777777" w:rsidTr="00582CA7">
        <w:tblPrEx>
          <w:tblCellMar>
            <w:left w:w="70" w:type="dxa"/>
            <w:right w:w="70" w:type="dxa"/>
          </w:tblCellMar>
        </w:tblPrEx>
        <w:tc>
          <w:tcPr>
            <w:tcW w:w="4698" w:type="dxa"/>
          </w:tcPr>
          <w:p w14:paraId="2839169A" w14:textId="77777777" w:rsidR="00F34098" w:rsidRPr="004E2E1E" w:rsidRDefault="00F34098" w:rsidP="00582CA7">
            <w:pPr>
              <w:jc w:val="both"/>
            </w:pPr>
            <w:r w:rsidRPr="004E2E1E">
              <w:rPr>
                <w:noProof/>
              </w:rPr>
              <mc:AlternateContent>
                <mc:Choice Requires="cx1">
                  <w:drawing>
                    <wp:inline distT="0" distB="0" distL="0" distR="0" wp14:anchorId="13E40ED1" wp14:editId="2F192B23">
                      <wp:extent cx="2880000" cy="2160000"/>
                      <wp:effectExtent l="0" t="0" r="15875" b="12065"/>
                      <wp:docPr id="34" name="Gráfico 34">
                        <a:extLst xmlns:a="http://schemas.openxmlformats.org/drawingml/2006/main">
                          <a:ext uri="{FF2B5EF4-FFF2-40B4-BE49-F238E27FC236}">
                            <a16:creationId xmlns:a16="http://schemas.microsoft.com/office/drawing/2014/main" id="{00000000-0008-0000-2100-000015000000}"/>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5"/>
                        </a:graphicData>
                      </a:graphic>
                    </wp:inline>
                  </w:drawing>
                </mc:Choice>
                <mc:Fallback>
                  <w:drawing>
                    <wp:inline distT="0" distB="0" distL="0" distR="0" wp14:anchorId="13E40ED1" wp14:editId="2F192B23">
                      <wp:extent cx="2880000" cy="2160000"/>
                      <wp:effectExtent l="0" t="0" r="15875" b="12065"/>
                      <wp:docPr id="34" name="Gráfico 34">
                        <a:extLst xmlns:a="http://schemas.openxmlformats.org/drawingml/2006/main">
                          <a:ext uri="{FF2B5EF4-FFF2-40B4-BE49-F238E27FC236}">
                            <a16:creationId xmlns:a16="http://schemas.microsoft.com/office/drawing/2014/main" id="{00000000-0008-0000-2100-00001500000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4" name="Gráfico 34">
                                <a:extLst>
                                  <a:ext uri="{FF2B5EF4-FFF2-40B4-BE49-F238E27FC236}">
                                    <a16:creationId xmlns:a16="http://schemas.microsoft.com/office/drawing/2014/main" id="{00000000-0008-0000-2100-000015000000}"/>
                                  </a:ext>
                                </a:extLst>
                              </pic:cNvPr>
                              <pic:cNvPicPr>
                                <a:picLocks noGrp="1" noRot="1" noChangeAspect="1" noMove="1" noResize="1" noEditPoints="1" noAdjustHandles="1" noChangeArrowheads="1" noChangeShapeType="1"/>
                              </pic:cNvPicPr>
                            </pic:nvPicPr>
                            <pic:blipFill>
                              <a:blip r:embed="rId46"/>
                              <a:stretch>
                                <a:fillRect/>
                              </a:stretch>
                            </pic:blipFill>
                            <pic:spPr>
                              <a:xfrm>
                                <a:off x="0" y="0"/>
                                <a:ext cx="2879725" cy="2159635"/>
                              </a:xfrm>
                              <a:prstGeom prst="rect">
                                <a:avLst/>
                              </a:prstGeom>
                            </pic:spPr>
                          </pic:pic>
                        </a:graphicData>
                      </a:graphic>
                    </wp:inline>
                  </w:drawing>
                </mc:Fallback>
              </mc:AlternateContent>
            </w:r>
          </w:p>
        </w:tc>
        <w:tc>
          <w:tcPr>
            <w:tcW w:w="4652" w:type="dxa"/>
          </w:tcPr>
          <w:p w14:paraId="3124E6C4" w14:textId="77777777" w:rsidR="00F34098" w:rsidRPr="004E2E1E" w:rsidRDefault="00F34098" w:rsidP="00582CA7">
            <w:pPr>
              <w:jc w:val="both"/>
            </w:pPr>
            <w:r w:rsidRPr="004E2E1E">
              <w:rPr>
                <w:noProof/>
              </w:rPr>
              <w:drawing>
                <wp:inline distT="0" distB="0" distL="0" distR="0" wp14:anchorId="7398B4EE" wp14:editId="4461F8C9">
                  <wp:extent cx="2866811" cy="2170258"/>
                  <wp:effectExtent l="0" t="0" r="0" b="1905"/>
                  <wp:docPr id="31" name="Gráfico 31">
                    <a:extLst xmlns:a="http://schemas.openxmlformats.org/drawingml/2006/main">
                      <a:ext uri="{FF2B5EF4-FFF2-40B4-BE49-F238E27FC236}">
                        <a16:creationId xmlns:a16="http://schemas.microsoft.com/office/drawing/2014/main" id="{00000000-0008-0000-21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r>
      <w:tr w:rsidR="00F34098" w:rsidRPr="004E2E1E" w14:paraId="09CCE118" w14:textId="77777777" w:rsidTr="00582CA7">
        <w:tblPrEx>
          <w:tblCellMar>
            <w:left w:w="70" w:type="dxa"/>
            <w:right w:w="70" w:type="dxa"/>
          </w:tblCellMar>
        </w:tblPrEx>
        <w:tc>
          <w:tcPr>
            <w:tcW w:w="9350" w:type="dxa"/>
            <w:gridSpan w:val="2"/>
          </w:tcPr>
          <w:p w14:paraId="296E5C04" w14:textId="06933C0E" w:rsidR="00F34098" w:rsidRPr="004E2E1E" w:rsidRDefault="00F34098" w:rsidP="00582CA7">
            <w:pPr>
              <w:jc w:val="both"/>
              <w:rPr>
                <w:noProof/>
              </w:rPr>
            </w:pPr>
            <w:r w:rsidRPr="004E2E1E">
              <w:rPr>
                <w:noProof/>
                <w:sz w:val="18"/>
                <w:szCs w:val="18"/>
              </w:rPr>
              <w:t xml:space="preserve">   Fuente: Banco de Guatemala</w:t>
            </w:r>
            <w:r w:rsidR="00434108">
              <w:rPr>
                <w:noProof/>
                <w:sz w:val="18"/>
                <w:szCs w:val="18"/>
              </w:rPr>
              <w:t>.</w:t>
            </w:r>
          </w:p>
        </w:tc>
      </w:tr>
    </w:tbl>
    <w:p w14:paraId="74327197" w14:textId="6D9FC17C" w:rsidR="00F34098" w:rsidRDefault="00F34098" w:rsidP="00F34098">
      <w:pPr>
        <w:jc w:val="both"/>
      </w:pPr>
    </w:p>
    <w:p w14:paraId="61219801" w14:textId="2D84D523" w:rsidR="00F34098" w:rsidRDefault="00F34098" w:rsidP="00F34098">
      <w:pPr>
        <w:jc w:val="both"/>
      </w:pPr>
      <w:r>
        <w:t>Las importaciones CIF</w:t>
      </w:r>
      <w:r w:rsidR="00BB4CCB">
        <w:t>,</w:t>
      </w:r>
      <w:r>
        <w:t xml:space="preserve"> según comercio exterior</w:t>
      </w:r>
      <w:r w:rsidR="00BB4CCB">
        <w:t>,</w:t>
      </w:r>
      <w:r>
        <w:t xml:space="preserve"> en 2022 fueron de US$32,123.5 millones, con una tasa de crecimiento de 20.7% con respecto el año anterior. Para las importaciones el factor precio explica la mayor parte del incremento, al igual que las exportaciones, esto debido al aumento de los precios internacionales de las materias primas, los elevados costos de transporte y las disrupciones en las cadenas de suministro que han afectado los precios de los productos de importación.</w:t>
      </w:r>
    </w:p>
    <w:p w14:paraId="60D146BD" w14:textId="77777777" w:rsidR="00F34098" w:rsidRDefault="00F34098" w:rsidP="00F34098">
      <w:pPr>
        <w:jc w:val="both"/>
      </w:pPr>
    </w:p>
    <w:p w14:paraId="24CEB001" w14:textId="0A511D8F" w:rsidR="00F34098" w:rsidRDefault="00F34098" w:rsidP="00F34098">
      <w:pPr>
        <w:jc w:val="both"/>
      </w:pPr>
      <w:r>
        <w:t>Los principales países vendedores de las importaciones del 2022 fueron Estados Unidos (35.0%), Centroamérica (14.0%), México (10.6%), Colombia (2.0%), Brasil (2.2%) e India (1.9%). Entre los principales productos de importación se encontraron los vehículos y material de transporte</w:t>
      </w:r>
      <w:r w:rsidR="00BB4CCB">
        <w:t>,</w:t>
      </w:r>
      <w:r>
        <w:t xml:space="preserve"> que tuvieron un incremento de 12.3% explicado principalmente por el aumento en el precio dado que el volumen disminuyó. Las máquinas y aparatos mecánicos para usos electrotécnicos tuvieron un incremento considerable del 55.9%, los materiales plásticos y sus manufacturas aumentaron 11.3%. En el caso de la gasolina y diésel estas tuvieron un aumento de 35.5% y 56.2%</w:t>
      </w:r>
      <w:r w:rsidR="00BB4CCB">
        <w:t>, respectivamente,</w:t>
      </w:r>
      <w:r>
        <w:t xml:space="preserve"> afectados por el incremento internacional en los precios de energía como se mencionó con anterioridad. Asimismo, los productos diversos de la industria química mostraron un incremento del 16.7% y los productos farmacéuticos un crecimiento de 55.2%. Por su lado, el hierro y el acero tuvieron una disminución de 0.2%, y los aparatos transmisores y receptores de 65.5%. Estos productos representaron en 57.6% del total de las importaciones CIF de comercio exterior.</w:t>
      </w:r>
    </w:p>
    <w:p w14:paraId="32E6A151" w14:textId="77777777" w:rsidR="0062508C" w:rsidRDefault="0062508C" w:rsidP="00F34098">
      <w:pPr>
        <w:jc w:val="both"/>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5"/>
        <w:gridCol w:w="4433"/>
      </w:tblGrid>
      <w:tr w:rsidR="00F34098" w:rsidRPr="004E2E1E" w14:paraId="5391784C" w14:textId="77777777" w:rsidTr="00582CA7">
        <w:tc>
          <w:tcPr>
            <w:tcW w:w="9350" w:type="dxa"/>
            <w:gridSpan w:val="2"/>
          </w:tcPr>
          <w:p w14:paraId="6D6B971F" w14:textId="12171559" w:rsidR="00F34098" w:rsidRPr="00CA6857" w:rsidRDefault="00CA6857" w:rsidP="00CA6857">
            <w:pPr>
              <w:pStyle w:val="Descripcin"/>
              <w:spacing w:after="0"/>
              <w:jc w:val="center"/>
              <w:rPr>
                <w:b/>
                <w:bCs/>
                <w:i w:val="0"/>
                <w:iCs w:val="0"/>
                <w:sz w:val="24"/>
                <w:szCs w:val="24"/>
                <w:u w:val="single"/>
                <w:lang w:val="es-GT"/>
              </w:rPr>
            </w:pPr>
            <w:bookmarkStart w:id="58" w:name="_Toc143870690"/>
            <w:r w:rsidRPr="00CA6857">
              <w:rPr>
                <w:b/>
                <w:bCs/>
                <w:i w:val="0"/>
                <w:iCs w:val="0"/>
                <w:color w:val="auto"/>
                <w:sz w:val="24"/>
                <w:szCs w:val="24"/>
                <w:lang w:val="es-GT"/>
              </w:rPr>
              <w:t xml:space="preserve">Gráfico </w:t>
            </w:r>
            <w:r w:rsidRPr="00CA6857">
              <w:rPr>
                <w:b/>
                <w:bCs/>
                <w:i w:val="0"/>
                <w:iCs w:val="0"/>
                <w:color w:val="auto"/>
                <w:sz w:val="24"/>
                <w:szCs w:val="24"/>
              </w:rPr>
              <w:fldChar w:fldCharType="begin"/>
            </w:r>
            <w:r w:rsidRPr="00CA6857">
              <w:rPr>
                <w:b/>
                <w:bCs/>
                <w:i w:val="0"/>
                <w:iCs w:val="0"/>
                <w:color w:val="auto"/>
                <w:sz w:val="24"/>
                <w:szCs w:val="24"/>
                <w:lang w:val="es-GT"/>
              </w:rPr>
              <w:instrText xml:space="preserve"> SEQ Gráfico \* ARABIC </w:instrText>
            </w:r>
            <w:r w:rsidRPr="00CA6857">
              <w:rPr>
                <w:b/>
                <w:bCs/>
                <w:i w:val="0"/>
                <w:iCs w:val="0"/>
                <w:color w:val="auto"/>
                <w:sz w:val="24"/>
                <w:szCs w:val="24"/>
              </w:rPr>
              <w:fldChar w:fldCharType="separate"/>
            </w:r>
            <w:r w:rsidR="006622B2">
              <w:rPr>
                <w:b/>
                <w:bCs/>
                <w:i w:val="0"/>
                <w:iCs w:val="0"/>
                <w:noProof/>
                <w:color w:val="auto"/>
                <w:sz w:val="24"/>
                <w:szCs w:val="24"/>
                <w:lang w:val="es-GT"/>
              </w:rPr>
              <w:t>23</w:t>
            </w:r>
            <w:r w:rsidRPr="00CA6857">
              <w:rPr>
                <w:b/>
                <w:bCs/>
                <w:i w:val="0"/>
                <w:iCs w:val="0"/>
                <w:color w:val="auto"/>
                <w:sz w:val="24"/>
                <w:szCs w:val="24"/>
              </w:rPr>
              <w:fldChar w:fldCharType="end"/>
            </w:r>
            <w:r w:rsidRPr="00CA6857">
              <w:rPr>
                <w:b/>
                <w:bCs/>
                <w:i w:val="0"/>
                <w:iCs w:val="0"/>
                <w:color w:val="auto"/>
                <w:sz w:val="24"/>
                <w:szCs w:val="24"/>
                <w:lang w:val="es-GT"/>
              </w:rPr>
              <w:t>.  Importaciones FOB de comercio exterior en 2022</w:t>
            </w:r>
            <w:bookmarkEnd w:id="58"/>
          </w:p>
        </w:tc>
      </w:tr>
      <w:tr w:rsidR="00F34098" w:rsidRPr="004E2E1E" w14:paraId="0F85639C" w14:textId="77777777" w:rsidTr="00582CA7">
        <w:tc>
          <w:tcPr>
            <w:tcW w:w="4675" w:type="dxa"/>
          </w:tcPr>
          <w:p w14:paraId="0EC0D527" w14:textId="77777777" w:rsidR="00F34098" w:rsidRPr="004E2E1E" w:rsidRDefault="00F34098" w:rsidP="00582CA7">
            <w:pPr>
              <w:jc w:val="center"/>
              <w:rPr>
                <w:b/>
                <w:bCs/>
                <w:sz w:val="18"/>
                <w:szCs w:val="18"/>
              </w:rPr>
            </w:pPr>
            <w:r w:rsidRPr="004E2E1E">
              <w:rPr>
                <w:b/>
                <w:bCs/>
                <w:sz w:val="18"/>
                <w:szCs w:val="18"/>
              </w:rPr>
              <w:t>Principales destinos (en porcentaje)</w:t>
            </w:r>
          </w:p>
        </w:tc>
        <w:tc>
          <w:tcPr>
            <w:tcW w:w="4675" w:type="dxa"/>
          </w:tcPr>
          <w:p w14:paraId="16BDEEF8" w14:textId="77777777" w:rsidR="00F34098" w:rsidRPr="004E2E1E" w:rsidRDefault="00F34098" w:rsidP="00582CA7">
            <w:pPr>
              <w:jc w:val="center"/>
              <w:rPr>
                <w:b/>
                <w:bCs/>
                <w:sz w:val="18"/>
                <w:szCs w:val="18"/>
              </w:rPr>
            </w:pPr>
            <w:r w:rsidRPr="004E2E1E">
              <w:rPr>
                <w:b/>
                <w:bCs/>
                <w:sz w:val="18"/>
                <w:szCs w:val="18"/>
              </w:rPr>
              <w:t>Principales productos</w:t>
            </w:r>
          </w:p>
        </w:tc>
      </w:tr>
      <w:tr w:rsidR="00F34098" w:rsidRPr="004E2E1E" w14:paraId="4832F8D8" w14:textId="77777777" w:rsidTr="00582CA7">
        <w:tblPrEx>
          <w:tblCellMar>
            <w:left w:w="70" w:type="dxa"/>
            <w:right w:w="70" w:type="dxa"/>
          </w:tblCellMar>
        </w:tblPrEx>
        <w:tc>
          <w:tcPr>
            <w:tcW w:w="4675" w:type="dxa"/>
          </w:tcPr>
          <w:p w14:paraId="0B4AFE0A" w14:textId="77777777" w:rsidR="00F34098" w:rsidRPr="004E2E1E" w:rsidRDefault="00F34098" w:rsidP="00582CA7">
            <w:pPr>
              <w:jc w:val="both"/>
            </w:pPr>
            <w:r w:rsidRPr="004E2E1E">
              <w:rPr>
                <w:noProof/>
              </w:rPr>
              <mc:AlternateContent>
                <mc:Choice Requires="cx1">
                  <w:drawing>
                    <wp:inline distT="0" distB="0" distL="0" distR="0" wp14:anchorId="29F1728F" wp14:editId="2EC4A3EE">
                      <wp:extent cx="2861791" cy="2210077"/>
                      <wp:effectExtent l="0" t="0" r="15240" b="0"/>
                      <wp:docPr id="35" name="Gráfico 35">
                        <a:extLst xmlns:a="http://schemas.openxmlformats.org/drawingml/2006/main">
                          <a:ext uri="{FF2B5EF4-FFF2-40B4-BE49-F238E27FC236}">
                            <a16:creationId xmlns:a16="http://schemas.microsoft.com/office/drawing/2014/main" id="{00000000-0008-0000-1600-000008000000}"/>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8"/>
                        </a:graphicData>
                      </a:graphic>
                    </wp:inline>
                  </w:drawing>
                </mc:Choice>
                <mc:Fallback>
                  <w:drawing>
                    <wp:inline distT="0" distB="0" distL="0" distR="0" wp14:anchorId="29F1728F" wp14:editId="2EC4A3EE">
                      <wp:extent cx="2861791" cy="2210077"/>
                      <wp:effectExtent l="0" t="0" r="15240" b="0"/>
                      <wp:docPr id="35" name="Gráfico 35">
                        <a:extLst xmlns:a="http://schemas.openxmlformats.org/drawingml/2006/main">
                          <a:ext uri="{FF2B5EF4-FFF2-40B4-BE49-F238E27FC236}">
                            <a16:creationId xmlns:a16="http://schemas.microsoft.com/office/drawing/2014/main" id="{00000000-0008-0000-1600-00000800000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5" name="Gráfico 35">
                                <a:extLst>
                                  <a:ext uri="{FF2B5EF4-FFF2-40B4-BE49-F238E27FC236}">
                                    <a16:creationId xmlns:a16="http://schemas.microsoft.com/office/drawing/2014/main" id="{00000000-0008-0000-1600-000008000000}"/>
                                  </a:ext>
                                </a:extLst>
                              </pic:cNvPr>
                              <pic:cNvPicPr>
                                <a:picLocks noGrp="1" noRot="1" noChangeAspect="1" noMove="1" noResize="1" noEditPoints="1" noAdjustHandles="1" noChangeArrowheads="1" noChangeShapeType="1"/>
                              </pic:cNvPicPr>
                            </pic:nvPicPr>
                            <pic:blipFill>
                              <a:blip r:embed="rId49"/>
                              <a:stretch>
                                <a:fillRect/>
                              </a:stretch>
                            </pic:blipFill>
                            <pic:spPr>
                              <a:xfrm>
                                <a:off x="0" y="0"/>
                                <a:ext cx="2861310" cy="2209800"/>
                              </a:xfrm>
                              <a:prstGeom prst="rect">
                                <a:avLst/>
                              </a:prstGeom>
                            </pic:spPr>
                          </pic:pic>
                        </a:graphicData>
                      </a:graphic>
                    </wp:inline>
                  </w:drawing>
                </mc:Fallback>
              </mc:AlternateContent>
            </w:r>
          </w:p>
        </w:tc>
        <w:tc>
          <w:tcPr>
            <w:tcW w:w="4675" w:type="dxa"/>
          </w:tcPr>
          <w:p w14:paraId="5700791C" w14:textId="77777777" w:rsidR="00F34098" w:rsidRPr="004E2E1E" w:rsidRDefault="00F34098" w:rsidP="00582CA7">
            <w:pPr>
              <w:jc w:val="both"/>
            </w:pPr>
            <w:r w:rsidRPr="004E2E1E">
              <w:rPr>
                <w:noProof/>
              </w:rPr>
              <w:drawing>
                <wp:inline distT="0" distB="0" distL="0" distR="0" wp14:anchorId="48D19BFB" wp14:editId="2C59C0B4">
                  <wp:extent cx="2887248" cy="2096069"/>
                  <wp:effectExtent l="0" t="0" r="8890" b="0"/>
                  <wp:docPr id="36" name="Gráfico 36">
                    <a:extLst xmlns:a="http://schemas.openxmlformats.org/drawingml/2006/main">
                      <a:ext uri="{FF2B5EF4-FFF2-40B4-BE49-F238E27FC236}">
                        <a16:creationId xmlns:a16="http://schemas.microsoft.com/office/drawing/2014/main" id="{00000000-0008-0000-1600-00001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r>
      <w:tr w:rsidR="00F34098" w:rsidRPr="004E2E1E" w14:paraId="09E17927" w14:textId="77777777" w:rsidTr="00582CA7">
        <w:tblPrEx>
          <w:tblCellMar>
            <w:left w:w="70" w:type="dxa"/>
            <w:right w:w="70" w:type="dxa"/>
          </w:tblCellMar>
        </w:tblPrEx>
        <w:tc>
          <w:tcPr>
            <w:tcW w:w="9350" w:type="dxa"/>
            <w:gridSpan w:val="2"/>
          </w:tcPr>
          <w:p w14:paraId="66814FDB" w14:textId="77777777" w:rsidR="00F34098" w:rsidRPr="004E2E1E" w:rsidRDefault="00F34098" w:rsidP="00582CA7">
            <w:pPr>
              <w:jc w:val="both"/>
              <w:rPr>
                <w:noProof/>
                <w:sz w:val="18"/>
                <w:szCs w:val="18"/>
              </w:rPr>
            </w:pPr>
            <w:r w:rsidRPr="004E2E1E">
              <w:rPr>
                <w:noProof/>
                <w:sz w:val="18"/>
                <w:szCs w:val="18"/>
              </w:rPr>
              <w:t xml:space="preserve">   Fuente: Banco de Guatemala</w:t>
            </w:r>
          </w:p>
        </w:tc>
      </w:tr>
    </w:tbl>
    <w:p w14:paraId="6929E111" w14:textId="73393336" w:rsidR="00F34098" w:rsidRDefault="00F34098" w:rsidP="00F34098">
      <w:pPr>
        <w:jc w:val="both"/>
      </w:pPr>
    </w:p>
    <w:p w14:paraId="4DACA06B" w14:textId="0C81D0EE" w:rsidR="00F34098" w:rsidRPr="005318D0" w:rsidRDefault="00F34098" w:rsidP="00354A9C">
      <w:pPr>
        <w:pStyle w:val="Ttulo3"/>
        <w:numPr>
          <w:ilvl w:val="2"/>
          <w:numId w:val="48"/>
        </w:numPr>
        <w:tabs>
          <w:tab w:val="left" w:pos="1134"/>
        </w:tabs>
        <w:rPr>
          <w:rFonts w:ascii="Times New Roman" w:hAnsi="Times New Roman" w:cs="Times New Roman"/>
          <w:b/>
          <w:bCs/>
          <w:color w:val="auto"/>
          <w:lang w:val="es-MX"/>
        </w:rPr>
      </w:pPr>
      <w:bookmarkStart w:id="59" w:name="_Toc143865797"/>
      <w:r w:rsidRPr="005318D0">
        <w:rPr>
          <w:rFonts w:ascii="Times New Roman" w:hAnsi="Times New Roman" w:cs="Times New Roman"/>
          <w:b/>
          <w:bCs/>
          <w:color w:val="auto"/>
          <w:lang w:val="es-MX"/>
        </w:rPr>
        <w:t>Ingreso primario y secundario</w:t>
      </w:r>
      <w:bookmarkEnd w:id="59"/>
    </w:p>
    <w:p w14:paraId="273A3847" w14:textId="49A94E5B" w:rsidR="00F34098" w:rsidRDefault="00F34098" w:rsidP="00F34098">
      <w:pPr>
        <w:jc w:val="both"/>
      </w:pPr>
    </w:p>
    <w:p w14:paraId="0146DEF6" w14:textId="571F2D4B" w:rsidR="007E03D8" w:rsidRDefault="007E03D8" w:rsidP="007E03D8">
      <w:pPr>
        <w:jc w:val="both"/>
      </w:pPr>
      <w:r>
        <w:t xml:space="preserve">El ingreso primario ha tenido saldo deficitario en las últimas décadas, en 2022 este se ubicó en US$1,852.6 </w:t>
      </w:r>
      <w:r w:rsidR="00BB4CCB">
        <w:t>debido</w:t>
      </w:r>
      <w:r>
        <w:t xml:space="preserve"> principalmente al déficit de las rentas a la inversión, la cual se registró en US$1,982.9 millones. La mayor parte del déficit de rentas a la inversión se explican por los débitos </w:t>
      </w:r>
      <w:r w:rsidR="00BB4CCB">
        <w:t xml:space="preserve">en </w:t>
      </w:r>
      <w:r>
        <w:t xml:space="preserve">las utilidades reinvertidas </w:t>
      </w:r>
      <w:r w:rsidR="00BB4CCB">
        <w:t xml:space="preserve">producto </w:t>
      </w:r>
      <w:r>
        <w:t xml:space="preserve">de la inversión extranjera directa, así como los débitos por intereses de largo plazo de la inversión en cartera. Por otro lado, la remuneración hacia los empleados registró un superávit de US$129.6 millones. </w:t>
      </w:r>
    </w:p>
    <w:p w14:paraId="16E4258A" w14:textId="77777777" w:rsidR="007E03D8" w:rsidRDefault="007E03D8" w:rsidP="007E03D8">
      <w:pPr>
        <w:jc w:val="both"/>
      </w:pPr>
    </w:p>
    <w:p w14:paraId="4980CC04" w14:textId="77777777" w:rsidR="007E03D8" w:rsidRDefault="007E03D8" w:rsidP="007E03D8">
      <w:pPr>
        <w:jc w:val="both"/>
      </w:pPr>
      <w:r>
        <w:t>El superávit del ingreso secundario es la razón por la cual se han registrado superávits en la cuenta corriente desde 2016. Una pequeña parte de dicho superávit en 2022 se debe a que el Gobierno General tuvo un saldo positivo de US$497.6 millones, principalmente por los créditos por impuestos corrientes y la parte más relevante es por el crédito por remesas familiares, que en dicho año fue de US$18,040.3 millones. En los últimos años los créditos por remesas superaron el monto agregado del déficit de la balanza comercial y del ingreso primario, esto a pesar del endurecimiento de la política monetaria en EE. UU, que en dicho año aún no mostró un impacto negativo en el empleo.</w:t>
      </w:r>
    </w:p>
    <w:p w14:paraId="6D1F9339" w14:textId="77777777" w:rsidR="007E03D8" w:rsidRDefault="007E03D8" w:rsidP="007E03D8">
      <w:pPr>
        <w:jc w:val="both"/>
      </w:pPr>
    </w:p>
    <w:p w14:paraId="7F2FDECF" w14:textId="4DCAB516" w:rsidR="00F34098" w:rsidRDefault="007E03D8" w:rsidP="007E03D8">
      <w:pPr>
        <w:jc w:val="both"/>
      </w:pPr>
      <w:r>
        <w:t>Las remesas familiares representaron el 19.0% con respecto al PIB en 2022 y su tasa de crecimiento en promedio del 2017 al 2021 fue de 16.7%. Estos flujos fueron resilientes a la pandemia y mostraron un gran dinamismo en 2021. Los países remitentes de las remesas familiares son Estados Unidos (90.5%), México (3.1%), Canadá (1.7%) entre otros, esto según información del Banco Mundial, del total de las remesas recibidas en Guatemala en el año 2017. Dicha estructura ha tenido el mismo comportamiento en años anteriores y se prevé que permanecerá en el mediano plazo.</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7E03D8" w:rsidRPr="004E2E1E" w14:paraId="42883AA9" w14:textId="77777777" w:rsidTr="00582CA7">
        <w:trPr>
          <w:trHeight w:val="201"/>
          <w:jc w:val="center"/>
        </w:trPr>
        <w:tc>
          <w:tcPr>
            <w:tcW w:w="8838" w:type="dxa"/>
          </w:tcPr>
          <w:p w14:paraId="35596BC5" w14:textId="10C1F1A9" w:rsidR="007E03D8" w:rsidRPr="00CA6857" w:rsidRDefault="00CA6857" w:rsidP="00CA6857">
            <w:pPr>
              <w:pStyle w:val="Descripcin"/>
              <w:spacing w:after="0"/>
              <w:jc w:val="center"/>
              <w:rPr>
                <w:b/>
                <w:bCs/>
                <w:i w:val="0"/>
                <w:iCs w:val="0"/>
                <w:sz w:val="24"/>
                <w:szCs w:val="24"/>
              </w:rPr>
            </w:pPr>
            <w:bookmarkStart w:id="60" w:name="_Toc143870691"/>
            <w:r w:rsidRPr="00CA6857">
              <w:rPr>
                <w:b/>
                <w:bCs/>
                <w:i w:val="0"/>
                <w:iCs w:val="0"/>
                <w:color w:val="auto"/>
                <w:sz w:val="24"/>
                <w:szCs w:val="24"/>
              </w:rPr>
              <w:t xml:space="preserve">Gráfico </w:t>
            </w:r>
            <w:r w:rsidRPr="00CA6857">
              <w:rPr>
                <w:b/>
                <w:bCs/>
                <w:i w:val="0"/>
                <w:iCs w:val="0"/>
                <w:color w:val="auto"/>
                <w:sz w:val="24"/>
                <w:szCs w:val="24"/>
              </w:rPr>
              <w:fldChar w:fldCharType="begin"/>
            </w:r>
            <w:r w:rsidRPr="00CA6857">
              <w:rPr>
                <w:b/>
                <w:bCs/>
                <w:i w:val="0"/>
                <w:iCs w:val="0"/>
                <w:color w:val="auto"/>
                <w:sz w:val="24"/>
                <w:szCs w:val="24"/>
              </w:rPr>
              <w:instrText xml:space="preserve"> SEQ Gráfico \* ARABIC </w:instrText>
            </w:r>
            <w:r w:rsidRPr="00CA6857">
              <w:rPr>
                <w:b/>
                <w:bCs/>
                <w:i w:val="0"/>
                <w:iCs w:val="0"/>
                <w:color w:val="auto"/>
                <w:sz w:val="24"/>
                <w:szCs w:val="24"/>
              </w:rPr>
              <w:fldChar w:fldCharType="separate"/>
            </w:r>
            <w:r w:rsidR="006622B2">
              <w:rPr>
                <w:b/>
                <w:bCs/>
                <w:i w:val="0"/>
                <w:iCs w:val="0"/>
                <w:noProof/>
                <w:color w:val="auto"/>
                <w:sz w:val="24"/>
                <w:szCs w:val="24"/>
              </w:rPr>
              <w:t>24</w:t>
            </w:r>
            <w:r w:rsidRPr="00CA6857">
              <w:rPr>
                <w:b/>
                <w:bCs/>
                <w:i w:val="0"/>
                <w:iCs w:val="0"/>
                <w:color w:val="auto"/>
                <w:sz w:val="24"/>
                <w:szCs w:val="24"/>
              </w:rPr>
              <w:fldChar w:fldCharType="end"/>
            </w:r>
            <w:r w:rsidRPr="00CA6857">
              <w:rPr>
                <w:b/>
                <w:bCs/>
                <w:i w:val="0"/>
                <w:iCs w:val="0"/>
                <w:color w:val="auto"/>
                <w:sz w:val="24"/>
                <w:szCs w:val="24"/>
              </w:rPr>
              <w:t>. Remesas familiares</w:t>
            </w:r>
            <w:bookmarkEnd w:id="60"/>
            <w:r w:rsidRPr="00CA6857">
              <w:rPr>
                <w:b/>
                <w:bCs/>
                <w:i w:val="0"/>
                <w:iCs w:val="0"/>
                <w:sz w:val="24"/>
                <w:szCs w:val="24"/>
              </w:rPr>
              <w:t xml:space="preserve"> </w:t>
            </w:r>
          </w:p>
        </w:tc>
      </w:tr>
      <w:tr w:rsidR="007E03D8" w:rsidRPr="004E2E1E" w14:paraId="36B7A5FF" w14:textId="77777777" w:rsidTr="00582CA7">
        <w:tblPrEx>
          <w:tblCellMar>
            <w:left w:w="70" w:type="dxa"/>
            <w:right w:w="70" w:type="dxa"/>
          </w:tblCellMar>
        </w:tblPrEx>
        <w:trPr>
          <w:jc w:val="center"/>
        </w:trPr>
        <w:tc>
          <w:tcPr>
            <w:tcW w:w="8838" w:type="dxa"/>
          </w:tcPr>
          <w:p w14:paraId="7F3F33EA" w14:textId="77777777" w:rsidR="007E03D8" w:rsidRPr="004E2E1E" w:rsidRDefault="007E03D8" w:rsidP="00582CA7">
            <w:pPr>
              <w:jc w:val="center"/>
            </w:pPr>
            <w:r w:rsidRPr="004E2E1E">
              <w:rPr>
                <w:noProof/>
              </w:rPr>
              <w:drawing>
                <wp:inline distT="0" distB="0" distL="0" distR="0" wp14:anchorId="204F73DB" wp14:editId="21FD181C">
                  <wp:extent cx="4680000" cy="2132867"/>
                  <wp:effectExtent l="0" t="0" r="6350" b="1270"/>
                  <wp:docPr id="37" name="Gráfico 37">
                    <a:extLst xmlns:a="http://schemas.openxmlformats.org/drawingml/2006/main">
                      <a:ext uri="{FF2B5EF4-FFF2-40B4-BE49-F238E27FC236}">
                        <a16:creationId xmlns:a16="http://schemas.microsoft.com/office/drawing/2014/main" id="{00000000-0008-0000-21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r>
      <w:tr w:rsidR="007E03D8" w:rsidRPr="004E2E1E" w14:paraId="3843E907" w14:textId="77777777" w:rsidTr="00582CA7">
        <w:tblPrEx>
          <w:tblCellMar>
            <w:left w:w="70" w:type="dxa"/>
            <w:right w:w="70" w:type="dxa"/>
          </w:tblCellMar>
        </w:tblPrEx>
        <w:trPr>
          <w:jc w:val="center"/>
        </w:trPr>
        <w:tc>
          <w:tcPr>
            <w:tcW w:w="8838" w:type="dxa"/>
          </w:tcPr>
          <w:p w14:paraId="3E680992" w14:textId="0033D57F" w:rsidR="007E03D8" w:rsidRPr="004E2E1E" w:rsidRDefault="007E03D8" w:rsidP="00582CA7">
            <w:pPr>
              <w:rPr>
                <w:noProof/>
                <w:sz w:val="18"/>
                <w:szCs w:val="18"/>
              </w:rPr>
            </w:pPr>
            <w:r w:rsidRPr="004E2E1E">
              <w:rPr>
                <w:noProof/>
                <w:sz w:val="18"/>
                <w:szCs w:val="18"/>
              </w:rPr>
              <w:t xml:space="preserve">                         Fuente: Banco de Guatemala</w:t>
            </w:r>
            <w:r w:rsidR="00434108">
              <w:rPr>
                <w:noProof/>
                <w:sz w:val="18"/>
                <w:szCs w:val="18"/>
              </w:rPr>
              <w:t>.</w:t>
            </w:r>
          </w:p>
        </w:tc>
      </w:tr>
    </w:tbl>
    <w:p w14:paraId="44B76862" w14:textId="4ECC579E" w:rsidR="007E03D8" w:rsidRDefault="007E03D8" w:rsidP="007E03D8">
      <w:pPr>
        <w:jc w:val="both"/>
      </w:pPr>
    </w:p>
    <w:p w14:paraId="104A1E6B" w14:textId="7860763D" w:rsidR="007E03D8" w:rsidRPr="005318D0" w:rsidRDefault="007E03D8" w:rsidP="00354A9C">
      <w:pPr>
        <w:pStyle w:val="Ttulo3"/>
        <w:numPr>
          <w:ilvl w:val="2"/>
          <w:numId w:val="48"/>
        </w:numPr>
        <w:tabs>
          <w:tab w:val="left" w:pos="1134"/>
        </w:tabs>
        <w:rPr>
          <w:rFonts w:ascii="Times New Roman" w:hAnsi="Times New Roman" w:cs="Times New Roman"/>
          <w:b/>
          <w:bCs/>
          <w:color w:val="auto"/>
          <w:lang w:val="es-MX"/>
        </w:rPr>
      </w:pPr>
      <w:bookmarkStart w:id="61" w:name="_Toc143865798"/>
      <w:r w:rsidRPr="005318D0">
        <w:rPr>
          <w:rFonts w:ascii="Times New Roman" w:hAnsi="Times New Roman" w:cs="Times New Roman"/>
          <w:b/>
          <w:bCs/>
          <w:color w:val="auto"/>
          <w:lang w:val="es-MX"/>
        </w:rPr>
        <w:t>Cuenta financiera</w:t>
      </w:r>
      <w:bookmarkEnd w:id="61"/>
    </w:p>
    <w:p w14:paraId="1FCC5F59" w14:textId="5DD8C644" w:rsidR="007E03D8" w:rsidRDefault="007E03D8" w:rsidP="007E03D8">
      <w:pPr>
        <w:jc w:val="both"/>
      </w:pPr>
    </w:p>
    <w:p w14:paraId="4B1AA33A" w14:textId="77777777" w:rsidR="007E03D8" w:rsidRDefault="007E03D8" w:rsidP="007E03D8">
      <w:pPr>
        <w:jc w:val="both"/>
      </w:pPr>
      <w:r>
        <w:t>En 2022 el endeudamiento neto de la cuenta financiera sin los activos de reserva fue de US863.4 millones. Esto se debe a que la adquisición de activos financieros netos fue de US$490.6 millones, principalmente por el rubro de créditos y anticipos comerciales que se registró en US408.8 millones, mayor en US119.9 millones al registró del año anterior. Los activos de reserva tuvieron un saldo positivo de US$ 33.0 millones.</w:t>
      </w:r>
    </w:p>
    <w:p w14:paraId="57F4C907" w14:textId="77777777" w:rsidR="007E03D8" w:rsidRDefault="007E03D8" w:rsidP="007E03D8">
      <w:pPr>
        <w:jc w:val="both"/>
      </w:pPr>
    </w:p>
    <w:p w14:paraId="603B15EA" w14:textId="729E7879" w:rsidR="007E03D8" w:rsidRDefault="007E03D8" w:rsidP="007E03D8">
      <w:pPr>
        <w:jc w:val="both"/>
      </w:pPr>
      <w:r>
        <w:t xml:space="preserve">Los pasivos netos incurridos fueron negativos por USD$339.8 millones, siendo la principal razón la disminución de los préstamos con los no residentes. Con lo que respecta la inversión extranjera directa (IED) fue de US1,352.4 millones en el 2022, disminuyendo 60.9% con respecto </w:t>
      </w:r>
      <w:r w:rsidR="008214B2">
        <w:t>a</w:t>
      </w:r>
      <w:r>
        <w:t xml:space="preserve">l 2021, esto se debe que en dicho año se </w:t>
      </w:r>
      <w:r w:rsidR="008214B2">
        <w:t xml:space="preserve">registró </w:t>
      </w:r>
      <w:r>
        <w:t>la compra de las acciones de la empresa de telecomunicaciones de TIGO Guatemala, S.A, por la empresa multinacional Millicom International Cellular. Los flujos en 2022 correspondieron a EE.UU. (19.3%), Colombia (18.8%), México (14.3%) y Panamá (10.3%). Las principales actividades económicas en las que se utilizaron fueron de comercio y reparación de vehículos (28.7%), financieras y de seguros (19.7%), información y comunicaciones (18.9%) y las industrias manufactureras (11.6%).</w:t>
      </w:r>
    </w:p>
    <w:p w14:paraId="7C40CCD8" w14:textId="5CFF7739" w:rsidR="007E03D8" w:rsidRDefault="007E03D8" w:rsidP="007E03D8">
      <w:pPr>
        <w:jc w:val="both"/>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9"/>
        <w:gridCol w:w="4419"/>
      </w:tblGrid>
      <w:tr w:rsidR="007E03D8" w:rsidRPr="004E2E1E" w14:paraId="04045ECA" w14:textId="77777777" w:rsidTr="00582CA7">
        <w:tc>
          <w:tcPr>
            <w:tcW w:w="9353" w:type="dxa"/>
            <w:gridSpan w:val="2"/>
          </w:tcPr>
          <w:p w14:paraId="07D45727" w14:textId="241327F3" w:rsidR="007E03D8" w:rsidRPr="00B01BE4" w:rsidRDefault="00B01BE4" w:rsidP="00B01BE4">
            <w:pPr>
              <w:pStyle w:val="Descripcin"/>
              <w:spacing w:after="0"/>
              <w:jc w:val="center"/>
              <w:rPr>
                <w:b/>
                <w:bCs/>
                <w:i w:val="0"/>
                <w:iCs w:val="0"/>
                <w:color w:val="auto"/>
                <w:sz w:val="22"/>
                <w:szCs w:val="22"/>
                <w:lang w:val="es-GT"/>
              </w:rPr>
            </w:pPr>
            <w:bookmarkStart w:id="62" w:name="_Toc143870692"/>
            <w:r w:rsidRPr="00B01BE4">
              <w:rPr>
                <w:b/>
                <w:bCs/>
                <w:i w:val="0"/>
                <w:iCs w:val="0"/>
                <w:color w:val="auto"/>
                <w:sz w:val="22"/>
                <w:szCs w:val="22"/>
                <w:lang w:val="es-GT"/>
              </w:rPr>
              <w:t xml:space="preserve">Gráfico </w:t>
            </w:r>
            <w:r w:rsidRPr="00B01BE4">
              <w:rPr>
                <w:b/>
                <w:bCs/>
                <w:i w:val="0"/>
                <w:iCs w:val="0"/>
                <w:color w:val="auto"/>
                <w:sz w:val="22"/>
                <w:szCs w:val="22"/>
              </w:rPr>
              <w:fldChar w:fldCharType="begin"/>
            </w:r>
            <w:r w:rsidRPr="00B01BE4">
              <w:rPr>
                <w:b/>
                <w:bCs/>
                <w:i w:val="0"/>
                <w:iCs w:val="0"/>
                <w:color w:val="auto"/>
                <w:sz w:val="22"/>
                <w:szCs w:val="22"/>
                <w:lang w:val="es-GT"/>
              </w:rPr>
              <w:instrText xml:space="preserve"> SEQ Gráfico \* ARABIC </w:instrText>
            </w:r>
            <w:r w:rsidRPr="00B01BE4">
              <w:rPr>
                <w:b/>
                <w:bCs/>
                <w:i w:val="0"/>
                <w:iCs w:val="0"/>
                <w:color w:val="auto"/>
                <w:sz w:val="22"/>
                <w:szCs w:val="22"/>
              </w:rPr>
              <w:fldChar w:fldCharType="separate"/>
            </w:r>
            <w:r w:rsidR="006622B2">
              <w:rPr>
                <w:b/>
                <w:bCs/>
                <w:i w:val="0"/>
                <w:iCs w:val="0"/>
                <w:noProof/>
                <w:color w:val="auto"/>
                <w:sz w:val="22"/>
                <w:szCs w:val="22"/>
                <w:lang w:val="es-GT"/>
              </w:rPr>
              <w:t>25</w:t>
            </w:r>
            <w:r w:rsidRPr="00B01BE4">
              <w:rPr>
                <w:b/>
                <w:bCs/>
                <w:i w:val="0"/>
                <w:iCs w:val="0"/>
                <w:color w:val="auto"/>
                <w:sz w:val="22"/>
                <w:szCs w:val="22"/>
              </w:rPr>
              <w:fldChar w:fldCharType="end"/>
            </w:r>
            <w:r w:rsidRPr="00B01BE4">
              <w:rPr>
                <w:b/>
                <w:bCs/>
                <w:i w:val="0"/>
                <w:iCs w:val="0"/>
                <w:color w:val="auto"/>
                <w:sz w:val="22"/>
                <w:szCs w:val="22"/>
                <w:lang w:val="es-GT"/>
              </w:rPr>
              <w:t>.  Estructura porcentual de la inversión extranjera directa y Activos en Reserva</w:t>
            </w:r>
            <w:bookmarkEnd w:id="62"/>
          </w:p>
          <w:p w14:paraId="782023A5" w14:textId="77777777" w:rsidR="007E03D8" w:rsidRPr="007E03D8" w:rsidRDefault="007E03D8" w:rsidP="00582CA7">
            <w:pPr>
              <w:jc w:val="center"/>
              <w:rPr>
                <w:b/>
                <w:bCs/>
                <w:sz w:val="10"/>
                <w:szCs w:val="10"/>
                <w:lang w:val="es-GT"/>
              </w:rPr>
            </w:pPr>
          </w:p>
        </w:tc>
      </w:tr>
      <w:tr w:rsidR="007E03D8" w:rsidRPr="004E2E1E" w14:paraId="14AB6B6E" w14:textId="77777777" w:rsidTr="00582CA7">
        <w:tc>
          <w:tcPr>
            <w:tcW w:w="4678" w:type="dxa"/>
          </w:tcPr>
          <w:p w14:paraId="36B529F3" w14:textId="77777777" w:rsidR="007E03D8" w:rsidRPr="004E2E1E" w:rsidRDefault="007E03D8" w:rsidP="00582CA7">
            <w:pPr>
              <w:jc w:val="center"/>
              <w:rPr>
                <w:b/>
                <w:bCs/>
                <w:sz w:val="20"/>
                <w:szCs w:val="20"/>
              </w:rPr>
            </w:pPr>
            <w:r w:rsidRPr="004E2E1E">
              <w:rPr>
                <w:b/>
                <w:bCs/>
                <w:sz w:val="20"/>
                <w:szCs w:val="20"/>
              </w:rPr>
              <w:t>IED</w:t>
            </w:r>
          </w:p>
        </w:tc>
        <w:tc>
          <w:tcPr>
            <w:tcW w:w="4675" w:type="dxa"/>
          </w:tcPr>
          <w:p w14:paraId="5F171C74" w14:textId="77777777" w:rsidR="007E03D8" w:rsidRPr="004E2E1E" w:rsidRDefault="007E03D8" w:rsidP="00582CA7">
            <w:pPr>
              <w:jc w:val="center"/>
              <w:rPr>
                <w:b/>
                <w:bCs/>
                <w:sz w:val="20"/>
                <w:szCs w:val="20"/>
              </w:rPr>
            </w:pPr>
            <w:r w:rsidRPr="004E2E1E">
              <w:rPr>
                <w:b/>
                <w:bCs/>
                <w:sz w:val="20"/>
                <w:szCs w:val="20"/>
              </w:rPr>
              <w:t>RIN</w:t>
            </w:r>
          </w:p>
        </w:tc>
      </w:tr>
      <w:tr w:rsidR="007E03D8" w:rsidRPr="004E2E1E" w14:paraId="3659C4D5" w14:textId="77777777" w:rsidTr="00582CA7">
        <w:tblPrEx>
          <w:tblCellMar>
            <w:left w:w="70" w:type="dxa"/>
            <w:right w:w="70" w:type="dxa"/>
          </w:tblCellMar>
        </w:tblPrEx>
        <w:tc>
          <w:tcPr>
            <w:tcW w:w="4678" w:type="dxa"/>
          </w:tcPr>
          <w:p w14:paraId="0F4513E9" w14:textId="77777777" w:rsidR="007E03D8" w:rsidRPr="004E2E1E" w:rsidRDefault="007E03D8" w:rsidP="00582CA7">
            <w:pPr>
              <w:jc w:val="center"/>
            </w:pPr>
            <w:r w:rsidRPr="004E2E1E">
              <w:rPr>
                <w:noProof/>
              </w:rPr>
              <w:drawing>
                <wp:inline distT="0" distB="0" distL="0" distR="0" wp14:anchorId="1C2DA6DD" wp14:editId="234B7F67">
                  <wp:extent cx="2879725" cy="1689100"/>
                  <wp:effectExtent l="0" t="0" r="0" b="6350"/>
                  <wp:docPr id="39" name="Gráfico 39">
                    <a:extLst xmlns:a="http://schemas.openxmlformats.org/drawingml/2006/main">
                      <a:ext uri="{FF2B5EF4-FFF2-40B4-BE49-F238E27FC236}">
                        <a16:creationId xmlns:a16="http://schemas.microsoft.com/office/drawing/2014/main" id="{00000000-0008-0000-2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c>
          <w:tcPr>
            <w:tcW w:w="4675" w:type="dxa"/>
          </w:tcPr>
          <w:p w14:paraId="681986EB" w14:textId="77777777" w:rsidR="007E03D8" w:rsidRPr="004E2E1E" w:rsidRDefault="007E03D8" w:rsidP="00582CA7">
            <w:r w:rsidRPr="004E2E1E">
              <w:rPr>
                <w:noProof/>
              </w:rPr>
              <w:drawing>
                <wp:inline distT="0" distB="0" distL="0" distR="0" wp14:anchorId="79873BFA" wp14:editId="05412DBA">
                  <wp:extent cx="2879725" cy="1746250"/>
                  <wp:effectExtent l="0" t="0" r="0" b="6350"/>
                  <wp:docPr id="1820" name="Gráfico 1820">
                    <a:extLst xmlns:a="http://schemas.openxmlformats.org/drawingml/2006/main">
                      <a:ext uri="{FF2B5EF4-FFF2-40B4-BE49-F238E27FC236}">
                        <a16:creationId xmlns:a16="http://schemas.microsoft.com/office/drawing/2014/main" id="{00000000-0008-0000-21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r>
      <w:tr w:rsidR="007E03D8" w:rsidRPr="004E2E1E" w14:paraId="4A619212" w14:textId="77777777" w:rsidTr="00582CA7">
        <w:tc>
          <w:tcPr>
            <w:tcW w:w="9353" w:type="dxa"/>
            <w:gridSpan w:val="2"/>
          </w:tcPr>
          <w:p w14:paraId="2CE0E297" w14:textId="537529CC" w:rsidR="005318D0" w:rsidRPr="004E2E1E" w:rsidRDefault="007E03D8" w:rsidP="00582CA7">
            <w:pPr>
              <w:rPr>
                <w:sz w:val="18"/>
                <w:szCs w:val="18"/>
              </w:rPr>
            </w:pPr>
            <w:r w:rsidRPr="004E2E1E">
              <w:rPr>
                <w:sz w:val="18"/>
                <w:szCs w:val="18"/>
              </w:rPr>
              <w:t xml:space="preserve">        Fuente: Banco de Guatemala</w:t>
            </w:r>
            <w:r w:rsidR="00434108">
              <w:rPr>
                <w:sz w:val="18"/>
                <w:szCs w:val="18"/>
              </w:rPr>
              <w:t>.</w:t>
            </w:r>
          </w:p>
        </w:tc>
      </w:tr>
    </w:tbl>
    <w:p w14:paraId="5FED82C4" w14:textId="552A81A8" w:rsidR="007E03D8" w:rsidRPr="005318D0" w:rsidRDefault="007E03D8" w:rsidP="00354A9C">
      <w:pPr>
        <w:pStyle w:val="Ttulo3"/>
        <w:numPr>
          <w:ilvl w:val="2"/>
          <w:numId w:val="48"/>
        </w:numPr>
        <w:tabs>
          <w:tab w:val="left" w:pos="1134"/>
        </w:tabs>
        <w:rPr>
          <w:rFonts w:ascii="Times New Roman" w:hAnsi="Times New Roman" w:cs="Times New Roman"/>
          <w:b/>
          <w:bCs/>
          <w:color w:val="auto"/>
          <w:lang w:val="es-MX"/>
        </w:rPr>
      </w:pPr>
      <w:bookmarkStart w:id="63" w:name="_Toc143865799"/>
      <w:r w:rsidRPr="005318D0">
        <w:rPr>
          <w:rFonts w:ascii="Times New Roman" w:hAnsi="Times New Roman" w:cs="Times New Roman"/>
          <w:b/>
          <w:bCs/>
          <w:color w:val="auto"/>
          <w:lang w:val="es-MX"/>
        </w:rPr>
        <w:t>Posición de inversión internacional y la deuda externa público y privada</w:t>
      </w:r>
      <w:bookmarkEnd w:id="63"/>
    </w:p>
    <w:p w14:paraId="6A275270" w14:textId="774F5757" w:rsidR="007E03D8" w:rsidRDefault="007E03D8" w:rsidP="007E03D8">
      <w:pPr>
        <w:jc w:val="both"/>
      </w:pPr>
    </w:p>
    <w:p w14:paraId="39D691B4" w14:textId="4480BD75" w:rsidR="007E03D8" w:rsidRDefault="007E03D8" w:rsidP="007E03D8">
      <w:pPr>
        <w:jc w:val="both"/>
      </w:pPr>
      <w:r w:rsidRPr="007E03D8">
        <w:t xml:space="preserve">La posición de inversión internacional es un balance estadístico que muestra la tenencia de activos y pasivos financieros externos de la economía, por lo que al igual que la balanza de pagos ofrece información relevante para evaluar las relaciones económicas de los stocks con el resto del mundo. Los activos con los no residentes han tenido un constante aumento a través del tiempo, para el 2022 ascendieron a US$37,308.6 millones, principalmente por las reservas monetarias internacionales, dado que estas representan el 53.6% del total, a pesar de su diminución en 2022 por el aumento de las tasas de interés internacionales que disminuyeron el precio de las inversiones. Por </w:t>
      </w:r>
      <w:r w:rsidR="008214B2">
        <w:t>su</w:t>
      </w:r>
      <w:r w:rsidR="008214B2" w:rsidRPr="007E03D8">
        <w:t xml:space="preserve"> </w:t>
      </w:r>
      <w:r w:rsidRPr="007E03D8">
        <w:t>lado, la otra inversión tiene una proporción significativa en los activos, principalmente por las monedas y depósitos y los préstamos del sector bancario al resto del mundo.</w:t>
      </w:r>
    </w:p>
    <w:p w14:paraId="648023C2" w14:textId="22E8B97F" w:rsidR="007E03D8" w:rsidRDefault="007E03D8" w:rsidP="007E03D8">
      <w:pPr>
        <w:jc w:val="both"/>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9"/>
        <w:gridCol w:w="4419"/>
      </w:tblGrid>
      <w:tr w:rsidR="007E03D8" w:rsidRPr="004E2E1E" w14:paraId="3DDAA0AE" w14:textId="77777777" w:rsidTr="00582CA7">
        <w:tc>
          <w:tcPr>
            <w:tcW w:w="9350" w:type="dxa"/>
            <w:gridSpan w:val="2"/>
          </w:tcPr>
          <w:p w14:paraId="23D29120" w14:textId="0E6F38F5" w:rsidR="0041675B" w:rsidRDefault="00B01BE4" w:rsidP="00B01BE4">
            <w:pPr>
              <w:pStyle w:val="Descripcin"/>
              <w:spacing w:after="0"/>
              <w:jc w:val="center"/>
              <w:rPr>
                <w:b/>
                <w:bCs/>
                <w:i w:val="0"/>
                <w:iCs w:val="0"/>
                <w:color w:val="auto"/>
                <w:sz w:val="24"/>
                <w:szCs w:val="24"/>
                <w:lang w:val="es-GT"/>
              </w:rPr>
            </w:pPr>
            <w:bookmarkStart w:id="64" w:name="_Toc143870693"/>
            <w:r w:rsidRPr="00B01BE4">
              <w:rPr>
                <w:b/>
                <w:bCs/>
                <w:i w:val="0"/>
                <w:iCs w:val="0"/>
                <w:color w:val="auto"/>
                <w:sz w:val="24"/>
                <w:szCs w:val="24"/>
                <w:lang w:val="es-GT"/>
              </w:rPr>
              <w:t xml:space="preserve">Gráfico </w:t>
            </w:r>
            <w:r w:rsidRPr="00B01BE4">
              <w:rPr>
                <w:b/>
                <w:bCs/>
                <w:i w:val="0"/>
                <w:iCs w:val="0"/>
                <w:color w:val="auto"/>
                <w:sz w:val="24"/>
                <w:szCs w:val="24"/>
              </w:rPr>
              <w:fldChar w:fldCharType="begin"/>
            </w:r>
            <w:r w:rsidRPr="00B01BE4">
              <w:rPr>
                <w:b/>
                <w:bCs/>
                <w:i w:val="0"/>
                <w:iCs w:val="0"/>
                <w:color w:val="auto"/>
                <w:sz w:val="24"/>
                <w:szCs w:val="24"/>
                <w:lang w:val="es-GT"/>
              </w:rPr>
              <w:instrText xml:space="preserve"> SEQ Gráfico \* ARABIC </w:instrText>
            </w:r>
            <w:r w:rsidRPr="00B01BE4">
              <w:rPr>
                <w:b/>
                <w:bCs/>
                <w:i w:val="0"/>
                <w:iCs w:val="0"/>
                <w:color w:val="auto"/>
                <w:sz w:val="24"/>
                <w:szCs w:val="24"/>
              </w:rPr>
              <w:fldChar w:fldCharType="separate"/>
            </w:r>
            <w:r w:rsidR="006622B2">
              <w:rPr>
                <w:b/>
                <w:bCs/>
                <w:i w:val="0"/>
                <w:iCs w:val="0"/>
                <w:noProof/>
                <w:color w:val="auto"/>
                <w:sz w:val="24"/>
                <w:szCs w:val="24"/>
                <w:lang w:val="es-GT"/>
              </w:rPr>
              <w:t>26</w:t>
            </w:r>
            <w:r w:rsidRPr="00B01BE4">
              <w:rPr>
                <w:b/>
                <w:bCs/>
                <w:i w:val="0"/>
                <w:iCs w:val="0"/>
                <w:color w:val="auto"/>
                <w:sz w:val="24"/>
                <w:szCs w:val="24"/>
              </w:rPr>
              <w:fldChar w:fldCharType="end"/>
            </w:r>
            <w:r w:rsidRPr="00B01BE4">
              <w:rPr>
                <w:b/>
                <w:bCs/>
                <w:i w:val="0"/>
                <w:iCs w:val="0"/>
                <w:color w:val="auto"/>
                <w:sz w:val="24"/>
                <w:szCs w:val="24"/>
                <w:lang w:val="es-GT"/>
              </w:rPr>
              <w:t>.  Posición de inversión internacional y deuda externa</w:t>
            </w:r>
            <w:bookmarkEnd w:id="64"/>
          </w:p>
          <w:p w14:paraId="42833024" w14:textId="5980232E" w:rsidR="007E03D8" w:rsidRPr="00B01BE4" w:rsidRDefault="00B01BE4" w:rsidP="00B01BE4">
            <w:pPr>
              <w:pStyle w:val="Descripcin"/>
              <w:spacing w:after="0"/>
              <w:jc w:val="center"/>
              <w:rPr>
                <w:b/>
                <w:bCs/>
                <w:i w:val="0"/>
                <w:iCs w:val="0"/>
                <w:sz w:val="24"/>
                <w:szCs w:val="24"/>
                <w:lang w:val="es-GT"/>
              </w:rPr>
            </w:pPr>
            <w:r w:rsidRPr="00B01BE4">
              <w:rPr>
                <w:b/>
                <w:bCs/>
                <w:i w:val="0"/>
                <w:iCs w:val="0"/>
                <w:sz w:val="24"/>
                <w:szCs w:val="24"/>
                <w:lang w:val="es-GT"/>
              </w:rPr>
              <w:t xml:space="preserve">  </w:t>
            </w:r>
            <w:r w:rsidR="007E03D8" w:rsidRPr="00B01BE4">
              <w:rPr>
                <w:b/>
                <w:bCs/>
                <w:i w:val="0"/>
                <w:iCs w:val="0"/>
                <w:sz w:val="24"/>
                <w:szCs w:val="24"/>
                <w:lang w:val="es-GT"/>
              </w:rPr>
              <w:t xml:space="preserve"> </w:t>
            </w:r>
          </w:p>
        </w:tc>
      </w:tr>
      <w:tr w:rsidR="007E03D8" w:rsidRPr="004E2E1E" w14:paraId="2127B7AB" w14:textId="77777777" w:rsidTr="00582CA7">
        <w:tc>
          <w:tcPr>
            <w:tcW w:w="4675" w:type="dxa"/>
          </w:tcPr>
          <w:p w14:paraId="0753179E" w14:textId="77777777" w:rsidR="007E03D8" w:rsidRPr="007E03D8" w:rsidRDefault="007E03D8" w:rsidP="00582CA7">
            <w:pPr>
              <w:jc w:val="center"/>
              <w:rPr>
                <w:b/>
                <w:bCs/>
                <w:sz w:val="18"/>
                <w:szCs w:val="18"/>
                <w:lang w:val="es-GT"/>
              </w:rPr>
            </w:pPr>
            <w:r w:rsidRPr="007E03D8">
              <w:rPr>
                <w:b/>
                <w:bCs/>
                <w:sz w:val="18"/>
                <w:szCs w:val="18"/>
                <w:lang w:val="es-GT"/>
              </w:rPr>
              <w:t>Principales destinos (en porcentaje del PIB)</w:t>
            </w:r>
          </w:p>
        </w:tc>
        <w:tc>
          <w:tcPr>
            <w:tcW w:w="4675" w:type="dxa"/>
          </w:tcPr>
          <w:p w14:paraId="19BDCB2A" w14:textId="77777777" w:rsidR="007E03D8" w:rsidRPr="007E03D8" w:rsidRDefault="007E03D8" w:rsidP="00582CA7">
            <w:pPr>
              <w:jc w:val="center"/>
              <w:rPr>
                <w:b/>
                <w:bCs/>
                <w:sz w:val="18"/>
                <w:szCs w:val="18"/>
                <w:lang w:val="es-GT"/>
              </w:rPr>
            </w:pPr>
            <w:r w:rsidRPr="007E03D8">
              <w:rPr>
                <w:b/>
                <w:bCs/>
                <w:sz w:val="18"/>
                <w:szCs w:val="18"/>
                <w:lang w:val="es-GT"/>
              </w:rPr>
              <w:t>Deuda externa público y privada</w:t>
            </w:r>
          </w:p>
        </w:tc>
      </w:tr>
      <w:tr w:rsidR="007E03D8" w:rsidRPr="004E2E1E" w14:paraId="2EFD6FD9" w14:textId="77777777" w:rsidTr="00582CA7">
        <w:tblPrEx>
          <w:tblCellMar>
            <w:left w:w="70" w:type="dxa"/>
            <w:right w:w="70" w:type="dxa"/>
          </w:tblCellMar>
        </w:tblPrEx>
        <w:tc>
          <w:tcPr>
            <w:tcW w:w="4675" w:type="dxa"/>
          </w:tcPr>
          <w:p w14:paraId="0BBDD173" w14:textId="77777777" w:rsidR="007E03D8" w:rsidRPr="004E2E1E" w:rsidRDefault="007E03D8" w:rsidP="00582CA7">
            <w:pPr>
              <w:jc w:val="both"/>
            </w:pPr>
            <w:r w:rsidRPr="004E2E1E">
              <w:rPr>
                <w:noProof/>
              </w:rPr>
              <w:drawing>
                <wp:inline distT="0" distB="0" distL="0" distR="0" wp14:anchorId="23F88319" wp14:editId="0FCA0B0F">
                  <wp:extent cx="2880000" cy="2160000"/>
                  <wp:effectExtent l="0" t="0" r="0" b="0"/>
                  <wp:docPr id="1821" name="Gráfico 1821">
                    <a:extLst xmlns:a="http://schemas.openxmlformats.org/drawingml/2006/main">
                      <a:ext uri="{FF2B5EF4-FFF2-40B4-BE49-F238E27FC236}">
                        <a16:creationId xmlns:a16="http://schemas.microsoft.com/office/drawing/2014/main" id="{00000000-0008-0000-21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c>
        <w:tc>
          <w:tcPr>
            <w:tcW w:w="4675" w:type="dxa"/>
          </w:tcPr>
          <w:p w14:paraId="0C18D058" w14:textId="77777777" w:rsidR="007E03D8" w:rsidRPr="004E2E1E" w:rsidRDefault="007E03D8" w:rsidP="00582CA7">
            <w:pPr>
              <w:jc w:val="both"/>
            </w:pPr>
            <w:r w:rsidRPr="004E2E1E">
              <w:rPr>
                <w:noProof/>
              </w:rPr>
              <w:drawing>
                <wp:inline distT="0" distB="0" distL="0" distR="0" wp14:anchorId="55170209" wp14:editId="703704EE">
                  <wp:extent cx="2879725" cy="2063750"/>
                  <wp:effectExtent l="0" t="0" r="0" b="0"/>
                  <wp:docPr id="1822" name="Gráfico 1822">
                    <a:extLst xmlns:a="http://schemas.openxmlformats.org/drawingml/2006/main">
                      <a:ext uri="{FF2B5EF4-FFF2-40B4-BE49-F238E27FC236}">
                        <a16:creationId xmlns:a16="http://schemas.microsoft.com/office/drawing/2014/main" id="{00000000-0008-0000-21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r>
      <w:tr w:rsidR="007E03D8" w:rsidRPr="004E2E1E" w14:paraId="07E980A2" w14:textId="77777777" w:rsidTr="00582CA7">
        <w:tblPrEx>
          <w:tblCellMar>
            <w:left w:w="70" w:type="dxa"/>
            <w:right w:w="70" w:type="dxa"/>
          </w:tblCellMar>
        </w:tblPrEx>
        <w:tc>
          <w:tcPr>
            <w:tcW w:w="9350" w:type="dxa"/>
            <w:gridSpan w:val="2"/>
          </w:tcPr>
          <w:p w14:paraId="4BB8B44B" w14:textId="77777777" w:rsidR="007E03D8" w:rsidRPr="004E2E1E" w:rsidRDefault="007E03D8" w:rsidP="00582CA7">
            <w:pPr>
              <w:jc w:val="both"/>
              <w:rPr>
                <w:noProof/>
              </w:rPr>
            </w:pPr>
            <w:r w:rsidRPr="004E2E1E">
              <w:rPr>
                <w:sz w:val="18"/>
                <w:szCs w:val="18"/>
              </w:rPr>
              <w:t xml:space="preserve">        Fuente: Banco de Guatemala</w:t>
            </w:r>
          </w:p>
        </w:tc>
      </w:tr>
    </w:tbl>
    <w:p w14:paraId="552105D1" w14:textId="77777777" w:rsidR="007E03D8" w:rsidRDefault="007E03D8" w:rsidP="007E03D8">
      <w:pPr>
        <w:jc w:val="both"/>
      </w:pPr>
    </w:p>
    <w:p w14:paraId="4E13D925" w14:textId="6780CF1C" w:rsidR="007E03D8" w:rsidRDefault="007E03D8" w:rsidP="007E03D8">
      <w:pPr>
        <w:jc w:val="both"/>
      </w:pPr>
      <w:r w:rsidRPr="007E03D8">
        <w:t>Los pasivos ascendieron en 2022 a US$43,288.1</w:t>
      </w:r>
      <w:r w:rsidR="00D90665">
        <w:t>,</w:t>
      </w:r>
      <w:r w:rsidRPr="007E03D8">
        <w:t xml:space="preserve"> principalmente por la inversión extranjera directa que representó el 53.4% del total, la mayor parte explicada por las participaciones de capital distintas a la reinversión de utilidades. Asimismo, parte de los pasivos también se explican por la utilización de los instrumentos de deuda externa por los distintos sectores, de tal manera que el saldo de la deuda externa se ubicó en US$23,206.3 y represento el 24.8% del PIB, de la cual el gobierno general posee el 40.2%, las otras sociedades captadoras de depósito 24.4% y los otros sectores 29.6%. El constante aumento de los activos y la leve disminución de los pasivos han mejorado y fortalecido la posición de inversión internacional neta que como porcentaje del PIB representaron un saldo negativo de 6.4% en 2022.</w:t>
      </w:r>
    </w:p>
    <w:p w14:paraId="5AE63957" w14:textId="4D3298AB" w:rsidR="007E03D8" w:rsidRDefault="007E03D8" w:rsidP="007E03D8">
      <w:pPr>
        <w:jc w:val="both"/>
      </w:pPr>
    </w:p>
    <w:p w14:paraId="2917BEB3" w14:textId="232BEDD8" w:rsidR="007E03D8" w:rsidRPr="005318D0" w:rsidRDefault="007E03D8" w:rsidP="00354A9C">
      <w:pPr>
        <w:pStyle w:val="Ttulo3"/>
        <w:numPr>
          <w:ilvl w:val="2"/>
          <w:numId w:val="48"/>
        </w:numPr>
        <w:tabs>
          <w:tab w:val="left" w:pos="1134"/>
        </w:tabs>
        <w:rPr>
          <w:rFonts w:ascii="Times New Roman" w:hAnsi="Times New Roman" w:cs="Times New Roman"/>
          <w:b/>
          <w:bCs/>
          <w:color w:val="auto"/>
          <w:lang w:val="es-MX"/>
        </w:rPr>
      </w:pPr>
      <w:bookmarkStart w:id="65" w:name="_Toc143865800"/>
      <w:r w:rsidRPr="005318D0">
        <w:rPr>
          <w:rFonts w:ascii="Times New Roman" w:hAnsi="Times New Roman" w:cs="Times New Roman"/>
          <w:b/>
          <w:bCs/>
          <w:color w:val="auto"/>
          <w:lang w:val="es-MX"/>
        </w:rPr>
        <w:t>Tipo de cambio</w:t>
      </w:r>
      <w:bookmarkEnd w:id="65"/>
    </w:p>
    <w:p w14:paraId="303FF7CE" w14:textId="77777777" w:rsidR="007E03D8" w:rsidRDefault="007E03D8" w:rsidP="007E03D8">
      <w:pPr>
        <w:jc w:val="both"/>
      </w:pPr>
    </w:p>
    <w:p w14:paraId="146727D6" w14:textId="5808124B" w:rsidR="007E03D8" w:rsidRDefault="007E03D8" w:rsidP="007E03D8">
      <w:pPr>
        <w:jc w:val="both"/>
      </w:pPr>
      <w:r>
        <w:t>El tipo de cambio nominal de referencia se ha mantenido estable en el largo plazo, mostrando una muy leve apreciación del año 2013 hasta el año 2021, en donde pas</w:t>
      </w:r>
      <w:r w:rsidR="00D90665">
        <w:t>ó</w:t>
      </w:r>
      <w:r>
        <w:t xml:space="preserve"> de Q.7.84 a Q7.72. A pesar, del aumento constante del déficit de la balanza comercial debido a que las importaciones han mostrado un crecimiento mayor que las exportaciones en el tiempo, el fuerte incremento de las remesas familiares ha compensado dicho déficit en la economía y estabilizado el tipo de cambio nominal. </w:t>
      </w:r>
    </w:p>
    <w:p w14:paraId="4288B318" w14:textId="77777777" w:rsidR="008214B2" w:rsidRDefault="008214B2" w:rsidP="007E03D8">
      <w:pPr>
        <w:jc w:val="both"/>
      </w:pPr>
    </w:p>
    <w:p w14:paraId="41550186" w14:textId="62F3EAEF" w:rsidR="007E03D8" w:rsidRDefault="007E03D8" w:rsidP="007E03D8">
      <w:pPr>
        <w:jc w:val="both"/>
      </w:pPr>
      <w:r>
        <w:t>El tipo de cambio nominal registró, a diciembre de 2022, una depreciación interanual de 1.7%. En el año existieron presiones hacia la depreciación del tipo de cambio por distintas razones, entre las cuales destacan la incertidumbre de los agentes económicos que los induce disminuir sus inversiones en países emergentes, el aumento constante de las importaciones mayor al de las exportaciones en los últimos años, el aumento de la tasas de interés de la mayoría de economías y la extracción de divisas por el mecanismo de acumulación de Reservas Monetarias Internacionales, que a finales de año se adquirieron US$1,472.2 millones. Por su parte, el crecimiento robusto de las remesas familiares compensó parte de dichas presiones al tipo de cambio.</w:t>
      </w:r>
    </w:p>
    <w:p w14:paraId="5EC3DA0A" w14:textId="1A908E79" w:rsidR="007E03D8" w:rsidRDefault="007E03D8" w:rsidP="007E03D8">
      <w:pPr>
        <w:jc w:val="both"/>
      </w:pPr>
    </w:p>
    <w:p w14:paraId="62502C6E" w14:textId="129AADF4" w:rsidR="007E03D8" w:rsidRDefault="00B01BE4" w:rsidP="00B01BE4">
      <w:pPr>
        <w:pStyle w:val="Descripcin"/>
        <w:spacing w:after="0"/>
        <w:jc w:val="center"/>
        <w:rPr>
          <w:b/>
          <w:bCs/>
          <w:i w:val="0"/>
          <w:iCs w:val="0"/>
          <w:color w:val="auto"/>
          <w:sz w:val="24"/>
          <w:szCs w:val="24"/>
        </w:rPr>
      </w:pPr>
      <w:bookmarkStart w:id="66" w:name="_Toc143870694"/>
      <w:r w:rsidRPr="00B01BE4">
        <w:rPr>
          <w:b/>
          <w:bCs/>
          <w:i w:val="0"/>
          <w:iCs w:val="0"/>
          <w:color w:val="auto"/>
          <w:sz w:val="24"/>
          <w:szCs w:val="24"/>
        </w:rPr>
        <w:t xml:space="preserve">Gráfico </w:t>
      </w:r>
      <w:r w:rsidRPr="00B01BE4">
        <w:rPr>
          <w:b/>
          <w:bCs/>
          <w:i w:val="0"/>
          <w:iCs w:val="0"/>
          <w:color w:val="auto"/>
          <w:sz w:val="24"/>
          <w:szCs w:val="24"/>
        </w:rPr>
        <w:fldChar w:fldCharType="begin"/>
      </w:r>
      <w:r w:rsidRPr="00B01BE4">
        <w:rPr>
          <w:b/>
          <w:bCs/>
          <w:i w:val="0"/>
          <w:iCs w:val="0"/>
          <w:color w:val="auto"/>
          <w:sz w:val="24"/>
          <w:szCs w:val="24"/>
        </w:rPr>
        <w:instrText xml:space="preserve"> SEQ Gráfico \* ARABIC </w:instrText>
      </w:r>
      <w:r w:rsidRPr="00B01BE4">
        <w:rPr>
          <w:b/>
          <w:bCs/>
          <w:i w:val="0"/>
          <w:iCs w:val="0"/>
          <w:color w:val="auto"/>
          <w:sz w:val="24"/>
          <w:szCs w:val="24"/>
        </w:rPr>
        <w:fldChar w:fldCharType="separate"/>
      </w:r>
      <w:r w:rsidR="006622B2">
        <w:rPr>
          <w:b/>
          <w:bCs/>
          <w:i w:val="0"/>
          <w:iCs w:val="0"/>
          <w:noProof/>
          <w:color w:val="auto"/>
          <w:sz w:val="24"/>
          <w:szCs w:val="24"/>
        </w:rPr>
        <w:t>27</w:t>
      </w:r>
      <w:r w:rsidRPr="00B01BE4">
        <w:rPr>
          <w:b/>
          <w:bCs/>
          <w:i w:val="0"/>
          <w:iCs w:val="0"/>
          <w:color w:val="auto"/>
          <w:sz w:val="24"/>
          <w:szCs w:val="24"/>
        </w:rPr>
        <w:fldChar w:fldCharType="end"/>
      </w:r>
      <w:r w:rsidRPr="00B01BE4">
        <w:rPr>
          <w:b/>
          <w:bCs/>
          <w:i w:val="0"/>
          <w:iCs w:val="0"/>
          <w:color w:val="auto"/>
          <w:sz w:val="24"/>
          <w:szCs w:val="24"/>
        </w:rPr>
        <w:t>.  Tipo de cambio de referencia (Q/$)</w:t>
      </w:r>
      <w:bookmarkEnd w:id="66"/>
    </w:p>
    <w:p w14:paraId="51472958" w14:textId="77777777" w:rsidR="0041675B" w:rsidRPr="0041675B" w:rsidRDefault="0041675B" w:rsidP="0041675B"/>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8"/>
        <w:gridCol w:w="4420"/>
      </w:tblGrid>
      <w:tr w:rsidR="007E03D8" w:rsidRPr="004E2E1E" w14:paraId="388D634E" w14:textId="77777777" w:rsidTr="00582CA7">
        <w:trPr>
          <w:trHeight w:val="13"/>
        </w:trPr>
        <w:tc>
          <w:tcPr>
            <w:tcW w:w="4678" w:type="dxa"/>
          </w:tcPr>
          <w:p w14:paraId="38C557A5" w14:textId="77777777" w:rsidR="007E03D8" w:rsidRPr="004E2E1E" w:rsidRDefault="007E03D8" w:rsidP="00582CA7">
            <w:pPr>
              <w:jc w:val="center"/>
              <w:rPr>
                <w:b/>
                <w:bCs/>
                <w:sz w:val="20"/>
                <w:szCs w:val="20"/>
              </w:rPr>
            </w:pPr>
            <w:bookmarkStart w:id="67" w:name="_Hlk136007328"/>
            <w:r w:rsidRPr="004E2E1E">
              <w:rPr>
                <w:b/>
                <w:bCs/>
                <w:sz w:val="20"/>
                <w:szCs w:val="20"/>
              </w:rPr>
              <w:t>Último día del año 2013-2022</w:t>
            </w:r>
          </w:p>
        </w:tc>
        <w:tc>
          <w:tcPr>
            <w:tcW w:w="4415" w:type="dxa"/>
          </w:tcPr>
          <w:p w14:paraId="05C02D10" w14:textId="77777777" w:rsidR="007E03D8" w:rsidRPr="004E2E1E" w:rsidRDefault="007E03D8" w:rsidP="00582CA7">
            <w:pPr>
              <w:jc w:val="center"/>
              <w:rPr>
                <w:b/>
                <w:bCs/>
                <w:sz w:val="20"/>
                <w:szCs w:val="20"/>
              </w:rPr>
            </w:pPr>
            <w:r w:rsidRPr="004E2E1E">
              <w:rPr>
                <w:b/>
                <w:bCs/>
                <w:sz w:val="20"/>
                <w:szCs w:val="20"/>
              </w:rPr>
              <w:t>En el año 2022</w:t>
            </w:r>
          </w:p>
        </w:tc>
      </w:tr>
      <w:tr w:rsidR="007E03D8" w:rsidRPr="004E2E1E" w14:paraId="09999E7F" w14:textId="77777777" w:rsidTr="00582CA7">
        <w:tblPrEx>
          <w:tblCellMar>
            <w:left w:w="70" w:type="dxa"/>
            <w:right w:w="70" w:type="dxa"/>
          </w:tblCellMar>
        </w:tblPrEx>
        <w:trPr>
          <w:trHeight w:val="203"/>
        </w:trPr>
        <w:tc>
          <w:tcPr>
            <w:tcW w:w="4678" w:type="dxa"/>
          </w:tcPr>
          <w:p w14:paraId="23276C6C" w14:textId="55ED6DC4" w:rsidR="007E03D8" w:rsidRPr="004E2E1E" w:rsidRDefault="007E03D8" w:rsidP="00582CA7">
            <w:pPr>
              <w:tabs>
                <w:tab w:val="center" w:pos="2262"/>
              </w:tabs>
            </w:pPr>
            <w:r w:rsidRPr="004E2E1E">
              <w:rPr>
                <w:noProof/>
              </w:rPr>
              <w:drawing>
                <wp:inline distT="0" distB="0" distL="0" distR="0" wp14:anchorId="4EBB3295" wp14:editId="4206F9A2">
                  <wp:extent cx="2881630" cy="1968500"/>
                  <wp:effectExtent l="0" t="0" r="0" b="0"/>
                  <wp:docPr id="42" name="Gráfico 42">
                    <a:extLst xmlns:a="http://schemas.openxmlformats.org/drawingml/2006/main">
                      <a:ext uri="{FF2B5EF4-FFF2-40B4-BE49-F238E27FC236}">
                        <a16:creationId xmlns:a16="http://schemas.microsoft.com/office/drawing/2014/main" id="{31C67EF5-C613-4142-B522-39A3665B73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c>
          <w:tcPr>
            <w:tcW w:w="4415" w:type="dxa"/>
          </w:tcPr>
          <w:p w14:paraId="3A7730D8" w14:textId="77777777" w:rsidR="007E03D8" w:rsidRPr="004E2E1E" w:rsidRDefault="007E03D8" w:rsidP="00582CA7">
            <w:r w:rsidRPr="004E2E1E">
              <w:rPr>
                <w:noProof/>
              </w:rPr>
              <w:drawing>
                <wp:inline distT="0" distB="0" distL="0" distR="0" wp14:anchorId="009498DE" wp14:editId="017AF6D6">
                  <wp:extent cx="2882900" cy="1854200"/>
                  <wp:effectExtent l="0" t="0" r="0" b="0"/>
                  <wp:docPr id="46" name="Gráfico 46">
                    <a:extLst xmlns:a="http://schemas.openxmlformats.org/drawingml/2006/main">
                      <a:ext uri="{FF2B5EF4-FFF2-40B4-BE49-F238E27FC236}">
                        <a16:creationId xmlns:a16="http://schemas.microsoft.com/office/drawing/2014/main" id="{00000000-0008-0000-2200-00001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r>
      <w:tr w:rsidR="007E03D8" w:rsidRPr="004E2E1E" w14:paraId="00A4D63A" w14:textId="77777777" w:rsidTr="00582CA7">
        <w:tblPrEx>
          <w:tblCellMar>
            <w:left w:w="70" w:type="dxa"/>
            <w:right w:w="70" w:type="dxa"/>
          </w:tblCellMar>
        </w:tblPrEx>
        <w:trPr>
          <w:trHeight w:val="203"/>
        </w:trPr>
        <w:tc>
          <w:tcPr>
            <w:tcW w:w="9093" w:type="dxa"/>
            <w:gridSpan w:val="2"/>
          </w:tcPr>
          <w:p w14:paraId="65622150" w14:textId="77777777" w:rsidR="007E03D8" w:rsidRPr="004E2E1E" w:rsidRDefault="007E03D8" w:rsidP="00582CA7">
            <w:pPr>
              <w:rPr>
                <w:noProof/>
              </w:rPr>
            </w:pPr>
            <w:r w:rsidRPr="004E2E1E">
              <w:rPr>
                <w:sz w:val="18"/>
                <w:szCs w:val="18"/>
              </w:rPr>
              <w:t xml:space="preserve">        Fuente: Banco de Guatemala</w:t>
            </w:r>
          </w:p>
        </w:tc>
      </w:tr>
      <w:bookmarkEnd w:id="67"/>
    </w:tbl>
    <w:p w14:paraId="1C329720" w14:textId="3FAA1039" w:rsidR="007E03D8" w:rsidRDefault="007E03D8" w:rsidP="007E03D8">
      <w:pPr>
        <w:jc w:val="both"/>
      </w:pPr>
    </w:p>
    <w:tbl>
      <w:tblPr>
        <w:tblpPr w:leftFromText="141" w:rightFromText="141" w:vertAnchor="text" w:horzAnchor="margin" w:tblpY="66"/>
        <w:tblW w:w="932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9326"/>
      </w:tblGrid>
      <w:tr w:rsidR="00A743A1" w:rsidRPr="00A743A1" w14:paraId="59562F3A" w14:textId="77777777" w:rsidTr="003465A9">
        <w:tc>
          <w:tcPr>
            <w:tcW w:w="9326" w:type="dxa"/>
            <w:shd w:val="clear" w:color="auto" w:fill="B4C6E7" w:themeFill="accent1" w:themeFillTint="66"/>
          </w:tcPr>
          <w:p w14:paraId="39B9343D" w14:textId="0A4667F5" w:rsidR="00965FB8" w:rsidRPr="00965FB8" w:rsidRDefault="00965FB8" w:rsidP="00965FB8">
            <w:pPr>
              <w:pStyle w:val="Descripcin"/>
              <w:spacing w:after="0"/>
              <w:jc w:val="center"/>
              <w:rPr>
                <w:b/>
                <w:bCs/>
                <w:i w:val="0"/>
                <w:iCs w:val="0"/>
                <w:color w:val="auto"/>
                <w:sz w:val="24"/>
                <w:szCs w:val="24"/>
              </w:rPr>
            </w:pPr>
            <w:r w:rsidRPr="00965FB8">
              <w:rPr>
                <w:b/>
                <w:bCs/>
                <w:i w:val="0"/>
                <w:iCs w:val="0"/>
                <w:color w:val="auto"/>
                <w:sz w:val="24"/>
                <w:szCs w:val="24"/>
              </w:rPr>
              <w:t xml:space="preserve">Recuadro </w:t>
            </w:r>
            <w:r w:rsidRPr="00965FB8">
              <w:rPr>
                <w:b/>
                <w:bCs/>
                <w:i w:val="0"/>
                <w:iCs w:val="0"/>
                <w:color w:val="auto"/>
                <w:sz w:val="24"/>
                <w:szCs w:val="24"/>
              </w:rPr>
              <w:fldChar w:fldCharType="begin"/>
            </w:r>
            <w:r w:rsidRPr="00965FB8">
              <w:rPr>
                <w:b/>
                <w:bCs/>
                <w:i w:val="0"/>
                <w:iCs w:val="0"/>
                <w:color w:val="auto"/>
                <w:sz w:val="24"/>
                <w:szCs w:val="24"/>
              </w:rPr>
              <w:instrText xml:space="preserve"> SEQ Recuadro \* ARABIC </w:instrText>
            </w:r>
            <w:r w:rsidRPr="00965FB8">
              <w:rPr>
                <w:b/>
                <w:bCs/>
                <w:i w:val="0"/>
                <w:iCs w:val="0"/>
                <w:color w:val="auto"/>
                <w:sz w:val="24"/>
                <w:szCs w:val="24"/>
              </w:rPr>
              <w:fldChar w:fldCharType="separate"/>
            </w:r>
            <w:r w:rsidR="006622B2">
              <w:rPr>
                <w:b/>
                <w:bCs/>
                <w:i w:val="0"/>
                <w:iCs w:val="0"/>
                <w:noProof/>
                <w:color w:val="auto"/>
                <w:sz w:val="24"/>
                <w:szCs w:val="24"/>
              </w:rPr>
              <w:t>1</w:t>
            </w:r>
            <w:r w:rsidRPr="00965FB8">
              <w:rPr>
                <w:b/>
                <w:bCs/>
                <w:i w:val="0"/>
                <w:iCs w:val="0"/>
                <w:color w:val="auto"/>
                <w:sz w:val="24"/>
                <w:szCs w:val="24"/>
              </w:rPr>
              <w:fldChar w:fldCharType="end"/>
            </w:r>
            <w:r w:rsidRPr="00965FB8">
              <w:rPr>
                <w:b/>
                <w:bCs/>
                <w:i w:val="0"/>
                <w:iCs w:val="0"/>
                <w:color w:val="auto"/>
                <w:sz w:val="24"/>
                <w:szCs w:val="24"/>
              </w:rPr>
              <w:t>.   Tipo de cambio real de Guatemala</w:t>
            </w:r>
          </w:p>
          <w:p w14:paraId="464C375F" w14:textId="7BF7CAA8" w:rsidR="00A743A1" w:rsidRPr="009A47AF" w:rsidRDefault="00A743A1" w:rsidP="009A47AF">
            <w:pPr>
              <w:jc w:val="both"/>
              <w:rPr>
                <w:sz w:val="22"/>
                <w:szCs w:val="22"/>
                <w:lang w:eastAsia="en-US"/>
              </w:rPr>
            </w:pPr>
            <w:r w:rsidRPr="009A47AF">
              <w:rPr>
                <w:sz w:val="22"/>
                <w:szCs w:val="22"/>
                <w:lang w:eastAsia="en-US"/>
              </w:rPr>
              <w:t>El tipo de cambio real es un indicador de competitividad de los bienes y servicios nacionales con respecto a los del resto del mundo. Un incremento en el tipo de cambio real se considera una depreciación real y se interpreta como un aumento del poder adquisitivo de los bienes nacionales con respecto a los del resto del mundo. Por lo tanto, una depreciación real de la moneda interna aumenta la demanda de bienes interiores (exportaciones) y disminuye la demanda de bienes del resto del mundo (importaciones) lo cual incrementa la demanda agregada.</w:t>
            </w:r>
          </w:p>
          <w:p w14:paraId="6C2697D9" w14:textId="77777777" w:rsidR="009A47AF" w:rsidRPr="009A47AF" w:rsidRDefault="009A47AF" w:rsidP="009A47AF">
            <w:pPr>
              <w:jc w:val="both"/>
              <w:rPr>
                <w:sz w:val="22"/>
                <w:szCs w:val="22"/>
                <w:lang w:eastAsia="en-US"/>
              </w:rPr>
            </w:pPr>
          </w:p>
          <w:p w14:paraId="74F51E4F" w14:textId="1F9C53C0" w:rsidR="00A743A1" w:rsidRPr="009A47AF" w:rsidRDefault="00A743A1" w:rsidP="009A47AF">
            <w:pPr>
              <w:jc w:val="both"/>
              <w:rPr>
                <w:sz w:val="22"/>
                <w:szCs w:val="22"/>
                <w:lang w:eastAsia="en-US"/>
              </w:rPr>
            </w:pPr>
            <w:r w:rsidRPr="009A47AF">
              <w:rPr>
                <w:sz w:val="22"/>
                <w:szCs w:val="22"/>
                <w:lang w:eastAsia="en-US"/>
              </w:rPr>
              <w:t xml:space="preserve">Además de las importaciones reales, el tipo de cambio real tiene incidencia en la brecha del producto, ambas variables macroeconómicas fundamentales para la proyección de los ingresos tributarios y por lo tanto en el diseño de la política fiscal. Por este motivo se realizó una estimación del índice de tipo de cambio real siguiendo de cerca la metodología sugerida por </w:t>
            </w:r>
            <w:r w:rsidRPr="009A47AF">
              <w:rPr>
                <w:sz w:val="22"/>
                <w:szCs w:val="22"/>
                <w:lang w:eastAsia="en-US"/>
              </w:rPr>
              <w:fldChar w:fldCharType="begin"/>
            </w:r>
            <w:r w:rsidRPr="009A47AF">
              <w:rPr>
                <w:sz w:val="22"/>
                <w:szCs w:val="22"/>
                <w:lang w:eastAsia="en-US"/>
              </w:rPr>
              <w:instrText xml:space="preserve"> CITATION Sec16 \l 4106 </w:instrText>
            </w:r>
            <w:r w:rsidRPr="009A47AF">
              <w:rPr>
                <w:sz w:val="22"/>
                <w:szCs w:val="22"/>
                <w:lang w:eastAsia="en-US"/>
              </w:rPr>
              <w:fldChar w:fldCharType="separate"/>
            </w:r>
            <w:r w:rsidRPr="009A47AF">
              <w:rPr>
                <w:noProof/>
                <w:sz w:val="22"/>
                <w:szCs w:val="22"/>
                <w:lang w:eastAsia="en-US"/>
              </w:rPr>
              <w:t>(Secretaría Ejecutiva del Consejo Monetario Centroamericano, 2016)</w:t>
            </w:r>
            <w:r w:rsidRPr="009A47AF">
              <w:rPr>
                <w:sz w:val="22"/>
                <w:szCs w:val="22"/>
                <w:lang w:eastAsia="en-US"/>
              </w:rPr>
              <w:fldChar w:fldCharType="end"/>
            </w:r>
            <w:r w:rsidRPr="009A47AF">
              <w:rPr>
                <w:sz w:val="22"/>
                <w:szCs w:val="22"/>
                <w:lang w:eastAsia="en-US"/>
              </w:rPr>
              <w:t>. La expresión del índice de tipo de cambio real es la siguiente:</w:t>
            </w:r>
          </w:p>
          <w:p w14:paraId="4B45A03A" w14:textId="77777777" w:rsidR="009A47AF" w:rsidRPr="009A47AF" w:rsidRDefault="009A47AF" w:rsidP="009A47AF">
            <w:pPr>
              <w:jc w:val="both"/>
              <w:rPr>
                <w:sz w:val="18"/>
                <w:szCs w:val="18"/>
                <w:lang w:eastAsia="en-US"/>
              </w:rPr>
            </w:pPr>
          </w:p>
          <w:p w14:paraId="25F313CE" w14:textId="47C7003A" w:rsidR="009A47AF" w:rsidRPr="009A47AF" w:rsidRDefault="00A743A1" w:rsidP="009A47AF">
            <w:pPr>
              <w:spacing w:after="160" w:line="259" w:lineRule="auto"/>
              <w:jc w:val="both"/>
              <w:rPr>
                <w:rFonts w:asciiTheme="minorHAnsi" w:eastAsiaTheme="minorEastAsia" w:hAnsiTheme="minorHAnsi"/>
                <w:sz w:val="22"/>
                <w:szCs w:val="22"/>
                <w:lang w:eastAsia="en-US"/>
              </w:rPr>
            </w:pPr>
            <m:oMathPara>
              <m:oMath>
                <m:r>
                  <w:rPr>
                    <w:rFonts w:ascii="Cambria Math" w:eastAsiaTheme="minorEastAsia" w:hAnsi="Cambria Math"/>
                    <w:sz w:val="18"/>
                    <w:szCs w:val="18"/>
                    <w:lang w:eastAsia="en-US"/>
                  </w:rPr>
                  <m:t>ITCR=</m:t>
                </m:r>
                <m:f>
                  <m:fPr>
                    <m:ctrlPr>
                      <w:rPr>
                        <w:rFonts w:ascii="Cambria Math" w:eastAsiaTheme="minorEastAsia" w:hAnsi="Cambria Math"/>
                        <w:i/>
                        <w:sz w:val="18"/>
                        <w:szCs w:val="18"/>
                        <w:lang w:eastAsia="en-US"/>
                      </w:rPr>
                    </m:ctrlPr>
                  </m:fPr>
                  <m:num>
                    <m:sSub>
                      <m:sSubPr>
                        <m:ctrlPr>
                          <w:rPr>
                            <w:rFonts w:ascii="Cambria Math" w:hAnsi="Cambria Math"/>
                            <w:i/>
                            <w:sz w:val="18"/>
                            <w:szCs w:val="18"/>
                            <w:lang w:eastAsia="en-US"/>
                          </w:rPr>
                        </m:ctrlPr>
                      </m:sSubPr>
                      <m:e>
                        <m:r>
                          <w:rPr>
                            <w:rFonts w:ascii="Cambria Math" w:hAnsi="Cambria Math"/>
                            <w:sz w:val="18"/>
                            <w:szCs w:val="18"/>
                            <w:lang w:eastAsia="en-US"/>
                          </w:rPr>
                          <m:t>E</m:t>
                        </m:r>
                      </m:e>
                      <m:sub>
                        <m:r>
                          <w:rPr>
                            <w:rFonts w:ascii="Cambria Math" w:hAnsi="Cambria Math"/>
                            <w:sz w:val="18"/>
                            <w:szCs w:val="18"/>
                            <w:lang w:eastAsia="en-US"/>
                          </w:rPr>
                          <m:t>t</m:t>
                        </m:r>
                      </m:sub>
                    </m:sSub>
                    <m:sSubSup>
                      <m:sSubSupPr>
                        <m:ctrlPr>
                          <w:rPr>
                            <w:rFonts w:ascii="Cambria Math" w:eastAsiaTheme="minorEastAsia" w:hAnsi="Cambria Math"/>
                            <w:i/>
                            <w:sz w:val="18"/>
                            <w:szCs w:val="18"/>
                            <w:lang w:eastAsia="en-US"/>
                          </w:rPr>
                        </m:ctrlPr>
                      </m:sSubSupPr>
                      <m:e>
                        <m:r>
                          <w:rPr>
                            <w:rFonts w:ascii="Cambria Math" w:eastAsiaTheme="minorEastAsia" w:hAnsi="Cambria Math"/>
                            <w:sz w:val="18"/>
                            <w:szCs w:val="18"/>
                            <w:lang w:eastAsia="en-US"/>
                          </w:rPr>
                          <m:t>P</m:t>
                        </m:r>
                      </m:e>
                      <m:sub>
                        <m:r>
                          <w:rPr>
                            <w:rFonts w:ascii="Cambria Math" w:eastAsiaTheme="minorEastAsia" w:hAnsi="Cambria Math"/>
                            <w:sz w:val="18"/>
                            <w:szCs w:val="18"/>
                            <w:lang w:eastAsia="en-US"/>
                          </w:rPr>
                          <m:t>t</m:t>
                        </m:r>
                      </m:sub>
                      <m:sup>
                        <m:r>
                          <w:rPr>
                            <w:rFonts w:ascii="Cambria Math" w:eastAsiaTheme="minorEastAsia" w:hAnsi="Cambria Math"/>
                            <w:sz w:val="18"/>
                            <w:szCs w:val="18"/>
                            <w:lang w:eastAsia="en-US"/>
                          </w:rPr>
                          <m:t>*</m:t>
                        </m:r>
                      </m:sup>
                    </m:sSubSup>
                  </m:num>
                  <m:den>
                    <m:sSub>
                      <m:sSubPr>
                        <m:ctrlPr>
                          <w:rPr>
                            <w:rFonts w:ascii="Cambria Math" w:eastAsiaTheme="minorEastAsia" w:hAnsi="Cambria Math"/>
                            <w:i/>
                            <w:sz w:val="18"/>
                            <w:szCs w:val="18"/>
                            <w:lang w:eastAsia="en-US"/>
                          </w:rPr>
                        </m:ctrlPr>
                      </m:sSubPr>
                      <m:e>
                        <m:r>
                          <w:rPr>
                            <w:rFonts w:ascii="Cambria Math" w:eastAsiaTheme="minorEastAsia" w:hAnsi="Cambria Math"/>
                            <w:sz w:val="18"/>
                            <w:szCs w:val="18"/>
                            <w:lang w:eastAsia="en-US"/>
                          </w:rPr>
                          <m:t>P</m:t>
                        </m:r>
                      </m:e>
                      <m:sub>
                        <m:r>
                          <w:rPr>
                            <w:rFonts w:ascii="Cambria Math" w:eastAsiaTheme="minorEastAsia" w:hAnsi="Cambria Math"/>
                            <w:sz w:val="18"/>
                            <w:szCs w:val="18"/>
                            <w:lang w:eastAsia="en-US"/>
                          </w:rPr>
                          <m:t>t</m:t>
                        </m:r>
                      </m:sub>
                    </m:sSub>
                  </m:den>
                </m:f>
              </m:oMath>
            </m:oMathPara>
          </w:p>
          <w:p w14:paraId="51CA2DB2" w14:textId="28B7959B" w:rsidR="00A743A1" w:rsidRPr="00A743A1" w:rsidRDefault="00A743A1" w:rsidP="009A47AF">
            <w:pPr>
              <w:jc w:val="both"/>
              <w:rPr>
                <w:rFonts w:eastAsiaTheme="minorEastAsia"/>
                <w:sz w:val="22"/>
                <w:szCs w:val="22"/>
                <w:lang w:eastAsia="en-US"/>
              </w:rPr>
            </w:pPr>
            <w:r w:rsidRPr="00A743A1">
              <w:rPr>
                <w:rFonts w:eastAsiaTheme="minorEastAsia"/>
                <w:sz w:val="22"/>
                <w:szCs w:val="22"/>
                <w:lang w:eastAsia="en-US"/>
              </w:rPr>
              <w:t>De la cual:</w:t>
            </w:r>
          </w:p>
          <w:p w14:paraId="5447F562" w14:textId="77777777" w:rsidR="00A743A1" w:rsidRPr="009A47AF" w:rsidRDefault="005A30CD" w:rsidP="009A47AF">
            <w:pPr>
              <w:jc w:val="center"/>
              <w:rPr>
                <w:rFonts w:asciiTheme="minorHAnsi" w:eastAsiaTheme="minorEastAsia" w:hAnsiTheme="minorHAnsi"/>
                <w:sz w:val="18"/>
                <w:szCs w:val="18"/>
                <w:lang w:eastAsia="en-US"/>
              </w:rPr>
            </w:pPr>
            <m:oMath>
              <m:sSub>
                <m:sSubPr>
                  <m:ctrlPr>
                    <w:rPr>
                      <w:rFonts w:ascii="Cambria Math" w:eastAsiaTheme="minorEastAsia" w:hAnsi="Cambria Math"/>
                      <w:i/>
                      <w:sz w:val="18"/>
                      <w:szCs w:val="18"/>
                      <w:lang w:eastAsia="en-US"/>
                    </w:rPr>
                  </m:ctrlPr>
                </m:sSubPr>
                <m:e>
                  <m:r>
                    <w:rPr>
                      <w:rFonts w:ascii="Cambria Math" w:eastAsiaTheme="minorEastAsia" w:hAnsi="Cambria Math"/>
                      <w:sz w:val="18"/>
                      <w:szCs w:val="18"/>
                      <w:lang w:eastAsia="en-US"/>
                    </w:rPr>
                    <m:t>E</m:t>
                  </m:r>
                </m:e>
                <m:sub>
                  <m:r>
                    <w:rPr>
                      <w:rFonts w:ascii="Cambria Math" w:eastAsiaTheme="minorEastAsia" w:hAnsi="Cambria Math"/>
                      <w:sz w:val="18"/>
                      <w:szCs w:val="18"/>
                      <w:lang w:eastAsia="en-US"/>
                    </w:rPr>
                    <m:t>t</m:t>
                  </m:r>
                </m:sub>
              </m:sSub>
              <m:r>
                <w:rPr>
                  <w:rFonts w:ascii="Cambria Math" w:eastAsiaTheme="minorEastAsia" w:hAnsi="Cambria Math"/>
                  <w:sz w:val="18"/>
                  <w:szCs w:val="18"/>
                  <w:lang w:eastAsia="en-US"/>
                </w:rPr>
                <m:t>=</m:t>
              </m:r>
              <m:f>
                <m:fPr>
                  <m:ctrlPr>
                    <w:rPr>
                      <w:rFonts w:ascii="Cambria Math" w:eastAsiaTheme="minorEastAsia" w:hAnsi="Cambria Math"/>
                      <w:i/>
                      <w:sz w:val="18"/>
                      <w:szCs w:val="18"/>
                      <w:lang w:eastAsia="en-US"/>
                    </w:rPr>
                  </m:ctrlPr>
                </m:fPr>
                <m:num>
                  <m:sSub>
                    <m:sSubPr>
                      <m:ctrlPr>
                        <w:rPr>
                          <w:rFonts w:ascii="Cambria Math" w:eastAsiaTheme="minorEastAsia" w:hAnsi="Cambria Math"/>
                          <w:i/>
                          <w:sz w:val="18"/>
                          <w:szCs w:val="18"/>
                          <w:lang w:eastAsia="en-US"/>
                        </w:rPr>
                      </m:ctrlPr>
                    </m:sSubPr>
                    <m:e>
                      <m:r>
                        <w:rPr>
                          <w:rFonts w:ascii="Cambria Math" w:eastAsiaTheme="minorEastAsia" w:hAnsi="Cambria Math"/>
                          <w:sz w:val="18"/>
                          <w:szCs w:val="18"/>
                          <w:lang w:eastAsia="en-US"/>
                        </w:rPr>
                        <m:t>E</m:t>
                      </m:r>
                    </m:e>
                    <m:sub>
                      <m:r>
                        <w:rPr>
                          <w:rFonts w:ascii="Cambria Math" w:eastAsiaTheme="minorEastAsia" w:hAnsi="Cambria Math"/>
                          <w:sz w:val="18"/>
                          <w:szCs w:val="18"/>
                          <w:lang w:eastAsia="en-US"/>
                        </w:rPr>
                        <m:t>it</m:t>
                      </m:r>
                    </m:sub>
                  </m:sSub>
                </m:num>
                <m:den>
                  <m:sSub>
                    <m:sSubPr>
                      <m:ctrlPr>
                        <w:rPr>
                          <w:rFonts w:ascii="Cambria Math" w:eastAsiaTheme="minorEastAsia" w:hAnsi="Cambria Math"/>
                          <w:i/>
                          <w:sz w:val="18"/>
                          <w:szCs w:val="18"/>
                          <w:lang w:eastAsia="en-US"/>
                        </w:rPr>
                      </m:ctrlPr>
                    </m:sSubPr>
                    <m:e>
                      <m:r>
                        <w:rPr>
                          <w:rFonts w:ascii="Cambria Math" w:eastAsiaTheme="minorEastAsia" w:hAnsi="Cambria Math"/>
                          <w:sz w:val="18"/>
                          <w:szCs w:val="18"/>
                          <w:lang w:eastAsia="en-US"/>
                        </w:rPr>
                        <m:t>E</m:t>
                      </m:r>
                    </m:e>
                    <m:sub>
                      <m:r>
                        <w:rPr>
                          <w:rFonts w:ascii="Cambria Math" w:eastAsiaTheme="minorEastAsia" w:hAnsi="Cambria Math"/>
                          <w:sz w:val="18"/>
                          <w:szCs w:val="18"/>
                          <w:lang w:eastAsia="en-US"/>
                        </w:rPr>
                        <m:t>i0</m:t>
                      </m:r>
                    </m:sub>
                  </m:sSub>
                </m:den>
              </m:f>
            </m:oMath>
            <w:r w:rsidR="00A743A1" w:rsidRPr="009A47AF">
              <w:rPr>
                <w:rFonts w:asciiTheme="minorHAnsi" w:eastAsiaTheme="minorEastAsia" w:hAnsiTheme="minorHAnsi"/>
                <w:sz w:val="18"/>
                <w:szCs w:val="18"/>
                <w:lang w:eastAsia="en-US"/>
              </w:rPr>
              <w:t xml:space="preserve">    ,       </w:t>
            </w:r>
            <m:oMath>
              <m:sSup>
                <m:sSupPr>
                  <m:ctrlPr>
                    <w:rPr>
                      <w:rFonts w:ascii="Cambria Math" w:eastAsiaTheme="minorEastAsia" w:hAnsi="Cambria Math"/>
                      <w:i/>
                      <w:sz w:val="18"/>
                      <w:szCs w:val="18"/>
                      <w:lang w:eastAsia="en-US"/>
                    </w:rPr>
                  </m:ctrlPr>
                </m:sSupPr>
                <m:e>
                  <m:r>
                    <w:rPr>
                      <w:rFonts w:ascii="Cambria Math" w:eastAsiaTheme="minorEastAsia" w:hAnsi="Cambria Math"/>
                      <w:sz w:val="18"/>
                      <w:szCs w:val="18"/>
                      <w:lang w:eastAsia="en-US"/>
                    </w:rPr>
                    <m:t>P</m:t>
                  </m:r>
                </m:e>
                <m:sup>
                  <m:r>
                    <w:rPr>
                      <w:rFonts w:ascii="Cambria Math" w:eastAsiaTheme="minorEastAsia" w:hAnsi="Cambria Math"/>
                      <w:sz w:val="18"/>
                      <w:szCs w:val="18"/>
                      <w:lang w:eastAsia="en-US"/>
                    </w:rPr>
                    <m:t>*</m:t>
                  </m:r>
                </m:sup>
              </m:sSup>
              <m:r>
                <w:rPr>
                  <w:rFonts w:ascii="Cambria Math" w:eastAsiaTheme="minorEastAsia" w:hAnsi="Cambria Math"/>
                  <w:sz w:val="18"/>
                  <w:szCs w:val="18"/>
                  <w:lang w:eastAsia="en-US"/>
                </w:rPr>
                <m:t xml:space="preserve">= </m:t>
              </m:r>
              <m:nary>
                <m:naryPr>
                  <m:chr m:val="∏"/>
                  <m:limLoc m:val="undOvr"/>
                  <m:ctrlPr>
                    <w:rPr>
                      <w:rFonts w:ascii="Cambria Math" w:eastAsiaTheme="minorEastAsia" w:hAnsi="Cambria Math"/>
                      <w:i/>
                      <w:sz w:val="18"/>
                      <w:szCs w:val="18"/>
                      <w:lang w:eastAsia="en-US"/>
                    </w:rPr>
                  </m:ctrlPr>
                </m:naryPr>
                <m:sub>
                  <m:r>
                    <w:rPr>
                      <w:rFonts w:ascii="Cambria Math" w:eastAsiaTheme="minorEastAsia" w:hAnsi="Cambria Math"/>
                      <w:sz w:val="18"/>
                      <w:szCs w:val="18"/>
                      <w:lang w:eastAsia="en-US"/>
                    </w:rPr>
                    <m:t>j≠i</m:t>
                  </m:r>
                </m:sub>
                <m:sup>
                  <m:r>
                    <w:rPr>
                      <w:rFonts w:ascii="Cambria Math" w:eastAsiaTheme="minorEastAsia" w:hAnsi="Cambria Math"/>
                      <w:sz w:val="18"/>
                      <w:szCs w:val="18"/>
                      <w:lang w:eastAsia="en-US"/>
                    </w:rPr>
                    <m:t>N</m:t>
                  </m:r>
                </m:sup>
                <m:e>
                  <m:sSup>
                    <m:sSupPr>
                      <m:ctrlPr>
                        <w:rPr>
                          <w:rFonts w:ascii="Cambria Math" w:eastAsiaTheme="minorEastAsia" w:hAnsi="Cambria Math"/>
                          <w:i/>
                          <w:sz w:val="18"/>
                          <w:szCs w:val="18"/>
                          <w:lang w:eastAsia="en-US"/>
                        </w:rPr>
                      </m:ctrlPr>
                    </m:sSupPr>
                    <m:e>
                      <m:d>
                        <m:dPr>
                          <m:ctrlPr>
                            <w:rPr>
                              <w:rFonts w:ascii="Cambria Math" w:eastAsiaTheme="minorEastAsia" w:hAnsi="Cambria Math"/>
                              <w:i/>
                              <w:sz w:val="18"/>
                              <w:szCs w:val="18"/>
                              <w:lang w:eastAsia="en-US"/>
                            </w:rPr>
                          </m:ctrlPr>
                        </m:dPr>
                        <m:e>
                          <m:f>
                            <m:fPr>
                              <m:ctrlPr>
                                <w:rPr>
                                  <w:rFonts w:ascii="Cambria Math" w:eastAsiaTheme="minorEastAsia" w:hAnsi="Cambria Math"/>
                                  <w:i/>
                                  <w:sz w:val="18"/>
                                  <w:szCs w:val="18"/>
                                  <w:lang w:eastAsia="en-US"/>
                                </w:rPr>
                              </m:ctrlPr>
                            </m:fPr>
                            <m:num>
                              <m:sSub>
                                <m:sSubPr>
                                  <m:ctrlPr>
                                    <w:rPr>
                                      <w:rFonts w:ascii="Cambria Math" w:eastAsiaTheme="minorEastAsia" w:hAnsi="Cambria Math"/>
                                      <w:i/>
                                      <w:sz w:val="18"/>
                                      <w:szCs w:val="18"/>
                                      <w:lang w:eastAsia="en-US"/>
                                    </w:rPr>
                                  </m:ctrlPr>
                                </m:sSubPr>
                                <m:e>
                                  <m:r>
                                    <w:rPr>
                                      <w:rFonts w:ascii="Cambria Math" w:eastAsiaTheme="minorEastAsia" w:hAnsi="Cambria Math"/>
                                      <w:sz w:val="18"/>
                                      <w:szCs w:val="18"/>
                                      <w:lang w:eastAsia="en-US"/>
                                    </w:rPr>
                                    <m:t>P</m:t>
                                  </m:r>
                                </m:e>
                                <m:sub>
                                  <m:r>
                                    <w:rPr>
                                      <w:rFonts w:ascii="Cambria Math" w:eastAsiaTheme="minorEastAsia" w:hAnsi="Cambria Math"/>
                                      <w:sz w:val="18"/>
                                      <w:szCs w:val="18"/>
                                      <w:lang w:eastAsia="en-US"/>
                                    </w:rPr>
                                    <m:t>jt</m:t>
                                  </m:r>
                                </m:sub>
                              </m:sSub>
                              <m:r>
                                <m:rPr>
                                  <m:lit/>
                                </m:rPr>
                                <w:rPr>
                                  <w:rFonts w:ascii="Cambria Math" w:eastAsiaTheme="minorEastAsia" w:hAnsi="Cambria Math"/>
                                  <w:sz w:val="18"/>
                                  <w:szCs w:val="18"/>
                                  <w:lang w:eastAsia="en-US"/>
                                </w:rPr>
                                <m:t>/</m:t>
                              </m:r>
                              <m:sSub>
                                <m:sSubPr>
                                  <m:ctrlPr>
                                    <w:rPr>
                                      <w:rFonts w:ascii="Cambria Math" w:eastAsiaTheme="minorEastAsia" w:hAnsi="Cambria Math"/>
                                      <w:i/>
                                      <w:sz w:val="18"/>
                                      <w:szCs w:val="18"/>
                                      <w:lang w:eastAsia="en-US"/>
                                    </w:rPr>
                                  </m:ctrlPr>
                                </m:sSubPr>
                                <m:e>
                                  <m:r>
                                    <w:rPr>
                                      <w:rFonts w:ascii="Cambria Math" w:eastAsiaTheme="minorEastAsia" w:hAnsi="Cambria Math"/>
                                      <w:sz w:val="18"/>
                                      <w:szCs w:val="18"/>
                                      <w:lang w:eastAsia="en-US"/>
                                    </w:rPr>
                                    <m:t>P</m:t>
                                  </m:r>
                                </m:e>
                                <m:sub>
                                  <m:r>
                                    <w:rPr>
                                      <w:rFonts w:ascii="Cambria Math" w:eastAsiaTheme="minorEastAsia" w:hAnsi="Cambria Math"/>
                                      <w:sz w:val="18"/>
                                      <w:szCs w:val="18"/>
                                      <w:lang w:eastAsia="en-US"/>
                                    </w:rPr>
                                    <m:t>j0</m:t>
                                  </m:r>
                                </m:sub>
                              </m:sSub>
                            </m:num>
                            <m:den>
                              <m:sSub>
                                <m:sSubPr>
                                  <m:ctrlPr>
                                    <w:rPr>
                                      <w:rFonts w:ascii="Cambria Math" w:eastAsiaTheme="minorEastAsia" w:hAnsi="Cambria Math"/>
                                      <w:i/>
                                      <w:sz w:val="18"/>
                                      <w:szCs w:val="18"/>
                                      <w:lang w:eastAsia="en-US"/>
                                    </w:rPr>
                                  </m:ctrlPr>
                                </m:sSubPr>
                                <m:e>
                                  <m:r>
                                    <w:rPr>
                                      <w:rFonts w:ascii="Cambria Math" w:eastAsiaTheme="minorEastAsia" w:hAnsi="Cambria Math"/>
                                      <w:sz w:val="18"/>
                                      <w:szCs w:val="18"/>
                                      <w:lang w:eastAsia="en-US"/>
                                    </w:rPr>
                                    <m:t>E</m:t>
                                  </m:r>
                                </m:e>
                                <m:sub>
                                  <m:r>
                                    <w:rPr>
                                      <w:rFonts w:ascii="Cambria Math" w:eastAsiaTheme="minorEastAsia" w:hAnsi="Cambria Math"/>
                                      <w:sz w:val="18"/>
                                      <w:szCs w:val="18"/>
                                      <w:lang w:eastAsia="en-US"/>
                                    </w:rPr>
                                    <m:t>jt</m:t>
                                  </m:r>
                                </m:sub>
                              </m:sSub>
                              <m:r>
                                <m:rPr>
                                  <m:lit/>
                                </m:rPr>
                                <w:rPr>
                                  <w:rFonts w:ascii="Cambria Math" w:eastAsiaTheme="minorEastAsia" w:hAnsi="Cambria Math"/>
                                  <w:sz w:val="18"/>
                                  <w:szCs w:val="18"/>
                                  <w:lang w:eastAsia="en-US"/>
                                </w:rPr>
                                <m:t>/</m:t>
                              </m:r>
                              <m:sSub>
                                <m:sSubPr>
                                  <m:ctrlPr>
                                    <w:rPr>
                                      <w:rFonts w:ascii="Cambria Math" w:eastAsiaTheme="minorEastAsia" w:hAnsi="Cambria Math"/>
                                      <w:i/>
                                      <w:sz w:val="18"/>
                                      <w:szCs w:val="18"/>
                                      <w:lang w:eastAsia="en-US"/>
                                    </w:rPr>
                                  </m:ctrlPr>
                                </m:sSubPr>
                                <m:e>
                                  <m:r>
                                    <w:rPr>
                                      <w:rFonts w:ascii="Cambria Math" w:eastAsiaTheme="minorEastAsia" w:hAnsi="Cambria Math"/>
                                      <w:sz w:val="18"/>
                                      <w:szCs w:val="18"/>
                                      <w:lang w:eastAsia="en-US"/>
                                    </w:rPr>
                                    <m:t>E</m:t>
                                  </m:r>
                                </m:e>
                                <m:sub>
                                  <m:r>
                                    <w:rPr>
                                      <w:rFonts w:ascii="Cambria Math" w:eastAsiaTheme="minorEastAsia" w:hAnsi="Cambria Math"/>
                                      <w:sz w:val="18"/>
                                      <w:szCs w:val="18"/>
                                      <w:lang w:eastAsia="en-US"/>
                                    </w:rPr>
                                    <m:t>j0</m:t>
                                  </m:r>
                                </m:sub>
                              </m:sSub>
                            </m:den>
                          </m:f>
                        </m:e>
                      </m:d>
                    </m:e>
                    <m:sup>
                      <m:sSub>
                        <m:sSubPr>
                          <m:ctrlPr>
                            <w:rPr>
                              <w:rFonts w:ascii="Cambria Math" w:eastAsiaTheme="minorEastAsia" w:hAnsi="Cambria Math"/>
                              <w:i/>
                              <w:sz w:val="18"/>
                              <w:szCs w:val="18"/>
                              <w:lang w:eastAsia="en-US"/>
                            </w:rPr>
                          </m:ctrlPr>
                        </m:sSubPr>
                        <m:e>
                          <m:r>
                            <w:rPr>
                              <w:rFonts w:ascii="Cambria Math" w:eastAsiaTheme="minorEastAsia" w:hAnsi="Cambria Math"/>
                              <w:sz w:val="18"/>
                              <w:szCs w:val="18"/>
                              <w:lang w:eastAsia="en-US"/>
                            </w:rPr>
                            <m:t>w</m:t>
                          </m:r>
                        </m:e>
                        <m:sub>
                          <m:r>
                            <w:rPr>
                              <w:rFonts w:ascii="Cambria Math" w:eastAsiaTheme="minorEastAsia" w:hAnsi="Cambria Math"/>
                              <w:sz w:val="18"/>
                              <w:szCs w:val="18"/>
                              <w:lang w:eastAsia="en-US"/>
                            </w:rPr>
                            <m:t>jt</m:t>
                          </m:r>
                        </m:sub>
                      </m:sSub>
                    </m:sup>
                  </m:sSup>
                </m:e>
              </m:nary>
            </m:oMath>
            <w:r w:rsidR="00A743A1" w:rsidRPr="009A47AF">
              <w:rPr>
                <w:rFonts w:asciiTheme="minorHAnsi" w:eastAsiaTheme="minorEastAsia" w:hAnsiTheme="minorHAnsi"/>
                <w:sz w:val="18"/>
                <w:szCs w:val="18"/>
                <w:lang w:eastAsia="en-US"/>
              </w:rPr>
              <w:t xml:space="preserve">,      </w:t>
            </w:r>
            <m:oMath>
              <m:sSub>
                <m:sSubPr>
                  <m:ctrlPr>
                    <w:rPr>
                      <w:rFonts w:ascii="Cambria Math" w:eastAsiaTheme="minorEastAsia" w:hAnsi="Cambria Math"/>
                      <w:i/>
                      <w:sz w:val="18"/>
                      <w:szCs w:val="18"/>
                      <w:lang w:eastAsia="en-US"/>
                    </w:rPr>
                  </m:ctrlPr>
                </m:sSubPr>
                <m:e>
                  <m:r>
                    <w:rPr>
                      <w:rFonts w:ascii="Cambria Math" w:eastAsiaTheme="minorEastAsia" w:hAnsi="Cambria Math"/>
                      <w:sz w:val="18"/>
                      <w:szCs w:val="18"/>
                      <w:lang w:eastAsia="en-US"/>
                    </w:rPr>
                    <m:t>P</m:t>
                  </m:r>
                </m:e>
                <m:sub>
                  <m:r>
                    <w:rPr>
                      <w:rFonts w:ascii="Cambria Math" w:eastAsiaTheme="minorEastAsia" w:hAnsi="Cambria Math"/>
                      <w:sz w:val="18"/>
                      <w:szCs w:val="18"/>
                      <w:lang w:eastAsia="en-US"/>
                    </w:rPr>
                    <m:t>t</m:t>
                  </m:r>
                </m:sub>
              </m:sSub>
              <m:r>
                <w:rPr>
                  <w:rFonts w:ascii="Cambria Math" w:eastAsiaTheme="minorEastAsia" w:hAnsi="Cambria Math"/>
                  <w:sz w:val="18"/>
                  <w:szCs w:val="18"/>
                  <w:lang w:eastAsia="en-US"/>
                </w:rPr>
                <m:t>=</m:t>
              </m:r>
              <m:f>
                <m:fPr>
                  <m:ctrlPr>
                    <w:rPr>
                      <w:rFonts w:ascii="Cambria Math" w:eastAsiaTheme="minorEastAsia" w:hAnsi="Cambria Math"/>
                      <w:i/>
                      <w:sz w:val="18"/>
                      <w:szCs w:val="18"/>
                      <w:lang w:eastAsia="en-US"/>
                    </w:rPr>
                  </m:ctrlPr>
                </m:fPr>
                <m:num>
                  <m:sSub>
                    <m:sSubPr>
                      <m:ctrlPr>
                        <w:rPr>
                          <w:rFonts w:ascii="Cambria Math" w:eastAsiaTheme="minorEastAsia" w:hAnsi="Cambria Math"/>
                          <w:i/>
                          <w:sz w:val="18"/>
                          <w:szCs w:val="18"/>
                          <w:lang w:eastAsia="en-US"/>
                        </w:rPr>
                      </m:ctrlPr>
                    </m:sSubPr>
                    <m:e>
                      <m:r>
                        <w:rPr>
                          <w:rFonts w:ascii="Cambria Math" w:eastAsiaTheme="minorEastAsia" w:hAnsi="Cambria Math"/>
                          <w:sz w:val="18"/>
                          <w:szCs w:val="18"/>
                          <w:lang w:eastAsia="en-US"/>
                        </w:rPr>
                        <m:t>P</m:t>
                      </m:r>
                    </m:e>
                    <m:sub>
                      <m:r>
                        <w:rPr>
                          <w:rFonts w:ascii="Cambria Math" w:eastAsiaTheme="minorEastAsia" w:hAnsi="Cambria Math"/>
                          <w:sz w:val="18"/>
                          <w:szCs w:val="18"/>
                          <w:lang w:eastAsia="en-US"/>
                        </w:rPr>
                        <m:t>it</m:t>
                      </m:r>
                    </m:sub>
                  </m:sSub>
                </m:num>
                <m:den>
                  <m:sSub>
                    <m:sSubPr>
                      <m:ctrlPr>
                        <w:rPr>
                          <w:rFonts w:ascii="Cambria Math" w:eastAsiaTheme="minorEastAsia" w:hAnsi="Cambria Math"/>
                          <w:i/>
                          <w:sz w:val="18"/>
                          <w:szCs w:val="18"/>
                          <w:lang w:eastAsia="en-US"/>
                        </w:rPr>
                      </m:ctrlPr>
                    </m:sSubPr>
                    <m:e>
                      <m:r>
                        <w:rPr>
                          <w:rFonts w:ascii="Cambria Math" w:eastAsiaTheme="minorEastAsia" w:hAnsi="Cambria Math"/>
                          <w:sz w:val="18"/>
                          <w:szCs w:val="18"/>
                          <w:lang w:eastAsia="en-US"/>
                        </w:rPr>
                        <m:t>P</m:t>
                      </m:r>
                    </m:e>
                    <m:sub>
                      <m:r>
                        <w:rPr>
                          <w:rFonts w:ascii="Cambria Math" w:eastAsiaTheme="minorEastAsia" w:hAnsi="Cambria Math"/>
                          <w:sz w:val="18"/>
                          <w:szCs w:val="18"/>
                          <w:lang w:eastAsia="en-US"/>
                        </w:rPr>
                        <m:t>i0</m:t>
                      </m:r>
                    </m:sub>
                  </m:sSub>
                </m:den>
              </m:f>
            </m:oMath>
          </w:p>
          <w:p w14:paraId="679D83C5" w14:textId="701D8B1C" w:rsidR="00A743A1" w:rsidRDefault="005A30CD" w:rsidP="009A47AF">
            <w:pPr>
              <w:jc w:val="both"/>
              <w:rPr>
                <w:rFonts w:eastAsiaTheme="minorEastAsia"/>
                <w:sz w:val="22"/>
                <w:szCs w:val="22"/>
                <w:lang w:eastAsia="en-US"/>
              </w:rPr>
            </w:pPr>
            <m:oMath>
              <m:sSub>
                <m:sSubPr>
                  <m:ctrlPr>
                    <w:rPr>
                      <w:rFonts w:ascii="Cambria Math" w:eastAsiaTheme="minorEastAsia" w:hAnsi="Cambria Math"/>
                      <w:i/>
                      <w:sz w:val="22"/>
                      <w:szCs w:val="22"/>
                      <w:lang w:eastAsia="en-US"/>
                    </w:rPr>
                  </m:ctrlPr>
                </m:sSubPr>
                <m:e>
                  <m:r>
                    <w:rPr>
                      <w:rFonts w:ascii="Cambria Math" w:eastAsiaTheme="minorEastAsia" w:hAnsi="Cambria Math"/>
                      <w:sz w:val="22"/>
                      <w:szCs w:val="22"/>
                      <w:lang w:eastAsia="en-US"/>
                    </w:rPr>
                    <m:t>E</m:t>
                  </m:r>
                </m:e>
                <m:sub>
                  <m:r>
                    <w:rPr>
                      <w:rFonts w:ascii="Cambria Math" w:eastAsiaTheme="minorEastAsia" w:hAnsi="Cambria Math"/>
                      <w:sz w:val="22"/>
                      <w:szCs w:val="22"/>
                      <w:lang w:eastAsia="en-US"/>
                    </w:rPr>
                    <m:t>t</m:t>
                  </m:r>
                </m:sub>
              </m:sSub>
            </m:oMath>
            <w:r w:rsidR="00A743A1" w:rsidRPr="00A743A1">
              <w:rPr>
                <w:rFonts w:eastAsiaTheme="minorEastAsia"/>
                <w:sz w:val="22"/>
                <w:szCs w:val="22"/>
                <w:lang w:eastAsia="en-US"/>
              </w:rPr>
              <w:t xml:space="preserve"> es el tipo de cambio de cada país por un dólar, </w:t>
            </w:r>
            <m:oMath>
              <m:sSup>
                <m:sSupPr>
                  <m:ctrlPr>
                    <w:rPr>
                      <w:rFonts w:ascii="Cambria Math" w:eastAsiaTheme="minorEastAsia" w:hAnsi="Cambria Math"/>
                      <w:i/>
                      <w:sz w:val="22"/>
                      <w:szCs w:val="22"/>
                      <w:lang w:eastAsia="en-US"/>
                    </w:rPr>
                  </m:ctrlPr>
                </m:sSupPr>
                <m:e>
                  <m:sSub>
                    <m:sSubPr>
                      <m:ctrlPr>
                        <w:rPr>
                          <w:rFonts w:ascii="Cambria Math" w:eastAsiaTheme="minorEastAsia" w:hAnsi="Cambria Math"/>
                          <w:i/>
                          <w:sz w:val="22"/>
                          <w:szCs w:val="22"/>
                          <w:lang w:eastAsia="en-US"/>
                        </w:rPr>
                      </m:ctrlPr>
                    </m:sSubPr>
                    <m:e>
                      <m:r>
                        <w:rPr>
                          <w:rFonts w:ascii="Cambria Math" w:eastAsiaTheme="minorEastAsia" w:hAnsi="Cambria Math"/>
                          <w:sz w:val="22"/>
                          <w:szCs w:val="22"/>
                          <w:lang w:eastAsia="en-US"/>
                        </w:rPr>
                        <m:t>P</m:t>
                      </m:r>
                    </m:e>
                    <m:sub>
                      <m:r>
                        <w:rPr>
                          <w:rFonts w:ascii="Cambria Math" w:eastAsiaTheme="minorEastAsia" w:hAnsi="Cambria Math"/>
                          <w:sz w:val="22"/>
                          <w:szCs w:val="22"/>
                          <w:lang w:eastAsia="en-US"/>
                        </w:rPr>
                        <m:t>t</m:t>
                      </m:r>
                    </m:sub>
                  </m:sSub>
                </m:e>
                <m:sup>
                  <m:r>
                    <w:rPr>
                      <w:rFonts w:ascii="Cambria Math" w:eastAsiaTheme="minorEastAsia" w:hAnsi="Cambria Math"/>
                      <w:sz w:val="22"/>
                      <w:szCs w:val="22"/>
                      <w:lang w:eastAsia="en-US"/>
                    </w:rPr>
                    <m:t>*</m:t>
                  </m:r>
                </m:sup>
              </m:sSup>
            </m:oMath>
            <w:r w:rsidR="00A743A1" w:rsidRPr="00A743A1">
              <w:rPr>
                <w:rFonts w:eastAsiaTheme="minorEastAsia"/>
                <w:sz w:val="22"/>
                <w:szCs w:val="22"/>
                <w:lang w:eastAsia="en-US"/>
              </w:rPr>
              <w:t xml:space="preserve"> son los precios ponderados de las cestas de bienes de los socios comerciales en dólares y </w:t>
            </w:r>
            <m:oMath>
              <m:sSub>
                <m:sSubPr>
                  <m:ctrlPr>
                    <w:rPr>
                      <w:rFonts w:ascii="Cambria Math" w:eastAsiaTheme="minorEastAsia" w:hAnsi="Cambria Math"/>
                      <w:i/>
                      <w:sz w:val="22"/>
                      <w:szCs w:val="22"/>
                      <w:lang w:eastAsia="en-US"/>
                    </w:rPr>
                  </m:ctrlPr>
                </m:sSubPr>
                <m:e>
                  <m:r>
                    <w:rPr>
                      <w:rFonts w:ascii="Cambria Math" w:eastAsiaTheme="minorEastAsia" w:hAnsi="Cambria Math"/>
                      <w:sz w:val="22"/>
                      <w:szCs w:val="22"/>
                      <w:lang w:eastAsia="en-US"/>
                    </w:rPr>
                    <m:t>P</m:t>
                  </m:r>
                </m:e>
                <m:sub>
                  <m:r>
                    <w:rPr>
                      <w:rFonts w:ascii="Cambria Math" w:eastAsiaTheme="minorEastAsia" w:hAnsi="Cambria Math"/>
                      <w:sz w:val="22"/>
                      <w:szCs w:val="22"/>
                      <w:lang w:eastAsia="en-US"/>
                    </w:rPr>
                    <m:t>t</m:t>
                  </m:r>
                </m:sub>
              </m:sSub>
            </m:oMath>
            <w:r w:rsidR="00A743A1" w:rsidRPr="00A743A1">
              <w:rPr>
                <w:rFonts w:eastAsiaTheme="minorEastAsia"/>
                <w:sz w:val="22"/>
                <w:szCs w:val="22"/>
                <w:lang w:eastAsia="en-US"/>
              </w:rPr>
              <w:t xml:space="preserve"> los precios de la cesta nacional. Además, </w:t>
            </w:r>
            <m:oMath>
              <m:sSub>
                <m:sSubPr>
                  <m:ctrlPr>
                    <w:rPr>
                      <w:rFonts w:ascii="Cambria Math" w:eastAsiaTheme="minorEastAsia" w:hAnsi="Cambria Math"/>
                      <w:i/>
                      <w:sz w:val="22"/>
                      <w:szCs w:val="22"/>
                      <w:lang w:eastAsia="en-US"/>
                    </w:rPr>
                  </m:ctrlPr>
                </m:sSubPr>
                <m:e>
                  <m:r>
                    <w:rPr>
                      <w:rFonts w:ascii="Cambria Math" w:eastAsiaTheme="minorEastAsia" w:hAnsi="Cambria Math"/>
                      <w:sz w:val="22"/>
                      <w:szCs w:val="22"/>
                      <w:lang w:eastAsia="en-US"/>
                    </w:rPr>
                    <m:t>w</m:t>
                  </m:r>
                </m:e>
                <m:sub>
                  <m:r>
                    <w:rPr>
                      <w:rFonts w:ascii="Cambria Math" w:eastAsiaTheme="minorEastAsia" w:hAnsi="Cambria Math"/>
                      <w:sz w:val="22"/>
                      <w:szCs w:val="22"/>
                      <w:lang w:eastAsia="en-US"/>
                    </w:rPr>
                    <m:t>jt</m:t>
                  </m:r>
                </m:sub>
              </m:sSub>
            </m:oMath>
            <w:r w:rsidR="00A743A1" w:rsidRPr="00A743A1">
              <w:rPr>
                <w:rFonts w:eastAsiaTheme="minorEastAsia"/>
                <w:sz w:val="22"/>
                <w:szCs w:val="22"/>
                <w:lang w:eastAsia="en-US"/>
              </w:rPr>
              <w:t xml:space="preserve"> es el ponderador de cada </w:t>
            </w:r>
            <m:oMath>
              <m:r>
                <w:rPr>
                  <w:rFonts w:ascii="Cambria Math" w:eastAsiaTheme="minorEastAsia" w:hAnsi="Cambria Math"/>
                  <w:sz w:val="22"/>
                  <w:szCs w:val="22"/>
                  <w:lang w:eastAsia="en-US"/>
                </w:rPr>
                <m:t>j</m:t>
              </m:r>
            </m:oMath>
            <w:r w:rsidR="00A743A1" w:rsidRPr="00A743A1">
              <w:rPr>
                <w:rFonts w:eastAsiaTheme="minorEastAsia"/>
                <w:sz w:val="22"/>
                <w:szCs w:val="22"/>
                <w:lang w:eastAsia="en-US"/>
              </w:rPr>
              <w:t xml:space="preserve"> socio comercial y es importante indicar que el tipo de cambio y los precios de las cestas de bienes se normalizan al periodo </w:t>
            </w:r>
            <m:oMath>
              <m:r>
                <w:rPr>
                  <w:rFonts w:ascii="Cambria Math" w:eastAsiaTheme="minorEastAsia" w:hAnsi="Cambria Math"/>
                  <w:sz w:val="22"/>
                  <w:szCs w:val="22"/>
                  <w:lang w:eastAsia="en-US"/>
                </w:rPr>
                <m:t>t=0</m:t>
              </m:r>
            </m:oMath>
            <w:r w:rsidR="00A743A1" w:rsidRPr="00A743A1">
              <w:rPr>
                <w:rFonts w:eastAsiaTheme="minorEastAsia"/>
                <w:sz w:val="22"/>
                <w:szCs w:val="22"/>
                <w:lang w:eastAsia="en-US"/>
              </w:rPr>
              <w:t>.</w:t>
            </w:r>
          </w:p>
          <w:p w14:paraId="64FA445D" w14:textId="77777777" w:rsidR="009A47AF" w:rsidRPr="00A743A1" w:rsidRDefault="009A47AF" w:rsidP="009A47AF">
            <w:pPr>
              <w:jc w:val="both"/>
              <w:rPr>
                <w:rFonts w:eastAsiaTheme="minorEastAsia"/>
                <w:sz w:val="22"/>
                <w:szCs w:val="22"/>
                <w:lang w:eastAsia="en-US"/>
              </w:rPr>
            </w:pPr>
          </w:p>
          <w:p w14:paraId="20D50E3C" w14:textId="77777777" w:rsidR="00A743A1" w:rsidRPr="00A743A1" w:rsidRDefault="00A743A1" w:rsidP="009A47AF">
            <w:pPr>
              <w:jc w:val="both"/>
              <w:rPr>
                <w:rFonts w:eastAsiaTheme="minorEastAsia"/>
                <w:sz w:val="22"/>
                <w:szCs w:val="22"/>
                <w:lang w:eastAsia="en-US"/>
              </w:rPr>
            </w:pPr>
            <w:r w:rsidRPr="00A743A1">
              <w:rPr>
                <w:rFonts w:eastAsiaTheme="minorEastAsia"/>
                <w:sz w:val="22"/>
                <w:szCs w:val="22"/>
                <w:lang w:eastAsia="en-US"/>
              </w:rPr>
              <w:t xml:space="preserve">Para calcular los ponderadores para cada periodo </w:t>
            </w:r>
            <m:oMath>
              <m:r>
                <w:rPr>
                  <w:rFonts w:ascii="Cambria Math" w:eastAsiaTheme="minorEastAsia" w:hAnsi="Cambria Math"/>
                  <w:sz w:val="22"/>
                  <w:szCs w:val="22"/>
                  <w:lang w:eastAsia="en-US"/>
                </w:rPr>
                <m:t>t</m:t>
              </m:r>
            </m:oMath>
            <w:r w:rsidRPr="00A743A1">
              <w:rPr>
                <w:rFonts w:eastAsiaTheme="minorEastAsia"/>
                <w:sz w:val="22"/>
                <w:szCs w:val="22"/>
                <w:lang w:eastAsia="en-US"/>
              </w:rPr>
              <w:t xml:space="preserve"> se utilizó la información publicada por país de 1980-2021 de la base de datos de la Dirección de Estadísticas de Comercio (DOTS por sus siglas en inglés) del FMI y la información de los socios comerciales con respecto a los índices de precios de consumidor y el tipo de cambio se obtuvo de las Estadísticas Financieras Internacionales del FMI (IFS por sus siglas en inglés.)</w:t>
            </w:r>
          </w:p>
          <w:tbl>
            <w:tblPr>
              <w:tblStyle w:val="Tablaconcuadrcula"/>
              <w:tblW w:w="9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15"/>
              <w:gridCol w:w="4716"/>
            </w:tblGrid>
            <w:tr w:rsidR="00A743A1" w:rsidRPr="00A743A1" w14:paraId="320455C3" w14:textId="77777777" w:rsidTr="009A47AF">
              <w:trPr>
                <w:trHeight w:val="388"/>
              </w:trPr>
              <w:tc>
                <w:tcPr>
                  <w:tcW w:w="9431" w:type="dxa"/>
                  <w:gridSpan w:val="2"/>
                  <w:tcBorders>
                    <w:top w:val="nil"/>
                    <w:left w:val="nil"/>
                    <w:bottom w:val="nil"/>
                    <w:right w:val="nil"/>
                  </w:tcBorders>
                </w:tcPr>
                <w:p w14:paraId="288FDC54" w14:textId="5715E36D" w:rsidR="00A743A1" w:rsidRPr="00A743A1" w:rsidRDefault="00A743A1" w:rsidP="006C7179">
                  <w:pPr>
                    <w:framePr w:hSpace="141" w:wrap="around" w:vAnchor="text" w:hAnchor="margin" w:y="66"/>
                    <w:spacing w:after="160" w:line="259" w:lineRule="auto"/>
                    <w:jc w:val="center"/>
                    <w:rPr>
                      <w:rFonts w:eastAsiaTheme="minorEastAsia"/>
                      <w:b/>
                      <w:bCs/>
                      <w:sz w:val="22"/>
                      <w:szCs w:val="22"/>
                      <w:lang w:val="es-GT" w:eastAsia="en-US"/>
                    </w:rPr>
                  </w:pPr>
                  <w:bookmarkStart w:id="68" w:name="_Toc143870695"/>
                  <w:r w:rsidRPr="00A743A1">
                    <w:rPr>
                      <w:b/>
                      <w:bCs/>
                      <w:lang w:val="es-GT" w:eastAsia="en-US"/>
                    </w:rPr>
                    <w:t xml:space="preserve">Gráfico </w:t>
                  </w:r>
                  <w:r w:rsidRPr="00A743A1">
                    <w:rPr>
                      <w:b/>
                      <w:bCs/>
                      <w:lang w:eastAsia="en-US"/>
                    </w:rPr>
                    <w:fldChar w:fldCharType="begin"/>
                  </w:r>
                  <w:r w:rsidRPr="00A743A1">
                    <w:rPr>
                      <w:b/>
                      <w:bCs/>
                      <w:lang w:val="es-GT" w:eastAsia="en-US"/>
                    </w:rPr>
                    <w:instrText xml:space="preserve"> SEQ Gráfico \* ARABIC </w:instrText>
                  </w:r>
                  <w:r w:rsidRPr="00A743A1">
                    <w:rPr>
                      <w:b/>
                      <w:bCs/>
                      <w:lang w:eastAsia="en-US"/>
                    </w:rPr>
                    <w:fldChar w:fldCharType="separate"/>
                  </w:r>
                  <w:r w:rsidR="006622B2">
                    <w:rPr>
                      <w:b/>
                      <w:bCs/>
                      <w:noProof/>
                      <w:lang w:val="es-GT" w:eastAsia="en-US"/>
                    </w:rPr>
                    <w:t>28</w:t>
                  </w:r>
                  <w:r w:rsidRPr="00A743A1">
                    <w:rPr>
                      <w:b/>
                      <w:bCs/>
                      <w:lang w:eastAsia="en-US"/>
                    </w:rPr>
                    <w:fldChar w:fldCharType="end"/>
                  </w:r>
                  <w:r w:rsidRPr="00A743A1">
                    <w:rPr>
                      <w:b/>
                      <w:bCs/>
                      <w:i/>
                      <w:iCs/>
                      <w:lang w:val="es-GT" w:eastAsia="en-US"/>
                    </w:rPr>
                    <w:t>.</w:t>
                  </w:r>
                  <w:r w:rsidRPr="00A743A1">
                    <w:rPr>
                      <w:rFonts w:asciiTheme="minorHAnsi" w:hAnsiTheme="minorHAnsi"/>
                      <w:b/>
                      <w:bCs/>
                      <w:i/>
                      <w:iCs/>
                      <w:lang w:val="es-GT" w:eastAsia="en-US"/>
                    </w:rPr>
                    <w:t xml:space="preserve"> </w:t>
                  </w:r>
                  <w:r w:rsidRPr="00A743A1">
                    <w:rPr>
                      <w:rFonts w:eastAsiaTheme="minorEastAsia"/>
                      <w:b/>
                      <w:bCs/>
                      <w:sz w:val="22"/>
                      <w:szCs w:val="22"/>
                      <w:lang w:val="es-GT" w:eastAsia="en-US"/>
                    </w:rPr>
                    <w:t>Índice de tipo de cambio real</w:t>
                  </w:r>
                  <w:bookmarkEnd w:id="68"/>
                </w:p>
              </w:tc>
            </w:tr>
            <w:tr w:rsidR="00A743A1" w:rsidRPr="00A743A1" w14:paraId="792F8F9B" w14:textId="77777777" w:rsidTr="009A47AF">
              <w:trPr>
                <w:trHeight w:val="358"/>
              </w:trPr>
              <w:tc>
                <w:tcPr>
                  <w:tcW w:w="4715" w:type="dxa"/>
                  <w:tcBorders>
                    <w:top w:val="nil"/>
                    <w:left w:val="nil"/>
                    <w:bottom w:val="nil"/>
                    <w:right w:val="nil"/>
                  </w:tcBorders>
                </w:tcPr>
                <w:p w14:paraId="6B5AEC1C" w14:textId="77777777" w:rsidR="00A743A1" w:rsidRPr="00A743A1" w:rsidRDefault="00A743A1" w:rsidP="006C7179">
                  <w:pPr>
                    <w:framePr w:hSpace="141" w:wrap="around" w:vAnchor="text" w:hAnchor="margin" w:y="66"/>
                    <w:spacing w:after="160" w:line="259" w:lineRule="auto"/>
                    <w:jc w:val="center"/>
                    <w:rPr>
                      <w:rFonts w:eastAsiaTheme="minorEastAsia"/>
                      <w:b/>
                      <w:bCs/>
                      <w:sz w:val="22"/>
                      <w:szCs w:val="22"/>
                      <w:lang w:val="es-GT" w:eastAsia="en-US"/>
                    </w:rPr>
                  </w:pPr>
                  <w:r w:rsidRPr="00A743A1">
                    <w:rPr>
                      <w:rFonts w:eastAsiaTheme="minorEastAsia"/>
                      <w:b/>
                      <w:bCs/>
                      <w:sz w:val="22"/>
                      <w:szCs w:val="22"/>
                      <w:lang w:val="es-GT" w:eastAsia="en-US"/>
                    </w:rPr>
                    <w:t>Índice de tipo de cambio real (ITCR)</w:t>
                  </w:r>
                </w:p>
              </w:tc>
              <w:tc>
                <w:tcPr>
                  <w:tcW w:w="4715" w:type="dxa"/>
                  <w:tcBorders>
                    <w:top w:val="nil"/>
                    <w:left w:val="nil"/>
                    <w:bottom w:val="nil"/>
                    <w:right w:val="nil"/>
                  </w:tcBorders>
                </w:tcPr>
                <w:p w14:paraId="1A20D8F3" w14:textId="77777777" w:rsidR="00A743A1" w:rsidRPr="00A743A1" w:rsidRDefault="00A743A1" w:rsidP="006C7179">
                  <w:pPr>
                    <w:framePr w:hSpace="141" w:wrap="around" w:vAnchor="text" w:hAnchor="margin" w:y="66"/>
                    <w:spacing w:after="160" w:line="259" w:lineRule="auto"/>
                    <w:jc w:val="center"/>
                    <w:rPr>
                      <w:rFonts w:eastAsiaTheme="minorEastAsia"/>
                      <w:b/>
                      <w:bCs/>
                      <w:sz w:val="22"/>
                      <w:szCs w:val="22"/>
                      <w:lang w:val="es-GT" w:eastAsia="en-US"/>
                    </w:rPr>
                  </w:pPr>
                  <w:r w:rsidRPr="00A743A1">
                    <w:rPr>
                      <w:rFonts w:eastAsiaTheme="minorEastAsia"/>
                      <w:b/>
                      <w:bCs/>
                      <w:sz w:val="22"/>
                      <w:szCs w:val="22"/>
                      <w:lang w:val="es-GT" w:eastAsia="en-US"/>
                    </w:rPr>
                    <w:t>Apreciación o Depreciación del ITCR</w:t>
                  </w:r>
                </w:p>
              </w:tc>
            </w:tr>
            <w:tr w:rsidR="00A743A1" w:rsidRPr="00A743A1" w14:paraId="4CBB3FBE" w14:textId="77777777" w:rsidTr="009A47AF">
              <w:tblPrEx>
                <w:tblCellMar>
                  <w:left w:w="70" w:type="dxa"/>
                  <w:right w:w="70" w:type="dxa"/>
                </w:tblCellMar>
              </w:tblPrEx>
              <w:trPr>
                <w:trHeight w:val="2581"/>
              </w:trPr>
              <w:tc>
                <w:tcPr>
                  <w:tcW w:w="4715" w:type="dxa"/>
                  <w:tcBorders>
                    <w:top w:val="nil"/>
                    <w:left w:val="nil"/>
                    <w:bottom w:val="nil"/>
                    <w:right w:val="nil"/>
                  </w:tcBorders>
                </w:tcPr>
                <w:p w14:paraId="30A52964" w14:textId="313CF182" w:rsidR="00A743A1" w:rsidRPr="00A743A1" w:rsidRDefault="00A743A1" w:rsidP="006C7179">
                  <w:pPr>
                    <w:framePr w:hSpace="141" w:wrap="around" w:vAnchor="text" w:hAnchor="margin" w:y="66"/>
                    <w:spacing w:line="259" w:lineRule="auto"/>
                    <w:jc w:val="both"/>
                    <w:rPr>
                      <w:rFonts w:asciiTheme="minorHAnsi" w:eastAsiaTheme="minorEastAsia" w:hAnsiTheme="minorHAnsi"/>
                      <w:sz w:val="22"/>
                      <w:szCs w:val="22"/>
                      <w:lang w:eastAsia="en-US"/>
                    </w:rPr>
                  </w:pPr>
                  <w:r w:rsidRPr="00A743A1">
                    <w:rPr>
                      <w:rFonts w:asciiTheme="minorHAnsi" w:hAnsiTheme="minorHAnsi"/>
                      <w:noProof/>
                      <w:sz w:val="22"/>
                      <w:szCs w:val="22"/>
                      <w:lang w:eastAsia="en-US"/>
                    </w:rPr>
                    <w:drawing>
                      <wp:inline distT="0" distB="0" distL="0" distR="0" wp14:anchorId="4F63D003" wp14:editId="269A15F0">
                        <wp:extent cx="2687320" cy="1697127"/>
                        <wp:effectExtent l="0" t="0" r="0" b="0"/>
                        <wp:docPr id="296" name="Gráfico 2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c>
                <w:tcPr>
                  <w:tcW w:w="4715" w:type="dxa"/>
                  <w:tcBorders>
                    <w:top w:val="nil"/>
                    <w:left w:val="nil"/>
                    <w:bottom w:val="nil"/>
                    <w:right w:val="nil"/>
                  </w:tcBorders>
                </w:tcPr>
                <w:p w14:paraId="4B31B360" w14:textId="72C2C9B7" w:rsidR="00A743A1" w:rsidRPr="00A743A1" w:rsidRDefault="00A743A1" w:rsidP="006C7179">
                  <w:pPr>
                    <w:framePr w:hSpace="141" w:wrap="around" w:vAnchor="text" w:hAnchor="margin" w:y="66"/>
                    <w:spacing w:after="160" w:line="259" w:lineRule="auto"/>
                    <w:jc w:val="both"/>
                    <w:rPr>
                      <w:rFonts w:asciiTheme="minorHAnsi" w:eastAsiaTheme="minorEastAsia" w:hAnsiTheme="minorHAnsi"/>
                      <w:sz w:val="22"/>
                      <w:szCs w:val="22"/>
                      <w:lang w:eastAsia="en-US"/>
                    </w:rPr>
                  </w:pPr>
                  <w:r w:rsidRPr="00A743A1">
                    <w:rPr>
                      <w:rFonts w:asciiTheme="minorHAnsi" w:hAnsiTheme="minorHAnsi"/>
                      <w:noProof/>
                      <w:sz w:val="22"/>
                      <w:szCs w:val="22"/>
                      <w:lang w:eastAsia="en-US"/>
                    </w:rPr>
                    <w:drawing>
                      <wp:inline distT="0" distB="0" distL="0" distR="0" wp14:anchorId="432FE984" wp14:editId="25DA6E52">
                        <wp:extent cx="2523490" cy="1696720"/>
                        <wp:effectExtent l="0" t="0" r="0" b="0"/>
                        <wp:docPr id="295" name="Gráfico 2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r>
            <w:tr w:rsidR="00A743A1" w:rsidRPr="00A743A1" w14:paraId="19CFE65B" w14:textId="77777777" w:rsidTr="009A47AF">
              <w:trPr>
                <w:trHeight w:val="310"/>
              </w:trPr>
              <w:tc>
                <w:tcPr>
                  <w:tcW w:w="9431" w:type="dxa"/>
                  <w:gridSpan w:val="2"/>
                  <w:tcBorders>
                    <w:top w:val="nil"/>
                    <w:left w:val="nil"/>
                    <w:bottom w:val="nil"/>
                    <w:right w:val="nil"/>
                  </w:tcBorders>
                </w:tcPr>
                <w:p w14:paraId="46893C02" w14:textId="77777777" w:rsidR="00A743A1" w:rsidRPr="00A743A1" w:rsidRDefault="00A743A1" w:rsidP="006C7179">
                  <w:pPr>
                    <w:framePr w:hSpace="141" w:wrap="around" w:vAnchor="text" w:hAnchor="margin" w:y="66"/>
                    <w:jc w:val="both"/>
                    <w:rPr>
                      <w:rFonts w:eastAsiaTheme="minorEastAsia"/>
                      <w:sz w:val="20"/>
                      <w:szCs w:val="20"/>
                      <w:lang w:val="es-GT" w:eastAsia="en-US"/>
                    </w:rPr>
                  </w:pPr>
                  <w:r w:rsidRPr="009A47AF">
                    <w:rPr>
                      <w:rFonts w:eastAsiaTheme="minorEastAsia"/>
                      <w:sz w:val="18"/>
                      <w:szCs w:val="18"/>
                      <w:lang w:val="es-GT" w:eastAsia="en-US"/>
                    </w:rPr>
                    <w:t>Fuente: Dirección de Análisis y Política Fiscal</w:t>
                  </w:r>
                </w:p>
              </w:tc>
            </w:tr>
          </w:tbl>
          <w:p w14:paraId="3888A18B" w14:textId="5B88E1E7" w:rsidR="00A743A1" w:rsidRDefault="00A743A1" w:rsidP="009A47AF">
            <w:pPr>
              <w:jc w:val="both"/>
              <w:rPr>
                <w:rFonts w:eastAsiaTheme="minorEastAsia"/>
                <w:sz w:val="22"/>
                <w:szCs w:val="22"/>
                <w:lang w:eastAsia="en-US"/>
              </w:rPr>
            </w:pPr>
            <w:r w:rsidRPr="00A743A1">
              <w:rPr>
                <w:rFonts w:eastAsiaTheme="minorEastAsia"/>
                <w:sz w:val="22"/>
                <w:szCs w:val="22"/>
                <w:lang w:eastAsia="en-US"/>
              </w:rPr>
              <w:t>Como se observa en el gráfico anterior, el índice de tipo de cambio real ha tenido una tendencia a la apreciación en las últimas décadas, lo cual refleja una pérdida de competitividad al disminuir el poder adquisitivo de los bienes internos, lo cual se explica porque se ha observado un crecimiento mayor de las importaciones que el de las exportaciones.</w:t>
            </w:r>
          </w:p>
          <w:p w14:paraId="2D4F3236" w14:textId="77777777" w:rsidR="009A47AF" w:rsidRPr="00A743A1" w:rsidRDefault="009A47AF" w:rsidP="009A47AF">
            <w:pPr>
              <w:jc w:val="both"/>
              <w:rPr>
                <w:rFonts w:eastAsiaTheme="minorEastAsia"/>
                <w:sz w:val="22"/>
                <w:szCs w:val="22"/>
                <w:lang w:eastAsia="en-US"/>
              </w:rPr>
            </w:pPr>
          </w:p>
          <w:p w14:paraId="6CAA2F61" w14:textId="52460C8B" w:rsidR="00A743A1" w:rsidRDefault="00A743A1" w:rsidP="009A47AF">
            <w:pPr>
              <w:jc w:val="both"/>
              <w:rPr>
                <w:rFonts w:eastAsiaTheme="minorEastAsia"/>
                <w:sz w:val="22"/>
                <w:szCs w:val="22"/>
                <w:lang w:eastAsia="en-US"/>
              </w:rPr>
            </w:pPr>
            <w:r w:rsidRPr="00A743A1">
              <w:rPr>
                <w:rFonts w:eastAsiaTheme="minorEastAsia"/>
                <w:sz w:val="22"/>
                <w:szCs w:val="22"/>
                <w:lang w:eastAsia="en-US"/>
              </w:rPr>
              <w:t xml:space="preserve">Por otro lado, de la expresión del tipo de cambio real se separó el efecto de los precios relativos </w:t>
            </w:r>
            <m:oMath>
              <m:nary>
                <m:naryPr>
                  <m:chr m:val="∏"/>
                  <m:limLoc m:val="undOvr"/>
                  <m:ctrlPr>
                    <w:rPr>
                      <w:rFonts w:ascii="Cambria Math" w:eastAsiaTheme="minorEastAsia" w:hAnsi="Cambria Math"/>
                      <w:i/>
                      <w:sz w:val="22"/>
                      <w:szCs w:val="22"/>
                      <w:lang w:eastAsia="en-US"/>
                    </w:rPr>
                  </m:ctrlPr>
                </m:naryPr>
                <m:sub>
                  <m:r>
                    <w:rPr>
                      <w:rFonts w:ascii="Cambria Math" w:eastAsiaTheme="minorEastAsia" w:hAnsi="Cambria Math"/>
                      <w:sz w:val="22"/>
                      <w:szCs w:val="22"/>
                      <w:lang w:eastAsia="en-US"/>
                    </w:rPr>
                    <m:t>j≠i</m:t>
                  </m:r>
                </m:sub>
                <m:sup>
                  <m:r>
                    <w:rPr>
                      <w:rFonts w:ascii="Cambria Math" w:eastAsiaTheme="minorEastAsia" w:hAnsi="Cambria Math"/>
                      <w:sz w:val="22"/>
                      <w:szCs w:val="22"/>
                      <w:lang w:eastAsia="en-US"/>
                    </w:rPr>
                    <m:t>N</m:t>
                  </m:r>
                </m:sup>
                <m:e>
                  <m:sSup>
                    <m:sSupPr>
                      <m:ctrlPr>
                        <w:rPr>
                          <w:rFonts w:ascii="Cambria Math" w:eastAsiaTheme="minorEastAsia" w:hAnsi="Cambria Math"/>
                          <w:i/>
                          <w:sz w:val="22"/>
                          <w:szCs w:val="22"/>
                          <w:lang w:eastAsia="en-US"/>
                        </w:rPr>
                      </m:ctrlPr>
                    </m:sSupPr>
                    <m:e>
                      <m:d>
                        <m:dPr>
                          <m:ctrlPr>
                            <w:rPr>
                              <w:rFonts w:ascii="Cambria Math" w:eastAsiaTheme="minorEastAsia" w:hAnsi="Cambria Math"/>
                              <w:i/>
                              <w:sz w:val="22"/>
                              <w:szCs w:val="22"/>
                              <w:lang w:eastAsia="en-US"/>
                            </w:rPr>
                          </m:ctrlPr>
                        </m:dPr>
                        <m:e>
                          <m:sSub>
                            <m:sSubPr>
                              <m:ctrlPr>
                                <w:rPr>
                                  <w:rFonts w:ascii="Cambria Math" w:eastAsiaTheme="minorEastAsia" w:hAnsi="Cambria Math"/>
                                  <w:i/>
                                  <w:sz w:val="22"/>
                                  <w:szCs w:val="22"/>
                                  <w:lang w:eastAsia="en-US"/>
                                </w:rPr>
                              </m:ctrlPr>
                            </m:sSubPr>
                            <m:e>
                              <m:r>
                                <w:rPr>
                                  <w:rFonts w:ascii="Cambria Math" w:eastAsiaTheme="minorEastAsia" w:hAnsi="Cambria Math"/>
                                  <w:sz w:val="22"/>
                                  <w:szCs w:val="22"/>
                                  <w:lang w:eastAsia="en-US"/>
                                </w:rPr>
                                <m:t>P</m:t>
                              </m:r>
                            </m:e>
                            <m:sub>
                              <m:r>
                                <w:rPr>
                                  <w:rFonts w:ascii="Cambria Math" w:eastAsiaTheme="minorEastAsia" w:hAnsi="Cambria Math"/>
                                  <w:sz w:val="22"/>
                                  <w:szCs w:val="22"/>
                                  <w:lang w:eastAsia="en-US"/>
                                </w:rPr>
                                <m:t>jt</m:t>
                              </m:r>
                            </m:sub>
                          </m:sSub>
                          <m:r>
                            <m:rPr>
                              <m:lit/>
                            </m:rPr>
                            <w:rPr>
                              <w:rFonts w:ascii="Cambria Math" w:eastAsiaTheme="minorEastAsia" w:hAnsi="Cambria Math"/>
                              <w:sz w:val="22"/>
                              <w:szCs w:val="22"/>
                              <w:lang w:eastAsia="en-US"/>
                            </w:rPr>
                            <m:t>/</m:t>
                          </m:r>
                          <m:sSub>
                            <m:sSubPr>
                              <m:ctrlPr>
                                <w:rPr>
                                  <w:rFonts w:ascii="Cambria Math" w:eastAsiaTheme="minorEastAsia" w:hAnsi="Cambria Math"/>
                                  <w:i/>
                                  <w:sz w:val="22"/>
                                  <w:szCs w:val="22"/>
                                  <w:lang w:eastAsia="en-US"/>
                                </w:rPr>
                              </m:ctrlPr>
                            </m:sSubPr>
                            <m:e>
                              <m:r>
                                <w:rPr>
                                  <w:rFonts w:ascii="Cambria Math" w:eastAsiaTheme="minorEastAsia" w:hAnsi="Cambria Math"/>
                                  <w:sz w:val="22"/>
                                  <w:szCs w:val="22"/>
                                  <w:lang w:eastAsia="en-US"/>
                                </w:rPr>
                                <m:t>P</m:t>
                              </m:r>
                            </m:e>
                            <m:sub>
                              <m:r>
                                <w:rPr>
                                  <w:rFonts w:ascii="Cambria Math" w:eastAsiaTheme="minorEastAsia" w:hAnsi="Cambria Math"/>
                                  <w:sz w:val="22"/>
                                  <w:szCs w:val="22"/>
                                  <w:lang w:eastAsia="en-US"/>
                                </w:rPr>
                                <m:t>j0</m:t>
                              </m:r>
                            </m:sub>
                          </m:sSub>
                        </m:e>
                      </m:d>
                    </m:e>
                    <m:sup>
                      <m:sSub>
                        <m:sSubPr>
                          <m:ctrlPr>
                            <w:rPr>
                              <w:rFonts w:ascii="Cambria Math" w:eastAsiaTheme="minorEastAsia" w:hAnsi="Cambria Math"/>
                              <w:i/>
                              <w:sz w:val="22"/>
                              <w:szCs w:val="22"/>
                              <w:lang w:eastAsia="en-US"/>
                            </w:rPr>
                          </m:ctrlPr>
                        </m:sSubPr>
                        <m:e>
                          <m:r>
                            <w:rPr>
                              <w:rFonts w:ascii="Cambria Math" w:eastAsiaTheme="minorEastAsia" w:hAnsi="Cambria Math"/>
                              <w:sz w:val="22"/>
                              <w:szCs w:val="22"/>
                              <w:lang w:eastAsia="en-US"/>
                            </w:rPr>
                            <m:t>w</m:t>
                          </m:r>
                        </m:e>
                        <m:sub>
                          <m:r>
                            <w:rPr>
                              <w:rFonts w:ascii="Cambria Math" w:eastAsiaTheme="minorEastAsia" w:hAnsi="Cambria Math"/>
                              <w:sz w:val="22"/>
                              <w:szCs w:val="22"/>
                              <w:lang w:eastAsia="en-US"/>
                            </w:rPr>
                            <m:t>jt</m:t>
                          </m:r>
                        </m:sub>
                      </m:sSub>
                    </m:sup>
                  </m:sSup>
                </m:e>
              </m:nary>
              <m:r>
                <m:rPr>
                  <m:lit/>
                </m:rPr>
                <w:rPr>
                  <w:rFonts w:ascii="Cambria Math" w:eastAsiaTheme="minorEastAsia" w:hAnsi="Cambria Math"/>
                  <w:sz w:val="22"/>
                  <w:szCs w:val="22"/>
                  <w:lang w:eastAsia="en-US"/>
                </w:rPr>
                <m:t>/</m:t>
              </m:r>
              <m:d>
                <m:dPr>
                  <m:ctrlPr>
                    <w:rPr>
                      <w:rFonts w:ascii="Cambria Math" w:eastAsiaTheme="minorEastAsia" w:hAnsi="Cambria Math"/>
                      <w:i/>
                      <w:sz w:val="22"/>
                      <w:szCs w:val="22"/>
                      <w:lang w:eastAsia="en-US"/>
                    </w:rPr>
                  </m:ctrlPr>
                </m:dPr>
                <m:e>
                  <m:sSub>
                    <m:sSubPr>
                      <m:ctrlPr>
                        <w:rPr>
                          <w:rFonts w:ascii="Cambria Math" w:eastAsiaTheme="minorEastAsia" w:hAnsi="Cambria Math"/>
                          <w:i/>
                          <w:sz w:val="22"/>
                          <w:szCs w:val="22"/>
                          <w:lang w:eastAsia="en-US"/>
                        </w:rPr>
                      </m:ctrlPr>
                    </m:sSubPr>
                    <m:e>
                      <m:r>
                        <w:rPr>
                          <w:rFonts w:ascii="Cambria Math" w:eastAsiaTheme="minorEastAsia" w:hAnsi="Cambria Math"/>
                          <w:sz w:val="22"/>
                          <w:szCs w:val="22"/>
                          <w:lang w:eastAsia="en-US"/>
                        </w:rPr>
                        <m:t>P</m:t>
                      </m:r>
                    </m:e>
                    <m:sub>
                      <m:r>
                        <w:rPr>
                          <w:rFonts w:ascii="Cambria Math" w:eastAsiaTheme="minorEastAsia" w:hAnsi="Cambria Math"/>
                          <w:sz w:val="22"/>
                          <w:szCs w:val="22"/>
                          <w:lang w:eastAsia="en-US"/>
                        </w:rPr>
                        <m:t>it</m:t>
                      </m:r>
                    </m:sub>
                  </m:sSub>
                  <m:r>
                    <m:rPr>
                      <m:lit/>
                    </m:rPr>
                    <w:rPr>
                      <w:rFonts w:ascii="Cambria Math" w:eastAsiaTheme="minorEastAsia" w:hAnsi="Cambria Math"/>
                      <w:sz w:val="22"/>
                      <w:szCs w:val="22"/>
                      <w:lang w:eastAsia="en-US"/>
                    </w:rPr>
                    <m:t>/</m:t>
                  </m:r>
                  <m:sSub>
                    <m:sSubPr>
                      <m:ctrlPr>
                        <w:rPr>
                          <w:rFonts w:ascii="Cambria Math" w:eastAsiaTheme="minorEastAsia" w:hAnsi="Cambria Math"/>
                          <w:i/>
                          <w:sz w:val="22"/>
                          <w:szCs w:val="22"/>
                          <w:lang w:eastAsia="en-US"/>
                        </w:rPr>
                      </m:ctrlPr>
                    </m:sSubPr>
                    <m:e>
                      <m:r>
                        <w:rPr>
                          <w:rFonts w:ascii="Cambria Math" w:eastAsiaTheme="minorEastAsia" w:hAnsi="Cambria Math"/>
                          <w:sz w:val="22"/>
                          <w:szCs w:val="22"/>
                          <w:lang w:eastAsia="en-US"/>
                        </w:rPr>
                        <m:t>P</m:t>
                      </m:r>
                    </m:e>
                    <m:sub>
                      <m:r>
                        <w:rPr>
                          <w:rFonts w:ascii="Cambria Math" w:eastAsiaTheme="minorEastAsia" w:hAnsi="Cambria Math"/>
                          <w:sz w:val="22"/>
                          <w:szCs w:val="22"/>
                          <w:lang w:eastAsia="en-US"/>
                        </w:rPr>
                        <m:t>io</m:t>
                      </m:r>
                    </m:sub>
                  </m:sSub>
                </m:e>
              </m:d>
            </m:oMath>
            <w:r w:rsidRPr="00A743A1">
              <w:rPr>
                <w:rFonts w:eastAsiaTheme="minorEastAsia"/>
                <w:sz w:val="22"/>
                <w:szCs w:val="22"/>
                <w:lang w:eastAsia="en-US"/>
              </w:rPr>
              <w:t xml:space="preserve"> y del tipo de cambio real relativo inverso </w:t>
            </w:r>
            <m:oMath>
              <m:sSub>
                <m:sSubPr>
                  <m:ctrlPr>
                    <w:rPr>
                      <w:rFonts w:ascii="Cambria Math" w:eastAsiaTheme="minorEastAsia" w:hAnsi="Cambria Math"/>
                      <w:i/>
                      <w:sz w:val="22"/>
                      <w:szCs w:val="22"/>
                      <w:lang w:eastAsia="en-US"/>
                    </w:rPr>
                  </m:ctrlPr>
                </m:sSubPr>
                <m:e>
                  <m:r>
                    <w:rPr>
                      <w:rFonts w:ascii="Cambria Math" w:eastAsiaTheme="minorEastAsia" w:hAnsi="Cambria Math"/>
                      <w:sz w:val="22"/>
                      <w:szCs w:val="22"/>
                      <w:lang w:eastAsia="en-US"/>
                    </w:rPr>
                    <m:t>E</m:t>
                  </m:r>
                </m:e>
                <m:sub>
                  <m:r>
                    <w:rPr>
                      <w:rFonts w:ascii="Cambria Math" w:eastAsiaTheme="minorEastAsia" w:hAnsi="Cambria Math"/>
                      <w:sz w:val="22"/>
                      <w:szCs w:val="22"/>
                      <w:lang w:eastAsia="en-US"/>
                    </w:rPr>
                    <m:t>t</m:t>
                  </m:r>
                </m:sub>
              </m:sSub>
              <m:r>
                <w:rPr>
                  <w:rFonts w:ascii="Cambria Math" w:eastAsiaTheme="minorEastAsia" w:hAnsi="Cambria Math"/>
                  <w:sz w:val="22"/>
                  <w:szCs w:val="22"/>
                  <w:lang w:eastAsia="en-US"/>
                </w:rPr>
                <m:t>/</m:t>
              </m:r>
              <m:sSup>
                <m:sSupPr>
                  <m:ctrlPr>
                    <w:rPr>
                      <w:rFonts w:ascii="Cambria Math" w:eastAsiaTheme="minorEastAsia" w:hAnsi="Cambria Math"/>
                      <w:i/>
                      <w:sz w:val="22"/>
                      <w:szCs w:val="22"/>
                      <w:lang w:eastAsia="en-US"/>
                    </w:rPr>
                  </m:ctrlPr>
                </m:sSupPr>
                <m:e>
                  <m:d>
                    <m:dPr>
                      <m:ctrlPr>
                        <w:rPr>
                          <w:rFonts w:ascii="Cambria Math" w:eastAsiaTheme="minorEastAsia" w:hAnsi="Cambria Math"/>
                          <w:i/>
                          <w:sz w:val="22"/>
                          <w:szCs w:val="22"/>
                          <w:lang w:eastAsia="en-US"/>
                        </w:rPr>
                      </m:ctrlPr>
                    </m:dPr>
                    <m:e>
                      <m:sSub>
                        <m:sSubPr>
                          <m:ctrlPr>
                            <w:rPr>
                              <w:rFonts w:ascii="Cambria Math" w:eastAsiaTheme="minorEastAsia" w:hAnsi="Cambria Math"/>
                              <w:i/>
                              <w:sz w:val="22"/>
                              <w:szCs w:val="22"/>
                              <w:lang w:eastAsia="en-US"/>
                            </w:rPr>
                          </m:ctrlPr>
                        </m:sSubPr>
                        <m:e>
                          <m:r>
                            <w:rPr>
                              <w:rFonts w:ascii="Cambria Math" w:eastAsiaTheme="minorEastAsia" w:hAnsi="Cambria Math"/>
                              <w:sz w:val="22"/>
                              <w:szCs w:val="22"/>
                              <w:lang w:eastAsia="en-US"/>
                            </w:rPr>
                            <m:t>E</m:t>
                          </m:r>
                        </m:e>
                        <m:sub>
                          <m:r>
                            <w:rPr>
                              <w:rFonts w:ascii="Cambria Math" w:eastAsiaTheme="minorEastAsia" w:hAnsi="Cambria Math"/>
                              <w:sz w:val="22"/>
                              <w:szCs w:val="22"/>
                              <w:lang w:eastAsia="en-US"/>
                            </w:rPr>
                            <m:t>jt</m:t>
                          </m:r>
                        </m:sub>
                      </m:sSub>
                      <m:r>
                        <m:rPr>
                          <m:lit/>
                        </m:rPr>
                        <w:rPr>
                          <w:rFonts w:ascii="Cambria Math" w:eastAsiaTheme="minorEastAsia" w:hAnsi="Cambria Math"/>
                          <w:sz w:val="22"/>
                          <w:szCs w:val="22"/>
                          <w:lang w:eastAsia="en-US"/>
                        </w:rPr>
                        <m:t>/</m:t>
                      </m:r>
                      <m:sSub>
                        <m:sSubPr>
                          <m:ctrlPr>
                            <w:rPr>
                              <w:rFonts w:ascii="Cambria Math" w:eastAsiaTheme="minorEastAsia" w:hAnsi="Cambria Math"/>
                              <w:i/>
                              <w:sz w:val="22"/>
                              <w:szCs w:val="22"/>
                              <w:lang w:eastAsia="en-US"/>
                            </w:rPr>
                          </m:ctrlPr>
                        </m:sSubPr>
                        <m:e>
                          <m:r>
                            <w:rPr>
                              <w:rFonts w:ascii="Cambria Math" w:eastAsiaTheme="minorEastAsia" w:hAnsi="Cambria Math"/>
                              <w:sz w:val="22"/>
                              <w:szCs w:val="22"/>
                              <w:lang w:eastAsia="en-US"/>
                            </w:rPr>
                            <m:t>E</m:t>
                          </m:r>
                        </m:e>
                        <m:sub>
                          <m:r>
                            <w:rPr>
                              <w:rFonts w:ascii="Cambria Math" w:eastAsiaTheme="minorEastAsia" w:hAnsi="Cambria Math"/>
                              <w:sz w:val="22"/>
                              <w:szCs w:val="22"/>
                              <w:lang w:eastAsia="en-US"/>
                            </w:rPr>
                            <m:t>j0</m:t>
                          </m:r>
                        </m:sub>
                      </m:sSub>
                    </m:e>
                  </m:d>
                </m:e>
                <m:sup>
                  <m:sSub>
                    <m:sSubPr>
                      <m:ctrlPr>
                        <w:rPr>
                          <w:rFonts w:ascii="Cambria Math" w:eastAsiaTheme="minorEastAsia" w:hAnsi="Cambria Math"/>
                          <w:i/>
                          <w:sz w:val="22"/>
                          <w:szCs w:val="22"/>
                          <w:lang w:eastAsia="en-US"/>
                        </w:rPr>
                      </m:ctrlPr>
                    </m:sSubPr>
                    <m:e>
                      <m:r>
                        <w:rPr>
                          <w:rFonts w:ascii="Cambria Math" w:eastAsiaTheme="minorEastAsia" w:hAnsi="Cambria Math"/>
                          <w:sz w:val="22"/>
                          <w:szCs w:val="22"/>
                          <w:lang w:eastAsia="en-US"/>
                        </w:rPr>
                        <m:t>w</m:t>
                      </m:r>
                    </m:e>
                    <m:sub>
                      <m:r>
                        <w:rPr>
                          <w:rFonts w:ascii="Cambria Math" w:eastAsiaTheme="minorEastAsia" w:hAnsi="Cambria Math"/>
                          <w:sz w:val="22"/>
                          <w:szCs w:val="22"/>
                          <w:lang w:eastAsia="en-US"/>
                        </w:rPr>
                        <m:t>jt</m:t>
                      </m:r>
                    </m:sub>
                  </m:sSub>
                </m:sup>
              </m:sSup>
            </m:oMath>
            <w:r w:rsidRPr="00A743A1">
              <w:rPr>
                <w:rFonts w:eastAsiaTheme="minorEastAsia"/>
                <w:sz w:val="22"/>
                <w:szCs w:val="22"/>
                <w:lang w:eastAsia="en-US"/>
              </w:rPr>
              <w:t>, en el caso de los precios relativos, una mayor inflación de los precios nacionales en comparación a los socios realiza presiones a la apreciación y en el caso del tipo de cambio real relativo inverso indica que si la depreciación del tipo de cambio con respecto al dólar de los socios comerciales es mayor que la nacional se traduce en presiones hacia la apreciación dado que el poder adquisitivo del quetzal aumenta en los países socios en comparación al nacional.</w:t>
            </w:r>
          </w:p>
          <w:p w14:paraId="645C22E9" w14:textId="77777777" w:rsidR="009A47AF" w:rsidRPr="00A743A1" w:rsidRDefault="009A47AF" w:rsidP="009A47AF">
            <w:pPr>
              <w:jc w:val="both"/>
              <w:rPr>
                <w:rFonts w:eastAsiaTheme="minorEastAsia"/>
                <w:sz w:val="22"/>
                <w:szCs w:val="22"/>
                <w:lang w:eastAsia="en-US"/>
              </w:rPr>
            </w:pPr>
          </w:p>
          <w:p w14:paraId="57E88CEE" w14:textId="3DB42C7F" w:rsidR="00A743A1" w:rsidRDefault="00A743A1" w:rsidP="009A47AF">
            <w:pPr>
              <w:jc w:val="both"/>
              <w:rPr>
                <w:rFonts w:asciiTheme="minorHAnsi" w:hAnsiTheme="minorHAnsi"/>
                <w:sz w:val="22"/>
                <w:szCs w:val="22"/>
                <w:lang w:eastAsia="en-US"/>
              </w:rPr>
            </w:pPr>
            <w:r w:rsidRPr="00A743A1">
              <w:rPr>
                <w:rFonts w:eastAsiaTheme="minorEastAsia"/>
                <w:sz w:val="22"/>
                <w:szCs w:val="22"/>
                <w:lang w:eastAsia="en-US"/>
              </w:rPr>
              <w:t>Se utilizó logaritmos de los precios relativos y del tipo de cambio relativo inverso para obtener la contribución a la apreciación o depreciación en cada año desde el 2004. Se observa que la contribución de los precios relativos ha sido diversa a lo largo del tiempo. Para el tipo de cambio real inverso se observa un patrón constante hacia la apreciación en su contribución, esto se debe a que la tendencia del tipo de cambio nacional ha sido más estable que el de países como México, Costa Rica, Colombia, entre otros que han tenido una tendencia definida hacia la depreciación.</w:t>
            </w:r>
            <w:r w:rsidRPr="00A743A1">
              <w:rPr>
                <w:rFonts w:asciiTheme="minorHAnsi" w:hAnsiTheme="minorHAnsi"/>
                <w:sz w:val="22"/>
                <w:szCs w:val="22"/>
                <w:lang w:eastAsia="en-US"/>
              </w:rPr>
              <w:t xml:space="preserve"> </w:t>
            </w:r>
          </w:p>
          <w:p w14:paraId="441BD489" w14:textId="77777777" w:rsidR="009A47AF" w:rsidRPr="00A743A1" w:rsidRDefault="009A47AF" w:rsidP="009A47AF">
            <w:pPr>
              <w:jc w:val="both"/>
              <w:rPr>
                <w:rFonts w:asciiTheme="minorHAnsi" w:hAnsiTheme="minorHAnsi"/>
                <w:sz w:val="22"/>
                <w:szCs w:val="22"/>
                <w:lang w:eastAsia="en-US"/>
              </w:rPr>
            </w:pPr>
          </w:p>
          <w:p w14:paraId="0F73677F" w14:textId="77777777" w:rsidR="00A743A1" w:rsidRPr="00A743A1" w:rsidRDefault="00A743A1" w:rsidP="009A47AF">
            <w:pPr>
              <w:jc w:val="both"/>
              <w:rPr>
                <w:rFonts w:eastAsiaTheme="minorEastAsia"/>
                <w:sz w:val="22"/>
                <w:szCs w:val="22"/>
                <w:lang w:eastAsia="en-US"/>
              </w:rPr>
            </w:pPr>
            <w:r w:rsidRPr="00A743A1">
              <w:rPr>
                <w:rFonts w:eastAsiaTheme="minorEastAsia"/>
                <w:sz w:val="22"/>
                <w:szCs w:val="22"/>
                <w:lang w:eastAsia="en-US"/>
              </w:rPr>
              <w:t>En 2022 existieron presiones hacia la depreciación por el tipo de cambio, dado que México mostró una apreciación en promedio en dicho año. Por su parte, la inflación nacional fue mayor al ponderado de los socios comerciales, principalmente por China y Japón que mostraron una inflación promedio bastante moderada, por lo que el tipo de cambio real mostró una apreciación de 1.8% en el 2022.</w:t>
            </w:r>
          </w:p>
        </w:tc>
      </w:tr>
    </w:tbl>
    <w:p w14:paraId="0D1CA263" w14:textId="2E1D2084" w:rsidR="007E03D8" w:rsidRPr="0025774B" w:rsidRDefault="007E03D8" w:rsidP="00354A9C">
      <w:pPr>
        <w:pStyle w:val="Ttulo2"/>
        <w:numPr>
          <w:ilvl w:val="0"/>
          <w:numId w:val="48"/>
        </w:numPr>
        <w:ind w:left="426" w:hanging="283"/>
        <w:rPr>
          <w:rFonts w:ascii="Times New Roman" w:hAnsi="Times New Roman" w:cs="Times New Roman"/>
          <w:b/>
          <w:bCs/>
          <w:color w:val="auto"/>
          <w:sz w:val="24"/>
          <w:szCs w:val="24"/>
          <w:lang w:val="es-MX"/>
        </w:rPr>
      </w:pPr>
      <w:bookmarkStart w:id="69" w:name="_Toc143865801"/>
      <w:r w:rsidRPr="0025774B">
        <w:rPr>
          <w:rFonts w:ascii="Times New Roman" w:hAnsi="Times New Roman" w:cs="Times New Roman"/>
          <w:b/>
          <w:bCs/>
          <w:color w:val="auto"/>
          <w:sz w:val="24"/>
          <w:szCs w:val="24"/>
          <w:lang w:val="es-MX"/>
        </w:rPr>
        <w:t>Escenario macroeconómico 2023</w:t>
      </w:r>
      <w:bookmarkEnd w:id="69"/>
    </w:p>
    <w:p w14:paraId="70277626" w14:textId="11FE9DB2" w:rsidR="007E03D8" w:rsidRDefault="007E03D8" w:rsidP="007E03D8">
      <w:pPr>
        <w:jc w:val="both"/>
      </w:pPr>
    </w:p>
    <w:p w14:paraId="6FF47FEA" w14:textId="4F50E11C" w:rsidR="0005257D" w:rsidRPr="0025774B" w:rsidRDefault="0005257D" w:rsidP="00354A9C">
      <w:pPr>
        <w:pStyle w:val="Ttulo3"/>
        <w:numPr>
          <w:ilvl w:val="1"/>
          <w:numId w:val="48"/>
        </w:numPr>
        <w:tabs>
          <w:tab w:val="left" w:pos="1134"/>
        </w:tabs>
        <w:rPr>
          <w:rFonts w:ascii="Times New Roman" w:hAnsi="Times New Roman" w:cs="Times New Roman"/>
          <w:b/>
          <w:bCs/>
          <w:color w:val="auto"/>
          <w:lang w:val="es-MX"/>
        </w:rPr>
      </w:pPr>
      <w:bookmarkStart w:id="70" w:name="_Toc143865802"/>
      <w:r w:rsidRPr="0025774B">
        <w:rPr>
          <w:rFonts w:ascii="Times New Roman" w:hAnsi="Times New Roman" w:cs="Times New Roman"/>
          <w:b/>
          <w:bCs/>
          <w:color w:val="auto"/>
          <w:lang w:val="es-MX"/>
        </w:rPr>
        <w:t>Sector real</w:t>
      </w:r>
      <w:bookmarkEnd w:id="70"/>
    </w:p>
    <w:p w14:paraId="6CD8D8E5" w14:textId="5605AE58" w:rsidR="00962D40" w:rsidRDefault="00962D40" w:rsidP="00962D40"/>
    <w:p w14:paraId="1D953661" w14:textId="77777777" w:rsidR="00962D40" w:rsidRPr="00962D40" w:rsidRDefault="00962D40" w:rsidP="00962D40">
      <w:pPr>
        <w:jc w:val="both"/>
      </w:pPr>
      <w:r w:rsidRPr="00962D40">
        <w:t>En el año 2023, se espera que la economía nacional se mantenga cerca de su crecimiento potencial, esto debido a la solidez bancaria, a las continuas reformas para mejorar el desempeño de las empresas y por el impulso de la demanda interna por las remesas familiares recibidas. Por su parte, se espera que la inflación nacional paulatinamente disminuya como efecto de una política monetaria más restrictiva y como resultado de la estabilización de los precios de las materias primas internacionales.</w:t>
      </w:r>
    </w:p>
    <w:p w14:paraId="0053EC7A" w14:textId="77777777" w:rsidR="00962D40" w:rsidRPr="00962D40" w:rsidRDefault="00962D40" w:rsidP="00962D40">
      <w:pPr>
        <w:jc w:val="both"/>
      </w:pPr>
    </w:p>
    <w:p w14:paraId="2EA3B181" w14:textId="77777777" w:rsidR="00962D40" w:rsidRPr="00962D40" w:rsidRDefault="00962D40" w:rsidP="00962D40">
      <w:pPr>
        <w:jc w:val="both"/>
      </w:pPr>
      <w:r w:rsidRPr="00962D40">
        <w:t>El Índice Mensual de la Actividad Económica -IMAE- reportado por el Banco de Guatemala registró una tasa de crecimiento interanual de 4.4% para junio de 2023, similar al mostrado en el año anterior con un valor de 4.0%. Asimismo, otro indicador que tiene una relación fuerte con el desempeño de la actividad económica es la demanda de energía que para junio mostró una tasa de crecimiento interanual de 10.1%, por lo que aún no se reflejan indicios de una desaceleración económica por el aumento de las tasas de interés.</w:t>
      </w:r>
    </w:p>
    <w:p w14:paraId="58DD69A5" w14:textId="77777777" w:rsidR="00962D40" w:rsidRPr="00962D40" w:rsidRDefault="00962D40" w:rsidP="00962D40">
      <w:pPr>
        <w:jc w:val="both"/>
      </w:pPr>
    </w:p>
    <w:p w14:paraId="412AC79E" w14:textId="77777777" w:rsidR="00962D40" w:rsidRPr="00962D40" w:rsidRDefault="00962D40" w:rsidP="00962D40">
      <w:pPr>
        <w:jc w:val="both"/>
      </w:pPr>
      <w:r w:rsidRPr="00962D40">
        <w:t>En lo que respecta al índice de Confianza de la Actividad Económica -ICAE-, del Banco de Guatemala, que mide la percepción de un panel de analistas privados sobre la situación económica actual, mostró una clara tendencia a la baja a partir de enero de 2022, y reportó un nivel 53.9 para junio de 2023, por lo que las expectativas de los agentes económicos se mantienen negativas, dada la incertidumbre de la economía mundial y nacional. Entre los factores considerados están los precios nacionales e internacionales de los combustibles, el mercado interno, el desempeño de la política fiscal y la estabilidad en el nivel general de los precios, entre otros.</w:t>
      </w:r>
    </w:p>
    <w:p w14:paraId="2138C8B9" w14:textId="77777777" w:rsidR="00962D40" w:rsidRPr="00962D40" w:rsidRDefault="00962D40" w:rsidP="00962D40">
      <w:pPr>
        <w:jc w:val="both"/>
      </w:pPr>
    </w:p>
    <w:tbl>
      <w:tblPr>
        <w:tblStyle w:val="Tablaconcuadrcula"/>
        <w:tblW w:w="94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1"/>
        <w:gridCol w:w="4712"/>
      </w:tblGrid>
      <w:tr w:rsidR="00962D40" w:rsidRPr="00962D40" w14:paraId="70A3A5A2" w14:textId="77777777" w:rsidTr="009B29CD">
        <w:trPr>
          <w:trHeight w:val="119"/>
        </w:trPr>
        <w:tc>
          <w:tcPr>
            <w:tcW w:w="4711" w:type="dxa"/>
          </w:tcPr>
          <w:p w14:paraId="1A793042" w14:textId="44009F73" w:rsidR="00962D40" w:rsidRPr="00962D40" w:rsidRDefault="00962D40" w:rsidP="00F75999">
            <w:pPr>
              <w:pStyle w:val="Descripcin"/>
              <w:spacing w:after="0"/>
              <w:jc w:val="center"/>
              <w:rPr>
                <w:b/>
                <w:bCs/>
                <w:i w:val="0"/>
                <w:iCs w:val="0"/>
                <w:sz w:val="24"/>
                <w:szCs w:val="24"/>
                <w:lang w:val="es-GT"/>
              </w:rPr>
            </w:pPr>
            <w:bookmarkStart w:id="71" w:name="_Toc143870696"/>
            <w:r w:rsidRPr="00962D40">
              <w:rPr>
                <w:b/>
                <w:bCs/>
                <w:i w:val="0"/>
                <w:iCs w:val="0"/>
                <w:color w:val="auto"/>
                <w:sz w:val="24"/>
                <w:szCs w:val="24"/>
                <w:lang w:val="es-GT"/>
              </w:rPr>
              <w:t xml:space="preserve">Gráfico </w:t>
            </w:r>
            <w:r w:rsidRPr="00962D40">
              <w:rPr>
                <w:b/>
                <w:bCs/>
                <w:i w:val="0"/>
                <w:iCs w:val="0"/>
                <w:color w:val="auto"/>
                <w:sz w:val="24"/>
                <w:szCs w:val="24"/>
              </w:rPr>
              <w:fldChar w:fldCharType="begin"/>
            </w:r>
            <w:r w:rsidRPr="00962D40">
              <w:rPr>
                <w:b/>
                <w:bCs/>
                <w:i w:val="0"/>
                <w:iCs w:val="0"/>
                <w:color w:val="auto"/>
                <w:sz w:val="24"/>
                <w:szCs w:val="24"/>
                <w:lang w:val="es-GT"/>
              </w:rPr>
              <w:instrText xml:space="preserve"> SEQ Gráfico \* ARABIC </w:instrText>
            </w:r>
            <w:r w:rsidRPr="00962D40">
              <w:rPr>
                <w:b/>
                <w:bCs/>
                <w:i w:val="0"/>
                <w:iCs w:val="0"/>
                <w:color w:val="auto"/>
                <w:sz w:val="24"/>
                <w:szCs w:val="24"/>
              </w:rPr>
              <w:fldChar w:fldCharType="separate"/>
            </w:r>
            <w:r w:rsidR="006622B2">
              <w:rPr>
                <w:b/>
                <w:bCs/>
                <w:i w:val="0"/>
                <w:iCs w:val="0"/>
                <w:noProof/>
                <w:color w:val="auto"/>
                <w:sz w:val="24"/>
                <w:szCs w:val="24"/>
                <w:lang w:val="es-GT"/>
              </w:rPr>
              <w:t>29</w:t>
            </w:r>
            <w:r w:rsidRPr="00962D40">
              <w:rPr>
                <w:b/>
                <w:bCs/>
                <w:i w:val="0"/>
                <w:iCs w:val="0"/>
                <w:color w:val="auto"/>
                <w:sz w:val="24"/>
                <w:szCs w:val="24"/>
              </w:rPr>
              <w:fldChar w:fldCharType="end"/>
            </w:r>
            <w:r w:rsidRPr="00962D40">
              <w:rPr>
                <w:b/>
                <w:bCs/>
                <w:i w:val="0"/>
                <w:iCs w:val="0"/>
                <w:color w:val="auto"/>
                <w:sz w:val="24"/>
                <w:szCs w:val="24"/>
                <w:lang w:val="es-GT"/>
              </w:rPr>
              <w:t>. Índice Mensual de la Actividad</w:t>
            </w:r>
            <w:r w:rsidRPr="00962D40">
              <w:rPr>
                <w:b/>
                <w:bCs/>
                <w:i w:val="0"/>
                <w:iCs w:val="0"/>
                <w:color w:val="auto"/>
                <w:sz w:val="24"/>
                <w:szCs w:val="24"/>
                <w:lang w:val="es-GT"/>
              </w:rPr>
              <w:br/>
              <w:t>Económica y demanda de energía</w:t>
            </w:r>
            <w:bookmarkEnd w:id="71"/>
            <w:r w:rsidRPr="00962D40">
              <w:rPr>
                <w:b/>
                <w:bCs/>
                <w:i w:val="0"/>
                <w:iCs w:val="0"/>
                <w:sz w:val="24"/>
                <w:szCs w:val="24"/>
                <w:lang w:val="es-GT"/>
              </w:rPr>
              <w:t xml:space="preserve"> </w:t>
            </w:r>
          </w:p>
          <w:p w14:paraId="363D1FA8" w14:textId="77777777" w:rsidR="00962D40" w:rsidRPr="00962D40" w:rsidRDefault="00962D40" w:rsidP="00F75999">
            <w:r w:rsidRPr="00962D40">
              <w:rPr>
                <w:lang w:val="es-GT"/>
              </w:rPr>
              <w:t xml:space="preserve">                           </w:t>
            </w:r>
            <w:r w:rsidRPr="00962D40">
              <w:rPr>
                <w:sz w:val="22"/>
                <w:szCs w:val="22"/>
              </w:rPr>
              <w:t>Como porcentaje</w:t>
            </w:r>
          </w:p>
        </w:tc>
        <w:tc>
          <w:tcPr>
            <w:tcW w:w="4711" w:type="dxa"/>
          </w:tcPr>
          <w:p w14:paraId="61F4350A" w14:textId="4CE55574" w:rsidR="00962D40" w:rsidRPr="00962D40" w:rsidRDefault="00962D40" w:rsidP="00F75999">
            <w:pPr>
              <w:pStyle w:val="Descripcin"/>
              <w:spacing w:after="0"/>
              <w:jc w:val="center"/>
              <w:rPr>
                <w:b/>
                <w:bCs/>
                <w:i w:val="0"/>
                <w:iCs w:val="0"/>
                <w:sz w:val="24"/>
                <w:szCs w:val="24"/>
                <w:lang w:val="es-MX"/>
              </w:rPr>
            </w:pPr>
            <w:bookmarkStart w:id="72" w:name="_Toc143870697"/>
            <w:r w:rsidRPr="00962D40">
              <w:rPr>
                <w:b/>
                <w:bCs/>
                <w:i w:val="0"/>
                <w:iCs w:val="0"/>
                <w:color w:val="auto"/>
                <w:sz w:val="24"/>
                <w:szCs w:val="24"/>
                <w:lang w:val="es-GT"/>
              </w:rPr>
              <w:t xml:space="preserve">Gráfico </w:t>
            </w:r>
            <w:r w:rsidRPr="00962D40">
              <w:rPr>
                <w:b/>
                <w:bCs/>
                <w:i w:val="0"/>
                <w:iCs w:val="0"/>
                <w:color w:val="auto"/>
                <w:sz w:val="24"/>
                <w:szCs w:val="24"/>
              </w:rPr>
              <w:fldChar w:fldCharType="begin"/>
            </w:r>
            <w:r w:rsidRPr="00962D40">
              <w:rPr>
                <w:b/>
                <w:bCs/>
                <w:i w:val="0"/>
                <w:iCs w:val="0"/>
                <w:color w:val="auto"/>
                <w:sz w:val="24"/>
                <w:szCs w:val="24"/>
                <w:lang w:val="es-GT"/>
              </w:rPr>
              <w:instrText xml:space="preserve"> SEQ Gráfico \* ARABIC </w:instrText>
            </w:r>
            <w:r w:rsidRPr="00962D40">
              <w:rPr>
                <w:b/>
                <w:bCs/>
                <w:i w:val="0"/>
                <w:iCs w:val="0"/>
                <w:color w:val="auto"/>
                <w:sz w:val="24"/>
                <w:szCs w:val="24"/>
              </w:rPr>
              <w:fldChar w:fldCharType="separate"/>
            </w:r>
            <w:r w:rsidR="006622B2">
              <w:rPr>
                <w:b/>
                <w:bCs/>
                <w:i w:val="0"/>
                <w:iCs w:val="0"/>
                <w:noProof/>
                <w:color w:val="auto"/>
                <w:sz w:val="24"/>
                <w:szCs w:val="24"/>
                <w:lang w:val="es-GT"/>
              </w:rPr>
              <w:t>30</w:t>
            </w:r>
            <w:r w:rsidRPr="00962D40">
              <w:rPr>
                <w:b/>
                <w:bCs/>
                <w:i w:val="0"/>
                <w:iCs w:val="0"/>
                <w:color w:val="auto"/>
                <w:sz w:val="24"/>
                <w:szCs w:val="24"/>
              </w:rPr>
              <w:fldChar w:fldCharType="end"/>
            </w:r>
            <w:r w:rsidRPr="00962D40">
              <w:rPr>
                <w:b/>
                <w:bCs/>
                <w:i w:val="0"/>
                <w:iCs w:val="0"/>
                <w:color w:val="auto"/>
                <w:sz w:val="24"/>
                <w:szCs w:val="24"/>
                <w:lang w:val="es-GT"/>
              </w:rPr>
              <w:t>.  Índice de Confianza Económica</w:t>
            </w:r>
            <w:bookmarkEnd w:id="72"/>
          </w:p>
        </w:tc>
      </w:tr>
      <w:tr w:rsidR="00962D40" w:rsidRPr="00962D40" w14:paraId="4336560C" w14:textId="77777777" w:rsidTr="009B29CD">
        <w:tblPrEx>
          <w:tblCellMar>
            <w:left w:w="70" w:type="dxa"/>
            <w:right w:w="70" w:type="dxa"/>
          </w:tblCellMar>
        </w:tblPrEx>
        <w:trPr>
          <w:trHeight w:val="811"/>
        </w:trPr>
        <w:tc>
          <w:tcPr>
            <w:tcW w:w="4711" w:type="dxa"/>
          </w:tcPr>
          <w:p w14:paraId="5116325C" w14:textId="604EB1E0" w:rsidR="00962D40" w:rsidRPr="00962D40" w:rsidRDefault="00962D40" w:rsidP="00F75999">
            <w:pPr>
              <w:jc w:val="both"/>
              <w:rPr>
                <w:lang w:val="es-MX"/>
              </w:rPr>
            </w:pPr>
            <w:r w:rsidRPr="00962D40">
              <w:rPr>
                <w:noProof/>
              </w:rPr>
              <w:drawing>
                <wp:inline distT="0" distB="0" distL="0" distR="0" wp14:anchorId="52311511" wp14:editId="23875651">
                  <wp:extent cx="2879725" cy="1620000"/>
                  <wp:effectExtent l="0" t="0" r="0" b="0"/>
                  <wp:docPr id="250" name="Gráfico 2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c>
          <w:tcPr>
            <w:tcW w:w="4711" w:type="dxa"/>
          </w:tcPr>
          <w:p w14:paraId="5B96CCA9" w14:textId="203BCDE1" w:rsidR="00962D40" w:rsidRPr="00962D40" w:rsidRDefault="00962D40" w:rsidP="00F75999">
            <w:pPr>
              <w:jc w:val="both"/>
              <w:rPr>
                <w:lang w:val="es-MX"/>
              </w:rPr>
            </w:pPr>
            <w:r w:rsidRPr="00962D40">
              <w:rPr>
                <w:noProof/>
              </w:rPr>
              <w:drawing>
                <wp:inline distT="0" distB="0" distL="0" distR="0" wp14:anchorId="40021A59" wp14:editId="1B210381">
                  <wp:extent cx="2662732" cy="1619885"/>
                  <wp:effectExtent l="0" t="0" r="4445" b="0"/>
                  <wp:docPr id="249" name="Gráfico 2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r>
      <w:tr w:rsidR="00962D40" w:rsidRPr="00962D40" w14:paraId="2852144A" w14:textId="77777777" w:rsidTr="009B29CD">
        <w:tblPrEx>
          <w:tblCellMar>
            <w:left w:w="70" w:type="dxa"/>
            <w:right w:w="70" w:type="dxa"/>
          </w:tblCellMar>
        </w:tblPrEx>
        <w:trPr>
          <w:trHeight w:val="47"/>
        </w:trPr>
        <w:tc>
          <w:tcPr>
            <w:tcW w:w="9423" w:type="dxa"/>
            <w:gridSpan w:val="2"/>
          </w:tcPr>
          <w:p w14:paraId="168FDE5B" w14:textId="5BA98832" w:rsidR="00962D40" w:rsidRPr="00962D40" w:rsidRDefault="00962D40" w:rsidP="00F75999">
            <w:pPr>
              <w:jc w:val="both"/>
              <w:rPr>
                <w:noProof/>
                <w:lang w:val="es-GT"/>
              </w:rPr>
            </w:pPr>
            <w:r w:rsidRPr="00962D40">
              <w:rPr>
                <w:noProof/>
                <w:sz w:val="18"/>
                <w:szCs w:val="18"/>
                <w:lang w:val="es-GT"/>
              </w:rPr>
              <w:t xml:space="preserve">      Fuente: Banco de Guatemala y </w:t>
            </w:r>
            <w:r w:rsidR="009B29CD">
              <w:rPr>
                <w:noProof/>
                <w:sz w:val="18"/>
                <w:szCs w:val="18"/>
                <w:lang w:val="es-GT"/>
              </w:rPr>
              <w:t>Administrador del Mercado Mayorista -AMM-</w:t>
            </w:r>
            <w:r w:rsidRPr="00962D40">
              <w:rPr>
                <w:noProof/>
                <w:sz w:val="18"/>
                <w:szCs w:val="18"/>
                <w:lang w:val="es-GT"/>
              </w:rPr>
              <w:t>.</w:t>
            </w:r>
          </w:p>
        </w:tc>
      </w:tr>
    </w:tbl>
    <w:p w14:paraId="6FE11C71" w14:textId="77777777" w:rsidR="00962D40" w:rsidRPr="00962D40" w:rsidRDefault="00962D40" w:rsidP="00962D40">
      <w:pPr>
        <w:jc w:val="both"/>
      </w:pPr>
    </w:p>
    <w:p w14:paraId="2A0D18C8" w14:textId="77777777" w:rsidR="00962D40" w:rsidRPr="0025774B" w:rsidRDefault="00962D40" w:rsidP="00354A9C">
      <w:pPr>
        <w:pStyle w:val="Ttulo3"/>
        <w:numPr>
          <w:ilvl w:val="2"/>
          <w:numId w:val="48"/>
        </w:numPr>
        <w:tabs>
          <w:tab w:val="left" w:pos="1134"/>
        </w:tabs>
        <w:rPr>
          <w:rFonts w:ascii="Times New Roman" w:hAnsi="Times New Roman" w:cs="Times New Roman"/>
          <w:b/>
          <w:bCs/>
          <w:color w:val="auto"/>
          <w:lang w:val="es-MX"/>
        </w:rPr>
      </w:pPr>
      <w:bookmarkStart w:id="73" w:name="_Toc143865803"/>
      <w:r w:rsidRPr="0025774B">
        <w:rPr>
          <w:rFonts w:ascii="Times New Roman" w:hAnsi="Times New Roman" w:cs="Times New Roman"/>
          <w:b/>
          <w:bCs/>
          <w:color w:val="auto"/>
          <w:lang w:val="es-MX"/>
        </w:rPr>
        <w:t>Producto Interno Bruto</w:t>
      </w:r>
      <w:bookmarkEnd w:id="73"/>
    </w:p>
    <w:p w14:paraId="537C82B4" w14:textId="77777777" w:rsidR="00962D40" w:rsidRPr="00962D40" w:rsidRDefault="00962D40" w:rsidP="00962D40">
      <w:pPr>
        <w:jc w:val="both"/>
      </w:pPr>
    </w:p>
    <w:p w14:paraId="6AAF0942" w14:textId="19F102F4" w:rsidR="00962D40" w:rsidRPr="00962D40" w:rsidRDefault="00962D40" w:rsidP="00962D40">
      <w:pPr>
        <w:jc w:val="both"/>
      </w:pPr>
      <w:r w:rsidRPr="00962D40">
        <w:t xml:space="preserve">De acuerdo con las proyecciones del Banco de Guatemala, el crecimiento económico esperado del PIB se encontraría entre el 2.5% a 4.5% para el año actual (escenario macroeconómico </w:t>
      </w:r>
      <w:r w:rsidR="008214B2">
        <w:t xml:space="preserve">a </w:t>
      </w:r>
      <w:r w:rsidRPr="00962D40">
        <w:t>abril 2023). Se prevé que la economía contin</w:t>
      </w:r>
      <w:r w:rsidR="008214B2">
        <w:t>ú</w:t>
      </w:r>
      <w:r w:rsidRPr="00962D40">
        <w:t>e siendo resiliente y se adapte a las distintas circunstancias, manteniendo su crecimiento cerca del potencial.</w:t>
      </w:r>
    </w:p>
    <w:p w14:paraId="580308F5" w14:textId="77777777" w:rsidR="00962D40" w:rsidRPr="00962D40" w:rsidRDefault="00962D40" w:rsidP="00962D40">
      <w:pPr>
        <w:jc w:val="both"/>
      </w:pPr>
    </w:p>
    <w:p w14:paraId="077B92FF" w14:textId="77777777" w:rsidR="00962D40" w:rsidRPr="00962D40" w:rsidRDefault="00962D40" w:rsidP="00962D40">
      <w:pPr>
        <w:jc w:val="both"/>
      </w:pPr>
      <w:r w:rsidRPr="00962D40">
        <w:t xml:space="preserve">Asimismo, las proyecciones del PIB por enfoque del gasto presentan tasas de crecimiento positivas para las principales actividades, aunque menores a las reportadas el año anterior. Para el gasto de consumo final de los hogares y de las instituciones privadas sin fines de lucro se espera un crecimiento interanual de 3.6%, debido a las remesas familiares, las condiciones crediticias y que la inflación disminuya en el presente año. Para el gasto de consumo del gobierno general se proyecta una tasa de 2.8% por una mayor ejecución de remuneraciones y debe bienes y servicios. </w:t>
      </w:r>
    </w:p>
    <w:p w14:paraId="2AC2FB02" w14:textId="77777777" w:rsidR="00962D40" w:rsidRPr="00962D40" w:rsidRDefault="00962D40" w:rsidP="00962D40">
      <w:pPr>
        <w:jc w:val="both"/>
      </w:pPr>
    </w:p>
    <w:p w14:paraId="15244250" w14:textId="77777777" w:rsidR="00962D40" w:rsidRPr="00962D40" w:rsidRDefault="00962D40" w:rsidP="00962D40">
      <w:pPr>
        <w:jc w:val="both"/>
      </w:pPr>
      <w:r w:rsidRPr="00962D40">
        <w:t>Por su parte, para la formación bruta de capital fijo se esperan tasas de crecimiento de 4.5% por el aumento de la inversión esperada de edificaciones para uso residencial y no residencial. Tanto las exportaciones de bienes y servicios como las importaciones de bienes y servicios, presentan tasas positivas de crecimiento con 3.7% y 3.3%, respectivamente, dado las perspectivas favorables del desempeño de los socios comerciales y de la demanda interna.</w:t>
      </w:r>
    </w:p>
    <w:p w14:paraId="25A2AB53" w14:textId="77777777" w:rsidR="00962D40" w:rsidRPr="00962D40" w:rsidRDefault="00962D40" w:rsidP="00962D40">
      <w:pPr>
        <w:jc w:val="both"/>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962D40" w:rsidRPr="00962D40" w14:paraId="32654BC9" w14:textId="77777777" w:rsidTr="00F75999">
        <w:trPr>
          <w:trHeight w:val="594"/>
        </w:trPr>
        <w:tc>
          <w:tcPr>
            <w:tcW w:w="9083" w:type="dxa"/>
          </w:tcPr>
          <w:p w14:paraId="6C934B3E" w14:textId="56E54740" w:rsidR="00962D40" w:rsidRPr="00962D40" w:rsidRDefault="00962D40" w:rsidP="00F75999">
            <w:pPr>
              <w:pStyle w:val="Descripcin"/>
              <w:spacing w:after="0"/>
              <w:jc w:val="center"/>
              <w:rPr>
                <w:b/>
                <w:bCs/>
                <w:i w:val="0"/>
                <w:iCs w:val="0"/>
                <w:color w:val="auto"/>
                <w:sz w:val="24"/>
                <w:szCs w:val="24"/>
                <w:lang w:val="es-GT"/>
              </w:rPr>
            </w:pPr>
            <w:bookmarkStart w:id="74" w:name="_Toc143870698"/>
            <w:r w:rsidRPr="00962D40">
              <w:rPr>
                <w:b/>
                <w:bCs/>
                <w:i w:val="0"/>
                <w:iCs w:val="0"/>
                <w:color w:val="auto"/>
                <w:sz w:val="24"/>
                <w:szCs w:val="24"/>
                <w:lang w:val="es-GT"/>
              </w:rPr>
              <w:t xml:space="preserve">Gráfico </w:t>
            </w:r>
            <w:r w:rsidRPr="00962D40">
              <w:rPr>
                <w:b/>
                <w:bCs/>
                <w:i w:val="0"/>
                <w:iCs w:val="0"/>
                <w:color w:val="auto"/>
                <w:sz w:val="24"/>
                <w:szCs w:val="24"/>
              </w:rPr>
              <w:fldChar w:fldCharType="begin"/>
            </w:r>
            <w:r w:rsidRPr="00962D40">
              <w:rPr>
                <w:b/>
                <w:bCs/>
                <w:i w:val="0"/>
                <w:iCs w:val="0"/>
                <w:color w:val="auto"/>
                <w:sz w:val="24"/>
                <w:szCs w:val="24"/>
                <w:lang w:val="es-GT"/>
              </w:rPr>
              <w:instrText xml:space="preserve"> SEQ Gráfico \* ARABIC </w:instrText>
            </w:r>
            <w:r w:rsidRPr="00962D40">
              <w:rPr>
                <w:b/>
                <w:bCs/>
                <w:i w:val="0"/>
                <w:iCs w:val="0"/>
                <w:color w:val="auto"/>
                <w:sz w:val="24"/>
                <w:szCs w:val="24"/>
              </w:rPr>
              <w:fldChar w:fldCharType="separate"/>
            </w:r>
            <w:r w:rsidR="006622B2">
              <w:rPr>
                <w:b/>
                <w:bCs/>
                <w:i w:val="0"/>
                <w:iCs w:val="0"/>
                <w:noProof/>
                <w:color w:val="auto"/>
                <w:sz w:val="24"/>
                <w:szCs w:val="24"/>
                <w:lang w:val="es-GT"/>
              </w:rPr>
              <w:t>31</w:t>
            </w:r>
            <w:r w:rsidRPr="00962D40">
              <w:rPr>
                <w:b/>
                <w:bCs/>
                <w:i w:val="0"/>
                <w:iCs w:val="0"/>
                <w:color w:val="auto"/>
                <w:sz w:val="24"/>
                <w:szCs w:val="24"/>
              </w:rPr>
              <w:fldChar w:fldCharType="end"/>
            </w:r>
            <w:r w:rsidRPr="00962D40">
              <w:rPr>
                <w:b/>
                <w:bCs/>
                <w:i w:val="0"/>
                <w:iCs w:val="0"/>
                <w:color w:val="auto"/>
                <w:sz w:val="24"/>
                <w:szCs w:val="24"/>
                <w:lang w:val="es-GT"/>
              </w:rPr>
              <w:t>.  Proyecciones del PIB por el enfoque del gasto</w:t>
            </w:r>
            <w:bookmarkEnd w:id="74"/>
          </w:p>
          <w:p w14:paraId="69BA7D49" w14:textId="77777777" w:rsidR="00962D40" w:rsidRPr="00962D40" w:rsidRDefault="00962D40" w:rsidP="00F75999">
            <w:pPr>
              <w:jc w:val="center"/>
              <w:rPr>
                <w:lang w:val="es-MX"/>
              </w:rPr>
            </w:pPr>
            <w:r w:rsidRPr="00962D40">
              <w:rPr>
                <w:lang w:val="es-MX"/>
              </w:rPr>
              <w:t>(Variaciones en porcentaje)</w:t>
            </w:r>
          </w:p>
        </w:tc>
      </w:tr>
      <w:tr w:rsidR="00962D40" w:rsidRPr="00962D40" w14:paraId="2983A477" w14:textId="77777777" w:rsidTr="00F75999">
        <w:tblPrEx>
          <w:tblCellMar>
            <w:left w:w="70" w:type="dxa"/>
            <w:right w:w="70" w:type="dxa"/>
          </w:tblCellMar>
        </w:tblPrEx>
        <w:trPr>
          <w:trHeight w:val="2527"/>
        </w:trPr>
        <w:tc>
          <w:tcPr>
            <w:tcW w:w="9083" w:type="dxa"/>
          </w:tcPr>
          <w:p w14:paraId="731937EE" w14:textId="38934E80" w:rsidR="00962D40" w:rsidRPr="00962D40" w:rsidRDefault="00962D40" w:rsidP="00F75999">
            <w:pPr>
              <w:jc w:val="center"/>
              <w:rPr>
                <w:lang w:val="es-MX"/>
              </w:rPr>
            </w:pPr>
            <w:r w:rsidRPr="00962D40">
              <w:rPr>
                <w:noProof/>
              </w:rPr>
              <w:drawing>
                <wp:inline distT="0" distB="0" distL="0" distR="0" wp14:anchorId="2BB994C3" wp14:editId="7AFF8B63">
                  <wp:extent cx="4735830" cy="1597025"/>
                  <wp:effectExtent l="0" t="0" r="7620" b="3175"/>
                  <wp:docPr id="248" name="Gráfico 2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r>
      <w:tr w:rsidR="00962D40" w:rsidRPr="00962D40" w14:paraId="26F262F9" w14:textId="77777777" w:rsidTr="00F75999">
        <w:tblPrEx>
          <w:tblCellMar>
            <w:left w:w="70" w:type="dxa"/>
            <w:right w:w="70" w:type="dxa"/>
          </w:tblCellMar>
        </w:tblPrEx>
        <w:trPr>
          <w:trHeight w:val="244"/>
        </w:trPr>
        <w:tc>
          <w:tcPr>
            <w:tcW w:w="9083" w:type="dxa"/>
          </w:tcPr>
          <w:p w14:paraId="3A493E93" w14:textId="77777777" w:rsidR="00962D40" w:rsidRPr="00962D40" w:rsidRDefault="00962D40" w:rsidP="00F75999">
            <w:pPr>
              <w:jc w:val="both"/>
              <w:rPr>
                <w:noProof/>
              </w:rPr>
            </w:pPr>
            <w:r w:rsidRPr="00962D40">
              <w:rPr>
                <w:noProof/>
                <w:sz w:val="18"/>
                <w:szCs w:val="18"/>
              </w:rPr>
              <w:t xml:space="preserve">                 Fuente: Banco de Guatemala.</w:t>
            </w:r>
          </w:p>
        </w:tc>
      </w:tr>
    </w:tbl>
    <w:p w14:paraId="3BCBAE91" w14:textId="77777777" w:rsidR="00962D40" w:rsidRPr="00962D40" w:rsidRDefault="00962D40" w:rsidP="00962D40">
      <w:pPr>
        <w:jc w:val="both"/>
      </w:pPr>
    </w:p>
    <w:p w14:paraId="0FF4CECA" w14:textId="77777777" w:rsidR="00962D40" w:rsidRPr="00962D40" w:rsidRDefault="00962D40" w:rsidP="00962D40">
      <w:pPr>
        <w:jc w:val="both"/>
      </w:pPr>
      <w:r w:rsidRPr="00962D40">
        <w:t>Con respecto de la participación estructural, las proyecciones del PIB por enfoque de la producción, presentan, en primer lugar, al comercio y reparación de vehículos con un peso relativo de 21.1% y una estimación de crecimiento del 3.2%, dadas las mejores expectativas de comercialización de bienes. En segundo lugar, se encuentran las industrias manufactureras con participación del 14.0% y con un incremento del 2.9%, por una mayor demanda de metales comunes, aceites y grasas de origen vegetal y animal, otros productos alimenticios y bebidas no alcohólicas, entre otros.</w:t>
      </w:r>
    </w:p>
    <w:p w14:paraId="3DADD441" w14:textId="77777777" w:rsidR="00962D40" w:rsidRPr="00962D40" w:rsidRDefault="00962D40" w:rsidP="00962D40">
      <w:pPr>
        <w:jc w:val="both"/>
      </w:pPr>
    </w:p>
    <w:p w14:paraId="3AF62BBD" w14:textId="1A073366" w:rsidR="00962D40" w:rsidRPr="00962D40" w:rsidRDefault="00962D40" w:rsidP="00962D40">
      <w:pPr>
        <w:jc w:val="both"/>
      </w:pPr>
      <w:r w:rsidRPr="00962D40">
        <w:t>Por su parte, agricultura, ganadería, silvicultura y pesca con un peso relativo de 9.2% en el PIB, se proyecta un crecimiento del 2.2%, como resultado de un aumento en la producción de hortalizas, melones, bananos y café. Debido a la evolución prevista en la construcción de edificios antes indicados y el incremento en la construcción de obra civil privada se prevé que el crecimiento estimado de las actividades de construcción sea del 5.7% y que las actividades inmobiliarias, con peso relativo del 8.0% en el PIB, aumenten un 7.7%, como consecuencia en el incremento estimado de alquileres y viviendas construidas, entre otras actividades.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8"/>
      </w:tblGrid>
      <w:tr w:rsidR="00962D40" w:rsidRPr="00962D40" w14:paraId="6D78D7F0" w14:textId="77777777" w:rsidTr="00F75999">
        <w:tc>
          <w:tcPr>
            <w:tcW w:w="8828" w:type="dxa"/>
          </w:tcPr>
          <w:p w14:paraId="10F8B480" w14:textId="112DA364" w:rsidR="00962D40" w:rsidRPr="00962D40" w:rsidRDefault="00962D40" w:rsidP="00F75999">
            <w:pPr>
              <w:pStyle w:val="Descripcin"/>
              <w:keepNext/>
              <w:spacing w:after="0"/>
              <w:jc w:val="center"/>
              <w:rPr>
                <w:b/>
                <w:bCs/>
                <w:i w:val="0"/>
                <w:iCs w:val="0"/>
                <w:color w:val="auto"/>
                <w:sz w:val="24"/>
                <w:szCs w:val="24"/>
                <w:lang w:val="es-GT"/>
              </w:rPr>
            </w:pPr>
            <w:bookmarkStart w:id="75" w:name="_Toc143871212"/>
            <w:r w:rsidRPr="00962D40">
              <w:rPr>
                <w:b/>
                <w:bCs/>
                <w:i w:val="0"/>
                <w:iCs w:val="0"/>
                <w:color w:val="auto"/>
                <w:sz w:val="24"/>
                <w:szCs w:val="24"/>
                <w:lang w:val="es-GT"/>
              </w:rPr>
              <w:t xml:space="preserve">Tabla </w:t>
            </w:r>
            <w:r w:rsidRPr="00962D40">
              <w:rPr>
                <w:b/>
                <w:bCs/>
                <w:i w:val="0"/>
                <w:iCs w:val="0"/>
                <w:color w:val="auto"/>
                <w:sz w:val="24"/>
                <w:szCs w:val="24"/>
              </w:rPr>
              <w:fldChar w:fldCharType="begin"/>
            </w:r>
            <w:r w:rsidRPr="00962D40">
              <w:rPr>
                <w:b/>
                <w:bCs/>
                <w:i w:val="0"/>
                <w:iCs w:val="0"/>
                <w:color w:val="auto"/>
                <w:sz w:val="24"/>
                <w:szCs w:val="24"/>
                <w:lang w:val="es-GT"/>
              </w:rPr>
              <w:instrText xml:space="preserve"> SEQ Tabla \* ARABIC </w:instrText>
            </w:r>
            <w:r w:rsidRPr="00962D40">
              <w:rPr>
                <w:b/>
                <w:bCs/>
                <w:i w:val="0"/>
                <w:iCs w:val="0"/>
                <w:color w:val="auto"/>
                <w:sz w:val="24"/>
                <w:szCs w:val="24"/>
              </w:rPr>
              <w:fldChar w:fldCharType="separate"/>
            </w:r>
            <w:r w:rsidR="006622B2">
              <w:rPr>
                <w:b/>
                <w:bCs/>
                <w:i w:val="0"/>
                <w:iCs w:val="0"/>
                <w:noProof/>
                <w:color w:val="auto"/>
                <w:sz w:val="24"/>
                <w:szCs w:val="24"/>
                <w:lang w:val="es-GT"/>
              </w:rPr>
              <w:t>5</w:t>
            </w:r>
            <w:r w:rsidRPr="00962D40">
              <w:rPr>
                <w:b/>
                <w:bCs/>
                <w:i w:val="0"/>
                <w:iCs w:val="0"/>
                <w:color w:val="auto"/>
                <w:sz w:val="24"/>
                <w:szCs w:val="24"/>
              </w:rPr>
              <w:fldChar w:fldCharType="end"/>
            </w:r>
            <w:r w:rsidRPr="00962D40">
              <w:rPr>
                <w:b/>
                <w:bCs/>
                <w:i w:val="0"/>
                <w:iCs w:val="0"/>
                <w:color w:val="auto"/>
                <w:sz w:val="24"/>
                <w:szCs w:val="24"/>
                <w:lang w:val="es-GT"/>
              </w:rPr>
              <w:t>.  Proyecciones del PIB por el enfoque de la producción en 2022</w:t>
            </w:r>
            <w:bookmarkEnd w:id="75"/>
          </w:p>
          <w:p w14:paraId="303146E0" w14:textId="77777777" w:rsidR="00962D40" w:rsidRPr="00962D40" w:rsidRDefault="00962D40" w:rsidP="00F75999">
            <w:pPr>
              <w:jc w:val="center"/>
              <w:rPr>
                <w:lang w:val="es-MX"/>
              </w:rPr>
            </w:pPr>
            <w:r w:rsidRPr="00962D40">
              <w:rPr>
                <w:sz w:val="20"/>
                <w:szCs w:val="20"/>
                <w:lang w:val="es-MX"/>
              </w:rPr>
              <w:t>(Variaciones en porcentaje)</w:t>
            </w:r>
          </w:p>
        </w:tc>
      </w:tr>
      <w:tr w:rsidR="00962D40" w:rsidRPr="00962D40" w14:paraId="5270ABFE" w14:textId="77777777" w:rsidTr="00F75999">
        <w:tblPrEx>
          <w:tblCellMar>
            <w:left w:w="70" w:type="dxa"/>
            <w:right w:w="70" w:type="dxa"/>
          </w:tblCellMar>
        </w:tblPrEx>
        <w:tc>
          <w:tcPr>
            <w:tcW w:w="8828" w:type="dxa"/>
          </w:tcPr>
          <w:p w14:paraId="500106DA" w14:textId="203E3E1B" w:rsidR="00962D40" w:rsidRPr="00962D40" w:rsidRDefault="00962D40" w:rsidP="00F75999">
            <w:pPr>
              <w:jc w:val="center"/>
              <w:rPr>
                <w:lang w:val="es-MX"/>
              </w:rPr>
            </w:pPr>
            <w:r w:rsidRPr="00962D40">
              <w:rPr>
                <w:noProof/>
              </w:rPr>
              <w:drawing>
                <wp:inline distT="0" distB="0" distL="0" distR="0" wp14:anchorId="098CBACF" wp14:editId="237024BD">
                  <wp:extent cx="2654300" cy="2504440"/>
                  <wp:effectExtent l="0" t="0" r="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54300" cy="2504440"/>
                          </a:xfrm>
                          <a:prstGeom prst="rect">
                            <a:avLst/>
                          </a:prstGeom>
                          <a:noFill/>
                          <a:ln>
                            <a:noFill/>
                          </a:ln>
                        </pic:spPr>
                      </pic:pic>
                    </a:graphicData>
                  </a:graphic>
                </wp:inline>
              </w:drawing>
            </w:r>
          </w:p>
        </w:tc>
      </w:tr>
      <w:tr w:rsidR="00962D40" w:rsidRPr="00962D40" w14:paraId="075AE239" w14:textId="77777777" w:rsidTr="00F75999">
        <w:tblPrEx>
          <w:tblCellMar>
            <w:left w:w="70" w:type="dxa"/>
            <w:right w:w="70" w:type="dxa"/>
          </w:tblCellMar>
        </w:tblPrEx>
        <w:tc>
          <w:tcPr>
            <w:tcW w:w="8828" w:type="dxa"/>
          </w:tcPr>
          <w:p w14:paraId="4782FE19" w14:textId="77777777" w:rsidR="00962D40" w:rsidRPr="00962D40" w:rsidRDefault="00962D40" w:rsidP="00F75999">
            <w:pPr>
              <w:jc w:val="both"/>
              <w:rPr>
                <w:noProof/>
              </w:rPr>
            </w:pPr>
            <w:r w:rsidRPr="00962D40">
              <w:rPr>
                <w:noProof/>
                <w:sz w:val="18"/>
                <w:szCs w:val="18"/>
              </w:rPr>
              <w:t xml:space="preserve">                                                        Fuente: Banco de Guatemala</w:t>
            </w:r>
          </w:p>
        </w:tc>
      </w:tr>
    </w:tbl>
    <w:p w14:paraId="6D1DDABE" w14:textId="77777777" w:rsidR="009A47AF" w:rsidRDefault="009A47AF" w:rsidP="00962D40">
      <w:pPr>
        <w:jc w:val="both"/>
      </w:pPr>
    </w:p>
    <w:p w14:paraId="44A54FB7" w14:textId="214B9EF5" w:rsidR="00962D40" w:rsidRPr="00962D40" w:rsidRDefault="00962D40" w:rsidP="00962D40">
      <w:pPr>
        <w:jc w:val="both"/>
      </w:pPr>
      <w:r w:rsidRPr="00962D40">
        <w:t>Se espera que el PIB nominal tenga un crecimiento entre 7.2% y 9.2% para 2023, dado que la tasa de variación del deflactor del PIB estará alrededor de 4.5%. De sus principales componentes se espera que el crecimiento del deflactor del consumo privado disminuya dado que el Banco de Guatemala prevé que el índice de precios al consumidor se encontrará en el límite superior de la meta. Asimismo, se espera que los deflactores de las importaciones y exportaciones aumenten levemente para 2023 y su crecimiento se ubique en 4.1% y 2.6%, respectivamente.</w:t>
      </w:r>
    </w:p>
    <w:p w14:paraId="14F0035D" w14:textId="77777777" w:rsidR="00962D40" w:rsidRPr="00962D40" w:rsidRDefault="00962D40" w:rsidP="00962D40">
      <w:pPr>
        <w:jc w:val="both"/>
      </w:pPr>
    </w:p>
    <w:p w14:paraId="56BDBF21" w14:textId="77777777" w:rsidR="00962D40" w:rsidRPr="00962D40" w:rsidRDefault="00962D40" w:rsidP="00321A34">
      <w:pPr>
        <w:pStyle w:val="Ttulo3"/>
        <w:numPr>
          <w:ilvl w:val="2"/>
          <w:numId w:val="48"/>
        </w:numPr>
        <w:tabs>
          <w:tab w:val="left" w:pos="1134"/>
        </w:tabs>
        <w:spacing w:before="0"/>
        <w:rPr>
          <w:rFonts w:ascii="Times New Roman" w:hAnsi="Times New Roman"/>
          <w:b/>
          <w:bCs/>
          <w:color w:val="auto"/>
        </w:rPr>
      </w:pPr>
      <w:bookmarkStart w:id="76" w:name="_Toc143865804"/>
      <w:r w:rsidRPr="0025774B">
        <w:rPr>
          <w:rFonts w:ascii="Times New Roman" w:hAnsi="Times New Roman" w:cs="Times New Roman"/>
          <w:b/>
          <w:bCs/>
          <w:color w:val="auto"/>
          <w:lang w:val="es-MX"/>
        </w:rPr>
        <w:t>Inflación</w:t>
      </w:r>
      <w:bookmarkEnd w:id="76"/>
    </w:p>
    <w:p w14:paraId="485A459B" w14:textId="77777777" w:rsidR="00962D40" w:rsidRPr="00962D40" w:rsidRDefault="00962D40" w:rsidP="00962D40">
      <w:pPr>
        <w:jc w:val="both"/>
      </w:pPr>
    </w:p>
    <w:p w14:paraId="4A2D255F" w14:textId="77777777" w:rsidR="00962D40" w:rsidRPr="00962D40" w:rsidRDefault="00962D40" w:rsidP="00962D40">
      <w:pPr>
        <w:jc w:val="both"/>
      </w:pPr>
      <w:r w:rsidRPr="00962D40">
        <w:t>Para junio de 2023, el ritmo inflacionario se situó en 4.9%, por debajo del margen de tolerancia de la meta de inflación. Se puede observar que, para esa misma fecha, el ritmo inflacionario fue afectado por las tasas de variaciones interanuales de los alimentos y bebidas no alcohólicas (8.0%); restaurantes y hoteles (8.3%); bebidas alcohólicas y tabaco (5.3%); muebles (4.6%); y, bienes y servicios diversos (5.2%).</w:t>
      </w:r>
    </w:p>
    <w:p w14:paraId="40FF9417" w14:textId="77777777" w:rsidR="00962D40" w:rsidRPr="00962D40" w:rsidRDefault="00962D40" w:rsidP="00962D40">
      <w:pPr>
        <w:jc w:val="both"/>
      </w:pPr>
    </w:p>
    <w:p w14:paraId="27E10362" w14:textId="77777777" w:rsidR="00962D40" w:rsidRPr="00962D40" w:rsidRDefault="00962D40" w:rsidP="00962D40">
      <w:pPr>
        <w:jc w:val="both"/>
      </w:pPr>
      <w:r w:rsidRPr="00962D40">
        <w:t>Las alzas de gastos asociados a materias primas de energía (transporte y vivienda) son afectados por el aumento en los precios internacionales del petróleo que desde el 2020 han tenido un comportamiento volátil, pero se espera que en el transcurso del año se estabilice. Asimismo, los pronósticos y las expectativas de inflación prevén que la inflación converja a 5.0%, como resultado del efecto de la política monetaria restrictiva sobre la demanda agregada. Sin embargo, existen riesgos asociados a la incertidumbre a nivel externo y a las presiones inflacionarias de los principales socios comerciales del país que podría afectar la inflación nacional por un efecto de transmisión del precio de las importaciones y a la volatilidad internacional de las materias prima de energía y agricultura.</w:t>
      </w:r>
    </w:p>
    <w:p w14:paraId="7E4B95F2" w14:textId="77777777" w:rsidR="00962D40" w:rsidRPr="00962D40" w:rsidRDefault="00962D40" w:rsidP="00962D40">
      <w:pPr>
        <w:jc w:val="both"/>
      </w:pPr>
    </w:p>
    <w:tbl>
      <w:tblPr>
        <w:tblStyle w:val="Tablaconcuadrcula"/>
        <w:tblW w:w="95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3"/>
        <w:gridCol w:w="4793"/>
      </w:tblGrid>
      <w:tr w:rsidR="00962D40" w:rsidRPr="00962D40" w14:paraId="7FB242DC" w14:textId="77777777" w:rsidTr="002F1295">
        <w:trPr>
          <w:trHeight w:val="373"/>
        </w:trPr>
        <w:tc>
          <w:tcPr>
            <w:tcW w:w="4793" w:type="dxa"/>
          </w:tcPr>
          <w:p w14:paraId="34C472D4" w14:textId="7F37273A" w:rsidR="00962D40" w:rsidRPr="00962D40" w:rsidRDefault="00962D40" w:rsidP="00F75999">
            <w:pPr>
              <w:keepNext/>
              <w:jc w:val="center"/>
              <w:rPr>
                <w:b/>
                <w:bCs/>
              </w:rPr>
            </w:pPr>
            <w:bookmarkStart w:id="77" w:name="_Toc143870699"/>
            <w:r w:rsidRPr="00962D40">
              <w:rPr>
                <w:b/>
                <w:bCs/>
              </w:rPr>
              <w:t xml:space="preserve">Gráfico </w:t>
            </w:r>
            <w:r w:rsidRPr="00962D40">
              <w:rPr>
                <w:b/>
                <w:bCs/>
              </w:rPr>
              <w:fldChar w:fldCharType="begin"/>
            </w:r>
            <w:r w:rsidRPr="00962D40">
              <w:rPr>
                <w:b/>
                <w:bCs/>
              </w:rPr>
              <w:instrText xml:space="preserve"> SEQ Gráfico \* ARABIC </w:instrText>
            </w:r>
            <w:r w:rsidRPr="00962D40">
              <w:rPr>
                <w:b/>
                <w:bCs/>
              </w:rPr>
              <w:fldChar w:fldCharType="separate"/>
            </w:r>
            <w:r w:rsidR="006622B2">
              <w:rPr>
                <w:b/>
                <w:bCs/>
                <w:noProof/>
              </w:rPr>
              <w:t>32</w:t>
            </w:r>
            <w:r w:rsidRPr="00962D40">
              <w:rPr>
                <w:b/>
                <w:bCs/>
              </w:rPr>
              <w:fldChar w:fldCharType="end"/>
            </w:r>
            <w:r w:rsidRPr="00962D40">
              <w:rPr>
                <w:b/>
                <w:bCs/>
              </w:rPr>
              <w:t>.  Inflación</w:t>
            </w:r>
            <w:bookmarkEnd w:id="77"/>
          </w:p>
          <w:p w14:paraId="6F760A0D" w14:textId="77777777" w:rsidR="00962D40" w:rsidRPr="00962D40" w:rsidRDefault="00962D40" w:rsidP="00F75999">
            <w:pPr>
              <w:keepNext/>
              <w:jc w:val="center"/>
            </w:pPr>
            <w:r w:rsidRPr="00962D40">
              <w:rPr>
                <w:sz w:val="22"/>
                <w:szCs w:val="22"/>
              </w:rPr>
              <w:t>(En porcentaje)</w:t>
            </w:r>
          </w:p>
        </w:tc>
        <w:tc>
          <w:tcPr>
            <w:tcW w:w="4793" w:type="dxa"/>
          </w:tcPr>
          <w:p w14:paraId="1E6C892A" w14:textId="6D64804B" w:rsidR="00962D40" w:rsidRPr="00962D40" w:rsidRDefault="00962D40" w:rsidP="004423B7">
            <w:pPr>
              <w:pStyle w:val="Descripcin"/>
              <w:spacing w:after="0"/>
              <w:ind w:right="409"/>
              <w:jc w:val="center"/>
              <w:rPr>
                <w:b/>
                <w:bCs/>
                <w:i w:val="0"/>
                <w:iCs w:val="0"/>
                <w:color w:val="auto"/>
                <w:sz w:val="24"/>
                <w:szCs w:val="24"/>
                <w:lang w:val="es-GT"/>
              </w:rPr>
            </w:pPr>
            <w:bookmarkStart w:id="78" w:name="_Toc143870700"/>
            <w:r w:rsidRPr="00962D40">
              <w:rPr>
                <w:b/>
                <w:bCs/>
                <w:i w:val="0"/>
                <w:iCs w:val="0"/>
                <w:color w:val="auto"/>
                <w:sz w:val="24"/>
                <w:szCs w:val="24"/>
                <w:lang w:val="es-GT"/>
              </w:rPr>
              <w:t xml:space="preserve">Gráfico </w:t>
            </w:r>
            <w:r w:rsidRPr="00962D40">
              <w:rPr>
                <w:b/>
                <w:bCs/>
                <w:i w:val="0"/>
                <w:iCs w:val="0"/>
                <w:color w:val="auto"/>
                <w:sz w:val="24"/>
                <w:szCs w:val="24"/>
              </w:rPr>
              <w:fldChar w:fldCharType="begin"/>
            </w:r>
            <w:r w:rsidRPr="00962D40">
              <w:rPr>
                <w:b/>
                <w:bCs/>
                <w:i w:val="0"/>
                <w:iCs w:val="0"/>
                <w:color w:val="auto"/>
                <w:sz w:val="24"/>
                <w:szCs w:val="24"/>
                <w:lang w:val="es-GT"/>
              </w:rPr>
              <w:instrText xml:space="preserve"> SEQ Gráfico \* ARABIC </w:instrText>
            </w:r>
            <w:r w:rsidRPr="00962D40">
              <w:rPr>
                <w:b/>
                <w:bCs/>
                <w:i w:val="0"/>
                <w:iCs w:val="0"/>
                <w:color w:val="auto"/>
                <w:sz w:val="24"/>
                <w:szCs w:val="24"/>
              </w:rPr>
              <w:fldChar w:fldCharType="separate"/>
            </w:r>
            <w:r w:rsidR="006622B2">
              <w:rPr>
                <w:b/>
                <w:bCs/>
                <w:i w:val="0"/>
                <w:iCs w:val="0"/>
                <w:noProof/>
                <w:color w:val="auto"/>
                <w:sz w:val="24"/>
                <w:szCs w:val="24"/>
                <w:lang w:val="es-GT"/>
              </w:rPr>
              <w:t>33</w:t>
            </w:r>
            <w:r w:rsidRPr="00962D40">
              <w:rPr>
                <w:b/>
                <w:bCs/>
                <w:i w:val="0"/>
                <w:iCs w:val="0"/>
                <w:color w:val="auto"/>
                <w:sz w:val="24"/>
                <w:szCs w:val="24"/>
              </w:rPr>
              <w:fldChar w:fldCharType="end"/>
            </w:r>
            <w:r w:rsidRPr="00962D40">
              <w:rPr>
                <w:b/>
                <w:bCs/>
                <w:i w:val="0"/>
                <w:iCs w:val="0"/>
                <w:color w:val="auto"/>
                <w:sz w:val="24"/>
                <w:szCs w:val="24"/>
                <w:lang w:val="es-GT"/>
              </w:rPr>
              <w:t>.  Inflación por división del gasto</w:t>
            </w:r>
            <w:bookmarkEnd w:id="78"/>
          </w:p>
          <w:p w14:paraId="44D6CE39" w14:textId="77777777" w:rsidR="00962D40" w:rsidRPr="00962D40" w:rsidRDefault="00962D40" w:rsidP="00F75999">
            <w:pPr>
              <w:jc w:val="center"/>
            </w:pPr>
            <w:r w:rsidRPr="00962D40">
              <w:rPr>
                <w:sz w:val="22"/>
                <w:szCs w:val="22"/>
              </w:rPr>
              <w:t>(En porcentaje)</w:t>
            </w:r>
          </w:p>
        </w:tc>
      </w:tr>
      <w:tr w:rsidR="00962D40" w:rsidRPr="00962D40" w14:paraId="51E366C9" w14:textId="77777777" w:rsidTr="002F1295">
        <w:tblPrEx>
          <w:tblCellMar>
            <w:left w:w="70" w:type="dxa"/>
            <w:right w:w="70" w:type="dxa"/>
          </w:tblCellMar>
        </w:tblPrEx>
        <w:trPr>
          <w:trHeight w:val="2384"/>
        </w:trPr>
        <w:tc>
          <w:tcPr>
            <w:tcW w:w="4793" w:type="dxa"/>
          </w:tcPr>
          <w:p w14:paraId="74BBF02C" w14:textId="4BF89FAD" w:rsidR="00962D40" w:rsidRPr="00962D40" w:rsidRDefault="00962D40" w:rsidP="00F75999">
            <w:pPr>
              <w:jc w:val="both"/>
              <w:rPr>
                <w:lang w:val="es-MX"/>
              </w:rPr>
            </w:pPr>
            <w:r w:rsidRPr="00962D40">
              <w:rPr>
                <w:noProof/>
              </w:rPr>
              <w:drawing>
                <wp:inline distT="0" distB="0" distL="0" distR="0" wp14:anchorId="76E752FD" wp14:editId="2A1CAD3A">
                  <wp:extent cx="2879725" cy="2160000"/>
                  <wp:effectExtent l="0" t="0" r="0" b="0"/>
                  <wp:docPr id="244" name="Gráfico 2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c>
          <w:tcPr>
            <w:tcW w:w="4793" w:type="dxa"/>
          </w:tcPr>
          <w:p w14:paraId="68F9CABB" w14:textId="1928F5C0" w:rsidR="00962D40" w:rsidRPr="00962D40" w:rsidRDefault="00962D40" w:rsidP="00F75999">
            <w:pPr>
              <w:rPr>
                <w:lang w:val="es-MX"/>
              </w:rPr>
            </w:pPr>
            <w:r w:rsidRPr="00962D40">
              <w:rPr>
                <w:noProof/>
              </w:rPr>
              <w:drawing>
                <wp:inline distT="0" distB="0" distL="0" distR="0" wp14:anchorId="2367B22B" wp14:editId="4C851FAA">
                  <wp:extent cx="2879725" cy="2160000"/>
                  <wp:effectExtent l="0" t="0" r="0" b="0"/>
                  <wp:docPr id="243" name="Gráfico 2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c>
      </w:tr>
      <w:tr w:rsidR="00962D40" w:rsidRPr="00962D40" w14:paraId="256CB553" w14:textId="77777777" w:rsidTr="002F1295">
        <w:tblPrEx>
          <w:tblCellMar>
            <w:left w:w="70" w:type="dxa"/>
            <w:right w:w="70" w:type="dxa"/>
          </w:tblCellMar>
        </w:tblPrEx>
        <w:trPr>
          <w:trHeight w:val="48"/>
        </w:trPr>
        <w:tc>
          <w:tcPr>
            <w:tcW w:w="9586" w:type="dxa"/>
            <w:gridSpan w:val="2"/>
          </w:tcPr>
          <w:p w14:paraId="1BEB1AB8" w14:textId="77777777" w:rsidR="00962D40" w:rsidRPr="00962D40" w:rsidRDefault="00962D40" w:rsidP="00F75999">
            <w:pPr>
              <w:jc w:val="both"/>
              <w:rPr>
                <w:noProof/>
                <w:lang w:val="es-GT"/>
              </w:rPr>
            </w:pPr>
            <w:r w:rsidRPr="00962D40">
              <w:rPr>
                <w:noProof/>
                <w:sz w:val="18"/>
                <w:szCs w:val="18"/>
                <w:lang w:val="es-GT"/>
              </w:rPr>
              <w:t xml:space="preserve">      Fuente: Banco de Guatemala e INE</w:t>
            </w:r>
          </w:p>
        </w:tc>
      </w:tr>
    </w:tbl>
    <w:p w14:paraId="5674F8A2" w14:textId="77777777" w:rsidR="00962D40" w:rsidRPr="00962D40" w:rsidRDefault="00962D40" w:rsidP="00962D40">
      <w:pPr>
        <w:jc w:val="both"/>
      </w:pPr>
    </w:p>
    <w:p w14:paraId="607343A1" w14:textId="77777777" w:rsidR="00962D40" w:rsidRPr="0025774B" w:rsidRDefault="00962D40" w:rsidP="00321A34">
      <w:pPr>
        <w:pStyle w:val="Ttulo3"/>
        <w:numPr>
          <w:ilvl w:val="1"/>
          <w:numId w:val="48"/>
        </w:numPr>
        <w:tabs>
          <w:tab w:val="left" w:pos="1134"/>
        </w:tabs>
        <w:spacing w:before="0"/>
        <w:rPr>
          <w:rFonts w:ascii="Times New Roman" w:hAnsi="Times New Roman" w:cs="Times New Roman"/>
          <w:b/>
          <w:bCs/>
          <w:color w:val="auto"/>
          <w:lang w:val="es-MX"/>
        </w:rPr>
      </w:pPr>
      <w:bookmarkStart w:id="79" w:name="_Toc143865805"/>
      <w:r w:rsidRPr="0025774B">
        <w:rPr>
          <w:rFonts w:ascii="Times New Roman" w:hAnsi="Times New Roman" w:cs="Times New Roman"/>
          <w:b/>
          <w:bCs/>
          <w:color w:val="auto"/>
          <w:lang w:val="es-MX"/>
        </w:rPr>
        <w:t>Sector monetario</w:t>
      </w:r>
      <w:bookmarkEnd w:id="79"/>
    </w:p>
    <w:p w14:paraId="40F65D17" w14:textId="77777777" w:rsidR="00962D40" w:rsidRPr="00962D40" w:rsidRDefault="00962D40" w:rsidP="00962D40">
      <w:pPr>
        <w:jc w:val="both"/>
      </w:pPr>
    </w:p>
    <w:p w14:paraId="465E20E2" w14:textId="77777777" w:rsidR="00962D40" w:rsidRPr="00962D40" w:rsidRDefault="00962D40" w:rsidP="00962D40">
      <w:pPr>
        <w:jc w:val="both"/>
      </w:pPr>
      <w:r w:rsidRPr="00962D40">
        <w:t>Los agregados monetarios reflejan un comportamiento adecuado a lo observado en la actividad económica, a pesar, de la incertidumbre alrededor del desempeño económico mundial y la volatilidad observada en el precio del crudo y otras materias primas, que han presionado al alza tanto la inflación importada como la nacional. El crédito al sector privado muestra un comportamiento dinámico, no observándose aún una ralentización derivada de una disminución en el crédito de consumo y de inversión por los agentes económicos dado el alza de las tasas de interés.</w:t>
      </w:r>
    </w:p>
    <w:p w14:paraId="24205CAA" w14:textId="77777777" w:rsidR="00962D40" w:rsidRPr="00962D40" w:rsidRDefault="00962D40" w:rsidP="00962D40">
      <w:pPr>
        <w:jc w:val="both"/>
      </w:pPr>
    </w:p>
    <w:p w14:paraId="088FA214" w14:textId="77777777" w:rsidR="00962D40" w:rsidRPr="00962D40" w:rsidRDefault="00962D40" w:rsidP="00962D40">
      <w:pPr>
        <w:jc w:val="both"/>
      </w:pPr>
      <w:r w:rsidRPr="00962D40">
        <w:t>En el 2023 la emisión monetaria muestra a junio un crecimiento interanual de 13.7%, menor al presentado en 2022 de 14.5%, dicha variable evoluciona conforme a lo previsto, dentro de los niveles aceptados para este periodo.  Al analizar el desempeño de la emisión monetaria en su componente de numerario en circulación, tuvo un crecimiento de 13.5%, menor al 14.0% registrado en el año anterior.</w:t>
      </w:r>
    </w:p>
    <w:p w14:paraId="09499536" w14:textId="77777777" w:rsidR="00962D40" w:rsidRPr="00962D40" w:rsidRDefault="00962D40" w:rsidP="00962D40">
      <w:pPr>
        <w:jc w:val="both"/>
      </w:pPr>
    </w:p>
    <w:p w14:paraId="66EDF814" w14:textId="77777777" w:rsidR="00962D40" w:rsidRPr="00962D40" w:rsidRDefault="00962D40" w:rsidP="00962D40">
      <w:pPr>
        <w:jc w:val="both"/>
      </w:pPr>
      <w:r w:rsidRPr="00962D40">
        <w:t>El crédito bancario al sector privado que influye de forma directa en la producción y el consumo nacional, muestra a junio un crecimiento de 14.4%, menor en 1.7 puntos porcentuales respecto a lo registrado en el mismo período del 2022. Al desagregarlo por tipo de monedas, el crédito al sector privado en moneda nacional creció 21.2%, con una tendencia creciente y, el crédito moneda extranjera creció 0.3%, mostrando una desaceleración en su crecimiento desde finales del año anterior, debido principalmente por los créditos destinados al sector empresarial mayor.</w:t>
      </w:r>
    </w:p>
    <w:p w14:paraId="525311B3" w14:textId="292E5633" w:rsidR="00962D40" w:rsidRDefault="00962D40" w:rsidP="00962D40">
      <w:pPr>
        <w:jc w:val="both"/>
      </w:pPr>
    </w:p>
    <w:p w14:paraId="71ADAAFB" w14:textId="2E8551D3" w:rsidR="009A47AF" w:rsidRDefault="009A47AF" w:rsidP="00962D40">
      <w:pPr>
        <w:jc w:val="both"/>
      </w:pPr>
    </w:p>
    <w:p w14:paraId="4BA0E232" w14:textId="76126A22" w:rsidR="009A47AF" w:rsidRDefault="009A47AF" w:rsidP="00962D40">
      <w:pPr>
        <w:jc w:val="both"/>
      </w:pPr>
    </w:p>
    <w:p w14:paraId="3B7E8F9D" w14:textId="01585E38" w:rsidR="009A47AF" w:rsidRDefault="009A47AF" w:rsidP="00962D40">
      <w:pPr>
        <w:jc w:val="both"/>
      </w:pPr>
    </w:p>
    <w:p w14:paraId="36233833" w14:textId="002FDCAA" w:rsidR="009A47AF" w:rsidRDefault="009A47AF" w:rsidP="00962D40">
      <w:pPr>
        <w:jc w:val="both"/>
      </w:pPr>
    </w:p>
    <w:p w14:paraId="4731266C" w14:textId="5E69ECA1" w:rsidR="009A47AF" w:rsidRDefault="009A47AF" w:rsidP="00962D40">
      <w:pPr>
        <w:jc w:val="both"/>
      </w:pPr>
    </w:p>
    <w:p w14:paraId="20A7BF05" w14:textId="77777777" w:rsidR="00321A34" w:rsidRDefault="00321A34" w:rsidP="00962D40">
      <w:pPr>
        <w:jc w:val="both"/>
      </w:pPr>
    </w:p>
    <w:tbl>
      <w:tblPr>
        <w:tblStyle w:val="Tablaconcuadrcula"/>
        <w:tblW w:w="9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8"/>
      </w:tblGrid>
      <w:tr w:rsidR="00962D40" w:rsidRPr="00962D40" w14:paraId="56165154" w14:textId="77777777" w:rsidTr="0041675B">
        <w:trPr>
          <w:trHeight w:val="35"/>
        </w:trPr>
        <w:tc>
          <w:tcPr>
            <w:tcW w:w="4697" w:type="dxa"/>
          </w:tcPr>
          <w:p w14:paraId="57DAD239" w14:textId="2FDA5DF0" w:rsidR="00962D40" w:rsidRPr="00962D40" w:rsidRDefault="00962D40" w:rsidP="00F75999">
            <w:pPr>
              <w:pStyle w:val="Descripcin"/>
              <w:spacing w:after="0"/>
              <w:jc w:val="center"/>
              <w:rPr>
                <w:b/>
                <w:bCs/>
                <w:i w:val="0"/>
                <w:iCs w:val="0"/>
                <w:color w:val="auto"/>
                <w:sz w:val="24"/>
                <w:szCs w:val="24"/>
                <w:lang w:val="es-GT"/>
              </w:rPr>
            </w:pPr>
            <w:bookmarkStart w:id="80" w:name="_Toc143870701"/>
            <w:r w:rsidRPr="00962D40">
              <w:rPr>
                <w:b/>
                <w:bCs/>
                <w:i w:val="0"/>
                <w:iCs w:val="0"/>
                <w:color w:val="auto"/>
                <w:sz w:val="24"/>
                <w:szCs w:val="24"/>
                <w:lang w:val="es-GT"/>
              </w:rPr>
              <w:t xml:space="preserve">Gráfico </w:t>
            </w:r>
            <w:r w:rsidRPr="00962D40">
              <w:rPr>
                <w:b/>
                <w:bCs/>
                <w:i w:val="0"/>
                <w:iCs w:val="0"/>
                <w:color w:val="auto"/>
                <w:sz w:val="24"/>
                <w:szCs w:val="24"/>
              </w:rPr>
              <w:fldChar w:fldCharType="begin"/>
            </w:r>
            <w:r w:rsidRPr="00962D40">
              <w:rPr>
                <w:b/>
                <w:bCs/>
                <w:i w:val="0"/>
                <w:iCs w:val="0"/>
                <w:color w:val="auto"/>
                <w:sz w:val="24"/>
                <w:szCs w:val="24"/>
                <w:lang w:val="es-GT"/>
              </w:rPr>
              <w:instrText xml:space="preserve"> SEQ Gráfico \* ARABIC </w:instrText>
            </w:r>
            <w:r w:rsidRPr="00962D40">
              <w:rPr>
                <w:b/>
                <w:bCs/>
                <w:i w:val="0"/>
                <w:iCs w:val="0"/>
                <w:color w:val="auto"/>
                <w:sz w:val="24"/>
                <w:szCs w:val="24"/>
              </w:rPr>
              <w:fldChar w:fldCharType="separate"/>
            </w:r>
            <w:r w:rsidR="006622B2">
              <w:rPr>
                <w:b/>
                <w:bCs/>
                <w:i w:val="0"/>
                <w:iCs w:val="0"/>
                <w:noProof/>
                <w:color w:val="auto"/>
                <w:sz w:val="24"/>
                <w:szCs w:val="24"/>
                <w:lang w:val="es-GT"/>
              </w:rPr>
              <w:t>34</w:t>
            </w:r>
            <w:r w:rsidRPr="00962D40">
              <w:rPr>
                <w:b/>
                <w:bCs/>
                <w:i w:val="0"/>
                <w:iCs w:val="0"/>
                <w:color w:val="auto"/>
                <w:sz w:val="24"/>
                <w:szCs w:val="24"/>
              </w:rPr>
              <w:fldChar w:fldCharType="end"/>
            </w:r>
            <w:r w:rsidRPr="00962D40">
              <w:rPr>
                <w:b/>
                <w:bCs/>
                <w:i w:val="0"/>
                <w:iCs w:val="0"/>
                <w:color w:val="auto"/>
                <w:sz w:val="24"/>
                <w:szCs w:val="24"/>
                <w:lang w:val="es-GT"/>
              </w:rPr>
              <w:t>.  Crecimiento de la emisión monetaria</w:t>
            </w:r>
            <w:bookmarkEnd w:id="80"/>
          </w:p>
        </w:tc>
        <w:tc>
          <w:tcPr>
            <w:tcW w:w="4698" w:type="dxa"/>
          </w:tcPr>
          <w:p w14:paraId="00BFB884" w14:textId="5863A24B" w:rsidR="00962D40" w:rsidRPr="00962D40" w:rsidRDefault="00962D40" w:rsidP="00F75999">
            <w:pPr>
              <w:pStyle w:val="Descripcin"/>
              <w:spacing w:after="0"/>
              <w:jc w:val="center"/>
              <w:rPr>
                <w:b/>
                <w:bCs/>
                <w:i w:val="0"/>
                <w:iCs w:val="0"/>
                <w:color w:val="auto"/>
                <w:sz w:val="24"/>
                <w:szCs w:val="24"/>
                <w:lang w:val="es-GT"/>
              </w:rPr>
            </w:pPr>
            <w:bookmarkStart w:id="81" w:name="_Toc143870702"/>
            <w:r w:rsidRPr="00962D40">
              <w:rPr>
                <w:b/>
                <w:bCs/>
                <w:i w:val="0"/>
                <w:iCs w:val="0"/>
                <w:color w:val="auto"/>
                <w:sz w:val="24"/>
                <w:szCs w:val="24"/>
                <w:lang w:val="es-GT"/>
              </w:rPr>
              <w:t xml:space="preserve">Gráfico </w:t>
            </w:r>
            <w:r w:rsidRPr="00962D40">
              <w:rPr>
                <w:b/>
                <w:bCs/>
                <w:i w:val="0"/>
                <w:iCs w:val="0"/>
                <w:color w:val="auto"/>
                <w:sz w:val="24"/>
                <w:szCs w:val="24"/>
              </w:rPr>
              <w:fldChar w:fldCharType="begin"/>
            </w:r>
            <w:r w:rsidRPr="00962D40">
              <w:rPr>
                <w:b/>
                <w:bCs/>
                <w:i w:val="0"/>
                <w:iCs w:val="0"/>
                <w:color w:val="auto"/>
                <w:sz w:val="24"/>
                <w:szCs w:val="24"/>
                <w:lang w:val="es-GT"/>
              </w:rPr>
              <w:instrText xml:space="preserve"> SEQ Gráfico \* ARABIC </w:instrText>
            </w:r>
            <w:r w:rsidRPr="00962D40">
              <w:rPr>
                <w:b/>
                <w:bCs/>
                <w:i w:val="0"/>
                <w:iCs w:val="0"/>
                <w:color w:val="auto"/>
                <w:sz w:val="24"/>
                <w:szCs w:val="24"/>
              </w:rPr>
              <w:fldChar w:fldCharType="separate"/>
            </w:r>
            <w:r w:rsidR="006622B2">
              <w:rPr>
                <w:b/>
                <w:bCs/>
                <w:i w:val="0"/>
                <w:iCs w:val="0"/>
                <w:noProof/>
                <w:color w:val="auto"/>
                <w:sz w:val="24"/>
                <w:szCs w:val="24"/>
                <w:lang w:val="es-GT"/>
              </w:rPr>
              <w:t>35</w:t>
            </w:r>
            <w:r w:rsidRPr="00962D40">
              <w:rPr>
                <w:b/>
                <w:bCs/>
                <w:i w:val="0"/>
                <w:iCs w:val="0"/>
                <w:color w:val="auto"/>
                <w:sz w:val="24"/>
                <w:szCs w:val="24"/>
              </w:rPr>
              <w:fldChar w:fldCharType="end"/>
            </w:r>
            <w:r w:rsidRPr="00962D40">
              <w:rPr>
                <w:b/>
                <w:bCs/>
                <w:i w:val="0"/>
                <w:iCs w:val="0"/>
                <w:color w:val="auto"/>
                <w:sz w:val="24"/>
                <w:szCs w:val="24"/>
                <w:lang w:val="es-GT"/>
              </w:rPr>
              <w:t>.  Crecimiento del crédito al sector privado</w:t>
            </w:r>
            <w:bookmarkEnd w:id="81"/>
          </w:p>
        </w:tc>
      </w:tr>
      <w:tr w:rsidR="00962D40" w:rsidRPr="00962D40" w14:paraId="06D3D34A" w14:textId="77777777" w:rsidTr="0041675B">
        <w:tblPrEx>
          <w:tblCellMar>
            <w:left w:w="70" w:type="dxa"/>
            <w:right w:w="70" w:type="dxa"/>
          </w:tblCellMar>
        </w:tblPrEx>
        <w:trPr>
          <w:trHeight w:val="409"/>
        </w:trPr>
        <w:tc>
          <w:tcPr>
            <w:tcW w:w="4697" w:type="dxa"/>
          </w:tcPr>
          <w:p w14:paraId="313AF842" w14:textId="44945002" w:rsidR="00962D40" w:rsidRPr="00962D40" w:rsidRDefault="00962D40" w:rsidP="00F75999">
            <w:pPr>
              <w:jc w:val="both"/>
              <w:rPr>
                <w:lang w:val="es-MX"/>
              </w:rPr>
            </w:pPr>
            <w:r w:rsidRPr="00962D40">
              <w:rPr>
                <w:noProof/>
              </w:rPr>
              <w:drawing>
                <wp:inline distT="0" distB="0" distL="0" distR="0" wp14:anchorId="5C2AD1A5" wp14:editId="331D1EAB">
                  <wp:extent cx="2879725" cy="1441095"/>
                  <wp:effectExtent l="0" t="0" r="0" b="6985"/>
                  <wp:docPr id="242" name="Gráfico 2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c>
          <w:tcPr>
            <w:tcW w:w="4698" w:type="dxa"/>
          </w:tcPr>
          <w:p w14:paraId="3E52BAC4" w14:textId="5BD33282" w:rsidR="00962D40" w:rsidRPr="00962D40" w:rsidRDefault="00962D40" w:rsidP="00F75999">
            <w:pPr>
              <w:rPr>
                <w:lang w:val="es-MX"/>
              </w:rPr>
            </w:pPr>
            <w:r w:rsidRPr="00962D40">
              <w:rPr>
                <w:noProof/>
              </w:rPr>
              <w:drawing>
                <wp:inline distT="0" distB="0" distL="0" distR="0" wp14:anchorId="71B97F5B" wp14:editId="48AE5BB9">
                  <wp:extent cx="2879725" cy="1440815"/>
                  <wp:effectExtent l="0" t="0" r="0" b="6985"/>
                  <wp:docPr id="241" name="Gráfico 2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r>
      <w:tr w:rsidR="00962D40" w:rsidRPr="00962D40" w14:paraId="257C977C" w14:textId="77777777" w:rsidTr="002F1295">
        <w:tblPrEx>
          <w:tblCellMar>
            <w:left w:w="70" w:type="dxa"/>
            <w:right w:w="70" w:type="dxa"/>
          </w:tblCellMar>
        </w:tblPrEx>
        <w:trPr>
          <w:trHeight w:val="23"/>
        </w:trPr>
        <w:tc>
          <w:tcPr>
            <w:tcW w:w="9395" w:type="dxa"/>
            <w:gridSpan w:val="2"/>
          </w:tcPr>
          <w:p w14:paraId="075D6872" w14:textId="77777777" w:rsidR="00962D40" w:rsidRPr="00962D40" w:rsidRDefault="00962D40" w:rsidP="00F75999">
            <w:pPr>
              <w:jc w:val="both"/>
              <w:rPr>
                <w:noProof/>
              </w:rPr>
            </w:pPr>
            <w:r w:rsidRPr="00962D40">
              <w:rPr>
                <w:noProof/>
                <w:sz w:val="18"/>
                <w:szCs w:val="18"/>
              </w:rPr>
              <w:t xml:space="preserve">      Fuente: Banco de Guatemala.</w:t>
            </w:r>
          </w:p>
        </w:tc>
      </w:tr>
    </w:tbl>
    <w:p w14:paraId="37CC411F" w14:textId="77777777" w:rsidR="00962D40" w:rsidRPr="00962D40" w:rsidRDefault="00962D40" w:rsidP="00962D40">
      <w:pPr>
        <w:jc w:val="both"/>
      </w:pPr>
    </w:p>
    <w:p w14:paraId="31EB0A45" w14:textId="77777777" w:rsidR="00962D40" w:rsidRPr="00962D40" w:rsidRDefault="00962D40" w:rsidP="00962D40">
      <w:pPr>
        <w:jc w:val="both"/>
      </w:pPr>
      <w:r w:rsidRPr="00962D40">
        <w:t>Los medios de pago totales muestran una tasa de variación interanual de 11.0% a junio, mostrando niveles congruentes según el desempeño de la actividad económica. Por su parte, los medios de pago en moneda nacional muestran un crecimiento de 11.5% y en moneda extranjera un incremento de 8.7%, lo que muestra, según el Banco de Guatemala, que el proceso de creación secundaria de dinero y el grado de confianza de los agentes económicos en el sistema financiero es adecuado.</w:t>
      </w:r>
    </w:p>
    <w:p w14:paraId="20F5C1E6" w14:textId="77777777" w:rsidR="00962D40" w:rsidRPr="00962D40" w:rsidRDefault="00962D40" w:rsidP="00962D40">
      <w:pPr>
        <w:jc w:val="both"/>
      </w:pPr>
    </w:p>
    <w:p w14:paraId="0F1C5D50" w14:textId="77777777" w:rsidR="00962D40" w:rsidRPr="00962D40" w:rsidRDefault="00962D40" w:rsidP="00962D40">
      <w:pPr>
        <w:jc w:val="both"/>
      </w:pPr>
      <w:r w:rsidRPr="00962D40">
        <w:t>La tasa activa promedio ponderada de moneda nacional para junio mostró un valor de 12.0%, manteniéndose justamente igual al valor de cierre del 2022. Por su lado, la tasa pasiva fue de 4.2% para la misma fecha y mostró un incremento de 3 puntos básicos con respecto su valor de final de año de 2022. Estas tasas son promedios ponderados del sistema bancario, por lo que no es posible visualizar con claridad el efecto de transmisión de la política monetaria debido a las transacciones que se hayan pactado con una tasa fija.</w:t>
      </w:r>
    </w:p>
    <w:p w14:paraId="4E3487D9" w14:textId="77777777" w:rsidR="00962D40" w:rsidRPr="00962D40" w:rsidRDefault="00962D40" w:rsidP="00962D40">
      <w:pPr>
        <w:jc w:val="both"/>
      </w:pPr>
    </w:p>
    <w:tbl>
      <w:tblPr>
        <w:tblStyle w:val="Tablaconcuadrcula"/>
        <w:tblW w:w="8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62D40" w:rsidRPr="00962D40" w14:paraId="7749BD0A" w14:textId="77777777" w:rsidTr="00F75999">
        <w:trPr>
          <w:trHeight w:val="414"/>
        </w:trPr>
        <w:tc>
          <w:tcPr>
            <w:tcW w:w="4229" w:type="dxa"/>
          </w:tcPr>
          <w:p w14:paraId="504C7C1A" w14:textId="26AC02A4" w:rsidR="00962D40" w:rsidRPr="00962D40" w:rsidRDefault="00962D40" w:rsidP="00F75999">
            <w:pPr>
              <w:pStyle w:val="Descripcin"/>
              <w:spacing w:after="0"/>
              <w:jc w:val="center"/>
              <w:rPr>
                <w:b/>
                <w:bCs/>
                <w:i w:val="0"/>
                <w:iCs w:val="0"/>
                <w:color w:val="auto"/>
                <w:sz w:val="24"/>
                <w:szCs w:val="24"/>
                <w:lang w:val="es-GT"/>
              </w:rPr>
            </w:pPr>
            <w:bookmarkStart w:id="82" w:name="_Toc143870703"/>
            <w:r w:rsidRPr="00962D40">
              <w:rPr>
                <w:b/>
                <w:bCs/>
                <w:i w:val="0"/>
                <w:iCs w:val="0"/>
                <w:color w:val="auto"/>
                <w:sz w:val="24"/>
                <w:szCs w:val="24"/>
                <w:lang w:val="es-GT"/>
              </w:rPr>
              <w:t xml:space="preserve">Gráfico </w:t>
            </w:r>
            <w:r w:rsidRPr="00962D40">
              <w:rPr>
                <w:b/>
                <w:bCs/>
                <w:i w:val="0"/>
                <w:iCs w:val="0"/>
                <w:color w:val="auto"/>
                <w:sz w:val="24"/>
                <w:szCs w:val="24"/>
              </w:rPr>
              <w:fldChar w:fldCharType="begin"/>
            </w:r>
            <w:r w:rsidRPr="00962D40">
              <w:rPr>
                <w:b/>
                <w:bCs/>
                <w:i w:val="0"/>
                <w:iCs w:val="0"/>
                <w:color w:val="auto"/>
                <w:sz w:val="24"/>
                <w:szCs w:val="24"/>
                <w:lang w:val="es-GT"/>
              </w:rPr>
              <w:instrText xml:space="preserve"> SEQ Gráfico \* ARABIC </w:instrText>
            </w:r>
            <w:r w:rsidRPr="00962D40">
              <w:rPr>
                <w:b/>
                <w:bCs/>
                <w:i w:val="0"/>
                <w:iCs w:val="0"/>
                <w:color w:val="auto"/>
                <w:sz w:val="24"/>
                <w:szCs w:val="24"/>
              </w:rPr>
              <w:fldChar w:fldCharType="separate"/>
            </w:r>
            <w:r w:rsidR="006622B2">
              <w:rPr>
                <w:b/>
                <w:bCs/>
                <w:i w:val="0"/>
                <w:iCs w:val="0"/>
                <w:noProof/>
                <w:color w:val="auto"/>
                <w:sz w:val="24"/>
                <w:szCs w:val="24"/>
                <w:lang w:val="es-GT"/>
              </w:rPr>
              <w:t>36</w:t>
            </w:r>
            <w:r w:rsidRPr="00962D40">
              <w:rPr>
                <w:b/>
                <w:bCs/>
                <w:i w:val="0"/>
                <w:iCs w:val="0"/>
                <w:color w:val="auto"/>
                <w:sz w:val="24"/>
                <w:szCs w:val="24"/>
              </w:rPr>
              <w:fldChar w:fldCharType="end"/>
            </w:r>
            <w:r w:rsidRPr="00962D40">
              <w:rPr>
                <w:b/>
                <w:bCs/>
                <w:i w:val="0"/>
                <w:iCs w:val="0"/>
                <w:color w:val="auto"/>
                <w:sz w:val="24"/>
                <w:szCs w:val="24"/>
                <w:lang w:val="es-GT"/>
              </w:rPr>
              <w:t>.  Crecimiento de los medios de pago</w:t>
            </w:r>
            <w:bookmarkEnd w:id="82"/>
          </w:p>
          <w:p w14:paraId="2141DD58" w14:textId="77777777" w:rsidR="00962D40" w:rsidRPr="00962D40" w:rsidRDefault="00962D40" w:rsidP="00F75999">
            <w:pPr>
              <w:jc w:val="center"/>
            </w:pPr>
            <w:r w:rsidRPr="00962D40">
              <w:rPr>
                <w:sz w:val="22"/>
                <w:szCs w:val="22"/>
              </w:rPr>
              <w:t>(En porcentaje)</w:t>
            </w:r>
          </w:p>
        </w:tc>
        <w:tc>
          <w:tcPr>
            <w:tcW w:w="4675" w:type="dxa"/>
          </w:tcPr>
          <w:p w14:paraId="76D54205" w14:textId="175BEC7B" w:rsidR="00962D40" w:rsidRPr="00962D40" w:rsidRDefault="00962D40" w:rsidP="00F75999">
            <w:pPr>
              <w:pStyle w:val="Descripcin"/>
              <w:spacing w:after="0"/>
              <w:jc w:val="center"/>
              <w:rPr>
                <w:b/>
                <w:bCs/>
                <w:i w:val="0"/>
                <w:iCs w:val="0"/>
                <w:color w:val="auto"/>
                <w:sz w:val="24"/>
                <w:szCs w:val="24"/>
                <w:lang w:val="es-GT"/>
              </w:rPr>
            </w:pPr>
            <w:bookmarkStart w:id="83" w:name="_Toc143870704"/>
            <w:r w:rsidRPr="00962D40">
              <w:rPr>
                <w:b/>
                <w:bCs/>
                <w:i w:val="0"/>
                <w:iCs w:val="0"/>
                <w:color w:val="auto"/>
                <w:sz w:val="24"/>
                <w:szCs w:val="24"/>
                <w:lang w:val="es-GT"/>
              </w:rPr>
              <w:t xml:space="preserve">Gráfico </w:t>
            </w:r>
            <w:r w:rsidRPr="00962D40">
              <w:rPr>
                <w:b/>
                <w:bCs/>
                <w:i w:val="0"/>
                <w:iCs w:val="0"/>
                <w:color w:val="auto"/>
                <w:sz w:val="24"/>
                <w:szCs w:val="24"/>
              </w:rPr>
              <w:fldChar w:fldCharType="begin"/>
            </w:r>
            <w:r w:rsidRPr="00962D40">
              <w:rPr>
                <w:b/>
                <w:bCs/>
                <w:i w:val="0"/>
                <w:iCs w:val="0"/>
                <w:color w:val="auto"/>
                <w:sz w:val="24"/>
                <w:szCs w:val="24"/>
                <w:lang w:val="es-GT"/>
              </w:rPr>
              <w:instrText xml:space="preserve"> SEQ Gráfico \* ARABIC </w:instrText>
            </w:r>
            <w:r w:rsidRPr="00962D40">
              <w:rPr>
                <w:b/>
                <w:bCs/>
                <w:i w:val="0"/>
                <w:iCs w:val="0"/>
                <w:color w:val="auto"/>
                <w:sz w:val="24"/>
                <w:szCs w:val="24"/>
              </w:rPr>
              <w:fldChar w:fldCharType="separate"/>
            </w:r>
            <w:r w:rsidR="006622B2">
              <w:rPr>
                <w:b/>
                <w:bCs/>
                <w:i w:val="0"/>
                <w:iCs w:val="0"/>
                <w:noProof/>
                <w:color w:val="auto"/>
                <w:sz w:val="24"/>
                <w:szCs w:val="24"/>
                <w:lang w:val="es-GT"/>
              </w:rPr>
              <w:t>37</w:t>
            </w:r>
            <w:r w:rsidRPr="00962D40">
              <w:rPr>
                <w:b/>
                <w:bCs/>
                <w:i w:val="0"/>
                <w:iCs w:val="0"/>
                <w:color w:val="auto"/>
                <w:sz w:val="24"/>
                <w:szCs w:val="24"/>
              </w:rPr>
              <w:fldChar w:fldCharType="end"/>
            </w:r>
            <w:r w:rsidRPr="00962D40">
              <w:rPr>
                <w:b/>
                <w:bCs/>
                <w:i w:val="0"/>
                <w:iCs w:val="0"/>
                <w:color w:val="auto"/>
                <w:sz w:val="24"/>
                <w:szCs w:val="24"/>
                <w:lang w:val="es-GT"/>
              </w:rPr>
              <w:t>.  Tasas activa y pasiva en moneda nacional</w:t>
            </w:r>
            <w:bookmarkEnd w:id="83"/>
          </w:p>
          <w:p w14:paraId="6E52BDD6" w14:textId="77777777" w:rsidR="00962D40" w:rsidRPr="00962D40" w:rsidRDefault="00962D40" w:rsidP="00F75999">
            <w:pPr>
              <w:jc w:val="center"/>
            </w:pPr>
            <w:r w:rsidRPr="00962D40">
              <w:rPr>
                <w:sz w:val="22"/>
                <w:szCs w:val="22"/>
              </w:rPr>
              <w:t>(En pocentaje)</w:t>
            </w:r>
          </w:p>
        </w:tc>
      </w:tr>
      <w:tr w:rsidR="00962D40" w:rsidRPr="00962D40" w14:paraId="7CC301C3" w14:textId="77777777" w:rsidTr="00F75999">
        <w:tblPrEx>
          <w:tblCellMar>
            <w:left w:w="70" w:type="dxa"/>
            <w:right w:w="70" w:type="dxa"/>
          </w:tblCellMar>
        </w:tblPrEx>
        <w:trPr>
          <w:trHeight w:val="2501"/>
        </w:trPr>
        <w:tc>
          <w:tcPr>
            <w:tcW w:w="4229" w:type="dxa"/>
          </w:tcPr>
          <w:p w14:paraId="62E6240A" w14:textId="36E7751B" w:rsidR="00962D40" w:rsidRPr="00962D40" w:rsidRDefault="00962D40" w:rsidP="00F75999">
            <w:pPr>
              <w:jc w:val="both"/>
              <w:rPr>
                <w:lang w:val="es-MX"/>
              </w:rPr>
            </w:pPr>
            <w:r w:rsidRPr="00962D40">
              <w:rPr>
                <w:noProof/>
              </w:rPr>
              <w:drawing>
                <wp:inline distT="0" distB="0" distL="0" distR="0" wp14:anchorId="7457ACC8" wp14:editId="301ED03E">
                  <wp:extent cx="2879725" cy="1536192"/>
                  <wp:effectExtent l="0" t="0" r="0" b="6985"/>
                  <wp:docPr id="240" name="Gráfico 2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c>
          <w:tcPr>
            <w:tcW w:w="4675" w:type="dxa"/>
          </w:tcPr>
          <w:p w14:paraId="320173C4" w14:textId="20DAF82F" w:rsidR="00962D40" w:rsidRPr="00962D40" w:rsidRDefault="00962D40" w:rsidP="00F75999">
            <w:pPr>
              <w:rPr>
                <w:lang w:val="es-MX"/>
              </w:rPr>
            </w:pPr>
            <w:r w:rsidRPr="00962D40">
              <w:rPr>
                <w:noProof/>
              </w:rPr>
              <w:drawing>
                <wp:inline distT="0" distB="0" distL="0" distR="0" wp14:anchorId="628C760E" wp14:editId="7D791A9C">
                  <wp:extent cx="2879725" cy="1536065"/>
                  <wp:effectExtent l="0" t="0" r="0" b="6985"/>
                  <wp:docPr id="239" name="Gráfico 2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r>
      <w:tr w:rsidR="00962D40" w:rsidRPr="00962D40" w14:paraId="69803812" w14:textId="77777777" w:rsidTr="00F75999">
        <w:tblPrEx>
          <w:tblCellMar>
            <w:left w:w="70" w:type="dxa"/>
            <w:right w:w="70" w:type="dxa"/>
          </w:tblCellMar>
        </w:tblPrEx>
        <w:trPr>
          <w:trHeight w:val="53"/>
        </w:trPr>
        <w:tc>
          <w:tcPr>
            <w:tcW w:w="8904" w:type="dxa"/>
            <w:gridSpan w:val="2"/>
          </w:tcPr>
          <w:p w14:paraId="602794B1" w14:textId="77777777" w:rsidR="00962D40" w:rsidRPr="00962D40" w:rsidRDefault="00962D40" w:rsidP="00F75999">
            <w:pPr>
              <w:jc w:val="both"/>
              <w:rPr>
                <w:noProof/>
              </w:rPr>
            </w:pPr>
            <w:r w:rsidRPr="00962D40">
              <w:rPr>
                <w:noProof/>
                <w:sz w:val="18"/>
                <w:szCs w:val="18"/>
              </w:rPr>
              <w:t xml:space="preserve">Fuente: Banco de Guatemala. </w:t>
            </w:r>
          </w:p>
        </w:tc>
      </w:tr>
    </w:tbl>
    <w:p w14:paraId="76F3E859" w14:textId="77777777" w:rsidR="00962D40" w:rsidRPr="00962D40" w:rsidRDefault="00962D40" w:rsidP="00962D40">
      <w:pPr>
        <w:jc w:val="both"/>
      </w:pPr>
    </w:p>
    <w:p w14:paraId="0625880F" w14:textId="77777777" w:rsidR="00962D40" w:rsidRPr="00962D40" w:rsidRDefault="00962D40" w:rsidP="00962D40">
      <w:pPr>
        <w:jc w:val="both"/>
      </w:pPr>
      <w:r w:rsidRPr="00962D40">
        <w:t>En lo que respecta a la tasa de interés líder de política monetaria, la Junta Monetaria ha aumentado 125 puntos básicos desde enero a junio del presente año, dejando la tasa en 5.0%. Actualmente tiene como objetivo frenar la inflación y proteger la moneda, lo cual es congruente con la inflación inusual que inició desde mayo del año anterior, por lo que, el Banco Central ha buscado incidir sobre las expectativas de inflación y sobre la demanda agregada para estabilizar la inflación.  No obstante, los continuos aumentos de la tasa de la Reserva Federal y la incertidumbre sobre la evolución de los precios internacionales de las materias prima, podría incidir en que la autoridad monetaria busque una postura más restrictiva en lo que resta del año.</w:t>
      </w:r>
    </w:p>
    <w:p w14:paraId="68E16650" w14:textId="77777777" w:rsidR="00962D40" w:rsidRPr="00962D40" w:rsidRDefault="00962D40" w:rsidP="00962D40">
      <w:pPr>
        <w:jc w:val="both"/>
      </w:pPr>
    </w:p>
    <w:p w14:paraId="2A1EF41D" w14:textId="77777777" w:rsidR="00962D40" w:rsidRPr="00962D40" w:rsidRDefault="00962D40" w:rsidP="00962D40">
      <w:pPr>
        <w:jc w:val="both"/>
      </w:pPr>
      <w:r w:rsidRPr="00962D40">
        <w:t>En esta línea de ideas se espera que los agregados monetarios mantengan un comportamiento dinámico hasta el cierre del 2023, en donde los medios de pago tengan un crecimiento entre 9.5% y 11.5%. Asimismo, la emisión monetaria cerraría entre 9.0% y 12.0%, y el crédito al sector bancario al sector privado entre 8.0% y 11.0%. El comportamiento del crecimiento de las principales variables monetarias para el 2023 presentaran un nivel levemente menor a las obtenidas en el año anterior.</w:t>
      </w:r>
    </w:p>
    <w:p w14:paraId="0087C957" w14:textId="77777777" w:rsidR="00962D40" w:rsidRPr="00962D40" w:rsidRDefault="00962D40" w:rsidP="00962D40">
      <w:pPr>
        <w:jc w:val="both"/>
      </w:pPr>
    </w:p>
    <w:tbl>
      <w:tblPr>
        <w:tblStyle w:val="Tablaconcuadrcula"/>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4185"/>
      </w:tblGrid>
      <w:tr w:rsidR="00962D40" w:rsidRPr="00962D40" w14:paraId="58679915" w14:textId="77777777" w:rsidTr="009A47AF">
        <w:trPr>
          <w:trHeight w:val="521"/>
        </w:trPr>
        <w:tc>
          <w:tcPr>
            <w:tcW w:w="4746" w:type="dxa"/>
          </w:tcPr>
          <w:p w14:paraId="1C065EC6" w14:textId="57254942" w:rsidR="00962D40" w:rsidRPr="00962D40" w:rsidRDefault="00962D40" w:rsidP="00F75999">
            <w:pPr>
              <w:pStyle w:val="Descripcin"/>
              <w:spacing w:after="0"/>
              <w:jc w:val="center"/>
              <w:rPr>
                <w:b/>
                <w:bCs/>
                <w:i w:val="0"/>
                <w:iCs w:val="0"/>
                <w:color w:val="auto"/>
                <w:sz w:val="24"/>
                <w:szCs w:val="24"/>
                <w:lang w:val="es-GT"/>
              </w:rPr>
            </w:pPr>
            <w:bookmarkStart w:id="84" w:name="_Toc143870705"/>
            <w:r w:rsidRPr="00962D40">
              <w:rPr>
                <w:b/>
                <w:bCs/>
                <w:i w:val="0"/>
                <w:iCs w:val="0"/>
                <w:color w:val="auto"/>
                <w:sz w:val="24"/>
                <w:szCs w:val="24"/>
                <w:lang w:val="es-GT"/>
              </w:rPr>
              <w:t xml:space="preserve">Gráfico </w:t>
            </w:r>
            <w:r w:rsidRPr="00962D40">
              <w:rPr>
                <w:b/>
                <w:bCs/>
                <w:i w:val="0"/>
                <w:iCs w:val="0"/>
                <w:color w:val="auto"/>
                <w:sz w:val="24"/>
                <w:szCs w:val="24"/>
              </w:rPr>
              <w:fldChar w:fldCharType="begin"/>
            </w:r>
            <w:r w:rsidRPr="00962D40">
              <w:rPr>
                <w:b/>
                <w:bCs/>
                <w:i w:val="0"/>
                <w:iCs w:val="0"/>
                <w:color w:val="auto"/>
                <w:sz w:val="24"/>
                <w:szCs w:val="24"/>
                <w:lang w:val="es-GT"/>
              </w:rPr>
              <w:instrText xml:space="preserve"> SEQ Gráfico \* ARABIC </w:instrText>
            </w:r>
            <w:r w:rsidRPr="00962D40">
              <w:rPr>
                <w:b/>
                <w:bCs/>
                <w:i w:val="0"/>
                <w:iCs w:val="0"/>
                <w:color w:val="auto"/>
                <w:sz w:val="24"/>
                <w:szCs w:val="24"/>
              </w:rPr>
              <w:fldChar w:fldCharType="separate"/>
            </w:r>
            <w:r w:rsidR="006622B2">
              <w:rPr>
                <w:b/>
                <w:bCs/>
                <w:i w:val="0"/>
                <w:iCs w:val="0"/>
                <w:noProof/>
                <w:color w:val="auto"/>
                <w:sz w:val="24"/>
                <w:szCs w:val="24"/>
                <w:lang w:val="es-GT"/>
              </w:rPr>
              <w:t>38</w:t>
            </w:r>
            <w:r w:rsidRPr="00962D40">
              <w:rPr>
                <w:b/>
                <w:bCs/>
                <w:i w:val="0"/>
                <w:iCs w:val="0"/>
                <w:color w:val="auto"/>
                <w:sz w:val="24"/>
                <w:szCs w:val="24"/>
              </w:rPr>
              <w:fldChar w:fldCharType="end"/>
            </w:r>
            <w:r w:rsidRPr="00962D40">
              <w:rPr>
                <w:b/>
                <w:bCs/>
                <w:i w:val="0"/>
                <w:iCs w:val="0"/>
                <w:color w:val="auto"/>
                <w:sz w:val="24"/>
                <w:szCs w:val="24"/>
                <w:lang w:val="es-GT"/>
              </w:rPr>
              <w:t>.  Tasa líder</w:t>
            </w:r>
            <w:bookmarkEnd w:id="84"/>
          </w:p>
          <w:p w14:paraId="3B6E8C39" w14:textId="77777777" w:rsidR="00962D40" w:rsidRPr="00962D40" w:rsidRDefault="00962D40" w:rsidP="00F75999">
            <w:pPr>
              <w:jc w:val="center"/>
              <w:rPr>
                <w:b/>
                <w:bCs/>
                <w:lang w:val="es-GT"/>
              </w:rPr>
            </w:pPr>
            <w:r w:rsidRPr="00962D40">
              <w:rPr>
                <w:sz w:val="20"/>
                <w:szCs w:val="20"/>
                <w:lang w:val="es-MX"/>
              </w:rPr>
              <w:t>(En porcentaje)</w:t>
            </w:r>
          </w:p>
        </w:tc>
        <w:tc>
          <w:tcPr>
            <w:tcW w:w="4185" w:type="dxa"/>
          </w:tcPr>
          <w:p w14:paraId="1B064CB0" w14:textId="71290E99" w:rsidR="00962D40" w:rsidRPr="00962D40" w:rsidRDefault="00962D40" w:rsidP="00F75999">
            <w:pPr>
              <w:keepNext/>
              <w:jc w:val="center"/>
              <w:rPr>
                <w:b/>
                <w:bCs/>
                <w:lang w:val="es-GT"/>
              </w:rPr>
            </w:pPr>
            <w:bookmarkStart w:id="85" w:name="_Toc143870706"/>
            <w:r w:rsidRPr="00962D40">
              <w:rPr>
                <w:b/>
                <w:bCs/>
                <w:lang w:val="es-GT"/>
              </w:rPr>
              <w:t xml:space="preserve">Gráfico </w:t>
            </w:r>
            <w:r w:rsidRPr="00962D40">
              <w:rPr>
                <w:b/>
                <w:bCs/>
              </w:rPr>
              <w:fldChar w:fldCharType="begin"/>
            </w:r>
            <w:r w:rsidRPr="00962D40">
              <w:rPr>
                <w:b/>
                <w:bCs/>
                <w:lang w:val="es-GT"/>
              </w:rPr>
              <w:instrText xml:space="preserve"> SEQ Gráfico \* ARABIC </w:instrText>
            </w:r>
            <w:r w:rsidRPr="00962D40">
              <w:rPr>
                <w:b/>
                <w:bCs/>
              </w:rPr>
              <w:fldChar w:fldCharType="separate"/>
            </w:r>
            <w:r w:rsidR="006622B2">
              <w:rPr>
                <w:b/>
                <w:bCs/>
                <w:noProof/>
                <w:lang w:val="es-GT"/>
              </w:rPr>
              <w:t>39</w:t>
            </w:r>
            <w:r w:rsidRPr="00962D40">
              <w:rPr>
                <w:b/>
                <w:bCs/>
              </w:rPr>
              <w:fldChar w:fldCharType="end"/>
            </w:r>
            <w:r w:rsidRPr="00962D40">
              <w:rPr>
                <w:b/>
                <w:bCs/>
                <w:lang w:val="es-GT"/>
              </w:rPr>
              <w:t>.  Pronóstico de crecimiento de las principales variables monetarias de 2023</w:t>
            </w:r>
            <w:bookmarkEnd w:id="85"/>
            <w:r w:rsidRPr="00962D40">
              <w:rPr>
                <w:b/>
                <w:bCs/>
                <w:lang w:val="es-MX"/>
              </w:rPr>
              <w:t xml:space="preserve"> </w:t>
            </w:r>
          </w:p>
          <w:p w14:paraId="5BB8B794" w14:textId="77777777" w:rsidR="00962D40" w:rsidRPr="00962D40" w:rsidRDefault="00962D40" w:rsidP="00F75999">
            <w:pPr>
              <w:jc w:val="center"/>
              <w:rPr>
                <w:lang w:val="es-MX"/>
              </w:rPr>
            </w:pPr>
            <w:r w:rsidRPr="00962D40">
              <w:rPr>
                <w:sz w:val="20"/>
                <w:szCs w:val="20"/>
                <w:lang w:val="es-MX"/>
              </w:rPr>
              <w:t>(En porcentaje)</w:t>
            </w:r>
          </w:p>
        </w:tc>
      </w:tr>
      <w:tr w:rsidR="00962D40" w:rsidRPr="00962D40" w14:paraId="356ADD75" w14:textId="77777777" w:rsidTr="009A47AF">
        <w:tblPrEx>
          <w:tblCellMar>
            <w:left w:w="70" w:type="dxa"/>
            <w:right w:w="70" w:type="dxa"/>
          </w:tblCellMar>
        </w:tblPrEx>
        <w:trPr>
          <w:trHeight w:val="2263"/>
        </w:trPr>
        <w:tc>
          <w:tcPr>
            <w:tcW w:w="4746" w:type="dxa"/>
          </w:tcPr>
          <w:p w14:paraId="19689F2F" w14:textId="2B33EC28" w:rsidR="00962D40" w:rsidRPr="00962D40" w:rsidRDefault="00962D40" w:rsidP="00F75999">
            <w:pPr>
              <w:jc w:val="center"/>
              <w:rPr>
                <w:lang w:val="es-MX"/>
              </w:rPr>
            </w:pPr>
            <w:r w:rsidRPr="00962D40">
              <w:rPr>
                <w:noProof/>
              </w:rPr>
              <w:drawing>
                <wp:inline distT="0" distB="0" distL="0" distR="0" wp14:anchorId="4199EB9A" wp14:editId="7C3604FB">
                  <wp:extent cx="2879725" cy="1463040"/>
                  <wp:effectExtent l="0" t="0" r="0" b="3810"/>
                  <wp:docPr id="238" name="Gráfico 2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tc>
        <w:tc>
          <w:tcPr>
            <w:tcW w:w="4185" w:type="dxa"/>
          </w:tcPr>
          <w:p w14:paraId="5DAF9EC5" w14:textId="06EDCE82" w:rsidR="00962D40" w:rsidRPr="00962D40" w:rsidRDefault="00962D40" w:rsidP="00F75999">
            <w:pPr>
              <w:jc w:val="center"/>
              <w:rPr>
                <w:lang w:val="es-MX"/>
              </w:rPr>
            </w:pPr>
            <w:r w:rsidRPr="00962D40">
              <w:rPr>
                <w:noProof/>
              </w:rPr>
              <w:drawing>
                <wp:inline distT="0" distB="0" distL="0" distR="0" wp14:anchorId="48F037BB" wp14:editId="47DD89E9">
                  <wp:extent cx="2553005" cy="1536065"/>
                  <wp:effectExtent l="0" t="0" r="0" b="6985"/>
                  <wp:docPr id="237" name="Gráfico 2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tc>
      </w:tr>
      <w:tr w:rsidR="00962D40" w:rsidRPr="00962D40" w14:paraId="314A1A6F" w14:textId="77777777" w:rsidTr="009A47AF">
        <w:tblPrEx>
          <w:tblCellMar>
            <w:left w:w="70" w:type="dxa"/>
            <w:right w:w="70" w:type="dxa"/>
          </w:tblCellMar>
        </w:tblPrEx>
        <w:trPr>
          <w:trHeight w:val="137"/>
        </w:trPr>
        <w:tc>
          <w:tcPr>
            <w:tcW w:w="8931" w:type="dxa"/>
            <w:gridSpan w:val="2"/>
          </w:tcPr>
          <w:p w14:paraId="5FBEAEF0" w14:textId="77777777" w:rsidR="00962D40" w:rsidRPr="00962D40" w:rsidRDefault="00962D40" w:rsidP="00F75999">
            <w:pPr>
              <w:jc w:val="both"/>
              <w:rPr>
                <w:noProof/>
                <w:sz w:val="18"/>
                <w:szCs w:val="18"/>
              </w:rPr>
            </w:pPr>
            <w:r w:rsidRPr="00962D40">
              <w:rPr>
                <w:noProof/>
                <w:sz w:val="18"/>
                <w:szCs w:val="18"/>
              </w:rPr>
              <w:t xml:space="preserve">      Fuente: Banco de Guatemala</w:t>
            </w:r>
          </w:p>
        </w:tc>
      </w:tr>
    </w:tbl>
    <w:p w14:paraId="02E4E7B9" w14:textId="77777777" w:rsidR="00962D40" w:rsidRPr="00962D40" w:rsidRDefault="00962D40" w:rsidP="009A47AF">
      <w:pPr>
        <w:rPr>
          <w:b/>
          <w:bCs/>
        </w:rPr>
      </w:pPr>
    </w:p>
    <w:p w14:paraId="229A5E0E" w14:textId="77777777" w:rsidR="00962D40" w:rsidRPr="0025774B" w:rsidRDefault="00962D40" w:rsidP="00354A9C">
      <w:pPr>
        <w:pStyle w:val="Ttulo3"/>
        <w:numPr>
          <w:ilvl w:val="1"/>
          <w:numId w:val="48"/>
        </w:numPr>
        <w:tabs>
          <w:tab w:val="left" w:pos="1134"/>
        </w:tabs>
        <w:rPr>
          <w:rFonts w:ascii="Times New Roman" w:hAnsi="Times New Roman" w:cs="Times New Roman"/>
          <w:b/>
          <w:bCs/>
          <w:color w:val="auto"/>
          <w:lang w:val="es-MX"/>
        </w:rPr>
      </w:pPr>
      <w:bookmarkStart w:id="86" w:name="_Toc143865806"/>
      <w:r w:rsidRPr="0025774B">
        <w:rPr>
          <w:rFonts w:ascii="Times New Roman" w:hAnsi="Times New Roman" w:cs="Times New Roman"/>
          <w:b/>
          <w:bCs/>
          <w:color w:val="auto"/>
          <w:lang w:val="es-MX"/>
        </w:rPr>
        <w:t>Sector Externo</w:t>
      </w:r>
      <w:bookmarkEnd w:id="86"/>
    </w:p>
    <w:p w14:paraId="1716FB42" w14:textId="77777777" w:rsidR="00962D40" w:rsidRPr="00962D40" w:rsidRDefault="00962D40" w:rsidP="00962D40">
      <w:pPr>
        <w:jc w:val="both"/>
      </w:pPr>
    </w:p>
    <w:p w14:paraId="67B1D7FC" w14:textId="77777777" w:rsidR="00962D40" w:rsidRPr="00962D40" w:rsidRDefault="00962D40" w:rsidP="00962D40">
      <w:pPr>
        <w:jc w:val="both"/>
      </w:pPr>
      <w:r w:rsidRPr="00962D40">
        <w:t>A junio de 2023, el comercio exterior muestra una disminución acumulada con respecto a lo observado en el año anterior, lo cual es derivada de una normalización en el precio y una moderación en el volumen de productos demandados en la economía nacional y de los principales socios comerciales. De tal manera que las exportaciones FOB presentan a junio una contracción interanual acumulado de 7.8% y las importaciones CIF una contracción de 7.3%, explicado principalmente por una disminución en el volumen en kilogramos de 9.4% para las exportaciones y de 9.1% para las importaciones.</w:t>
      </w:r>
    </w:p>
    <w:p w14:paraId="2CB7C38D" w14:textId="77777777" w:rsidR="00962D40" w:rsidRPr="00962D40" w:rsidRDefault="00962D40" w:rsidP="00962D40">
      <w:pPr>
        <w:jc w:val="both"/>
      </w:pPr>
    </w:p>
    <w:p w14:paraId="20D5CC5F" w14:textId="19501937" w:rsidR="00962D40" w:rsidRPr="00962D40" w:rsidRDefault="00962D40" w:rsidP="00962D40">
      <w:pPr>
        <w:jc w:val="both"/>
      </w:pPr>
      <w:r w:rsidRPr="00962D40">
        <w:t>Entre los productos con mayor participación del total de exportaciones se encuentran los artículos de vestuario (10.2%); café (9.0%); grasas y aceites comestibles (7.0%); banano (6.7%) y, azúcar (5.8 %), ocupando a la fecha, el 38.8% de las exportaciones totales. Asimismo, los que presentaron crecimientos interanuales más altos a junio 2022 fueron los cereales diversos, keros</w:t>
      </w:r>
      <w:r w:rsidR="008214B2">
        <w:t>e</w:t>
      </w:r>
      <w:r w:rsidRPr="00962D40">
        <w:t>n</w:t>
      </w:r>
      <w:r w:rsidR="008214B2">
        <w:t>o</w:t>
      </w:r>
      <w:r w:rsidRPr="00962D40">
        <w:t>, tabaco, pimienta, entre otros. Por su parte, los productos que mostraron una menor tasa de crecimiento fueron manzana, joyería de fantasía, aparatos de sonido y energía eléctrica entre otros.</w:t>
      </w:r>
    </w:p>
    <w:p w14:paraId="450E0B50" w14:textId="77777777" w:rsidR="00962D40" w:rsidRPr="00962D40" w:rsidRDefault="00962D40" w:rsidP="00962D40">
      <w:pPr>
        <w:jc w:val="both"/>
      </w:pPr>
    </w:p>
    <w:p w14:paraId="6EFF0680" w14:textId="07D047D8" w:rsidR="00962D40" w:rsidRPr="00962D40" w:rsidRDefault="00962D40" w:rsidP="002F1295">
      <w:pPr>
        <w:jc w:val="both"/>
      </w:pPr>
      <w:r w:rsidRPr="00962D40">
        <w:t>Por su parte, el valor CIF de las importaciones de bienes los productos con mayor participación en la estructura porcentual son los electrónicos (10.2%), vehículos y sus repuestos (9.5%), Gasolinas (6.4%), Diésel (6.0%), y materiales plásticos y sus manufacturas (5.0%) que representan conjuntamente el 37.0% del total. Por su parte, los productos que tuvieron una mayor tasa de crecimiento a junio de 2023 fueron la semilla de ajonjolí, mármol, azúcar, animales vivos diversos, yuca y asfalto.  Asimismo, los productos que tuvieron una mayor disminución fueron antimonio, los objetos de artes, glicerina cruda, tomate, semillas de algodón y melaza de azúcar.</w:t>
      </w:r>
    </w:p>
    <w:p w14:paraId="48A94DB7" w14:textId="77777777" w:rsidR="00962D40" w:rsidRPr="00962D40" w:rsidRDefault="00962D40" w:rsidP="00962D40">
      <w:pPr>
        <w:jc w:val="both"/>
      </w:pPr>
    </w:p>
    <w:tbl>
      <w:tblPr>
        <w:tblStyle w:val="Tablaconcuadrcula"/>
        <w:tblW w:w="92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62D40" w:rsidRPr="00962D40" w14:paraId="738B5FF0" w14:textId="77777777" w:rsidTr="009A47AF">
        <w:trPr>
          <w:trHeight w:val="238"/>
          <w:jc w:val="center"/>
        </w:trPr>
        <w:tc>
          <w:tcPr>
            <w:tcW w:w="9280" w:type="dxa"/>
            <w:gridSpan w:val="2"/>
          </w:tcPr>
          <w:p w14:paraId="22175101" w14:textId="11D17302" w:rsidR="00962D40" w:rsidRPr="00962D40" w:rsidRDefault="00962D40" w:rsidP="00F75999">
            <w:pPr>
              <w:pStyle w:val="Descripcin"/>
              <w:spacing w:after="0"/>
              <w:jc w:val="center"/>
              <w:rPr>
                <w:b/>
                <w:bCs/>
                <w:i w:val="0"/>
                <w:iCs w:val="0"/>
                <w:sz w:val="24"/>
                <w:szCs w:val="24"/>
                <w:lang w:val="es-GT"/>
              </w:rPr>
            </w:pPr>
            <w:bookmarkStart w:id="87" w:name="_Toc143870707"/>
            <w:r w:rsidRPr="00962D40">
              <w:rPr>
                <w:b/>
                <w:bCs/>
                <w:i w:val="0"/>
                <w:iCs w:val="0"/>
                <w:color w:val="auto"/>
                <w:sz w:val="24"/>
                <w:szCs w:val="24"/>
                <w:lang w:val="es-GT"/>
              </w:rPr>
              <w:t xml:space="preserve">Gráfico </w:t>
            </w:r>
            <w:r w:rsidRPr="00962D40">
              <w:rPr>
                <w:b/>
                <w:bCs/>
                <w:i w:val="0"/>
                <w:iCs w:val="0"/>
                <w:color w:val="auto"/>
                <w:sz w:val="24"/>
                <w:szCs w:val="24"/>
              </w:rPr>
              <w:fldChar w:fldCharType="begin"/>
            </w:r>
            <w:r w:rsidRPr="00962D40">
              <w:rPr>
                <w:b/>
                <w:bCs/>
                <w:i w:val="0"/>
                <w:iCs w:val="0"/>
                <w:color w:val="auto"/>
                <w:sz w:val="24"/>
                <w:szCs w:val="24"/>
                <w:lang w:val="es-GT"/>
              </w:rPr>
              <w:instrText xml:space="preserve"> SEQ Gráfico \* ARABIC </w:instrText>
            </w:r>
            <w:r w:rsidRPr="00962D40">
              <w:rPr>
                <w:b/>
                <w:bCs/>
                <w:i w:val="0"/>
                <w:iCs w:val="0"/>
                <w:color w:val="auto"/>
                <w:sz w:val="24"/>
                <w:szCs w:val="24"/>
              </w:rPr>
              <w:fldChar w:fldCharType="separate"/>
            </w:r>
            <w:r w:rsidR="006622B2">
              <w:rPr>
                <w:b/>
                <w:bCs/>
                <w:i w:val="0"/>
                <w:iCs w:val="0"/>
                <w:noProof/>
                <w:color w:val="auto"/>
                <w:sz w:val="24"/>
                <w:szCs w:val="24"/>
                <w:lang w:val="es-GT"/>
              </w:rPr>
              <w:t>40</w:t>
            </w:r>
            <w:r w:rsidRPr="00962D40">
              <w:rPr>
                <w:b/>
                <w:bCs/>
                <w:i w:val="0"/>
                <w:iCs w:val="0"/>
                <w:color w:val="auto"/>
                <w:sz w:val="24"/>
                <w:szCs w:val="24"/>
              </w:rPr>
              <w:fldChar w:fldCharType="end"/>
            </w:r>
            <w:r w:rsidRPr="00962D40">
              <w:rPr>
                <w:b/>
                <w:bCs/>
                <w:i w:val="0"/>
                <w:iCs w:val="0"/>
                <w:color w:val="auto"/>
                <w:sz w:val="24"/>
                <w:szCs w:val="24"/>
                <w:lang w:val="es-GT"/>
              </w:rPr>
              <w:t>.  Diagrama de Pareto para las exportaciones e importaciones de comercio exterior acumuladas a junio de 2023</w:t>
            </w:r>
            <w:bookmarkEnd w:id="87"/>
            <w:r w:rsidRPr="00962D40">
              <w:rPr>
                <w:b/>
                <w:bCs/>
                <w:i w:val="0"/>
                <w:iCs w:val="0"/>
                <w:color w:val="auto"/>
                <w:sz w:val="24"/>
                <w:szCs w:val="24"/>
                <w:lang w:val="es-GT"/>
              </w:rPr>
              <w:t xml:space="preserve"> </w:t>
            </w:r>
          </w:p>
        </w:tc>
      </w:tr>
      <w:tr w:rsidR="00962D40" w:rsidRPr="00962D40" w14:paraId="2F526999" w14:textId="77777777" w:rsidTr="009A47AF">
        <w:trPr>
          <w:trHeight w:val="238"/>
          <w:jc w:val="center"/>
        </w:trPr>
        <w:tc>
          <w:tcPr>
            <w:tcW w:w="4640" w:type="dxa"/>
          </w:tcPr>
          <w:p w14:paraId="44EC6C74" w14:textId="77777777" w:rsidR="00962D40" w:rsidRPr="00962D40" w:rsidRDefault="00962D40" w:rsidP="00F75999">
            <w:pPr>
              <w:jc w:val="center"/>
              <w:rPr>
                <w:b/>
                <w:bCs/>
              </w:rPr>
            </w:pPr>
            <w:r w:rsidRPr="00962D40">
              <w:rPr>
                <w:lang w:val="es-MX"/>
              </w:rPr>
              <w:t>Exportaciones FOB</w:t>
            </w:r>
          </w:p>
        </w:tc>
        <w:tc>
          <w:tcPr>
            <w:tcW w:w="4640" w:type="dxa"/>
          </w:tcPr>
          <w:p w14:paraId="3D097821" w14:textId="77777777" w:rsidR="00962D40" w:rsidRPr="00962D40" w:rsidRDefault="00962D40" w:rsidP="00F75999">
            <w:pPr>
              <w:jc w:val="center"/>
              <w:rPr>
                <w:bCs/>
                <w:lang w:val="es-MX"/>
              </w:rPr>
            </w:pPr>
            <w:r w:rsidRPr="00962D40">
              <w:rPr>
                <w:bCs/>
              </w:rPr>
              <w:t>Importaciones CIF</w:t>
            </w:r>
          </w:p>
        </w:tc>
      </w:tr>
      <w:tr w:rsidR="00962D40" w:rsidRPr="00962D40" w14:paraId="5676EE5A" w14:textId="77777777" w:rsidTr="009A47AF">
        <w:tblPrEx>
          <w:tblCellMar>
            <w:left w:w="70" w:type="dxa"/>
            <w:right w:w="70" w:type="dxa"/>
          </w:tblCellMar>
        </w:tblPrEx>
        <w:trPr>
          <w:trHeight w:val="1082"/>
          <w:jc w:val="center"/>
        </w:trPr>
        <w:tc>
          <w:tcPr>
            <w:tcW w:w="4640" w:type="dxa"/>
          </w:tcPr>
          <w:p w14:paraId="07A9E3BC" w14:textId="766EB205" w:rsidR="00962D40" w:rsidRPr="00962D40" w:rsidRDefault="00962D40" w:rsidP="00F75999">
            <w:pPr>
              <w:jc w:val="center"/>
              <w:rPr>
                <w:lang w:val="es-MX"/>
              </w:rPr>
            </w:pPr>
            <w:r w:rsidRPr="00962D40">
              <w:rPr>
                <w:noProof/>
              </w:rPr>
              <w:drawing>
                <wp:inline distT="0" distB="0" distL="0" distR="0" wp14:anchorId="4296D108" wp14:editId="3F13E657">
                  <wp:extent cx="2879725" cy="1901825"/>
                  <wp:effectExtent l="0" t="0" r="0" b="3175"/>
                  <wp:docPr id="236" name="Gráfico 2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tc>
        <w:tc>
          <w:tcPr>
            <w:tcW w:w="4640" w:type="dxa"/>
          </w:tcPr>
          <w:p w14:paraId="1B924BE9" w14:textId="00237D4B" w:rsidR="00962D40" w:rsidRPr="00962D40" w:rsidRDefault="00962D40" w:rsidP="00F75999">
            <w:pPr>
              <w:jc w:val="center"/>
              <w:rPr>
                <w:lang w:val="es-MX"/>
              </w:rPr>
            </w:pPr>
            <w:r w:rsidRPr="00962D40">
              <w:rPr>
                <w:noProof/>
              </w:rPr>
              <w:drawing>
                <wp:inline distT="0" distB="0" distL="0" distR="0" wp14:anchorId="2EDE006A" wp14:editId="2C20B094">
                  <wp:extent cx="2879725" cy="1901952"/>
                  <wp:effectExtent l="0" t="0" r="0" b="3175"/>
                  <wp:docPr id="205" name="Gráfico 20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tc>
      </w:tr>
      <w:tr w:rsidR="00962D40" w:rsidRPr="00962D40" w14:paraId="22CC3011" w14:textId="77777777" w:rsidTr="009A47AF">
        <w:tblPrEx>
          <w:tblCellMar>
            <w:left w:w="70" w:type="dxa"/>
            <w:right w:w="70" w:type="dxa"/>
          </w:tblCellMar>
        </w:tblPrEx>
        <w:trPr>
          <w:trHeight w:val="62"/>
          <w:jc w:val="center"/>
        </w:trPr>
        <w:tc>
          <w:tcPr>
            <w:tcW w:w="9280" w:type="dxa"/>
            <w:gridSpan w:val="2"/>
          </w:tcPr>
          <w:p w14:paraId="2BA2E231" w14:textId="77777777" w:rsidR="00962D40" w:rsidRPr="00962D40" w:rsidRDefault="00962D40" w:rsidP="00F75999">
            <w:pPr>
              <w:jc w:val="both"/>
              <w:rPr>
                <w:noProof/>
                <w:sz w:val="18"/>
                <w:szCs w:val="18"/>
              </w:rPr>
            </w:pPr>
            <w:r w:rsidRPr="00962D40">
              <w:rPr>
                <w:noProof/>
                <w:sz w:val="18"/>
                <w:szCs w:val="18"/>
              </w:rPr>
              <w:t xml:space="preserve">      Fuente: Banco de Guatemala.</w:t>
            </w:r>
          </w:p>
        </w:tc>
      </w:tr>
    </w:tbl>
    <w:p w14:paraId="0E5CD3D8" w14:textId="77777777" w:rsidR="00962D40" w:rsidRPr="00962D40" w:rsidRDefault="00962D40" w:rsidP="00962D40">
      <w:pPr>
        <w:jc w:val="both"/>
      </w:pPr>
    </w:p>
    <w:p w14:paraId="1A37CCE1" w14:textId="77777777" w:rsidR="00962D40" w:rsidRPr="00962D40" w:rsidRDefault="00962D40" w:rsidP="00962D40">
      <w:pPr>
        <w:jc w:val="both"/>
      </w:pPr>
      <w:r w:rsidRPr="00962D40">
        <w:t>El Banco de Guatemala prevé que las exportaciones de bienes tengan un crecimiento anual para 2023 de oscilando entre 4.5% y 7.5% esto dado que se espera que los principales socios comerciales continúen mostrando una resiliencia económica antes las condiciones globales actuales, principalmente Estados Unidos. Por otro lado, y en base al crecimiento esperado de la demanda interna, se espera que las importaciones tengan un crecimiento entre 6.5% a 9.5%.</w:t>
      </w:r>
    </w:p>
    <w:p w14:paraId="69BB8B2F" w14:textId="77777777" w:rsidR="00962D40" w:rsidRPr="00962D40" w:rsidRDefault="00962D40" w:rsidP="00962D40">
      <w:pPr>
        <w:jc w:val="both"/>
      </w:pPr>
    </w:p>
    <w:p w14:paraId="5AD773CC" w14:textId="77777777" w:rsidR="00962D40" w:rsidRPr="00962D40" w:rsidRDefault="00962D40" w:rsidP="00962D40">
      <w:pPr>
        <w:jc w:val="both"/>
      </w:pPr>
      <w:r w:rsidRPr="00962D40">
        <w:t>Por otro lado, el ingreso de divisas por remesas familiares alcanzó un monto de US$9,658.0 millones a junio de 2023, superior en US$946.6 millones (10.9%), respecto del monto observado en igual periodo del año previo. Se espera que el mercado laboral estadounidense se mantenga estable, particularmente en el empleo hispano y que persista el flujo migratorio, por lo que se estima que el ingreso de divisas por remesas familiares esté entre 6.0% y 9.0%, lo que proporcionaría saldos superavitarios en el ingreso secundario que nuevamente compensarían los déficits esperados del ingreso primario y de la balanza comercial de bienes y servicios. Derivado de lo anterior, el superávit de la cuenta corriente podría representar el 1.1% del PIB de 2023.</w:t>
      </w:r>
    </w:p>
    <w:p w14:paraId="16823E44" w14:textId="77777777" w:rsidR="00962D40" w:rsidRPr="00962D40" w:rsidRDefault="00962D40" w:rsidP="00962D40">
      <w:pPr>
        <w:jc w:val="both"/>
      </w:pPr>
    </w:p>
    <w:p w14:paraId="1D9B726C" w14:textId="77777777" w:rsidR="00962D40" w:rsidRPr="00962D40" w:rsidRDefault="00962D40" w:rsidP="00962D40">
      <w:pPr>
        <w:jc w:val="both"/>
      </w:pPr>
      <w:r w:rsidRPr="00962D40">
        <w:t>El superávit de la cuenta corriente y los flujos de inversión extranjera directa permitirán la reducción de pasivos y el aumento de activos en la cuenta financiera, lo que se reflejará en un aumento del préstamo neto a los no residentes de la economía y el fortalecimiento de la posición de inversión internacional.</w:t>
      </w:r>
    </w:p>
    <w:p w14:paraId="6F816A28" w14:textId="77777777" w:rsidR="00962D40" w:rsidRPr="00962D40" w:rsidRDefault="00962D40" w:rsidP="00962D40">
      <w:pPr>
        <w:jc w:val="both"/>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4"/>
      </w:tblGrid>
      <w:tr w:rsidR="00962D40" w:rsidRPr="00962D40" w14:paraId="59CDEAB6" w14:textId="77777777" w:rsidTr="00F75999">
        <w:trPr>
          <w:trHeight w:val="267"/>
          <w:jc w:val="center"/>
        </w:trPr>
        <w:tc>
          <w:tcPr>
            <w:tcW w:w="8064" w:type="dxa"/>
          </w:tcPr>
          <w:p w14:paraId="52D260F7" w14:textId="621C625C" w:rsidR="00962D40" w:rsidRPr="00962D40" w:rsidRDefault="00962D40" w:rsidP="00F75999">
            <w:pPr>
              <w:keepNext/>
              <w:jc w:val="center"/>
              <w:rPr>
                <w:b/>
                <w:bCs/>
                <w:lang w:val="es-GT"/>
              </w:rPr>
            </w:pPr>
            <w:bookmarkStart w:id="88" w:name="_Toc143870708"/>
            <w:r w:rsidRPr="00962D40">
              <w:rPr>
                <w:b/>
                <w:bCs/>
                <w:lang w:val="es-GT"/>
              </w:rPr>
              <w:t xml:space="preserve">Gráfico </w:t>
            </w:r>
            <w:r w:rsidRPr="00962D40">
              <w:rPr>
                <w:b/>
                <w:bCs/>
              </w:rPr>
              <w:fldChar w:fldCharType="begin"/>
            </w:r>
            <w:r w:rsidRPr="00962D40">
              <w:rPr>
                <w:b/>
                <w:bCs/>
                <w:lang w:val="es-GT"/>
              </w:rPr>
              <w:instrText xml:space="preserve"> SEQ Gráfico \* ARABIC </w:instrText>
            </w:r>
            <w:r w:rsidRPr="00962D40">
              <w:rPr>
                <w:b/>
                <w:bCs/>
              </w:rPr>
              <w:fldChar w:fldCharType="separate"/>
            </w:r>
            <w:r w:rsidR="006622B2">
              <w:rPr>
                <w:b/>
                <w:bCs/>
                <w:noProof/>
                <w:lang w:val="es-GT"/>
              </w:rPr>
              <w:t>41</w:t>
            </w:r>
            <w:r w:rsidRPr="00962D40">
              <w:rPr>
                <w:b/>
                <w:bCs/>
              </w:rPr>
              <w:fldChar w:fldCharType="end"/>
            </w:r>
            <w:r w:rsidRPr="00962D40">
              <w:rPr>
                <w:b/>
                <w:bCs/>
                <w:lang w:val="es-GT"/>
              </w:rPr>
              <w:t>.  Pronóstico de la tasa de crecimiento de las principales variables del sector externo</w:t>
            </w:r>
            <w:bookmarkEnd w:id="88"/>
          </w:p>
          <w:p w14:paraId="6BDEB4E0" w14:textId="77777777" w:rsidR="00962D40" w:rsidRPr="00962D40" w:rsidRDefault="00962D40" w:rsidP="00F75999">
            <w:pPr>
              <w:keepNext/>
              <w:jc w:val="center"/>
            </w:pPr>
            <w:r w:rsidRPr="00962D40">
              <w:rPr>
                <w:sz w:val="22"/>
                <w:szCs w:val="22"/>
              </w:rPr>
              <w:t>(En porcentaje)</w:t>
            </w:r>
          </w:p>
        </w:tc>
      </w:tr>
      <w:tr w:rsidR="00962D40" w:rsidRPr="00962D40" w14:paraId="0E6867AD" w14:textId="77777777" w:rsidTr="00F75999">
        <w:tblPrEx>
          <w:tblCellMar>
            <w:left w:w="70" w:type="dxa"/>
            <w:right w:w="70" w:type="dxa"/>
          </w:tblCellMar>
        </w:tblPrEx>
        <w:trPr>
          <w:trHeight w:val="1212"/>
          <w:jc w:val="center"/>
        </w:trPr>
        <w:tc>
          <w:tcPr>
            <w:tcW w:w="8064" w:type="dxa"/>
          </w:tcPr>
          <w:p w14:paraId="4BB23357" w14:textId="6350CB03" w:rsidR="00962D40" w:rsidRPr="00962D40" w:rsidRDefault="00962D40" w:rsidP="00F75999">
            <w:pPr>
              <w:jc w:val="center"/>
              <w:rPr>
                <w:lang w:val="es-MX"/>
              </w:rPr>
            </w:pPr>
            <w:r w:rsidRPr="00962D40">
              <w:rPr>
                <w:noProof/>
              </w:rPr>
              <w:drawing>
                <wp:inline distT="0" distB="0" distL="0" distR="0" wp14:anchorId="15C2BA8D" wp14:editId="7A2C6194">
                  <wp:extent cx="4923130" cy="1982419"/>
                  <wp:effectExtent l="0" t="0" r="0" b="0"/>
                  <wp:docPr id="204" name="Gráfico 2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tc>
      </w:tr>
      <w:tr w:rsidR="00962D40" w:rsidRPr="00962D40" w14:paraId="7146FC6D" w14:textId="77777777" w:rsidTr="00F75999">
        <w:tblPrEx>
          <w:tblCellMar>
            <w:left w:w="70" w:type="dxa"/>
            <w:right w:w="70" w:type="dxa"/>
          </w:tblCellMar>
        </w:tblPrEx>
        <w:trPr>
          <w:trHeight w:val="70"/>
          <w:jc w:val="center"/>
        </w:trPr>
        <w:tc>
          <w:tcPr>
            <w:tcW w:w="8064" w:type="dxa"/>
          </w:tcPr>
          <w:p w14:paraId="565E0DDF" w14:textId="77777777" w:rsidR="00962D40" w:rsidRPr="00962D40" w:rsidRDefault="00962D40" w:rsidP="00F75999">
            <w:pPr>
              <w:jc w:val="both"/>
              <w:rPr>
                <w:noProof/>
                <w:sz w:val="18"/>
                <w:szCs w:val="18"/>
              </w:rPr>
            </w:pPr>
            <w:r w:rsidRPr="00962D40">
              <w:rPr>
                <w:noProof/>
                <w:sz w:val="18"/>
                <w:szCs w:val="18"/>
              </w:rPr>
              <w:t xml:space="preserve">      Fuente: Banco de Guatemala.</w:t>
            </w:r>
          </w:p>
        </w:tc>
      </w:tr>
    </w:tbl>
    <w:p w14:paraId="4B4EC853" w14:textId="77777777" w:rsidR="00962D40" w:rsidRPr="00962D40" w:rsidRDefault="00962D40" w:rsidP="00962D40">
      <w:pPr>
        <w:jc w:val="both"/>
      </w:pPr>
    </w:p>
    <w:p w14:paraId="2867F331" w14:textId="77777777" w:rsidR="00962D40" w:rsidRPr="00962D40" w:rsidRDefault="00962D40" w:rsidP="00962D40">
      <w:pPr>
        <w:jc w:val="both"/>
      </w:pPr>
      <w:r w:rsidRPr="00962D40">
        <w:t>El tipo de cambio nominal de referencia registró a junio de 2023, una apreciación con respecto al de finales de 2022 de 0.08%, resultado congruente con la evolución de sus fundamentos, en particular el crecimiento del flujo de remesas familiares y el comportamiento de las exportaciones. Se prevé que para diciembre del presente año el tipo de cambio sea alrededor de Q7.85 por US$ 1.00.</w:t>
      </w:r>
    </w:p>
    <w:p w14:paraId="36E96CE0" w14:textId="77777777" w:rsidR="00962D40" w:rsidRPr="00962D40" w:rsidRDefault="00962D40" w:rsidP="00962D40">
      <w:pPr>
        <w:jc w:val="both"/>
      </w:pPr>
    </w:p>
    <w:p w14:paraId="3402B18E" w14:textId="77777777" w:rsidR="00962D40" w:rsidRPr="00962D40" w:rsidRDefault="00962D40" w:rsidP="00962D40">
      <w:pPr>
        <w:jc w:val="both"/>
      </w:pPr>
      <w:r w:rsidRPr="00962D40">
        <w:t>En ese contexto, el Banco Central continuó participando en el mercado cambiario con el objetivo de reducir la volatilidad del tipo de cambio nominal, realizando, mediante la regla de participación, compras por USD$70.0 millones y ventas por USD$123.8 millones.</w:t>
      </w:r>
    </w:p>
    <w:p w14:paraId="666268CE" w14:textId="77777777" w:rsidR="00962D40" w:rsidRPr="00962D40" w:rsidRDefault="00962D40" w:rsidP="00962D40">
      <w:pPr>
        <w:jc w:val="both"/>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4"/>
      </w:tblGrid>
      <w:tr w:rsidR="00962D40" w:rsidRPr="00962D40" w14:paraId="64DA0C85" w14:textId="77777777" w:rsidTr="00F75999">
        <w:trPr>
          <w:trHeight w:val="267"/>
          <w:jc w:val="center"/>
        </w:trPr>
        <w:tc>
          <w:tcPr>
            <w:tcW w:w="8064" w:type="dxa"/>
          </w:tcPr>
          <w:p w14:paraId="1A55B3A9" w14:textId="62BBB40D" w:rsidR="00962D40" w:rsidRPr="00962D40" w:rsidRDefault="00962D40" w:rsidP="00F75999">
            <w:pPr>
              <w:pStyle w:val="Descripcin"/>
              <w:spacing w:after="0"/>
              <w:jc w:val="center"/>
              <w:rPr>
                <w:b/>
                <w:bCs/>
                <w:i w:val="0"/>
                <w:iCs w:val="0"/>
                <w:sz w:val="24"/>
                <w:szCs w:val="24"/>
                <w:lang w:val="es-GT"/>
              </w:rPr>
            </w:pPr>
            <w:bookmarkStart w:id="89" w:name="_Toc143870709"/>
            <w:r w:rsidRPr="00962D40">
              <w:rPr>
                <w:b/>
                <w:bCs/>
                <w:i w:val="0"/>
                <w:iCs w:val="0"/>
                <w:color w:val="auto"/>
                <w:sz w:val="24"/>
                <w:szCs w:val="24"/>
                <w:lang w:val="es-GT"/>
              </w:rPr>
              <w:t xml:space="preserve">Gráfico </w:t>
            </w:r>
            <w:r w:rsidRPr="00962D40">
              <w:rPr>
                <w:b/>
                <w:bCs/>
                <w:i w:val="0"/>
                <w:iCs w:val="0"/>
                <w:color w:val="auto"/>
                <w:sz w:val="24"/>
                <w:szCs w:val="24"/>
              </w:rPr>
              <w:fldChar w:fldCharType="begin"/>
            </w:r>
            <w:r w:rsidRPr="00962D40">
              <w:rPr>
                <w:b/>
                <w:bCs/>
                <w:i w:val="0"/>
                <w:iCs w:val="0"/>
                <w:color w:val="auto"/>
                <w:sz w:val="24"/>
                <w:szCs w:val="24"/>
                <w:lang w:val="es-GT"/>
              </w:rPr>
              <w:instrText xml:space="preserve"> SEQ Gráfico \* ARABIC </w:instrText>
            </w:r>
            <w:r w:rsidRPr="00962D40">
              <w:rPr>
                <w:b/>
                <w:bCs/>
                <w:i w:val="0"/>
                <w:iCs w:val="0"/>
                <w:color w:val="auto"/>
                <w:sz w:val="24"/>
                <w:szCs w:val="24"/>
              </w:rPr>
              <w:fldChar w:fldCharType="separate"/>
            </w:r>
            <w:r w:rsidR="006622B2">
              <w:rPr>
                <w:b/>
                <w:bCs/>
                <w:i w:val="0"/>
                <w:iCs w:val="0"/>
                <w:noProof/>
                <w:color w:val="auto"/>
                <w:sz w:val="24"/>
                <w:szCs w:val="24"/>
                <w:lang w:val="es-GT"/>
              </w:rPr>
              <w:t>42</w:t>
            </w:r>
            <w:r w:rsidRPr="00962D40">
              <w:rPr>
                <w:b/>
                <w:bCs/>
                <w:i w:val="0"/>
                <w:iCs w:val="0"/>
                <w:color w:val="auto"/>
                <w:sz w:val="24"/>
                <w:szCs w:val="24"/>
              </w:rPr>
              <w:fldChar w:fldCharType="end"/>
            </w:r>
            <w:r w:rsidRPr="00962D40">
              <w:rPr>
                <w:b/>
                <w:bCs/>
                <w:i w:val="0"/>
                <w:iCs w:val="0"/>
                <w:color w:val="auto"/>
                <w:sz w:val="24"/>
                <w:szCs w:val="24"/>
                <w:lang w:val="es-GT"/>
              </w:rPr>
              <w:t>.  Tipo de cambio de referencia</w:t>
            </w:r>
            <w:bookmarkEnd w:id="89"/>
          </w:p>
        </w:tc>
      </w:tr>
      <w:tr w:rsidR="00962D40" w:rsidRPr="00962D40" w14:paraId="74B4A1EE" w14:textId="77777777" w:rsidTr="00F75999">
        <w:tblPrEx>
          <w:tblCellMar>
            <w:left w:w="70" w:type="dxa"/>
            <w:right w:w="70" w:type="dxa"/>
          </w:tblCellMar>
        </w:tblPrEx>
        <w:trPr>
          <w:trHeight w:val="1212"/>
          <w:jc w:val="center"/>
        </w:trPr>
        <w:tc>
          <w:tcPr>
            <w:tcW w:w="8064" w:type="dxa"/>
          </w:tcPr>
          <w:p w14:paraId="1C1F3804" w14:textId="2EC19F38" w:rsidR="00962D40" w:rsidRPr="00962D40" w:rsidRDefault="00962D40" w:rsidP="00F75999">
            <w:pPr>
              <w:jc w:val="center"/>
              <w:rPr>
                <w:lang w:val="es-MX"/>
              </w:rPr>
            </w:pPr>
            <w:r w:rsidRPr="00962D40">
              <w:rPr>
                <w:noProof/>
              </w:rPr>
              <w:drawing>
                <wp:inline distT="0" distB="0" distL="0" distR="0" wp14:anchorId="6A7B771B" wp14:editId="269CFB63">
                  <wp:extent cx="4679315" cy="2011680"/>
                  <wp:effectExtent l="0" t="0" r="6985" b="7620"/>
                  <wp:docPr id="203" name="Gráfico 2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tc>
      </w:tr>
      <w:tr w:rsidR="00962D40" w:rsidRPr="004E2E1E" w14:paraId="4DFF3644" w14:textId="77777777" w:rsidTr="00F75999">
        <w:tblPrEx>
          <w:tblCellMar>
            <w:left w:w="70" w:type="dxa"/>
            <w:right w:w="70" w:type="dxa"/>
          </w:tblCellMar>
        </w:tblPrEx>
        <w:trPr>
          <w:trHeight w:val="70"/>
          <w:jc w:val="center"/>
        </w:trPr>
        <w:tc>
          <w:tcPr>
            <w:tcW w:w="8064" w:type="dxa"/>
          </w:tcPr>
          <w:p w14:paraId="50B5154E" w14:textId="77777777" w:rsidR="00962D40" w:rsidRPr="004E2E1E" w:rsidRDefault="00962D40" w:rsidP="00F75999">
            <w:pPr>
              <w:jc w:val="both"/>
              <w:rPr>
                <w:noProof/>
                <w:sz w:val="18"/>
                <w:szCs w:val="18"/>
              </w:rPr>
            </w:pPr>
            <w:r w:rsidRPr="00962D40">
              <w:rPr>
                <w:noProof/>
                <w:sz w:val="18"/>
                <w:szCs w:val="18"/>
              </w:rPr>
              <w:t xml:space="preserve">      Fuente: Banco de Guatemala</w:t>
            </w:r>
          </w:p>
        </w:tc>
      </w:tr>
    </w:tbl>
    <w:p w14:paraId="79CFCD27" w14:textId="33FE495B" w:rsidR="00962D40" w:rsidRDefault="00962D40" w:rsidP="00962D40"/>
    <w:p w14:paraId="3D3B6483" w14:textId="31BE3F73" w:rsidR="00C64CB5" w:rsidRPr="0025774B" w:rsidRDefault="00C64CB5" w:rsidP="00354A9C">
      <w:pPr>
        <w:pStyle w:val="Ttulo2"/>
        <w:numPr>
          <w:ilvl w:val="0"/>
          <w:numId w:val="48"/>
        </w:numPr>
        <w:ind w:left="426" w:hanging="283"/>
        <w:rPr>
          <w:rFonts w:ascii="Times New Roman" w:hAnsi="Times New Roman" w:cs="Times New Roman"/>
          <w:b/>
          <w:bCs/>
          <w:color w:val="auto"/>
          <w:sz w:val="24"/>
          <w:szCs w:val="24"/>
          <w:lang w:val="es-MX"/>
        </w:rPr>
      </w:pPr>
      <w:bookmarkStart w:id="90" w:name="_Toc143865807"/>
      <w:r w:rsidRPr="0025774B">
        <w:rPr>
          <w:rFonts w:ascii="Times New Roman" w:hAnsi="Times New Roman" w:cs="Times New Roman"/>
          <w:b/>
          <w:bCs/>
          <w:color w:val="auto"/>
          <w:sz w:val="24"/>
          <w:szCs w:val="24"/>
          <w:lang w:val="es-MX"/>
        </w:rPr>
        <w:t>Escenario macroeconómico de mediano plazo (2024-2028)</w:t>
      </w:r>
      <w:bookmarkEnd w:id="90"/>
    </w:p>
    <w:p w14:paraId="14B51434" w14:textId="496E543A" w:rsidR="00F34098" w:rsidRDefault="00F34098" w:rsidP="00E85FB3">
      <w:pPr>
        <w:jc w:val="both"/>
      </w:pPr>
    </w:p>
    <w:p w14:paraId="5FA6220D" w14:textId="5154F442" w:rsidR="0026240E" w:rsidRPr="00333366" w:rsidRDefault="0026240E" w:rsidP="0026240E">
      <w:pPr>
        <w:jc w:val="both"/>
      </w:pPr>
      <w:r>
        <w:t xml:space="preserve">En esta sección se describe el escenario macroeconómico de mediano plazo para las principales variables macroeconómicas del 2024-2028, como lo es el producto interno bruto real y nominal, las exportaciones, importaciones e inflación, elaboradas por el Banco de Guatemala, así </w:t>
      </w:r>
      <w:r w:rsidR="00DB1FFB">
        <w:t xml:space="preserve">como </w:t>
      </w:r>
      <w:r>
        <w:t xml:space="preserve">proyecciones propias del Ministerio de Finanzas Públicas para pronosticar el tipo de cambio nominal y la tasa de interés de las operaciones del gobierno. Los supuestos alrededor de las variables son descritos en esta sección. Para el 2024, los organismos internacionales esperan una mejora en el crecimiento de la economía mundial debido a la reducción esperada de la inflación en este año y a la disminución de los efectos </w:t>
      </w:r>
      <w:r w:rsidRPr="00333366">
        <w:t xml:space="preserve">negativos de la guerra de Rusia y Ucrania, particularmente en los precios del crudo de petróleo. Después del 2024, se espera un crecimiento que converja gradualmente a su nivel de largo plazo. </w:t>
      </w:r>
    </w:p>
    <w:p w14:paraId="41446C17" w14:textId="77777777" w:rsidR="0026240E" w:rsidRPr="00333366" w:rsidRDefault="0026240E" w:rsidP="0026240E">
      <w:pPr>
        <w:jc w:val="both"/>
      </w:pPr>
    </w:p>
    <w:p w14:paraId="28A20F23" w14:textId="37016475" w:rsidR="0026240E" w:rsidRDefault="0026240E" w:rsidP="0026240E">
      <w:pPr>
        <w:jc w:val="both"/>
      </w:pPr>
      <w:r w:rsidRPr="00333366">
        <w:t xml:space="preserve">De igual manera, se espera en el 2024 que la economía nacional siga en recuperación como resultado de la mejora de la demanda interna y externa. También se espera un crecimiento positivo de las principales actividades económicas según su participación, como lo son la industria manufacturera, el comercio, mantenimiento y reparación de vehículos; entre otras. Las expectativas de inflación para el 2024 se mantendrán ancladas en el margen de tolerancia de la meta de inflación, pero existen riesgos al alza entre los cuales destaca los choques de oferta </w:t>
      </w:r>
      <w:r w:rsidR="00333366" w:rsidRPr="00333366">
        <w:t>que genera un</w:t>
      </w:r>
      <w:r w:rsidRPr="00333366">
        <w:t xml:space="preserve"> aumento </w:t>
      </w:r>
      <w:r w:rsidR="00333366" w:rsidRPr="00333366">
        <w:t xml:space="preserve">de precios </w:t>
      </w:r>
      <w:r w:rsidRPr="00333366">
        <w:t>de las materias primas internacionales de energía y agricultura.</w:t>
      </w:r>
    </w:p>
    <w:p w14:paraId="339CC23D" w14:textId="1FD479F3" w:rsidR="0026240E" w:rsidRDefault="0026240E" w:rsidP="0026240E">
      <w:pPr>
        <w:jc w:val="both"/>
      </w:pPr>
    </w:p>
    <w:p w14:paraId="3557264F" w14:textId="49832A44" w:rsidR="0026240E" w:rsidRPr="0025774B" w:rsidRDefault="00FC3890" w:rsidP="00354A9C">
      <w:pPr>
        <w:pStyle w:val="Ttulo3"/>
        <w:numPr>
          <w:ilvl w:val="1"/>
          <w:numId w:val="48"/>
        </w:numPr>
        <w:tabs>
          <w:tab w:val="left" w:pos="1134"/>
        </w:tabs>
        <w:rPr>
          <w:rFonts w:ascii="Times New Roman" w:hAnsi="Times New Roman" w:cs="Times New Roman"/>
          <w:b/>
          <w:bCs/>
          <w:color w:val="auto"/>
          <w:lang w:val="es-MX"/>
        </w:rPr>
      </w:pPr>
      <w:bookmarkStart w:id="91" w:name="_Toc143865808"/>
      <w:r w:rsidRPr="0025774B">
        <w:rPr>
          <w:rFonts w:ascii="Times New Roman" w:hAnsi="Times New Roman" w:cs="Times New Roman"/>
          <w:b/>
          <w:bCs/>
          <w:color w:val="auto"/>
          <w:lang w:val="es-MX"/>
        </w:rPr>
        <w:t>Supuestos macroeconómicos</w:t>
      </w:r>
      <w:bookmarkEnd w:id="91"/>
    </w:p>
    <w:p w14:paraId="59BE847C" w14:textId="77FE35AB" w:rsidR="0026240E" w:rsidRDefault="0026240E" w:rsidP="00E85FB3">
      <w:pPr>
        <w:jc w:val="both"/>
      </w:pPr>
    </w:p>
    <w:p w14:paraId="6E5DE3CB" w14:textId="1D563EF3" w:rsidR="00FC3890" w:rsidRPr="0025774B" w:rsidRDefault="00FC3890" w:rsidP="00354A9C">
      <w:pPr>
        <w:pStyle w:val="Ttulo3"/>
        <w:numPr>
          <w:ilvl w:val="2"/>
          <w:numId w:val="48"/>
        </w:numPr>
        <w:tabs>
          <w:tab w:val="left" w:pos="1134"/>
        </w:tabs>
        <w:rPr>
          <w:rFonts w:ascii="Times New Roman" w:hAnsi="Times New Roman" w:cs="Times New Roman"/>
          <w:b/>
          <w:bCs/>
          <w:color w:val="auto"/>
          <w:lang w:val="es-MX"/>
        </w:rPr>
      </w:pPr>
      <w:bookmarkStart w:id="92" w:name="_Toc143865809"/>
      <w:r w:rsidRPr="0025774B">
        <w:rPr>
          <w:rFonts w:ascii="Times New Roman" w:hAnsi="Times New Roman" w:cs="Times New Roman"/>
          <w:b/>
          <w:bCs/>
          <w:color w:val="auto"/>
          <w:lang w:val="es-MX"/>
        </w:rPr>
        <w:t>Contexto internacional</w:t>
      </w:r>
      <w:bookmarkEnd w:id="92"/>
    </w:p>
    <w:p w14:paraId="3FE56482" w14:textId="37306CB2" w:rsidR="00FC3890" w:rsidRDefault="00FC3890" w:rsidP="00E85FB3">
      <w:pPr>
        <w:jc w:val="both"/>
      </w:pPr>
    </w:p>
    <w:p w14:paraId="2102064A" w14:textId="10D827CC" w:rsidR="00FC3890" w:rsidRDefault="00FC3890" w:rsidP="00FC3890">
      <w:pPr>
        <w:jc w:val="both"/>
      </w:pPr>
      <w:r>
        <w:t xml:space="preserve">Según las </w:t>
      </w:r>
      <w:r w:rsidRPr="00635058">
        <w:t>proyecciones del Fondo Monetario internacional</w:t>
      </w:r>
      <w:r w:rsidR="00DB1FFB" w:rsidRPr="00635058">
        <w:t>,</w:t>
      </w:r>
      <w:r w:rsidRPr="00635058">
        <w:t xml:space="preserve"> el crecimiento económico mundial se ubicará en 3</w:t>
      </w:r>
      <w:r w:rsidR="00635058" w:rsidRPr="00635058">
        <w:t>.</w:t>
      </w:r>
      <w:r w:rsidRPr="00635058">
        <w:t>0% para 2024</w:t>
      </w:r>
      <w:r>
        <w:t xml:space="preserve"> y se reduciría levemente hasta tener un crecimiento de 3.0% en 2028. Este escenario para el mediano plazo est</w:t>
      </w:r>
      <w:r w:rsidR="00546A49">
        <w:t>á</w:t>
      </w:r>
      <w:r>
        <w:t xml:space="preserve"> debajo de las anteriores perspectivas debido a los distintos choques adversos de inicios de 2022. Asimismo, este crecimiento es menor a los históricos dado que el crecimiento prepandemia del 2000 al 2009 fue en promedio 3.9% y el de 2010 al 2019 fue de 3.7%.</w:t>
      </w:r>
    </w:p>
    <w:p w14:paraId="432EDF97" w14:textId="77777777" w:rsidR="00FC3890" w:rsidRDefault="00FC3890" w:rsidP="00FC3890">
      <w:pPr>
        <w:jc w:val="both"/>
      </w:pPr>
    </w:p>
    <w:p w14:paraId="65B80DDC" w14:textId="02DEA311" w:rsidR="00FC3890" w:rsidRDefault="00FC3890" w:rsidP="00FC3890">
      <w:pPr>
        <w:jc w:val="both"/>
      </w:pPr>
      <w:r>
        <w:t>Para las economías avanzadas se espera que su crecimiento se aumente levemente a 1.4% en 2024 y aumente a 1.8% para 2028, convergiendo al bajo crecimiento característico de este tipo de economías. Para Estados Unidos</w:t>
      </w:r>
      <w:r w:rsidR="00546A49">
        <w:t>,</w:t>
      </w:r>
      <w:r>
        <w:t xml:space="preserve"> que es el principal socio comercial</w:t>
      </w:r>
      <w:r w:rsidR="00546A49">
        <w:t>,</w:t>
      </w:r>
      <w:r>
        <w:t xml:space="preserve"> se espera que su crecimiento </w:t>
      </w:r>
      <w:r w:rsidR="00546A49">
        <w:t xml:space="preserve">esté </w:t>
      </w:r>
      <w:r>
        <w:t>alrededor de 1.1% y que para 2028 se encuentre en 2.1%. Para la zona del euro se prevé un crecimiento de 1.6% para 2024 y un crecimiento de 1.4% para 2028</w:t>
      </w:r>
      <w:r w:rsidR="00635058">
        <w:t>.</w:t>
      </w:r>
    </w:p>
    <w:p w14:paraId="783D7452" w14:textId="77777777" w:rsidR="00FC3890" w:rsidRDefault="00FC3890" w:rsidP="00FC3890">
      <w:pPr>
        <w:jc w:val="both"/>
      </w:pPr>
    </w:p>
    <w:p w14:paraId="57C6AF78" w14:textId="119A47F0" w:rsidR="00FC3890" w:rsidRDefault="00FC3890" w:rsidP="00FC3890">
      <w:pPr>
        <w:jc w:val="both"/>
      </w:pPr>
      <w:r>
        <w:t xml:space="preserve">En lo que respecta a las economías emergentes se proyecta que su crecimiento sea más fuerte que el de las economías </w:t>
      </w:r>
      <w:r w:rsidRPr="00635058">
        <w:t>avanzadas y se ubique en 4.2% para 2024 y que aumente levemente has</w:t>
      </w:r>
      <w:r w:rsidR="00546A49" w:rsidRPr="00635058">
        <w:t>ta</w:t>
      </w:r>
      <w:r w:rsidRPr="00635058">
        <w:t xml:space="preserve"> 4.6% en 2028. En particular, para Latinoamérica</w:t>
      </w:r>
      <w:r w:rsidR="00546A49" w:rsidRPr="00635058">
        <w:t>,</w:t>
      </w:r>
      <w:r w:rsidRPr="00635058">
        <w:t xml:space="preserve"> también se prevé un crecimiento leve y estable cercano al 2</w:t>
      </w:r>
      <w:r w:rsidR="00635058" w:rsidRPr="00635058">
        <w:t>.3</w:t>
      </w:r>
      <w:r w:rsidRPr="00635058">
        <w:t>% en el mediano plazo, siendo consistente</w:t>
      </w:r>
      <w:r>
        <w:t xml:space="preserve"> con un endurecimiento de la política fiscal y monetaria, además de una lenta reintegración de los trabajadores al mercado laboral, además de un suavizamiento de la demanda externa al desacelerarse el crecimiento de las economías avanzada y se desvanece el apoyo del incremento de las materias primas.</w:t>
      </w:r>
    </w:p>
    <w:p w14:paraId="37DE70EE" w14:textId="13A860A2" w:rsidR="00FC3890" w:rsidRDefault="00FC3890" w:rsidP="00E85FB3">
      <w:pPr>
        <w:jc w:val="both"/>
      </w:pPr>
    </w:p>
    <w:p w14:paraId="3D8FCFB0" w14:textId="7B75A272" w:rsidR="009A47AF" w:rsidRDefault="009A47AF" w:rsidP="00E85FB3">
      <w:pPr>
        <w:jc w:val="both"/>
      </w:pPr>
    </w:p>
    <w:p w14:paraId="6AE5E2E0" w14:textId="34B460FA" w:rsidR="009A47AF" w:rsidRDefault="009A47AF" w:rsidP="00E85FB3">
      <w:pPr>
        <w:jc w:val="both"/>
      </w:pPr>
    </w:p>
    <w:p w14:paraId="06F9360F" w14:textId="77777777" w:rsidR="009A47AF" w:rsidRDefault="009A47AF" w:rsidP="00E85FB3">
      <w:pPr>
        <w:jc w:val="both"/>
      </w:pPr>
    </w:p>
    <w:tbl>
      <w:tblPr>
        <w:tblStyle w:val="Tablaconcuadrcul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0"/>
      </w:tblGrid>
      <w:tr w:rsidR="00FC3890" w:rsidRPr="004E2E1E" w14:paraId="6ECA9046" w14:textId="77777777" w:rsidTr="00582CA7">
        <w:tc>
          <w:tcPr>
            <w:tcW w:w="8730" w:type="dxa"/>
          </w:tcPr>
          <w:p w14:paraId="4BA0B19C" w14:textId="31B5DA66" w:rsidR="00FC3890" w:rsidRPr="00323953" w:rsidRDefault="00323953" w:rsidP="00323953">
            <w:pPr>
              <w:pStyle w:val="Descripcin"/>
              <w:spacing w:after="0"/>
              <w:jc w:val="center"/>
              <w:rPr>
                <w:rFonts w:eastAsiaTheme="majorEastAsia"/>
                <w:b/>
                <w:bCs/>
                <w:i w:val="0"/>
                <w:iCs w:val="0"/>
                <w:sz w:val="24"/>
                <w:szCs w:val="24"/>
                <w:lang w:val="es-GT"/>
              </w:rPr>
            </w:pPr>
            <w:bookmarkStart w:id="93" w:name="_Toc143870710"/>
            <w:r w:rsidRPr="00323953">
              <w:rPr>
                <w:b/>
                <w:bCs/>
                <w:i w:val="0"/>
                <w:iCs w:val="0"/>
                <w:color w:val="auto"/>
                <w:sz w:val="24"/>
                <w:szCs w:val="24"/>
                <w:lang w:val="es-GT"/>
              </w:rPr>
              <w:t xml:space="preserve">Gráfico </w:t>
            </w:r>
            <w:r w:rsidRPr="00323953">
              <w:rPr>
                <w:b/>
                <w:bCs/>
                <w:i w:val="0"/>
                <w:iCs w:val="0"/>
                <w:color w:val="auto"/>
                <w:sz w:val="24"/>
                <w:szCs w:val="24"/>
              </w:rPr>
              <w:fldChar w:fldCharType="begin"/>
            </w:r>
            <w:r w:rsidRPr="00323953">
              <w:rPr>
                <w:b/>
                <w:bCs/>
                <w:i w:val="0"/>
                <w:iCs w:val="0"/>
                <w:color w:val="auto"/>
                <w:sz w:val="24"/>
                <w:szCs w:val="24"/>
                <w:lang w:val="es-GT"/>
              </w:rPr>
              <w:instrText xml:space="preserve"> SEQ Gráfico \* ARABIC </w:instrText>
            </w:r>
            <w:r w:rsidRPr="00323953">
              <w:rPr>
                <w:b/>
                <w:bCs/>
                <w:i w:val="0"/>
                <w:iCs w:val="0"/>
                <w:color w:val="auto"/>
                <w:sz w:val="24"/>
                <w:szCs w:val="24"/>
              </w:rPr>
              <w:fldChar w:fldCharType="separate"/>
            </w:r>
            <w:r w:rsidR="006622B2">
              <w:rPr>
                <w:b/>
                <w:bCs/>
                <w:i w:val="0"/>
                <w:iCs w:val="0"/>
                <w:noProof/>
                <w:color w:val="auto"/>
                <w:sz w:val="24"/>
                <w:szCs w:val="24"/>
                <w:lang w:val="es-GT"/>
              </w:rPr>
              <w:t>43</w:t>
            </w:r>
            <w:r w:rsidRPr="00323953">
              <w:rPr>
                <w:b/>
                <w:bCs/>
                <w:i w:val="0"/>
                <w:iCs w:val="0"/>
                <w:color w:val="auto"/>
                <w:sz w:val="24"/>
                <w:szCs w:val="24"/>
              </w:rPr>
              <w:fldChar w:fldCharType="end"/>
            </w:r>
            <w:r w:rsidRPr="00323953">
              <w:rPr>
                <w:b/>
                <w:bCs/>
                <w:i w:val="0"/>
                <w:iCs w:val="0"/>
                <w:color w:val="auto"/>
                <w:sz w:val="24"/>
                <w:szCs w:val="24"/>
                <w:lang w:val="es-GT"/>
              </w:rPr>
              <w:t xml:space="preserve">.  </w:t>
            </w:r>
            <w:bookmarkStart w:id="94" w:name="_Toc125733219"/>
            <w:r w:rsidRPr="00323953">
              <w:rPr>
                <w:rFonts w:eastAsiaTheme="majorEastAsia"/>
                <w:b/>
                <w:bCs/>
                <w:i w:val="0"/>
                <w:iCs w:val="0"/>
                <w:color w:val="auto"/>
                <w:sz w:val="24"/>
                <w:szCs w:val="24"/>
                <w:lang w:val="es-GT"/>
              </w:rPr>
              <w:t>Crecimiento económico internacional de mediano plazo (%)</w:t>
            </w:r>
            <w:bookmarkEnd w:id="93"/>
            <w:bookmarkEnd w:id="94"/>
          </w:p>
        </w:tc>
      </w:tr>
      <w:tr w:rsidR="00FC3890" w:rsidRPr="004E2E1E" w14:paraId="68D00F02" w14:textId="77777777" w:rsidTr="00582CA7">
        <w:tblPrEx>
          <w:tblCellMar>
            <w:left w:w="70" w:type="dxa"/>
            <w:right w:w="70" w:type="dxa"/>
          </w:tblCellMar>
        </w:tblPrEx>
        <w:tc>
          <w:tcPr>
            <w:tcW w:w="8730" w:type="dxa"/>
          </w:tcPr>
          <w:p w14:paraId="6C0DCF21" w14:textId="77777777" w:rsidR="00FC3890" w:rsidRPr="004E2E1E" w:rsidRDefault="00FC3890" w:rsidP="00582CA7">
            <w:pPr>
              <w:spacing w:line="276" w:lineRule="auto"/>
              <w:contextualSpacing/>
              <w:jc w:val="center"/>
              <w:rPr>
                <w:rFonts w:eastAsiaTheme="majorEastAsia"/>
                <w:b/>
                <w:bCs/>
                <w:szCs w:val="26"/>
              </w:rPr>
            </w:pPr>
            <w:r w:rsidRPr="004E2E1E">
              <w:rPr>
                <w:noProof/>
              </w:rPr>
              <mc:AlternateContent>
                <mc:Choice Requires="wps">
                  <w:drawing>
                    <wp:anchor distT="0" distB="0" distL="114300" distR="114300" simplePos="0" relativeHeight="251661312" behindDoc="0" locked="0" layoutInCell="1" allowOverlap="1" wp14:anchorId="212CADC2" wp14:editId="293C9C01">
                      <wp:simplePos x="0" y="0"/>
                      <wp:positionH relativeFrom="column">
                        <wp:posOffset>1854835</wp:posOffset>
                      </wp:positionH>
                      <wp:positionV relativeFrom="paragraph">
                        <wp:posOffset>3175</wp:posOffset>
                      </wp:positionV>
                      <wp:extent cx="3068955" cy="1956021"/>
                      <wp:effectExtent l="0" t="0" r="0" b="6350"/>
                      <wp:wrapNone/>
                      <wp:docPr id="38" name="Rectángulo 3"/>
                      <wp:cNvGraphicFramePr/>
                      <a:graphic xmlns:a="http://schemas.openxmlformats.org/drawingml/2006/main">
                        <a:graphicData uri="http://schemas.microsoft.com/office/word/2010/wordprocessingShape">
                          <wps:wsp>
                            <wps:cNvSpPr/>
                            <wps:spPr>
                              <a:xfrm>
                                <a:off x="0" y="0"/>
                                <a:ext cx="3068955" cy="1956021"/>
                              </a:xfrm>
                              <a:prstGeom prst="rect">
                                <a:avLst/>
                              </a:prstGeom>
                              <a:solidFill>
                                <a:schemeClr val="bg2">
                                  <a:lumMod val="90000"/>
                                  <a:alpha val="2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w:pict>
                    <v:rect w14:anchorId="01EE7E09" id="Rectángulo 3" o:spid="_x0000_s1026" style="position:absolute;margin-left:146.05pt;margin-top:.25pt;width:241.65pt;height:1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" fillcolor="#cfcdcd [2894]" stroked="f" strokeweight="1pt">
                      <v:fill opacity="15163f"/>
                    </v:rect>
                  </w:pict>
                </mc:Fallback>
              </mc:AlternateContent>
            </w:r>
            <w:r>
              <w:rPr>
                <w:noProof/>
              </w:rPr>
              <w:drawing>
                <wp:inline distT="0" distB="0" distL="0" distR="0" wp14:anchorId="4B81F91C" wp14:editId="53C1E38A">
                  <wp:extent cx="4806087" cy="2311604"/>
                  <wp:effectExtent l="0" t="0" r="0" b="0"/>
                  <wp:docPr id="1827" name="Gráfico 1827">
                    <a:extLst xmlns:a="http://schemas.openxmlformats.org/drawingml/2006/main">
                      <a:ext uri="{FF2B5EF4-FFF2-40B4-BE49-F238E27FC236}">
                        <a16:creationId xmlns:a16="http://schemas.microsoft.com/office/drawing/2014/main" id="{880C6161-7FA6-4190-9F4F-79052BF8CE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tc>
      </w:tr>
      <w:tr w:rsidR="00FC3890" w:rsidRPr="004E2E1E" w14:paraId="10B8EB6F" w14:textId="77777777" w:rsidTr="00582CA7">
        <w:tc>
          <w:tcPr>
            <w:tcW w:w="8730" w:type="dxa"/>
          </w:tcPr>
          <w:p w14:paraId="10DCC0D5" w14:textId="77777777" w:rsidR="00FC3890" w:rsidRPr="004E2E1E" w:rsidRDefault="00FC3890" w:rsidP="00582CA7">
            <w:pPr>
              <w:spacing w:line="276" w:lineRule="auto"/>
              <w:contextualSpacing/>
              <w:jc w:val="both"/>
              <w:rPr>
                <w:rFonts w:eastAsiaTheme="majorEastAsia"/>
                <w:sz w:val="20"/>
              </w:rPr>
            </w:pPr>
            <w:r w:rsidRPr="004E2E1E">
              <w:rPr>
                <w:rFonts w:eastAsiaTheme="majorEastAsia"/>
                <w:sz w:val="20"/>
              </w:rPr>
              <w:t xml:space="preserve">               </w:t>
            </w:r>
            <w:r w:rsidRPr="004E2E1E">
              <w:rPr>
                <w:rFonts w:eastAsiaTheme="majorEastAsia"/>
                <w:sz w:val="18"/>
                <w:szCs w:val="18"/>
              </w:rPr>
              <w:t>Fuente: WEO, FMI abril 2023.</w:t>
            </w:r>
          </w:p>
          <w:p w14:paraId="7FDE5D94" w14:textId="77777777" w:rsidR="00FC3890" w:rsidRPr="004E2E1E" w:rsidRDefault="00FC3890" w:rsidP="00582CA7">
            <w:pPr>
              <w:spacing w:line="276" w:lineRule="auto"/>
              <w:contextualSpacing/>
              <w:jc w:val="both"/>
              <w:rPr>
                <w:rFonts w:eastAsiaTheme="majorEastAsia"/>
                <w:sz w:val="20"/>
              </w:rPr>
            </w:pPr>
          </w:p>
        </w:tc>
      </w:tr>
    </w:tbl>
    <w:p w14:paraId="36985189" w14:textId="4946DF34" w:rsidR="00FC3890" w:rsidRDefault="00FC3890" w:rsidP="00E85FB3">
      <w:pPr>
        <w:jc w:val="both"/>
      </w:pPr>
      <w:r w:rsidRPr="00FC3890">
        <w:t>El promedio simple de las proyecciones del FMI para las economías de Centroamérica y República Dominicana se encuentra en 3.2% en 2024 y se espera que incremente a 3.6% para 2028</w:t>
      </w:r>
      <w:r w:rsidR="00546A49">
        <w:t>, d</w:t>
      </w:r>
      <w:r w:rsidRPr="00FC3890">
        <w:t>onde se prevé un mayor crecimiento para República Dominicana y el menor crecimiento para El Salvador</w:t>
      </w:r>
      <w:r w:rsidR="00546A49">
        <w:t>,</w:t>
      </w:r>
      <w:r w:rsidRPr="00FC3890">
        <w:t xml:space="preserve"> en este periodo. </w:t>
      </w:r>
      <w:r w:rsidR="00546A49">
        <w:t xml:space="preserve">El </w:t>
      </w:r>
      <w:r w:rsidRPr="00FC3890">
        <w:t>Banco Mundial prevé que las remesas se mantengan en la región y que estas sigan financiando parte del consumo en el mediano plazo.</w:t>
      </w:r>
    </w:p>
    <w:p w14:paraId="08A93C5D" w14:textId="5F7D7E9F" w:rsidR="00FC3890" w:rsidRDefault="00FC3890" w:rsidP="00E85FB3">
      <w:pPr>
        <w:jc w:val="both"/>
      </w:pPr>
    </w:p>
    <w:p w14:paraId="6C6F747F" w14:textId="61A6DAAB" w:rsidR="00FC3890" w:rsidRPr="0025774B" w:rsidRDefault="00FC3890" w:rsidP="00354A9C">
      <w:pPr>
        <w:pStyle w:val="Ttulo3"/>
        <w:numPr>
          <w:ilvl w:val="2"/>
          <w:numId w:val="48"/>
        </w:numPr>
        <w:tabs>
          <w:tab w:val="left" w:pos="1134"/>
        </w:tabs>
        <w:rPr>
          <w:rFonts w:ascii="Times New Roman" w:hAnsi="Times New Roman" w:cs="Times New Roman"/>
          <w:b/>
          <w:bCs/>
          <w:color w:val="auto"/>
          <w:lang w:val="es-MX"/>
        </w:rPr>
      </w:pPr>
      <w:bookmarkStart w:id="95" w:name="_Toc143865810"/>
      <w:r w:rsidRPr="0025774B">
        <w:rPr>
          <w:rFonts w:ascii="Times New Roman" w:hAnsi="Times New Roman" w:cs="Times New Roman"/>
          <w:b/>
          <w:bCs/>
          <w:color w:val="auto"/>
          <w:lang w:val="es-MX"/>
        </w:rPr>
        <w:t>Inflación externa</w:t>
      </w:r>
      <w:bookmarkEnd w:id="95"/>
    </w:p>
    <w:p w14:paraId="56E83129" w14:textId="31D6F168" w:rsidR="00FC3890" w:rsidRDefault="00FC3890" w:rsidP="00E85FB3">
      <w:pPr>
        <w:jc w:val="both"/>
      </w:pPr>
    </w:p>
    <w:p w14:paraId="5BE0E159" w14:textId="5EC669C5" w:rsidR="006D6C1A" w:rsidRDefault="006D6C1A" w:rsidP="006D6C1A">
      <w:pPr>
        <w:jc w:val="both"/>
      </w:pPr>
      <w:r>
        <w:t>La tasa de inflación mundial podría ubicarse en 4.1% para 2024 y disminuir su nivel hasta 3.3% en 2028. Esto debido a que se espera deflación en algunas economías y que el 76.0% de las economías experimente una menor inflación desde el 2023. Esta deflación esperada se debe principalmente a la disminución de materias primas de energía y al enfriamiento de las economías por la política monetaria restrictiva. Sin embargo, el comportamiento de la inflación tendrá diferencias entre las economías avanzadas y las economías emergentes y en desarrollo, donde se espera que esta última persista.</w:t>
      </w:r>
    </w:p>
    <w:p w14:paraId="7CD4806E" w14:textId="77777777" w:rsidR="006D6C1A" w:rsidRDefault="006D6C1A" w:rsidP="006D6C1A">
      <w:pPr>
        <w:jc w:val="both"/>
      </w:pPr>
    </w:p>
    <w:p w14:paraId="1DF7F6A1" w14:textId="73A9C2C0" w:rsidR="006D6C1A" w:rsidRDefault="006D6C1A" w:rsidP="006D6C1A">
      <w:pPr>
        <w:jc w:val="both"/>
      </w:pPr>
      <w:r>
        <w:t>Para las economías avanzadas se prevé una disminución en la tasa de inflación de 2.3% a 1.6% de 2024 a 2028, respectivamente. Para las economías emergentes se espera una mayor inflación en 2024 de 2.7% y se espera que disminuya a 2.3% en 2028.   No obstante, el FMI indica que hay una considerable incertidumbre alrededor de estas proyecciones. Para Estados Unidos, la inflación podría ubicarse en 2.1% en 2024</w:t>
      </w:r>
      <w:r w:rsidR="0004099D">
        <w:t>,</w:t>
      </w:r>
      <w:r>
        <w:t xml:space="preserve"> por arriba del objetivo planteado por la Reserva Federal de 2.0% y disminuir levemente en el mediano plazo. Para la zona del euro se espera que la tasa de inflación sea de 2.7% para 2024 y que se encuentre alrededor de 1.6% hasta 2028.  En Latinoamérica, la inflación será mayor que en otras regiones, se espera que para 2024 sea de 7.7% y se encuentre en 5.5% para 2028.</w:t>
      </w:r>
    </w:p>
    <w:p w14:paraId="1CA9045C" w14:textId="1BD0C581" w:rsidR="00E85FB3" w:rsidRDefault="00E85FB3" w:rsidP="00E85FB3">
      <w:pPr>
        <w:jc w:val="both"/>
      </w:pPr>
    </w:p>
    <w:p w14:paraId="33359A3D" w14:textId="544DF4BB" w:rsidR="009A47AF" w:rsidRDefault="009A47AF" w:rsidP="00E85FB3">
      <w:pPr>
        <w:jc w:val="both"/>
      </w:pPr>
    </w:p>
    <w:p w14:paraId="4DB29827" w14:textId="36E3B59F" w:rsidR="009A47AF" w:rsidRDefault="009A47AF" w:rsidP="00E85FB3">
      <w:pPr>
        <w:jc w:val="both"/>
      </w:pPr>
    </w:p>
    <w:p w14:paraId="58BB61B6" w14:textId="29E6D1BC" w:rsidR="009A47AF" w:rsidRDefault="009A47AF" w:rsidP="00E85FB3">
      <w:pPr>
        <w:jc w:val="both"/>
      </w:pPr>
    </w:p>
    <w:p w14:paraId="2FCAFF7F" w14:textId="77777777" w:rsidR="009A47AF" w:rsidRDefault="009A47AF" w:rsidP="00E85FB3">
      <w:pPr>
        <w:jc w:val="both"/>
      </w:pPr>
    </w:p>
    <w:tbl>
      <w:tblPr>
        <w:tblStyle w:val="Tablaconcuadrcula"/>
        <w:tblW w:w="880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3"/>
      </w:tblGrid>
      <w:tr w:rsidR="006D6C1A" w:rsidRPr="004E2E1E" w14:paraId="6AA43AE7" w14:textId="77777777" w:rsidTr="002F1295">
        <w:trPr>
          <w:trHeight w:val="179"/>
        </w:trPr>
        <w:tc>
          <w:tcPr>
            <w:tcW w:w="8803" w:type="dxa"/>
          </w:tcPr>
          <w:p w14:paraId="713A74EA" w14:textId="6E9B4203" w:rsidR="006D6C1A" w:rsidRPr="00323953" w:rsidRDefault="00323953" w:rsidP="00323953">
            <w:pPr>
              <w:pStyle w:val="Descripcin"/>
              <w:spacing w:after="0"/>
              <w:jc w:val="center"/>
              <w:rPr>
                <w:rFonts w:eastAsiaTheme="majorEastAsia"/>
                <w:b/>
                <w:bCs/>
                <w:i w:val="0"/>
                <w:iCs w:val="0"/>
                <w:sz w:val="24"/>
                <w:szCs w:val="24"/>
                <w:lang w:val="es-GT"/>
              </w:rPr>
            </w:pPr>
            <w:bookmarkStart w:id="96" w:name="_Toc143870711"/>
            <w:r w:rsidRPr="00323953">
              <w:rPr>
                <w:b/>
                <w:bCs/>
                <w:i w:val="0"/>
                <w:iCs w:val="0"/>
                <w:color w:val="auto"/>
                <w:sz w:val="24"/>
                <w:szCs w:val="24"/>
                <w:lang w:val="es-GT"/>
              </w:rPr>
              <w:t xml:space="preserve">Gráfico </w:t>
            </w:r>
            <w:r w:rsidRPr="00323953">
              <w:rPr>
                <w:b/>
                <w:bCs/>
                <w:i w:val="0"/>
                <w:iCs w:val="0"/>
                <w:color w:val="auto"/>
                <w:sz w:val="24"/>
                <w:szCs w:val="24"/>
              </w:rPr>
              <w:fldChar w:fldCharType="begin"/>
            </w:r>
            <w:r w:rsidRPr="00323953">
              <w:rPr>
                <w:b/>
                <w:bCs/>
                <w:i w:val="0"/>
                <w:iCs w:val="0"/>
                <w:color w:val="auto"/>
                <w:sz w:val="24"/>
                <w:szCs w:val="24"/>
                <w:lang w:val="es-GT"/>
              </w:rPr>
              <w:instrText xml:space="preserve"> SEQ Gráfico \* ARABIC </w:instrText>
            </w:r>
            <w:r w:rsidRPr="00323953">
              <w:rPr>
                <w:b/>
                <w:bCs/>
                <w:i w:val="0"/>
                <w:iCs w:val="0"/>
                <w:color w:val="auto"/>
                <w:sz w:val="24"/>
                <w:szCs w:val="24"/>
              </w:rPr>
              <w:fldChar w:fldCharType="separate"/>
            </w:r>
            <w:r w:rsidR="006622B2">
              <w:rPr>
                <w:b/>
                <w:bCs/>
                <w:i w:val="0"/>
                <w:iCs w:val="0"/>
                <w:noProof/>
                <w:color w:val="auto"/>
                <w:sz w:val="24"/>
                <w:szCs w:val="24"/>
                <w:lang w:val="es-GT"/>
              </w:rPr>
              <w:t>44</w:t>
            </w:r>
            <w:r w:rsidRPr="00323953">
              <w:rPr>
                <w:b/>
                <w:bCs/>
                <w:i w:val="0"/>
                <w:iCs w:val="0"/>
                <w:color w:val="auto"/>
                <w:sz w:val="24"/>
                <w:szCs w:val="24"/>
              </w:rPr>
              <w:fldChar w:fldCharType="end"/>
            </w:r>
            <w:r w:rsidRPr="00323953">
              <w:rPr>
                <w:b/>
                <w:bCs/>
                <w:i w:val="0"/>
                <w:iCs w:val="0"/>
                <w:color w:val="auto"/>
                <w:sz w:val="24"/>
                <w:szCs w:val="24"/>
                <w:lang w:val="es-GT"/>
              </w:rPr>
              <w:t xml:space="preserve">.  </w:t>
            </w:r>
            <w:r w:rsidRPr="00323953">
              <w:rPr>
                <w:rFonts w:eastAsiaTheme="majorEastAsia"/>
                <w:b/>
                <w:bCs/>
                <w:i w:val="0"/>
                <w:iCs w:val="0"/>
                <w:color w:val="auto"/>
                <w:sz w:val="24"/>
                <w:szCs w:val="24"/>
                <w:lang w:val="es-GT"/>
              </w:rPr>
              <w:t>Inflación externa de mediano plazo (%)</w:t>
            </w:r>
            <w:bookmarkEnd w:id="96"/>
          </w:p>
        </w:tc>
      </w:tr>
      <w:tr w:rsidR="006D6C1A" w:rsidRPr="004E2E1E" w14:paraId="4A3F81D5" w14:textId="77777777" w:rsidTr="002F1295">
        <w:tblPrEx>
          <w:tblCellMar>
            <w:left w:w="70" w:type="dxa"/>
            <w:right w:w="70" w:type="dxa"/>
          </w:tblCellMar>
        </w:tblPrEx>
        <w:trPr>
          <w:trHeight w:val="2102"/>
        </w:trPr>
        <w:tc>
          <w:tcPr>
            <w:tcW w:w="8803" w:type="dxa"/>
          </w:tcPr>
          <w:p w14:paraId="3974A089" w14:textId="77777777" w:rsidR="006D6C1A" w:rsidRPr="006D6C1A" w:rsidRDefault="006D6C1A" w:rsidP="00582CA7">
            <w:pPr>
              <w:spacing w:line="276" w:lineRule="auto"/>
              <w:contextualSpacing/>
              <w:jc w:val="center"/>
              <w:rPr>
                <w:rFonts w:eastAsiaTheme="majorEastAsia"/>
                <w:b/>
                <w:bCs/>
                <w:szCs w:val="26"/>
                <w:lang w:val="es-GT"/>
              </w:rPr>
            </w:pPr>
            <w:r w:rsidRPr="004E2E1E">
              <w:rPr>
                <w:noProof/>
              </w:rPr>
              <w:drawing>
                <wp:anchor distT="0" distB="0" distL="114300" distR="114300" simplePos="0" relativeHeight="251663360" behindDoc="0" locked="0" layoutInCell="1" allowOverlap="1" wp14:anchorId="14259442" wp14:editId="1390F4B1">
                  <wp:simplePos x="0" y="0"/>
                  <wp:positionH relativeFrom="column">
                    <wp:posOffset>335280</wp:posOffset>
                  </wp:positionH>
                  <wp:positionV relativeFrom="paragraph">
                    <wp:posOffset>14605</wp:posOffset>
                  </wp:positionV>
                  <wp:extent cx="4679950" cy="1996440"/>
                  <wp:effectExtent l="0" t="0" r="6350" b="3810"/>
                  <wp:wrapSquare wrapText="bothSides"/>
                  <wp:docPr id="1828" name="Gráfico 1828"/>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V relativeFrom="margin">
                    <wp14:pctHeight>0</wp14:pctHeight>
                  </wp14:sizeRelV>
                </wp:anchor>
              </w:drawing>
            </w:r>
          </w:p>
        </w:tc>
      </w:tr>
      <w:tr w:rsidR="006D6C1A" w:rsidRPr="004E2E1E" w14:paraId="0E98BA09" w14:textId="77777777" w:rsidTr="002F1295">
        <w:trPr>
          <w:trHeight w:val="308"/>
        </w:trPr>
        <w:tc>
          <w:tcPr>
            <w:tcW w:w="8803" w:type="dxa"/>
          </w:tcPr>
          <w:p w14:paraId="0164AEF6" w14:textId="77777777" w:rsidR="006D6C1A" w:rsidRPr="004E2E1E" w:rsidRDefault="006D6C1A" w:rsidP="00582CA7">
            <w:pPr>
              <w:spacing w:line="276" w:lineRule="auto"/>
              <w:contextualSpacing/>
              <w:jc w:val="both"/>
              <w:rPr>
                <w:rFonts w:eastAsiaTheme="majorEastAsia"/>
                <w:sz w:val="20"/>
              </w:rPr>
            </w:pPr>
            <w:r w:rsidRPr="006D6C1A">
              <w:rPr>
                <w:rFonts w:eastAsiaTheme="majorEastAsia"/>
                <w:sz w:val="20"/>
                <w:lang w:val="es-GT"/>
              </w:rPr>
              <w:t xml:space="preserve">               </w:t>
            </w:r>
            <w:r w:rsidRPr="004E2E1E">
              <w:rPr>
                <w:rFonts w:eastAsiaTheme="majorEastAsia"/>
                <w:sz w:val="18"/>
                <w:szCs w:val="18"/>
              </w:rPr>
              <w:t>Fuente: WEO, FMI abril 2023.</w:t>
            </w:r>
          </w:p>
        </w:tc>
      </w:tr>
    </w:tbl>
    <w:p w14:paraId="258D18BA" w14:textId="457864D8" w:rsidR="006D6C1A" w:rsidRPr="0025774B" w:rsidRDefault="006D6C1A" w:rsidP="00354A9C">
      <w:pPr>
        <w:pStyle w:val="Ttulo3"/>
        <w:numPr>
          <w:ilvl w:val="2"/>
          <w:numId w:val="48"/>
        </w:numPr>
        <w:tabs>
          <w:tab w:val="left" w:pos="1134"/>
        </w:tabs>
        <w:rPr>
          <w:rFonts w:ascii="Times New Roman" w:hAnsi="Times New Roman" w:cs="Times New Roman"/>
          <w:b/>
          <w:bCs/>
          <w:color w:val="auto"/>
          <w:lang w:val="es-MX"/>
        </w:rPr>
      </w:pPr>
      <w:bookmarkStart w:id="97" w:name="_Toc143865811"/>
      <w:r w:rsidRPr="0025774B">
        <w:rPr>
          <w:rFonts w:ascii="Times New Roman" w:hAnsi="Times New Roman" w:cs="Times New Roman"/>
          <w:b/>
          <w:bCs/>
          <w:color w:val="auto"/>
          <w:lang w:val="es-MX"/>
        </w:rPr>
        <w:t>Precio del Petróleo</w:t>
      </w:r>
      <w:bookmarkEnd w:id="97"/>
    </w:p>
    <w:p w14:paraId="3157F0C2" w14:textId="1819A8C8" w:rsidR="00E85FB3" w:rsidRDefault="00E85FB3" w:rsidP="00E85FB3">
      <w:pPr>
        <w:jc w:val="both"/>
      </w:pPr>
    </w:p>
    <w:p w14:paraId="781EEE93" w14:textId="3EED979F" w:rsidR="006D6C1A" w:rsidRDefault="006D6C1A" w:rsidP="006D6C1A">
      <w:pPr>
        <w:jc w:val="both"/>
      </w:pPr>
      <w:r>
        <w:t xml:space="preserve">Dado que se espera que el crecimiento económico mundial se desacelere en 2023 y 2024, esto tendrá impacto en la demanda del petróleo. Sin embargo, existen otras presiones contrarias como lo son el efecto contagio de la guerra, el cese de la demanda reprimida por la pandemia, la finalización del apoyo de las políticas </w:t>
      </w:r>
      <w:r w:rsidRPr="00593FAE">
        <w:t>económicas y el aumento de la demanda de China por el cese de sus confinamientos. Dado lo anterior, Blomberg proyecta que para el 2024 el precio promedio del barril de petróleo de WTI sea de USD$8</w:t>
      </w:r>
      <w:r w:rsidR="00635058" w:rsidRPr="00593FAE">
        <w:t>3</w:t>
      </w:r>
      <w:r w:rsidRPr="00593FAE">
        <w:t>.3 y para el mediano plazo se prevé que los precios se reduzcan gradualmente hasta alcanzar los USD$58.9</w:t>
      </w:r>
      <w:r w:rsidR="0004099D" w:rsidRPr="00593FAE">
        <w:t xml:space="preserve"> </w:t>
      </w:r>
      <w:r w:rsidRPr="00593FAE">
        <w:t>para 2028, precios similares a los observados antes de la pandemia.</w:t>
      </w:r>
    </w:p>
    <w:p w14:paraId="0AE60485" w14:textId="77777777" w:rsidR="006D6C1A" w:rsidRDefault="006D6C1A" w:rsidP="006D6C1A">
      <w:pPr>
        <w:jc w:val="both"/>
      </w:pPr>
    </w:p>
    <w:p w14:paraId="2B6CCB23" w14:textId="3BDE7E69" w:rsidR="006D6C1A" w:rsidRDefault="006D6C1A" w:rsidP="006D6C1A">
      <w:pPr>
        <w:jc w:val="both"/>
      </w:pPr>
      <w:r>
        <w:t>En el caso de la oferta de petróleo y de combustibles líquidos, se espera que disminuy</w:t>
      </w:r>
      <w:r w:rsidR="0004099D">
        <w:t>a</w:t>
      </w:r>
      <w:r>
        <w:t xml:space="preserve"> dado las cuotas de producción </w:t>
      </w:r>
      <w:r w:rsidR="0004099D">
        <w:t>d</w:t>
      </w:r>
      <w:r>
        <w:t>e la OPEP+, y por su parte, la fuerza de la demanda dependerá del impulso de la recuperación de China en el mediano plazo. Entre los riesgos al alza del precio de mediano plazo identificado por el Banco Mundial es</w:t>
      </w:r>
      <w:r w:rsidR="0004099D">
        <w:t>tá</w:t>
      </w:r>
      <w:r>
        <w:t xml:space="preserve"> la incertidumbre de la producción de Rusia y que los productores de EE.UU. prioricen la rentabilidad sobre la expansión de la capacidad instalada. Por su parte, el principal riesgo a la baja es un menor desempeño de la producción mundial de la esperada.</w:t>
      </w:r>
    </w:p>
    <w:p w14:paraId="71B0D968" w14:textId="77777777" w:rsidR="00323953" w:rsidRDefault="00323953" w:rsidP="006D6C1A">
      <w:pPr>
        <w:jc w:val="both"/>
      </w:pPr>
    </w:p>
    <w:tbl>
      <w:tblPr>
        <w:tblStyle w:val="Tablaconcuadrcul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0"/>
      </w:tblGrid>
      <w:tr w:rsidR="00C73E17" w:rsidRPr="004E2E1E" w14:paraId="21165614" w14:textId="77777777" w:rsidTr="00797BA6">
        <w:trPr>
          <w:trHeight w:val="64"/>
        </w:trPr>
        <w:tc>
          <w:tcPr>
            <w:tcW w:w="8730" w:type="dxa"/>
          </w:tcPr>
          <w:p w14:paraId="4FC3AED1" w14:textId="4D6424AA" w:rsidR="00C73E17" w:rsidRPr="00323953" w:rsidRDefault="00323953" w:rsidP="00323953">
            <w:pPr>
              <w:pStyle w:val="Descripcin"/>
              <w:keepNext/>
              <w:spacing w:after="0"/>
              <w:jc w:val="center"/>
              <w:rPr>
                <w:b/>
                <w:bCs/>
                <w:i w:val="0"/>
                <w:iCs w:val="0"/>
                <w:color w:val="auto"/>
                <w:sz w:val="24"/>
                <w:szCs w:val="24"/>
                <w:lang w:val="es-GT"/>
              </w:rPr>
            </w:pPr>
            <w:bookmarkStart w:id="98" w:name="_Toc143871213"/>
            <w:r w:rsidRPr="00323953">
              <w:rPr>
                <w:b/>
                <w:bCs/>
                <w:i w:val="0"/>
                <w:iCs w:val="0"/>
                <w:color w:val="auto"/>
                <w:sz w:val="24"/>
                <w:szCs w:val="24"/>
                <w:lang w:val="es-GT"/>
              </w:rPr>
              <w:t xml:space="preserve">Tabla </w:t>
            </w:r>
            <w:r w:rsidRPr="00323953">
              <w:rPr>
                <w:b/>
                <w:bCs/>
                <w:i w:val="0"/>
                <w:iCs w:val="0"/>
                <w:color w:val="auto"/>
                <w:sz w:val="24"/>
                <w:szCs w:val="24"/>
              </w:rPr>
              <w:fldChar w:fldCharType="begin"/>
            </w:r>
            <w:r w:rsidRPr="00323953">
              <w:rPr>
                <w:b/>
                <w:bCs/>
                <w:i w:val="0"/>
                <w:iCs w:val="0"/>
                <w:color w:val="auto"/>
                <w:sz w:val="24"/>
                <w:szCs w:val="24"/>
                <w:lang w:val="es-GT"/>
              </w:rPr>
              <w:instrText xml:space="preserve"> SEQ Tabla \* ARABIC </w:instrText>
            </w:r>
            <w:r w:rsidRPr="00323953">
              <w:rPr>
                <w:b/>
                <w:bCs/>
                <w:i w:val="0"/>
                <w:iCs w:val="0"/>
                <w:color w:val="auto"/>
                <w:sz w:val="24"/>
                <w:szCs w:val="24"/>
              </w:rPr>
              <w:fldChar w:fldCharType="separate"/>
            </w:r>
            <w:r w:rsidR="006622B2">
              <w:rPr>
                <w:b/>
                <w:bCs/>
                <w:i w:val="0"/>
                <w:iCs w:val="0"/>
                <w:noProof/>
                <w:color w:val="auto"/>
                <w:sz w:val="24"/>
                <w:szCs w:val="24"/>
                <w:lang w:val="es-GT"/>
              </w:rPr>
              <w:t>6</w:t>
            </w:r>
            <w:r w:rsidRPr="00323953">
              <w:rPr>
                <w:b/>
                <w:bCs/>
                <w:i w:val="0"/>
                <w:iCs w:val="0"/>
                <w:color w:val="auto"/>
                <w:sz w:val="24"/>
                <w:szCs w:val="24"/>
              </w:rPr>
              <w:fldChar w:fldCharType="end"/>
            </w:r>
            <w:r w:rsidRPr="00323953">
              <w:rPr>
                <w:b/>
                <w:bCs/>
                <w:i w:val="0"/>
                <w:iCs w:val="0"/>
                <w:color w:val="auto"/>
                <w:sz w:val="24"/>
                <w:szCs w:val="24"/>
                <w:lang w:val="es-GT"/>
              </w:rPr>
              <w:t xml:space="preserve">.  </w:t>
            </w:r>
            <w:r w:rsidR="00C73E17" w:rsidRPr="00323953">
              <w:rPr>
                <w:rFonts w:eastAsiaTheme="majorEastAsia"/>
                <w:b/>
                <w:bCs/>
                <w:i w:val="0"/>
                <w:iCs w:val="0"/>
                <w:color w:val="auto"/>
                <w:sz w:val="24"/>
                <w:szCs w:val="24"/>
                <w:lang w:val="es-GT"/>
              </w:rPr>
              <w:t>Supuestos de mediano plazo de la economía internacional</w:t>
            </w:r>
            <w:bookmarkEnd w:id="98"/>
          </w:p>
        </w:tc>
      </w:tr>
      <w:tr w:rsidR="00C73E17" w:rsidRPr="004E2E1E" w14:paraId="68E87CD2" w14:textId="77777777" w:rsidTr="00797BA6">
        <w:tblPrEx>
          <w:tblCellMar>
            <w:left w:w="70" w:type="dxa"/>
            <w:right w:w="70" w:type="dxa"/>
          </w:tblCellMar>
        </w:tblPrEx>
        <w:trPr>
          <w:trHeight w:val="771"/>
        </w:trPr>
        <w:tc>
          <w:tcPr>
            <w:tcW w:w="8730" w:type="dxa"/>
          </w:tcPr>
          <w:p w14:paraId="70F1020C" w14:textId="77777777" w:rsidR="00C73E17" w:rsidRPr="004E2E1E" w:rsidRDefault="00C73E17" w:rsidP="00582CA7">
            <w:pPr>
              <w:spacing w:line="276" w:lineRule="auto"/>
              <w:contextualSpacing/>
              <w:jc w:val="center"/>
              <w:rPr>
                <w:rFonts w:eastAsiaTheme="majorEastAsia"/>
                <w:b/>
                <w:bCs/>
                <w:szCs w:val="26"/>
              </w:rPr>
            </w:pPr>
            <w:r>
              <w:rPr>
                <w:noProof/>
              </w:rPr>
              <w:drawing>
                <wp:inline distT="0" distB="0" distL="0" distR="0" wp14:anchorId="13ED0C7F" wp14:editId="47FFBFDB">
                  <wp:extent cx="5203956" cy="1999946"/>
                  <wp:effectExtent l="19050" t="19050" r="15875" b="19685"/>
                  <wp:docPr id="1829" name="Imagen 5">
                    <a:extLst xmlns:a="http://schemas.openxmlformats.org/drawingml/2006/main">
                      <a:ext uri="{FF2B5EF4-FFF2-40B4-BE49-F238E27FC236}">
                        <a16:creationId xmlns:a16="http://schemas.microsoft.com/office/drawing/2014/main" id="{00000000-0008-0000-2E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00000000-0008-0000-2E00-000006000000}"/>
                              </a:ext>
                            </a:extLst>
                          </pic:cNvPr>
                          <pic:cNvPicPr>
                            <a:picLocks noChangeAspect="1" noChangeArrowheads="1"/>
                            <a:extLst>
                              <a:ext uri="{84589F7E-364E-4C9E-8A38-B11213B215E9}">
                                <a14:cameraTool xmlns:a14="http://schemas.microsoft.com/office/drawing/2010/main" cellRange="$B$90:$N$112" spid="_x0000_s1103916"/>
                              </a:ext>
                            </a:extLst>
                          </pic:cNvPicPr>
                        </pic:nvPicPr>
                        <pic:blipFill>
                          <a:blip r:embed="rId78"/>
                          <a:srcRect/>
                          <a:stretch>
                            <a:fillRect/>
                          </a:stretch>
                        </pic:blipFill>
                        <pic:spPr bwMode="auto">
                          <a:xfrm>
                            <a:off x="0" y="0"/>
                            <a:ext cx="5223259" cy="2007364"/>
                          </a:xfrm>
                          <a:prstGeom prst="rect">
                            <a:avLst/>
                          </a:prstGeom>
                          <a:noFill/>
                          <a:ln>
                            <a:solidFill>
                              <a:schemeClr val="accent1">
                                <a:lumMod val="50000"/>
                              </a:schemeClr>
                            </a:solidFill>
                          </a:ln>
                        </pic:spPr>
                      </pic:pic>
                    </a:graphicData>
                  </a:graphic>
                </wp:inline>
              </w:drawing>
            </w:r>
          </w:p>
        </w:tc>
      </w:tr>
      <w:tr w:rsidR="00C73E17" w:rsidRPr="004E2E1E" w14:paraId="760E0BF1" w14:textId="77777777" w:rsidTr="00797BA6">
        <w:trPr>
          <w:trHeight w:val="112"/>
        </w:trPr>
        <w:tc>
          <w:tcPr>
            <w:tcW w:w="8730" w:type="dxa"/>
          </w:tcPr>
          <w:p w14:paraId="3A0964DF" w14:textId="77777777" w:rsidR="00C73E17" w:rsidRPr="00797BA6" w:rsidRDefault="00C73E17" w:rsidP="00CB0BEF">
            <w:pPr>
              <w:contextualSpacing/>
              <w:jc w:val="both"/>
              <w:rPr>
                <w:rFonts w:eastAsiaTheme="majorEastAsia"/>
                <w:sz w:val="18"/>
                <w:szCs w:val="18"/>
                <w:lang w:val="es-GT"/>
              </w:rPr>
            </w:pPr>
            <w:r w:rsidRPr="00797BA6">
              <w:rPr>
                <w:rFonts w:eastAsiaTheme="majorEastAsia"/>
                <w:sz w:val="18"/>
                <w:szCs w:val="18"/>
                <w:lang w:val="es-GT"/>
              </w:rPr>
              <w:t xml:space="preserve">      Fuente: WEO, FMI abril 2023 y Banco de Guatemala para los precios de petróleo de 2023 y 20224</w:t>
            </w:r>
          </w:p>
          <w:p w14:paraId="156F9E06" w14:textId="519A689D" w:rsidR="00C73E17" w:rsidRPr="00C73E17" w:rsidRDefault="00C73E17" w:rsidP="00CB0BEF">
            <w:pPr>
              <w:contextualSpacing/>
              <w:jc w:val="both"/>
              <w:rPr>
                <w:rFonts w:eastAsiaTheme="majorEastAsia"/>
                <w:sz w:val="20"/>
                <w:lang w:val="es-GT"/>
              </w:rPr>
            </w:pPr>
            <w:r w:rsidRPr="00797BA6">
              <w:rPr>
                <w:rFonts w:eastAsiaTheme="majorEastAsia"/>
                <w:sz w:val="18"/>
                <w:szCs w:val="18"/>
                <w:lang w:val="es-GT"/>
              </w:rPr>
              <w:t xml:space="preserve">       Nota: El precio de petróleo es la proyección para final de año</w:t>
            </w:r>
            <w:r w:rsidR="00797BA6" w:rsidRPr="00797BA6">
              <w:rPr>
                <w:rFonts w:eastAsiaTheme="majorEastAsia"/>
                <w:sz w:val="18"/>
                <w:szCs w:val="18"/>
                <w:lang w:val="es-GT"/>
              </w:rPr>
              <w:t>.</w:t>
            </w:r>
          </w:p>
        </w:tc>
      </w:tr>
    </w:tbl>
    <w:p w14:paraId="63250914" w14:textId="187646A2" w:rsidR="00C73E17" w:rsidRPr="0025774B" w:rsidRDefault="00C73E17" w:rsidP="000207CF">
      <w:pPr>
        <w:pStyle w:val="Ttulo3"/>
        <w:numPr>
          <w:ilvl w:val="2"/>
          <w:numId w:val="48"/>
        </w:numPr>
        <w:tabs>
          <w:tab w:val="left" w:pos="709"/>
        </w:tabs>
        <w:ind w:left="851"/>
        <w:rPr>
          <w:rFonts w:ascii="Times New Roman" w:hAnsi="Times New Roman" w:cs="Times New Roman"/>
          <w:b/>
          <w:bCs/>
          <w:color w:val="auto"/>
          <w:lang w:val="es-MX"/>
        </w:rPr>
      </w:pPr>
      <w:bookmarkStart w:id="99" w:name="_Toc143865812"/>
      <w:r w:rsidRPr="0025774B">
        <w:rPr>
          <w:rFonts w:ascii="Times New Roman" w:hAnsi="Times New Roman" w:cs="Times New Roman"/>
          <w:b/>
          <w:bCs/>
          <w:color w:val="auto"/>
          <w:lang w:val="es-MX"/>
        </w:rPr>
        <w:t>Contexto nacional</w:t>
      </w:r>
      <w:bookmarkEnd w:id="99"/>
    </w:p>
    <w:p w14:paraId="7CFA1200" w14:textId="381D8079" w:rsidR="006D6C1A" w:rsidRDefault="006D6C1A" w:rsidP="00E85FB3">
      <w:pPr>
        <w:jc w:val="both"/>
      </w:pPr>
    </w:p>
    <w:p w14:paraId="5ED66B63" w14:textId="29DE8336" w:rsidR="00C73E17" w:rsidRPr="00AF0D54" w:rsidRDefault="00C73E17" w:rsidP="000207CF">
      <w:pPr>
        <w:pStyle w:val="Ttulo3"/>
        <w:numPr>
          <w:ilvl w:val="3"/>
          <w:numId w:val="48"/>
        </w:numPr>
        <w:tabs>
          <w:tab w:val="left" w:pos="1418"/>
        </w:tabs>
        <w:spacing w:before="0"/>
        <w:rPr>
          <w:rFonts w:ascii="Times New Roman" w:hAnsi="Times New Roman" w:cs="Times New Roman"/>
          <w:b/>
          <w:bCs/>
          <w:color w:val="auto"/>
          <w:lang w:val="es-MX"/>
        </w:rPr>
      </w:pPr>
      <w:bookmarkStart w:id="100" w:name="_Toc143865813"/>
      <w:r w:rsidRPr="00AF0D54">
        <w:rPr>
          <w:rFonts w:ascii="Times New Roman" w:hAnsi="Times New Roman" w:cs="Times New Roman"/>
          <w:b/>
          <w:bCs/>
          <w:color w:val="auto"/>
          <w:lang w:val="es-MX"/>
        </w:rPr>
        <w:t>Sector real</w:t>
      </w:r>
      <w:bookmarkEnd w:id="100"/>
    </w:p>
    <w:p w14:paraId="2898C5FE" w14:textId="2F926599" w:rsidR="00C73E17" w:rsidRDefault="00C73E17" w:rsidP="00E85FB3">
      <w:pPr>
        <w:jc w:val="both"/>
      </w:pPr>
    </w:p>
    <w:p w14:paraId="275FF249" w14:textId="59491483" w:rsidR="00C73E17" w:rsidRDefault="00545B62" w:rsidP="00E85FB3">
      <w:pPr>
        <w:jc w:val="both"/>
      </w:pPr>
      <w:r w:rsidRPr="00545B62">
        <w:t>El Fondo Monetario Internacional y el Banco Mundial prevén que el crecimiento económico de Guatemala regrese a su crecimiento potencial para 2024 de 3.5%, y se mantenga en esa senda en el mediano plazo. Por su parte, el panel de analistas privados en la encuesta de expectativas económicas realizada en junio del 2023 estima que la actividad económica crecerá 3.5% en 2024. No obstante, las previsiones a esta fecha, tanto a nivel nacional como internacional, están sujetas a riesgos asociados a la transmisión de la inflación externa a la interna que tendría efecto en el ingreso real de los hogares, a la propagación de nuevas cepas y al endurecimiento de la política monetaria de los socios comerciales que generaría presiones a aumentar los costos de financiamiento.</w:t>
      </w:r>
    </w:p>
    <w:p w14:paraId="63A4DD40" w14:textId="77777777" w:rsidR="00545B62" w:rsidRDefault="00545B62" w:rsidP="00E85FB3">
      <w:pPr>
        <w:jc w:val="both"/>
      </w:pPr>
    </w:p>
    <w:tbl>
      <w:tblPr>
        <w:tblStyle w:val="Tablaconcuadrcula"/>
        <w:tblW w:w="878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3"/>
      </w:tblGrid>
      <w:tr w:rsidR="00C73E17" w:rsidRPr="004E2E1E" w14:paraId="4C167F68" w14:textId="77777777" w:rsidTr="00017F3A">
        <w:trPr>
          <w:trHeight w:val="249"/>
        </w:trPr>
        <w:tc>
          <w:tcPr>
            <w:tcW w:w="8783" w:type="dxa"/>
          </w:tcPr>
          <w:p w14:paraId="7CFD3630" w14:textId="5EF9CCCE" w:rsidR="00323953" w:rsidRDefault="00323953" w:rsidP="00323953">
            <w:pPr>
              <w:pStyle w:val="Descripcin"/>
              <w:spacing w:after="0"/>
              <w:jc w:val="center"/>
              <w:rPr>
                <w:rFonts w:eastAsiaTheme="majorEastAsia"/>
                <w:b/>
                <w:bCs/>
                <w:i w:val="0"/>
                <w:iCs w:val="0"/>
                <w:color w:val="auto"/>
                <w:sz w:val="24"/>
                <w:szCs w:val="24"/>
                <w:lang w:val="es-GT"/>
              </w:rPr>
            </w:pPr>
            <w:bookmarkStart w:id="101" w:name="_Toc143870712"/>
            <w:r w:rsidRPr="00323953">
              <w:rPr>
                <w:b/>
                <w:bCs/>
                <w:i w:val="0"/>
                <w:iCs w:val="0"/>
                <w:color w:val="auto"/>
                <w:sz w:val="24"/>
                <w:szCs w:val="24"/>
                <w:lang w:val="es-GT"/>
              </w:rPr>
              <w:t xml:space="preserve">Gráfico </w:t>
            </w:r>
            <w:r w:rsidRPr="00323953">
              <w:rPr>
                <w:b/>
                <w:bCs/>
                <w:i w:val="0"/>
                <w:iCs w:val="0"/>
                <w:color w:val="auto"/>
                <w:sz w:val="24"/>
                <w:szCs w:val="24"/>
              </w:rPr>
              <w:fldChar w:fldCharType="begin"/>
            </w:r>
            <w:r w:rsidRPr="00323953">
              <w:rPr>
                <w:b/>
                <w:bCs/>
                <w:i w:val="0"/>
                <w:iCs w:val="0"/>
                <w:color w:val="auto"/>
                <w:sz w:val="24"/>
                <w:szCs w:val="24"/>
                <w:lang w:val="es-GT"/>
              </w:rPr>
              <w:instrText xml:space="preserve"> SEQ Gráfico \* ARABIC </w:instrText>
            </w:r>
            <w:r w:rsidRPr="00323953">
              <w:rPr>
                <w:b/>
                <w:bCs/>
                <w:i w:val="0"/>
                <w:iCs w:val="0"/>
                <w:color w:val="auto"/>
                <w:sz w:val="24"/>
                <w:szCs w:val="24"/>
              </w:rPr>
              <w:fldChar w:fldCharType="separate"/>
            </w:r>
            <w:r w:rsidR="006622B2">
              <w:rPr>
                <w:b/>
                <w:bCs/>
                <w:i w:val="0"/>
                <w:iCs w:val="0"/>
                <w:noProof/>
                <w:color w:val="auto"/>
                <w:sz w:val="24"/>
                <w:szCs w:val="24"/>
                <w:lang w:val="es-GT"/>
              </w:rPr>
              <w:t>45</w:t>
            </w:r>
            <w:r w:rsidRPr="00323953">
              <w:rPr>
                <w:b/>
                <w:bCs/>
                <w:i w:val="0"/>
                <w:iCs w:val="0"/>
                <w:color w:val="auto"/>
                <w:sz w:val="24"/>
                <w:szCs w:val="24"/>
              </w:rPr>
              <w:fldChar w:fldCharType="end"/>
            </w:r>
            <w:r w:rsidRPr="00323953">
              <w:rPr>
                <w:b/>
                <w:bCs/>
                <w:i w:val="0"/>
                <w:iCs w:val="0"/>
                <w:color w:val="auto"/>
                <w:sz w:val="24"/>
                <w:szCs w:val="24"/>
                <w:lang w:val="es-GT"/>
              </w:rPr>
              <w:t xml:space="preserve">.  </w:t>
            </w:r>
            <w:r w:rsidRPr="00323953">
              <w:rPr>
                <w:rFonts w:eastAsiaTheme="majorEastAsia"/>
                <w:b/>
                <w:bCs/>
                <w:i w:val="0"/>
                <w:iCs w:val="0"/>
                <w:color w:val="auto"/>
                <w:sz w:val="24"/>
                <w:szCs w:val="24"/>
                <w:lang w:val="es-GT"/>
              </w:rPr>
              <w:t>Proyecciones de crecimiento para Guatemala del FMI y Banco Mundial</w:t>
            </w:r>
            <w:bookmarkEnd w:id="101"/>
          </w:p>
          <w:p w14:paraId="7A989EF1" w14:textId="4567EB86" w:rsidR="00C73E17" w:rsidRPr="00017F3A" w:rsidRDefault="00635058" w:rsidP="00017F3A">
            <w:pPr>
              <w:jc w:val="center"/>
              <w:rPr>
                <w:sz w:val="20"/>
                <w:szCs w:val="20"/>
              </w:rPr>
            </w:pPr>
            <w:r w:rsidRPr="00635058">
              <w:rPr>
                <w:sz w:val="20"/>
                <w:szCs w:val="20"/>
              </w:rPr>
              <w:t>(en porcentaje)</w:t>
            </w:r>
          </w:p>
        </w:tc>
      </w:tr>
      <w:tr w:rsidR="00C73E17" w:rsidRPr="004E2E1E" w14:paraId="48D55E9F" w14:textId="77777777" w:rsidTr="00017F3A">
        <w:tblPrEx>
          <w:tblCellMar>
            <w:left w:w="70" w:type="dxa"/>
            <w:right w:w="70" w:type="dxa"/>
          </w:tblCellMar>
        </w:tblPrEx>
        <w:trPr>
          <w:trHeight w:val="2923"/>
        </w:trPr>
        <w:tc>
          <w:tcPr>
            <w:tcW w:w="8783" w:type="dxa"/>
          </w:tcPr>
          <w:p w14:paraId="16229C5D" w14:textId="77777777" w:rsidR="00C73E17" w:rsidRPr="004E2E1E" w:rsidRDefault="00C73E17" w:rsidP="00582CA7">
            <w:pPr>
              <w:spacing w:line="276" w:lineRule="auto"/>
              <w:contextualSpacing/>
              <w:jc w:val="center"/>
              <w:rPr>
                <w:rFonts w:eastAsiaTheme="majorEastAsia"/>
                <w:b/>
                <w:bCs/>
                <w:szCs w:val="26"/>
              </w:rPr>
            </w:pPr>
            <w:r w:rsidRPr="004E2E1E">
              <w:rPr>
                <w:noProof/>
              </w:rPr>
              <w:drawing>
                <wp:inline distT="0" distB="0" distL="0" distR="0" wp14:anchorId="0499597B" wp14:editId="10D5E7C7">
                  <wp:extent cx="4679950" cy="2053988"/>
                  <wp:effectExtent l="0" t="0" r="6350" b="3810"/>
                  <wp:docPr id="1830" name="Gráfico 1830">
                    <a:extLst xmlns:a="http://schemas.openxmlformats.org/drawingml/2006/main">
                      <a:ext uri="{FF2B5EF4-FFF2-40B4-BE49-F238E27FC236}">
                        <a16:creationId xmlns:a16="http://schemas.microsoft.com/office/drawing/2014/main" id="{803669B5-F612-4858-BD33-537A5C3D43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c>
      </w:tr>
      <w:tr w:rsidR="00C73E17" w:rsidRPr="004E2E1E" w14:paraId="41340B11" w14:textId="77777777" w:rsidTr="00017F3A">
        <w:trPr>
          <w:trHeight w:val="428"/>
        </w:trPr>
        <w:tc>
          <w:tcPr>
            <w:tcW w:w="8783" w:type="dxa"/>
          </w:tcPr>
          <w:p w14:paraId="3C9BD480" w14:textId="6DF57D06" w:rsidR="00C73E17" w:rsidRPr="00C73E17" w:rsidRDefault="00C73E17" w:rsidP="00582CA7">
            <w:pPr>
              <w:spacing w:line="276" w:lineRule="auto"/>
              <w:contextualSpacing/>
              <w:jc w:val="both"/>
              <w:rPr>
                <w:rFonts w:eastAsiaTheme="majorEastAsia"/>
                <w:sz w:val="20"/>
                <w:lang w:val="es-GT"/>
              </w:rPr>
            </w:pPr>
            <w:r w:rsidRPr="00C73E17">
              <w:rPr>
                <w:rFonts w:eastAsiaTheme="majorEastAsia"/>
                <w:sz w:val="18"/>
                <w:szCs w:val="18"/>
                <w:lang w:val="es-GT"/>
              </w:rPr>
              <w:t>Fuente: Banco de Guatemala, perspectivas económicas de enero del Banco Mundial y WEO, FMI abril 2023.</w:t>
            </w:r>
          </w:p>
        </w:tc>
      </w:tr>
    </w:tbl>
    <w:p w14:paraId="6603B52D" w14:textId="608ADFDA" w:rsidR="00C73E17" w:rsidRDefault="00C73E17" w:rsidP="00E85FB3">
      <w:pPr>
        <w:jc w:val="both"/>
      </w:pPr>
      <w:r w:rsidRPr="00C73E17">
        <w:t>En torno al empleo se espera que continúe la resiliencia de la demanda laboral por el desempeño de la actividad económica, tal y como se observó en los indicadores de empleo en 2022, y que se pueda observar que los cotizantes al Instituto Guatemalteco de Seguridad Social -IGSS- se incrementen gradualmente en el mediano plazo. En lo que respecta a la inflación</w:t>
      </w:r>
      <w:r w:rsidR="0004099D">
        <w:t>,</w:t>
      </w:r>
      <w:r w:rsidRPr="00C73E17">
        <w:t xml:space="preserve"> el panel de analistas privados de Guatemala tiene la expectativa de que la inflación se encuentre alrededor del 4.3% en 2024, nivel que se encuentra dentro del rango meta del Banco Central. Los factores que más influyen sobre la inflación, según el panel, son los precios de los combustibles y del petróleo, el tipo de cambio nominal, el desempeño de la política fiscal y monetaria, entre otros factores.</w:t>
      </w:r>
    </w:p>
    <w:p w14:paraId="3B2732DA" w14:textId="69D6ACDC" w:rsidR="00C73E17" w:rsidRDefault="00C73E17" w:rsidP="00E85FB3">
      <w:pPr>
        <w:jc w:val="both"/>
      </w:pPr>
    </w:p>
    <w:p w14:paraId="6BB261B1" w14:textId="0AE144C3" w:rsidR="00C73E17" w:rsidRPr="00AF0D54" w:rsidRDefault="00C73E17" w:rsidP="00354A9C">
      <w:pPr>
        <w:pStyle w:val="Ttulo3"/>
        <w:numPr>
          <w:ilvl w:val="3"/>
          <w:numId w:val="48"/>
        </w:numPr>
        <w:tabs>
          <w:tab w:val="left" w:pos="1134"/>
        </w:tabs>
        <w:rPr>
          <w:rFonts w:ascii="Times New Roman" w:hAnsi="Times New Roman" w:cs="Times New Roman"/>
          <w:b/>
          <w:bCs/>
          <w:color w:val="auto"/>
          <w:lang w:val="es-MX"/>
        </w:rPr>
      </w:pPr>
      <w:bookmarkStart w:id="102" w:name="_Toc143865814"/>
      <w:r w:rsidRPr="00AF0D54">
        <w:rPr>
          <w:rFonts w:ascii="Times New Roman" w:hAnsi="Times New Roman" w:cs="Times New Roman"/>
          <w:b/>
          <w:bCs/>
          <w:color w:val="auto"/>
          <w:lang w:val="es-MX"/>
        </w:rPr>
        <w:t>Sector externo</w:t>
      </w:r>
      <w:bookmarkEnd w:id="102"/>
    </w:p>
    <w:p w14:paraId="3CDBBAA0" w14:textId="115FDD18" w:rsidR="00C73E17" w:rsidRDefault="00C73E17" w:rsidP="00E85FB3">
      <w:pPr>
        <w:jc w:val="both"/>
      </w:pPr>
    </w:p>
    <w:p w14:paraId="389E521F" w14:textId="0BA2F8B4" w:rsidR="00C73E17" w:rsidRDefault="00C73E17" w:rsidP="00C73E17">
      <w:pPr>
        <w:jc w:val="both"/>
      </w:pPr>
      <w:r>
        <w:t>El Banco de Guatemala prevé que el crecimiento de las remesas para el 2024 se encuentre entre 4.5% y 7.5%, con un valor medio de 6.0%. Esto se debe al crecimiento esperado en la actividad económica de Estados Unidos y su efecto positivo en el empleo hispano. El ingreso de divisas por remesas familiares reviste una gran importancia en el país dado que esta ha representado una alta proporción del PIB en las últimas décadas y que además entre el 10% y 20% de los hogares reciben dichas remesas y que estas se destinan a la compra de productos básicos según el Banco Interamericano de Desarrollo.</w:t>
      </w:r>
    </w:p>
    <w:p w14:paraId="062BBA75" w14:textId="77777777" w:rsidR="00C73E17" w:rsidRDefault="00C73E17" w:rsidP="00C73E17">
      <w:pPr>
        <w:jc w:val="both"/>
      </w:pPr>
    </w:p>
    <w:p w14:paraId="25B1A827" w14:textId="2ED7CB96" w:rsidR="00C73E17" w:rsidRDefault="00C73E17" w:rsidP="00C73E17">
      <w:pPr>
        <w:jc w:val="both"/>
      </w:pPr>
      <w:r>
        <w:t>En lo que respecta al comercio exterior se espera que su volumen se normalice en el mediano plazo, en el caso de las importaciones</w:t>
      </w:r>
      <w:r w:rsidR="0004099D">
        <w:t>,</w:t>
      </w:r>
      <w:r>
        <w:t xml:space="preserve"> por el impulso de la demanda interna y las exportaciones</w:t>
      </w:r>
      <w:r w:rsidR="0004099D">
        <w:t>,</w:t>
      </w:r>
      <w:r>
        <w:t xml:space="preserve"> por el desempeño proyectado en la actividad económica de los principales socios comerciales. Así mismo, se espera que los niveles de inversión extranjera directa se mantengan en el mediano plazo. Por lo anterior, se espera que los flujos de divisas se mantengan estables y que el tipo de cambio se encuentre alrededor de Q 7.85 por US$ 1.00 hasta el 2028.</w:t>
      </w:r>
    </w:p>
    <w:p w14:paraId="55F08660" w14:textId="075FF7C1" w:rsidR="00C73E17" w:rsidRDefault="00C73E17" w:rsidP="00C73E17">
      <w:pPr>
        <w:jc w:val="both"/>
      </w:pPr>
    </w:p>
    <w:p w14:paraId="07B069A7" w14:textId="03211C94" w:rsidR="00C73E17" w:rsidRPr="00AF0D54" w:rsidRDefault="00797BA6" w:rsidP="00354A9C">
      <w:pPr>
        <w:pStyle w:val="Ttulo3"/>
        <w:numPr>
          <w:ilvl w:val="3"/>
          <w:numId w:val="48"/>
        </w:numPr>
        <w:tabs>
          <w:tab w:val="left" w:pos="1134"/>
        </w:tabs>
        <w:rPr>
          <w:rFonts w:ascii="Times New Roman" w:hAnsi="Times New Roman" w:cs="Times New Roman"/>
          <w:b/>
          <w:bCs/>
          <w:color w:val="auto"/>
          <w:lang w:val="es-MX"/>
        </w:rPr>
      </w:pPr>
      <w:r w:rsidRPr="00AF0D54">
        <w:rPr>
          <w:rFonts w:ascii="Times New Roman" w:hAnsi="Times New Roman" w:cs="Times New Roman"/>
          <w:b/>
          <w:bCs/>
          <w:color w:val="auto"/>
          <w:lang w:val="es-MX"/>
        </w:rPr>
        <w:t xml:space="preserve"> </w:t>
      </w:r>
      <w:bookmarkStart w:id="103" w:name="_Toc143865815"/>
      <w:r w:rsidR="00C73E17" w:rsidRPr="00AF0D54">
        <w:rPr>
          <w:rFonts w:ascii="Times New Roman" w:hAnsi="Times New Roman" w:cs="Times New Roman"/>
          <w:b/>
          <w:bCs/>
          <w:color w:val="auto"/>
          <w:lang w:val="es-MX"/>
        </w:rPr>
        <w:t>Tipo de cambio de referencia</w:t>
      </w:r>
      <w:bookmarkEnd w:id="103"/>
    </w:p>
    <w:p w14:paraId="4F4D4178" w14:textId="418B02A2" w:rsidR="00C73E17" w:rsidRDefault="00C73E17" w:rsidP="00E85FB3">
      <w:pPr>
        <w:jc w:val="both"/>
      </w:pPr>
    </w:p>
    <w:p w14:paraId="23BAAF74" w14:textId="77777777" w:rsidR="00C73E17" w:rsidRDefault="00C73E17" w:rsidP="00C73E17">
      <w:pPr>
        <w:jc w:val="both"/>
      </w:pPr>
      <w:r>
        <w:t>Para elaborar el escenario del tipo de cambio se consideró la paridad descubierta de los tipos de interés que es una condición de igualdad entre las rentabilidades esperadas de dos depósitos de dos monedas, expresadas en una misma moneda, implicando que, ante una reducción en la tasa de interés local, un alza en la tasa de interés del extranjero o un aumento en el tipo de cambio esperado provocan una depreciación en el tipo de cambio nominal.</w:t>
      </w:r>
    </w:p>
    <w:p w14:paraId="41C0208B" w14:textId="77777777" w:rsidR="0004099D" w:rsidRDefault="0004099D" w:rsidP="00C73E17">
      <w:pPr>
        <w:jc w:val="both"/>
      </w:pPr>
    </w:p>
    <w:p w14:paraId="4BE9B8F3" w14:textId="27AA0CF7" w:rsidR="00C73E17" w:rsidRDefault="00C73E17" w:rsidP="00C73E17">
      <w:pPr>
        <w:jc w:val="both"/>
      </w:pPr>
      <w:r>
        <w:t>Para elaborar la proyección se estimó un modelo vectorial de corrección de errores, en el cual se estimó la relación del largo plazo del tipo de cambio nominal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t</m:t>
            </m:r>
          </m:sub>
        </m:sSub>
      </m:oMath>
      <w:r>
        <w:t>) y la brecha entre la tasa pasiva nacional y la tasa de la tasa de los certificados de depósitos a tres meses de Estados Unidos (</w:t>
      </w:r>
      <m:oMath>
        <m:acc>
          <m:accPr>
            <m:chr m:val="̃"/>
            <m:ctrlPr>
              <w:rPr>
                <w:rFonts w:ascii="Cambria Math" w:hAnsi="Cambria Math"/>
                <w:sz w:val="20"/>
                <w:szCs w:val="20"/>
              </w:rPr>
            </m:ctrlPr>
          </m:accPr>
          <m:e>
            <m:sSub>
              <m:sSubPr>
                <m:ctrlPr>
                  <w:rPr>
                    <w:rFonts w:ascii="Cambria Math" w:hAnsi="Cambria Math"/>
                    <w:i/>
                    <w:sz w:val="20"/>
                    <w:szCs w:val="20"/>
                  </w:rPr>
                </m:ctrlPr>
              </m:sSubPr>
              <m:e>
                <m:r>
                  <w:rPr>
                    <w:rFonts w:ascii="Cambria Math" w:hAnsi="Cambria Math"/>
                    <w:sz w:val="20"/>
                    <w:szCs w:val="20"/>
                  </w:rPr>
                  <m:t>R</m:t>
                </m:r>
                <m:ctrlPr>
                  <w:rPr>
                    <w:rFonts w:ascii="Cambria Math" w:hAnsi="Cambria Math"/>
                    <w:sz w:val="20"/>
                    <w:szCs w:val="20"/>
                  </w:rPr>
                </m:ctrlPr>
              </m:e>
              <m:sub>
                <m:r>
                  <w:rPr>
                    <w:rFonts w:ascii="Cambria Math" w:hAnsi="Cambria Math"/>
                    <w:sz w:val="20"/>
                    <w:szCs w:val="20"/>
                  </w:rPr>
                  <m:t>t</m:t>
                </m:r>
              </m:sub>
            </m:sSub>
          </m:e>
        </m:acc>
      </m:oMath>
      <w:r>
        <w:t>), de la siguiente forma:</w:t>
      </w:r>
    </w:p>
    <w:p w14:paraId="403E4857" w14:textId="77777777" w:rsidR="00C73E17" w:rsidRDefault="00C73E17" w:rsidP="00C73E17">
      <w:pPr>
        <w:jc w:val="both"/>
      </w:pPr>
    </w:p>
    <w:p w14:paraId="6D4EDCB7" w14:textId="7BEBB79F" w:rsidR="00C73E17" w:rsidRPr="00C73E17" w:rsidRDefault="00C73E17" w:rsidP="00C73E17">
      <w:pPr>
        <w:jc w:val="both"/>
        <w:rPr>
          <w:sz w:val="20"/>
          <w:szCs w:val="20"/>
        </w:rPr>
      </w:pPr>
      <m:oMathPara>
        <m:oMath>
          <m:r>
            <m:rPr>
              <m:sty m:val="p"/>
            </m:rPr>
            <w:rPr>
              <w:rFonts w:ascii="Cambria Math" w:hAnsi="Cambria Math"/>
              <w:sz w:val="20"/>
              <w:szCs w:val="20"/>
            </w:rPr>
            <m:t>Δ</m:t>
          </m:r>
          <m:acc>
            <m:accPr>
              <m:ctrlPr>
                <w:rPr>
                  <w:rFonts w:ascii="Cambria Math" w:hAnsi="Cambria Math"/>
                  <w:sz w:val="20"/>
                  <w:szCs w:val="20"/>
                </w:rPr>
              </m:ctrlPr>
            </m:accPr>
            <m:e>
              <m:sSub>
                <m:sSubPr>
                  <m:ctrlPr>
                    <w:rPr>
                      <w:rFonts w:ascii="Cambria Math" w:hAnsi="Cambria Math"/>
                      <w:i/>
                      <w:sz w:val="20"/>
                      <w:szCs w:val="20"/>
                    </w:rPr>
                  </m:ctrlPr>
                </m:sSubPr>
                <m:e>
                  <m:r>
                    <w:rPr>
                      <w:rFonts w:ascii="Cambria Math" w:hAnsi="Cambria Math"/>
                      <w:sz w:val="20"/>
                      <w:szCs w:val="20"/>
                    </w:rPr>
                    <m:t>E</m:t>
                  </m:r>
                  <m:ctrlPr>
                    <w:rPr>
                      <w:rFonts w:ascii="Cambria Math" w:hAnsi="Cambria Math"/>
                      <w:sz w:val="20"/>
                      <w:szCs w:val="20"/>
                    </w:rPr>
                  </m:ctrlPr>
                </m:e>
                <m:sub>
                  <m:r>
                    <w:rPr>
                      <w:rFonts w:ascii="Cambria Math" w:hAnsi="Cambria Math"/>
                      <w:sz w:val="20"/>
                      <w:szCs w:val="20"/>
                    </w:rPr>
                    <m:t>t</m:t>
                  </m:r>
                </m:sub>
              </m:sSub>
            </m:e>
          </m:acc>
          <m:r>
            <w:rPr>
              <w:rFonts w:ascii="Cambria Math" w:hAnsi="Cambria Math"/>
              <w:sz w:val="20"/>
              <w:szCs w:val="20"/>
            </w:rPr>
            <m:t>=</m:t>
          </m:r>
          <m:r>
            <m:rPr>
              <m:sty m:val="p"/>
            </m:rPr>
            <w:rPr>
              <w:rFonts w:ascii="Cambria Math" w:hAnsi="Cambria Math"/>
              <w:sz w:val="20"/>
              <w:szCs w:val="20"/>
            </w:rPr>
            <m:t>-0.24</m:t>
          </m:r>
          <m:d>
            <m:dPr>
              <m:ctrlPr>
                <w:rPr>
                  <w:rFonts w:ascii="Cambria Math" w:hAnsi="Cambria Math"/>
                  <w:sz w:val="20"/>
                  <w:szCs w:val="20"/>
                </w:rPr>
              </m:ctrlPr>
            </m:dPr>
            <m:e>
              <m:sSub>
                <m:sSubPr>
                  <m:ctrlPr>
                    <w:rPr>
                      <w:rFonts w:ascii="Cambria Math" w:hAnsi="Cambria Math"/>
                      <w:i/>
                      <w:sz w:val="20"/>
                      <w:szCs w:val="20"/>
                    </w:rPr>
                  </m:ctrlPr>
                </m:sSubPr>
                <m:e>
                  <m:r>
                    <m:rPr>
                      <m:sty m:val="p"/>
                    </m:rPr>
                    <w:rPr>
                      <w:rFonts w:ascii="Cambria Math" w:hAnsi="Cambria Math"/>
                      <w:sz w:val="20"/>
                      <w:szCs w:val="20"/>
                    </w:rPr>
                    <m:t>E</m:t>
                  </m:r>
                  <m:ctrlPr>
                    <w:rPr>
                      <w:rFonts w:ascii="Cambria Math" w:hAnsi="Cambria Math"/>
                      <w:sz w:val="20"/>
                      <w:szCs w:val="20"/>
                    </w:rPr>
                  </m:ctrlPr>
                </m:e>
                <m:sub>
                  <m:r>
                    <m:rPr>
                      <m:sty m:val="p"/>
                    </m:rPr>
                    <w:rPr>
                      <w:rFonts w:ascii="Cambria Math" w:hAnsi="Cambria Math"/>
                      <w:sz w:val="20"/>
                      <w:szCs w:val="20"/>
                    </w:rPr>
                    <m:t>t</m:t>
                  </m:r>
                  <m:r>
                    <w:rPr>
                      <w:rFonts w:ascii="Cambria Math" w:hAnsi="Cambria Math"/>
                      <w:sz w:val="20"/>
                      <w:szCs w:val="20"/>
                    </w:rPr>
                    <m:t>-1</m:t>
                  </m:r>
                </m:sub>
              </m:sSub>
              <m:r>
                <w:rPr>
                  <w:rFonts w:ascii="Cambria Math" w:hAnsi="Cambria Math"/>
                  <w:sz w:val="20"/>
                  <w:szCs w:val="20"/>
                </w:rPr>
                <m:t>+0.47</m:t>
              </m:r>
              <m:acc>
                <m:accPr>
                  <m:chr m:val="̃"/>
                  <m:ctrlPr>
                    <w:rPr>
                      <w:rFonts w:ascii="Cambria Math" w:hAnsi="Cambria Math"/>
                      <w:sz w:val="20"/>
                      <w:szCs w:val="20"/>
                    </w:rPr>
                  </m:ctrlPr>
                </m:accPr>
                <m:e>
                  <m:sSub>
                    <m:sSubPr>
                      <m:ctrlPr>
                        <w:rPr>
                          <w:rFonts w:ascii="Cambria Math" w:hAnsi="Cambria Math"/>
                          <w:i/>
                          <w:sz w:val="20"/>
                          <w:szCs w:val="20"/>
                        </w:rPr>
                      </m:ctrlPr>
                    </m:sSubPr>
                    <m:e>
                      <m:r>
                        <w:rPr>
                          <w:rFonts w:ascii="Cambria Math" w:hAnsi="Cambria Math"/>
                          <w:sz w:val="20"/>
                          <w:szCs w:val="20"/>
                        </w:rPr>
                        <m:t>R</m:t>
                      </m:r>
                      <m:ctrlPr>
                        <w:rPr>
                          <w:rFonts w:ascii="Cambria Math" w:hAnsi="Cambria Math"/>
                          <w:sz w:val="20"/>
                          <w:szCs w:val="20"/>
                        </w:rPr>
                      </m:ctrlPr>
                    </m:e>
                    <m:sub>
                      <m:r>
                        <w:rPr>
                          <w:rFonts w:ascii="Cambria Math" w:hAnsi="Cambria Math"/>
                          <w:sz w:val="20"/>
                          <w:szCs w:val="20"/>
                        </w:rPr>
                        <m:t>t-1</m:t>
                      </m:r>
                    </m:sub>
                  </m:sSub>
                </m:e>
              </m:acc>
              <m:r>
                <w:rPr>
                  <w:rFonts w:ascii="Cambria Math" w:hAnsi="Cambria Math"/>
                  <w:sz w:val="20"/>
                  <w:szCs w:val="20"/>
                </w:rPr>
                <m:t>-2.01</m:t>
              </m:r>
              <m:ctrlPr>
                <w:rPr>
                  <w:rFonts w:ascii="Cambria Math" w:hAnsi="Cambria Math"/>
                  <w:i/>
                  <w:sz w:val="20"/>
                  <w:szCs w:val="20"/>
                </w:rPr>
              </m:ctrlPr>
            </m:e>
          </m:d>
          <m:r>
            <m:rPr>
              <m:sty m:val="p"/>
            </m:rPr>
            <w:rPr>
              <w:rFonts w:ascii="Cambria Math" w:eastAsiaTheme="minorEastAsia" w:hAnsi="Cambria Math"/>
              <w:sz w:val="20"/>
              <w:szCs w:val="20"/>
            </w:rPr>
            <m:t>-0.02Δ</m:t>
          </m:r>
          <m:sSub>
            <m:sSubPr>
              <m:ctrlPr>
                <w:rPr>
                  <w:rFonts w:ascii="Cambria Math" w:eastAsiaTheme="minorEastAsia" w:hAnsi="Cambria Math"/>
                  <w:i/>
                  <w:sz w:val="20"/>
                  <w:szCs w:val="20"/>
                </w:rPr>
              </m:ctrlPr>
            </m:sSubPr>
            <m:e>
              <m:r>
                <w:rPr>
                  <w:rFonts w:ascii="Cambria Math" w:eastAsiaTheme="minorEastAsia" w:hAnsi="Cambria Math"/>
                  <w:sz w:val="20"/>
                  <w:szCs w:val="20"/>
                </w:rPr>
                <m:t>E</m:t>
              </m:r>
            </m:e>
            <m:sub>
              <m:r>
                <w:rPr>
                  <w:rFonts w:ascii="Cambria Math" w:eastAsiaTheme="minorEastAsia" w:hAnsi="Cambria Math"/>
                  <w:sz w:val="20"/>
                  <w:szCs w:val="20"/>
                </w:rPr>
                <m:t>t-1</m:t>
              </m:r>
            </m:sub>
          </m:sSub>
          <m:r>
            <w:rPr>
              <w:rFonts w:ascii="Cambria Math" w:eastAsiaTheme="minorEastAsia" w:hAnsi="Cambria Math"/>
              <w:sz w:val="20"/>
              <w:szCs w:val="20"/>
            </w:rPr>
            <m:t>+0.01</m:t>
          </m:r>
        </m:oMath>
      </m:oMathPara>
    </w:p>
    <w:p w14:paraId="1CF0490C" w14:textId="77777777" w:rsidR="00C73E17" w:rsidRDefault="00C73E17" w:rsidP="00C73E17">
      <w:pPr>
        <w:jc w:val="both"/>
      </w:pPr>
    </w:p>
    <w:p w14:paraId="3D9EC318" w14:textId="3069FE55" w:rsidR="00C73E17" w:rsidRDefault="00C73E17" w:rsidP="00C73E17">
      <w:pPr>
        <w:jc w:val="both"/>
      </w:pPr>
      <w:r>
        <w:t>El vector de cointegración estimado indica que la relación de largo plazo del tipo de cambio nominal y la brecha de la tasa de interés es negativa con una magnitud de 0.47, lo que concuerda con la teoría económica, por ejemplo, un aumento en la tasa de interés pasiva de Guatemala en el largo plazo implica que la brecha aumentaría, y ante la entrada de flujos de capitales del extranjero el tipo de cambio se apreciaría. Asimismo, el coeficiente de ajuste de largo plazo es de -0.24, lo que implica que los desequilibrios se ajustan un 24.0% cada año.</w:t>
      </w:r>
    </w:p>
    <w:p w14:paraId="0EAF42E4" w14:textId="53458AE8" w:rsidR="00C73E17" w:rsidRDefault="00C73E17" w:rsidP="003E2149">
      <w:pPr>
        <w:jc w:val="both"/>
      </w:pPr>
      <w:r>
        <w:t>Asimismo, suponiendo que en el mediano plazo se mantiene la política monetaria restrictiva hasta 2024 para ambos países, y posteriormente las tasas de política monetaria disminuyen lentamente, trasmitiendo estos efectos a las tasas de mercado, se obtiene un escenario base en el cual el tipo de cambio se encontrará alrededor del Q7.</w:t>
      </w:r>
      <w:r w:rsidR="003E2149">
        <w:t>85</w:t>
      </w:r>
      <w:r>
        <w:t xml:space="preserve"> por USD$1.00 para 2023, así mismo se espera una leve </w:t>
      </w:r>
      <w:r w:rsidR="003E2149">
        <w:t>apreciación, dada por el cesé de la presiones de la depreciación que se han experimentado en los últimos años, posteriormente en el mediano plazo se espera que se deprecie gradualmente hasta alcanzar nuevamente los</w:t>
      </w:r>
      <w:r>
        <w:t xml:space="preserve"> Q7.85 por USD$1.00 </w:t>
      </w:r>
      <w:r w:rsidR="003E2149">
        <w:t>en</w:t>
      </w:r>
      <w:r>
        <w:t xml:space="preserve"> 2028</w:t>
      </w:r>
      <w:r w:rsidR="003E2149">
        <w:t>, por la dinámica de las tasas de interés externas e internas</w:t>
      </w:r>
      <w:r>
        <w:t>.</w:t>
      </w:r>
    </w:p>
    <w:p w14:paraId="2E5D3A72" w14:textId="77777777" w:rsidR="00C73E17" w:rsidRDefault="00C73E17" w:rsidP="00C73E17">
      <w:pPr>
        <w:jc w:val="both"/>
      </w:pPr>
    </w:p>
    <w:p w14:paraId="0CF0DCDE" w14:textId="7D9893F3" w:rsidR="00C73E17" w:rsidRDefault="00C73E17" w:rsidP="00C73E17">
      <w:pPr>
        <w:jc w:val="both"/>
      </w:pPr>
      <w:r>
        <w:t xml:space="preserve">No obstante, la paridad descubierta del tipo de interés no considera los costes de transacción ni los riesgos, </w:t>
      </w:r>
      <w:r w:rsidR="0004099D">
        <w:t xml:space="preserve">sí </w:t>
      </w:r>
      <w:r>
        <w:t>supone una perfecta movilidad de capitales. Asimismo, el tipo de cambio est</w:t>
      </w:r>
      <w:r w:rsidR="0004099D">
        <w:t>aría</w:t>
      </w:r>
      <w:r>
        <w:t xml:space="preserve"> sujeto a vulnerabilidades que dependen de la combinación de información sobre las expectativas del tipo de cambio y la política crediticia, indicadores sobre el comportamiento futuro sobre los flujos de egreso e ingreso de divisas, como la percepción de riesgo de las inversiones en la economía doméstica, entre otros. Para determinar la posible trayectoria del tipo de cambio, se estimó la distribución de probabilidad, considerando estos factores con un enfoque estocástico, obteniendo que</w:t>
      </w:r>
      <w:r w:rsidR="0004099D">
        <w:t>,</w:t>
      </w:r>
      <w:r>
        <w:t xml:space="preserve"> dado el escenario base descrito anteriormente, existe un </w:t>
      </w:r>
      <w:r w:rsidR="003E2149">
        <w:t>9</w:t>
      </w:r>
      <w:r>
        <w:t>0.0% de probabilidad de que el tipo de cambio se encuentre entre Q7.</w:t>
      </w:r>
      <w:r w:rsidR="003E2149">
        <w:t>72 y</w:t>
      </w:r>
      <w:r>
        <w:t xml:space="preserve"> Q7.</w:t>
      </w:r>
      <w:r w:rsidR="003E2149">
        <w:t>98</w:t>
      </w:r>
      <w:r>
        <w:t xml:space="preserve"> en 2023, y en</w:t>
      </w:r>
      <w:r w:rsidR="003E2149">
        <w:t>tre</w:t>
      </w:r>
      <w:r>
        <w:t xml:space="preserve"> Q7.60 y Q8.1</w:t>
      </w:r>
      <w:r w:rsidR="009C5CEF">
        <w:t>0</w:t>
      </w:r>
      <w:r>
        <w:t xml:space="preserve"> en 2028.</w:t>
      </w:r>
    </w:p>
    <w:p w14:paraId="6D6DEDAC" w14:textId="4CCFCE71" w:rsidR="00C73E17" w:rsidRDefault="00C73E17" w:rsidP="00E85FB3">
      <w:pPr>
        <w:jc w:val="both"/>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gridCol w:w="4242"/>
      </w:tblGrid>
      <w:tr w:rsidR="00C73E17" w:rsidRPr="004E2E1E" w14:paraId="6B55AB33" w14:textId="77777777" w:rsidTr="00582CA7">
        <w:trPr>
          <w:trHeight w:val="267"/>
          <w:jc w:val="center"/>
        </w:trPr>
        <w:tc>
          <w:tcPr>
            <w:tcW w:w="8838" w:type="dxa"/>
            <w:gridSpan w:val="2"/>
          </w:tcPr>
          <w:p w14:paraId="4CCCE40D" w14:textId="4E9824B3" w:rsidR="00C73E17" w:rsidRPr="00323953" w:rsidRDefault="00323953" w:rsidP="00323953">
            <w:pPr>
              <w:pStyle w:val="Descripcin"/>
              <w:spacing w:after="0"/>
              <w:jc w:val="center"/>
              <w:rPr>
                <w:b/>
                <w:bCs/>
                <w:i w:val="0"/>
                <w:iCs w:val="0"/>
                <w:sz w:val="24"/>
                <w:szCs w:val="24"/>
                <w:lang w:val="es-GT"/>
              </w:rPr>
            </w:pPr>
            <w:bookmarkStart w:id="104" w:name="_Toc143870713"/>
            <w:r w:rsidRPr="00323953">
              <w:rPr>
                <w:b/>
                <w:bCs/>
                <w:i w:val="0"/>
                <w:iCs w:val="0"/>
                <w:color w:val="auto"/>
                <w:sz w:val="24"/>
                <w:szCs w:val="24"/>
                <w:lang w:val="es-GT"/>
              </w:rPr>
              <w:t xml:space="preserve">Gráfico </w:t>
            </w:r>
            <w:r w:rsidRPr="00323953">
              <w:rPr>
                <w:b/>
                <w:bCs/>
                <w:i w:val="0"/>
                <w:iCs w:val="0"/>
                <w:color w:val="auto"/>
                <w:sz w:val="24"/>
                <w:szCs w:val="24"/>
              </w:rPr>
              <w:fldChar w:fldCharType="begin"/>
            </w:r>
            <w:r w:rsidRPr="00323953">
              <w:rPr>
                <w:b/>
                <w:bCs/>
                <w:i w:val="0"/>
                <w:iCs w:val="0"/>
                <w:color w:val="auto"/>
                <w:sz w:val="24"/>
                <w:szCs w:val="24"/>
                <w:lang w:val="es-GT"/>
              </w:rPr>
              <w:instrText xml:space="preserve"> SEQ Gráfico \* ARABIC </w:instrText>
            </w:r>
            <w:r w:rsidRPr="00323953">
              <w:rPr>
                <w:b/>
                <w:bCs/>
                <w:i w:val="0"/>
                <w:iCs w:val="0"/>
                <w:color w:val="auto"/>
                <w:sz w:val="24"/>
                <w:szCs w:val="24"/>
              </w:rPr>
              <w:fldChar w:fldCharType="separate"/>
            </w:r>
            <w:r w:rsidR="006622B2">
              <w:rPr>
                <w:b/>
                <w:bCs/>
                <w:i w:val="0"/>
                <w:iCs w:val="0"/>
                <w:noProof/>
                <w:color w:val="auto"/>
                <w:sz w:val="24"/>
                <w:szCs w:val="24"/>
                <w:lang w:val="es-GT"/>
              </w:rPr>
              <w:t>46</w:t>
            </w:r>
            <w:r w:rsidRPr="00323953">
              <w:rPr>
                <w:b/>
                <w:bCs/>
                <w:i w:val="0"/>
                <w:iCs w:val="0"/>
                <w:color w:val="auto"/>
                <w:sz w:val="24"/>
                <w:szCs w:val="24"/>
              </w:rPr>
              <w:fldChar w:fldCharType="end"/>
            </w:r>
            <w:r w:rsidRPr="00323953">
              <w:rPr>
                <w:b/>
                <w:bCs/>
                <w:i w:val="0"/>
                <w:iCs w:val="0"/>
                <w:color w:val="auto"/>
                <w:sz w:val="24"/>
                <w:szCs w:val="24"/>
                <w:lang w:val="es-GT"/>
              </w:rPr>
              <w:t xml:space="preserve">.  </w:t>
            </w:r>
            <w:r w:rsidRPr="00323953">
              <w:rPr>
                <w:b/>
                <w:bCs/>
                <w:i w:val="0"/>
                <w:iCs w:val="0"/>
                <w:color w:val="auto"/>
                <w:sz w:val="24"/>
                <w:szCs w:val="24"/>
                <w:lang w:val="es-MX"/>
              </w:rPr>
              <w:t>Proyección del tipo de cambio de referencia</w:t>
            </w:r>
            <w:bookmarkEnd w:id="104"/>
          </w:p>
        </w:tc>
      </w:tr>
      <w:tr w:rsidR="00C73E17" w:rsidRPr="004E2E1E" w14:paraId="3F4E5B35" w14:textId="77777777" w:rsidTr="00582CA7">
        <w:trPr>
          <w:trHeight w:val="267"/>
          <w:jc w:val="center"/>
        </w:trPr>
        <w:tc>
          <w:tcPr>
            <w:tcW w:w="4675" w:type="dxa"/>
          </w:tcPr>
          <w:p w14:paraId="5095B39F" w14:textId="77777777" w:rsidR="00C73E17" w:rsidRPr="00F376EE" w:rsidRDefault="00C73E17" w:rsidP="00582CA7">
            <w:pPr>
              <w:jc w:val="center"/>
              <w:rPr>
                <w:b/>
              </w:rPr>
            </w:pPr>
            <w:r w:rsidRPr="00F376EE">
              <w:rPr>
                <w:b/>
              </w:rPr>
              <w:t>Fanchart</w:t>
            </w:r>
          </w:p>
        </w:tc>
        <w:tc>
          <w:tcPr>
            <w:tcW w:w="4163" w:type="dxa"/>
          </w:tcPr>
          <w:p w14:paraId="1A18AA6A" w14:textId="77777777" w:rsidR="00C73E17" w:rsidRPr="00F376EE" w:rsidRDefault="00C73E17" w:rsidP="00582CA7">
            <w:pPr>
              <w:jc w:val="center"/>
              <w:rPr>
                <w:b/>
                <w:lang w:val="es-MX"/>
              </w:rPr>
            </w:pPr>
            <w:r w:rsidRPr="00F376EE">
              <w:rPr>
                <w:b/>
                <w:lang w:val="es-MX"/>
              </w:rPr>
              <w:t xml:space="preserve">Percentiles </w:t>
            </w:r>
          </w:p>
        </w:tc>
      </w:tr>
      <w:tr w:rsidR="00C73E17" w:rsidRPr="004E2E1E" w14:paraId="22A51064" w14:textId="77777777" w:rsidTr="003E2149">
        <w:tblPrEx>
          <w:tblCellMar>
            <w:left w:w="70" w:type="dxa"/>
            <w:right w:w="70" w:type="dxa"/>
          </w:tblCellMar>
        </w:tblPrEx>
        <w:trPr>
          <w:trHeight w:val="1212"/>
          <w:jc w:val="center"/>
        </w:trPr>
        <w:tc>
          <w:tcPr>
            <w:tcW w:w="4675" w:type="dxa"/>
          </w:tcPr>
          <w:p w14:paraId="3C0DCAA9" w14:textId="74FFA0E7" w:rsidR="00C73E17" w:rsidRPr="004E2E1E" w:rsidRDefault="003E2149" w:rsidP="00582CA7">
            <w:pPr>
              <w:jc w:val="center"/>
              <w:rPr>
                <w:lang w:val="es-MX"/>
              </w:rPr>
            </w:pPr>
            <w:r>
              <w:rPr>
                <w:noProof/>
              </w:rPr>
              <w:drawing>
                <wp:inline distT="0" distB="0" distL="0" distR="0" wp14:anchorId="0DCCAA91" wp14:editId="6066AD3D">
                  <wp:extent cx="2874645" cy="1916264"/>
                  <wp:effectExtent l="0" t="0" r="1905" b="8255"/>
                  <wp:docPr id="41" name="Gráfico 41">
                    <a:extLst xmlns:a="http://schemas.openxmlformats.org/drawingml/2006/main">
                      <a:ext uri="{FF2B5EF4-FFF2-40B4-BE49-F238E27FC236}">
                        <a16:creationId xmlns:a16="http://schemas.microsoft.com/office/drawing/2014/main" id="{ABFFFE2B-27D5-47A3-B55A-E00A3D997F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tc>
        <w:tc>
          <w:tcPr>
            <w:tcW w:w="4163" w:type="dxa"/>
            <w:vAlign w:val="center"/>
          </w:tcPr>
          <w:p w14:paraId="78247707" w14:textId="0A4B928A" w:rsidR="00C73E17" w:rsidRDefault="003E2149" w:rsidP="00582CA7">
            <w:pPr>
              <w:jc w:val="center"/>
              <w:rPr>
                <w:lang w:val="es-MX"/>
              </w:rPr>
            </w:pPr>
            <w:r>
              <w:rPr>
                <w:noProof/>
              </w:rPr>
              <w:drawing>
                <wp:inline distT="0" distB="0" distL="0" distR="0" wp14:anchorId="10416924" wp14:editId="4B9991CB">
                  <wp:extent cx="2647784" cy="1130824"/>
                  <wp:effectExtent l="0" t="0" r="635" b="0"/>
                  <wp:docPr id="56" name="Imagen 1">
                    <a:extLst xmlns:a="http://schemas.openxmlformats.org/drawingml/2006/main">
                      <a:ext uri="{FF2B5EF4-FFF2-40B4-BE49-F238E27FC236}">
                        <a16:creationId xmlns:a16="http://schemas.microsoft.com/office/drawing/2014/main" id="{4AF43C9B-4A0A-4A39-9C00-3FD193A0A4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4AF43C9B-4A0A-4A39-9C00-3FD193A0A4C8}"/>
                              </a:ext>
                            </a:extLst>
                          </pic:cNvPr>
                          <pic:cNvPicPr>
                            <a:picLocks noChangeAspect="1" noChangeArrowheads="1"/>
                            <a:extLst>
                              <a:ext uri="{84589F7E-364E-4C9E-8A38-B11213B215E9}">
                                <a14:cameraTool xmlns:a14="http://schemas.microsoft.com/office/drawing/2010/main" cellRange="$B$3:$H$8"/>
                              </a:ext>
                            </a:extLst>
                          </pic:cNvPicPr>
                        </pic:nvPicPr>
                        <pic:blipFill>
                          <a:blip r:embed="rId81"/>
                          <a:srcRect/>
                          <a:stretch>
                            <a:fillRect/>
                          </a:stretch>
                        </pic:blipFill>
                        <pic:spPr bwMode="auto">
                          <a:xfrm>
                            <a:off x="0" y="0"/>
                            <a:ext cx="2653062" cy="1133078"/>
                          </a:xfrm>
                          <a:prstGeom prst="rect">
                            <a:avLst/>
                          </a:prstGeom>
                          <a:noFill/>
                        </pic:spPr>
                      </pic:pic>
                    </a:graphicData>
                  </a:graphic>
                </wp:inline>
              </w:drawing>
            </w:r>
          </w:p>
          <w:p w14:paraId="29F74C3E" w14:textId="77777777" w:rsidR="00C73E17" w:rsidRDefault="00C73E17" w:rsidP="00582CA7">
            <w:pPr>
              <w:jc w:val="center"/>
              <w:rPr>
                <w:lang w:val="es-MX"/>
              </w:rPr>
            </w:pPr>
          </w:p>
          <w:p w14:paraId="0F34B461" w14:textId="77777777" w:rsidR="00C73E17" w:rsidRDefault="00C73E17" w:rsidP="00582CA7">
            <w:pPr>
              <w:jc w:val="center"/>
              <w:rPr>
                <w:lang w:val="es-MX"/>
              </w:rPr>
            </w:pPr>
          </w:p>
          <w:p w14:paraId="73F89625" w14:textId="77777777" w:rsidR="00C73E17" w:rsidRPr="009135E9" w:rsidRDefault="00C73E17" w:rsidP="00582CA7">
            <w:pPr>
              <w:jc w:val="center"/>
              <w:rPr>
                <w:lang w:val="es-MX"/>
              </w:rPr>
            </w:pPr>
          </w:p>
        </w:tc>
      </w:tr>
      <w:tr w:rsidR="00C73E17" w:rsidRPr="004E2E1E" w14:paraId="11670A75" w14:textId="77777777" w:rsidTr="00582CA7">
        <w:tblPrEx>
          <w:tblCellMar>
            <w:left w:w="70" w:type="dxa"/>
            <w:right w:w="70" w:type="dxa"/>
          </w:tblCellMar>
        </w:tblPrEx>
        <w:trPr>
          <w:trHeight w:val="70"/>
          <w:jc w:val="center"/>
        </w:trPr>
        <w:tc>
          <w:tcPr>
            <w:tcW w:w="8838" w:type="dxa"/>
            <w:gridSpan w:val="2"/>
          </w:tcPr>
          <w:p w14:paraId="3172850D" w14:textId="651B2344" w:rsidR="00C73E17" w:rsidRPr="00797BA6" w:rsidRDefault="00C73E17" w:rsidP="00582CA7">
            <w:pPr>
              <w:jc w:val="both"/>
              <w:rPr>
                <w:noProof/>
                <w:sz w:val="18"/>
                <w:szCs w:val="18"/>
                <w:lang w:val="es-GT"/>
              </w:rPr>
            </w:pPr>
            <w:r w:rsidRPr="00797BA6">
              <w:rPr>
                <w:noProof/>
                <w:sz w:val="18"/>
                <w:szCs w:val="18"/>
                <w:lang w:val="es-GT"/>
              </w:rPr>
              <w:t xml:space="preserve">    Fuente: Minsiterio de Finanzas</w:t>
            </w:r>
            <w:r w:rsidR="00797BA6" w:rsidRPr="00797BA6">
              <w:rPr>
                <w:noProof/>
                <w:sz w:val="18"/>
                <w:szCs w:val="18"/>
                <w:lang w:val="es-GT"/>
              </w:rPr>
              <w:t xml:space="preserve"> P</w:t>
            </w:r>
            <w:r w:rsidR="00797BA6">
              <w:rPr>
                <w:noProof/>
                <w:sz w:val="18"/>
                <w:szCs w:val="18"/>
                <w:lang w:val="es-GT"/>
              </w:rPr>
              <w:t>úblicas.</w:t>
            </w:r>
          </w:p>
        </w:tc>
      </w:tr>
    </w:tbl>
    <w:p w14:paraId="5B2F9DFD" w14:textId="795FFCB7" w:rsidR="00C73E17" w:rsidRDefault="00C73E17" w:rsidP="00E85FB3">
      <w:pPr>
        <w:jc w:val="both"/>
      </w:pPr>
    </w:p>
    <w:p w14:paraId="726EE101" w14:textId="356A0C89" w:rsidR="00C73E17" w:rsidRPr="00AF0D54" w:rsidRDefault="00C73E17" w:rsidP="00354A9C">
      <w:pPr>
        <w:pStyle w:val="Ttulo3"/>
        <w:numPr>
          <w:ilvl w:val="1"/>
          <w:numId w:val="48"/>
        </w:numPr>
        <w:tabs>
          <w:tab w:val="left" w:pos="1134"/>
        </w:tabs>
        <w:rPr>
          <w:rFonts w:ascii="Times New Roman" w:hAnsi="Times New Roman" w:cs="Times New Roman"/>
          <w:b/>
          <w:bCs/>
          <w:color w:val="auto"/>
          <w:lang w:val="es-MX"/>
        </w:rPr>
      </w:pPr>
      <w:bookmarkStart w:id="105" w:name="_Toc143865816"/>
      <w:r w:rsidRPr="00AF0D54">
        <w:rPr>
          <w:rFonts w:ascii="Times New Roman" w:hAnsi="Times New Roman" w:cs="Times New Roman"/>
          <w:b/>
          <w:bCs/>
          <w:color w:val="auto"/>
          <w:lang w:val="es-MX"/>
        </w:rPr>
        <w:t>Proyecciones de mediano plazo</w:t>
      </w:r>
      <w:bookmarkEnd w:id="105"/>
    </w:p>
    <w:p w14:paraId="73382BC5" w14:textId="45590C45" w:rsidR="00C73E17" w:rsidRDefault="00C73E17" w:rsidP="00E85FB3">
      <w:pPr>
        <w:jc w:val="both"/>
      </w:pPr>
    </w:p>
    <w:p w14:paraId="6770E828" w14:textId="01C849B1" w:rsidR="00C73E17" w:rsidRDefault="00C73E17" w:rsidP="00C73E17">
      <w:pPr>
        <w:jc w:val="both"/>
      </w:pPr>
      <w:r>
        <w:t xml:space="preserve">Tomando como base los supuestos del mediano plazo del contexto internacional, el Banco de Guatemala estima que el crecimiento del </w:t>
      </w:r>
      <w:r w:rsidR="00C72F2C">
        <w:t>P</w:t>
      </w:r>
      <w:r>
        <w:t xml:space="preserve">roducto </w:t>
      </w:r>
      <w:r w:rsidR="00C72F2C">
        <w:t>I</w:t>
      </w:r>
      <w:r>
        <w:t xml:space="preserve">nterno </w:t>
      </w:r>
      <w:r w:rsidR="00C72F2C">
        <w:t>B</w:t>
      </w:r>
      <w:r>
        <w:t xml:space="preserve">ruto ronde alrededor del 2.5% a 4.5% para 2024, siendo su valor medio de 3.5%. Posteriormente se prevé que el valor medio del pronóstico de 2025 sea 3.6% y que se encuentre en 3.7% para 2028. Esto debido </w:t>
      </w:r>
      <w:r w:rsidR="0004099D">
        <w:t xml:space="preserve">al </w:t>
      </w:r>
      <w:r>
        <w:t>avance en la normalización de la demanda interna, principalmente e</w:t>
      </w:r>
      <w:r w:rsidR="00C72F2C">
        <w:t>l</w:t>
      </w:r>
      <w:r>
        <w:t xml:space="preserve"> consumo privado real que se ha estimado tener </w:t>
      </w:r>
      <w:r w:rsidR="00C72F2C">
        <w:t xml:space="preserve">con </w:t>
      </w:r>
      <w:r>
        <w:t>una elasticidad de largo plazo con respecto al ingreso de 98.6%, por lo que se espera que esta tenga un crecimiento de 2.6% para 2024 e incremente gradualmente hasta 3.1% para 2028, esto además impulsado por la recepción de remesas por los hogares y que los costos de financiamiento no incrementen sustancialmente en el mercado interno.</w:t>
      </w:r>
    </w:p>
    <w:p w14:paraId="6BBF73B9" w14:textId="77777777" w:rsidR="008214B2" w:rsidRDefault="008214B2" w:rsidP="00C73E17">
      <w:pPr>
        <w:jc w:val="both"/>
      </w:pPr>
    </w:p>
    <w:p w14:paraId="7187374C" w14:textId="74A4A79F" w:rsidR="00C73E17" w:rsidRDefault="00C73E17" w:rsidP="00C73E17">
      <w:pPr>
        <w:jc w:val="both"/>
      </w:pPr>
      <w:r>
        <w:t>Por parte del Producto Interno Bruto nominal, estima un crecimiento entre 5.9% y 7.9% con un valor medio de 6.9% para 2024 y alrededor de 6.4% para 2028. Esto debido a que el deflactor del PIB en el mediano plazo tenga un valor promedio cercano al 2.6%. No obstante, los precios de los bienes y servicios de la economía están sujetos a la incertidumbre del contexto internacional relacionada con los incrementos en los precios de materia prima de energía y de agricultura que afectarían principalmente los precios de importación y exportación y podrían transmitirse a los precios del consumo privado. Asimismo, conforme avance la recuperación de la economía interna, se espera que la inflación se ubique en el límite inferior del rango de meta del Banco de Guatemala (3.0%) en el período de 2024 a 2028.</w:t>
      </w:r>
    </w:p>
    <w:p w14:paraId="00CE3937" w14:textId="77777777" w:rsidR="00C73E17" w:rsidRDefault="00C73E17" w:rsidP="00C73E17">
      <w:pPr>
        <w:jc w:val="both"/>
      </w:pPr>
    </w:p>
    <w:p w14:paraId="6B61469C" w14:textId="16D50BB3" w:rsidR="00C73E17" w:rsidRDefault="00C73E17" w:rsidP="00C73E17">
      <w:pPr>
        <w:jc w:val="both"/>
      </w:pPr>
      <w:r>
        <w:t xml:space="preserve">En este contexto, se espera que el ahorro de la economía se mantenga como proporción del PIB en 2024, situándose en 18.9% y que </w:t>
      </w:r>
      <w:r w:rsidR="00017F3A">
        <w:t>crezca</w:t>
      </w:r>
      <w:r>
        <w:t xml:space="preserve"> hasta 20.0% en 2028, esto se debe principalmente al consumo privado estable derivado de la hipótesis de la renta permanente y a que se espera que las remesas sigan formando una participación significativa en el ingreso disponible de la economía.</w:t>
      </w:r>
    </w:p>
    <w:p w14:paraId="78A1E699" w14:textId="77777777" w:rsidR="00C73E17" w:rsidRDefault="00C73E17" w:rsidP="00C73E17">
      <w:pPr>
        <w:jc w:val="both"/>
      </w:pPr>
    </w:p>
    <w:p w14:paraId="0DDEAD03" w14:textId="0EE79F38" w:rsidR="00C73E17" w:rsidRDefault="00C73E17" w:rsidP="00C73E17">
      <w:pPr>
        <w:jc w:val="both"/>
      </w:pPr>
      <w:r>
        <w:t xml:space="preserve">Para el sector externo de la economía, en 2024, el Banco de Guatemala proyecta que las importaciones FOB tengan un crecimiento entre 6.0% y 9.0%, con un valor medio de 7.5%, estas aún influenciadas por el precio de los </w:t>
      </w:r>
      <w:r w:rsidRPr="00635058">
        <w:t xml:space="preserve">combustibles y a un consumo e inversión privada menos reprimida, para los años posteriores se espera que el crecimiento se mantenga estable </w:t>
      </w:r>
      <w:r w:rsidR="00C72F2C" w:rsidRPr="00635058">
        <w:t xml:space="preserve">en </w:t>
      </w:r>
      <w:r w:rsidRPr="00635058">
        <w:t xml:space="preserve">ese valor. Por parte de las exportaciones FOB se prevé un crecimiento de 4.5% a 7.0% para 2024 y se </w:t>
      </w:r>
      <w:r w:rsidR="00635058" w:rsidRPr="00635058">
        <w:t>estima</w:t>
      </w:r>
      <w:r w:rsidRPr="00635058">
        <w:t xml:space="preserve"> que podría ubicarse en el mediano plazo en el escenario bajo, alrededor de 5.5% hasta 2028, estas proyecciones están sujetas a la recuperación</w:t>
      </w:r>
      <w:r>
        <w:t xml:space="preserve"> de los principales socios comerciales y al comportamiento de los productos de agricultura.</w:t>
      </w:r>
    </w:p>
    <w:p w14:paraId="236B092B" w14:textId="77777777" w:rsidR="00C73E17" w:rsidRDefault="00C73E17" w:rsidP="00C73E17">
      <w:pPr>
        <w:jc w:val="both"/>
      </w:pPr>
    </w:p>
    <w:p w14:paraId="57A76AEC" w14:textId="1259F840" w:rsidR="00C73E17" w:rsidRDefault="00C73E17" w:rsidP="00C73E17">
      <w:pPr>
        <w:jc w:val="both"/>
      </w:pPr>
      <w:r>
        <w:t xml:space="preserve">Con los </w:t>
      </w:r>
      <w:r w:rsidRPr="00635058">
        <w:t xml:space="preserve">resultados de la balanza comercial, además de una posible desaceleración de la tasa de crecimiento de las remesas familiares, la cuenta corriente podría retornar a sus niveles previos a 2016. De esa cuenta, el Banco de Guatemala prevé que la cuenta corriente con respecto al PIB se reduzca a </w:t>
      </w:r>
      <w:r w:rsidR="00F0580F">
        <w:t>0</w:t>
      </w:r>
      <w:r w:rsidRPr="00635058">
        <w:t>.</w:t>
      </w:r>
      <w:r w:rsidR="00F0580F">
        <w:t>3</w:t>
      </w:r>
      <w:r w:rsidRPr="00635058">
        <w:t>% en 2024. Asimismo, en el mediano plazo</w:t>
      </w:r>
      <w:r w:rsidR="00C72F2C" w:rsidRPr="00635058">
        <w:t>,</w:t>
      </w:r>
      <w:r w:rsidRPr="00635058">
        <w:t xml:space="preserve"> se espera que los ingresos primarios se mantengan deficitarios principalmente por las rentas de la inversión directa y que la tasa de crecimiento de las remesas familiares siga moderada por lo que se espera, según estimaciones de la Dirección de Análisis y Política Fiscal, que la cuenta corriente se reduzca gradualmente hasta alcanzar valores de 0.6% con respecto al PIB para 2027 y 2028</w:t>
      </w:r>
      <w:r w:rsidR="00635058" w:rsidRPr="00635058">
        <w:t>.</w:t>
      </w:r>
    </w:p>
    <w:p w14:paraId="24F5548B" w14:textId="66A640BB" w:rsidR="00C73E17" w:rsidRDefault="00C73E17" w:rsidP="00C73E17">
      <w:pPr>
        <w:jc w:val="both"/>
      </w:pPr>
    </w:p>
    <w:tbl>
      <w:tblPr>
        <w:tblStyle w:val="Tablaconcuadrcula4"/>
        <w:tblW w:w="873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714"/>
        <w:gridCol w:w="16"/>
      </w:tblGrid>
      <w:tr w:rsidR="00FE4377" w:rsidRPr="00FE4377" w14:paraId="565011A7" w14:textId="77777777" w:rsidTr="00F0580F">
        <w:trPr>
          <w:gridAfter w:val="1"/>
          <w:wAfter w:w="26" w:type="dxa"/>
          <w:trHeight w:val="24"/>
        </w:trPr>
        <w:tc>
          <w:tcPr>
            <w:tcW w:w="8704" w:type="dxa"/>
          </w:tcPr>
          <w:p w14:paraId="7A4641FA" w14:textId="6877F0D7" w:rsidR="00FE4377" w:rsidRPr="00FE4377" w:rsidRDefault="00FE4377" w:rsidP="00FE4377">
            <w:pPr>
              <w:keepNext/>
              <w:jc w:val="center"/>
              <w:rPr>
                <w:b/>
                <w:bCs/>
                <w:lang w:val="es-GT"/>
              </w:rPr>
            </w:pPr>
            <w:bookmarkStart w:id="106" w:name="_Toc143871214"/>
            <w:r w:rsidRPr="00FE4377">
              <w:rPr>
                <w:b/>
                <w:bCs/>
                <w:lang w:val="es-GT"/>
              </w:rPr>
              <w:t xml:space="preserve">Tabla </w:t>
            </w:r>
            <w:r w:rsidRPr="00FE4377">
              <w:rPr>
                <w:b/>
                <w:bCs/>
              </w:rPr>
              <w:fldChar w:fldCharType="begin"/>
            </w:r>
            <w:r w:rsidRPr="00FE4377">
              <w:rPr>
                <w:b/>
                <w:bCs/>
                <w:lang w:val="es-GT"/>
              </w:rPr>
              <w:instrText xml:space="preserve"> SEQ Tabla \* ARABIC </w:instrText>
            </w:r>
            <w:r w:rsidRPr="00FE4377">
              <w:rPr>
                <w:b/>
                <w:bCs/>
              </w:rPr>
              <w:fldChar w:fldCharType="separate"/>
            </w:r>
            <w:r w:rsidR="006622B2">
              <w:rPr>
                <w:b/>
                <w:bCs/>
                <w:noProof/>
                <w:lang w:val="es-GT"/>
              </w:rPr>
              <w:t>7</w:t>
            </w:r>
            <w:r w:rsidRPr="00FE4377">
              <w:rPr>
                <w:b/>
                <w:bCs/>
              </w:rPr>
              <w:fldChar w:fldCharType="end"/>
            </w:r>
            <w:r w:rsidRPr="00FE4377">
              <w:rPr>
                <w:b/>
                <w:bCs/>
                <w:lang w:val="es-GT"/>
              </w:rPr>
              <w:t xml:space="preserve">.  </w:t>
            </w:r>
            <w:r w:rsidRPr="00FE4377">
              <w:rPr>
                <w:rFonts w:eastAsiaTheme="majorEastAsia"/>
                <w:b/>
                <w:bCs/>
                <w:lang w:val="es-GT"/>
              </w:rPr>
              <w:t xml:space="preserve">Supuestos de mediano plazo de la economía </w:t>
            </w:r>
            <w:bookmarkEnd w:id="106"/>
            <w:r w:rsidR="00F0580F">
              <w:rPr>
                <w:rFonts w:eastAsiaTheme="majorEastAsia"/>
                <w:b/>
                <w:bCs/>
                <w:lang w:val="es-GT"/>
              </w:rPr>
              <w:t>nacional</w:t>
            </w:r>
          </w:p>
          <w:p w14:paraId="745E076F" w14:textId="1B7CCAAE" w:rsidR="00FE4377" w:rsidRPr="00FE4377" w:rsidRDefault="00F0580F" w:rsidP="00FE4377">
            <w:pPr>
              <w:spacing w:line="276" w:lineRule="auto"/>
              <w:contextualSpacing/>
              <w:jc w:val="center"/>
              <w:rPr>
                <w:rFonts w:eastAsiaTheme="majorEastAsia"/>
                <w:b/>
                <w:bCs/>
              </w:rPr>
            </w:pPr>
            <w:r>
              <w:rPr>
                <w:noProof/>
              </w:rPr>
              <w:drawing>
                <wp:inline distT="0" distB="0" distL="0" distR="0" wp14:anchorId="1D7836B3" wp14:editId="27D7416D">
                  <wp:extent cx="5043600" cy="2925535"/>
                  <wp:effectExtent l="0" t="0" r="5080" b="8255"/>
                  <wp:docPr id="1807" name="Imagen 7">
                    <a:extLst xmlns:a="http://schemas.openxmlformats.org/drawingml/2006/main">
                      <a:ext uri="{FF2B5EF4-FFF2-40B4-BE49-F238E27FC236}">
                        <a16:creationId xmlns:a16="http://schemas.microsoft.com/office/drawing/2014/main" id="{00000000-0008-0000-2E00-00000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00000000-0008-0000-2E00-000008000000}"/>
                              </a:ext>
                            </a:extLst>
                          </pic:cNvPr>
                          <pic:cNvPicPr>
                            <a:picLocks noChangeAspect="1" noChangeArrowheads="1"/>
                            <a:extLst>
                              <a:ext uri="{84589F7E-364E-4C9E-8A38-B11213B215E9}">
                                <a14:cameraTool xmlns:a14="http://schemas.microsoft.com/office/drawing/2010/main" cellRange="$B$48:$N$87"/>
                              </a:ext>
                            </a:extLst>
                          </pic:cNvPicPr>
                        </pic:nvPicPr>
                        <pic:blipFill>
                          <a:blip r:embed="rId82"/>
                          <a:srcRect/>
                          <a:stretch>
                            <a:fillRect/>
                          </a:stretch>
                        </pic:blipFill>
                        <pic:spPr bwMode="auto">
                          <a:xfrm>
                            <a:off x="0" y="0"/>
                            <a:ext cx="5043600" cy="292553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FE4377" w:rsidRPr="00FE4377" w14:paraId="28CEF76A" w14:textId="77777777" w:rsidTr="00F0580F">
        <w:trPr>
          <w:gridAfter w:val="1"/>
          <w:wAfter w:w="26" w:type="dxa"/>
          <w:trHeight w:val="321"/>
        </w:trPr>
        <w:tc>
          <w:tcPr>
            <w:tcW w:w="8704" w:type="dxa"/>
          </w:tcPr>
          <w:p w14:paraId="58C215E6" w14:textId="77777777" w:rsidR="00FE4377" w:rsidRPr="00FE4377" w:rsidRDefault="00FE4377" w:rsidP="008214B2">
            <w:pPr>
              <w:ind w:left="387"/>
              <w:contextualSpacing/>
              <w:rPr>
                <w:rFonts w:eastAsiaTheme="majorEastAsia"/>
                <w:szCs w:val="26"/>
                <w:lang w:val="es-GT"/>
              </w:rPr>
            </w:pPr>
            <w:r w:rsidRPr="00FE4377">
              <w:rPr>
                <w:rFonts w:eastAsiaTheme="majorEastAsia"/>
                <w:sz w:val="18"/>
                <w:szCs w:val="20"/>
                <w:lang w:val="es-GT"/>
              </w:rPr>
              <w:t>Fuente: Banco de Guatemala y Ministerio de Finanzas Públicas</w:t>
            </w:r>
          </w:p>
        </w:tc>
      </w:tr>
      <w:tr w:rsidR="00FE4377" w:rsidRPr="00FE4377" w14:paraId="330BF2FD" w14:textId="77777777" w:rsidTr="00F75999">
        <w:trPr>
          <w:trHeight w:val="321"/>
        </w:trPr>
        <w:tc>
          <w:tcPr>
            <w:tcW w:w="8730" w:type="dxa"/>
            <w:gridSpan w:val="2"/>
          </w:tcPr>
          <w:p w14:paraId="26F675B3" w14:textId="77777777" w:rsidR="00FE4377" w:rsidRPr="00FE4377" w:rsidRDefault="00FE4377" w:rsidP="00CB0BEF">
            <w:pPr>
              <w:contextualSpacing/>
              <w:rPr>
                <w:rFonts w:eastAsiaTheme="majorEastAsia"/>
                <w:b/>
                <w:bCs/>
                <w:szCs w:val="26"/>
                <w:highlight w:val="yellow"/>
                <w:lang w:val="es-GT"/>
              </w:rPr>
            </w:pPr>
          </w:p>
          <w:p w14:paraId="3899FA45" w14:textId="77777777" w:rsidR="00140592" w:rsidRPr="00140592" w:rsidRDefault="00140592" w:rsidP="00CB0BEF">
            <w:pPr>
              <w:jc w:val="both"/>
              <w:rPr>
                <w:lang w:val="es-GT"/>
              </w:rPr>
            </w:pPr>
            <w:r w:rsidRPr="00140592">
              <w:rPr>
                <w:lang w:val="es-GT"/>
              </w:rPr>
              <w:t>De las principales variables del sector monetario, el Banco de Guatemala, prevé que los medios de pago nacionales y extranjeros tengan un crecimiento entre 8.0% a 11.0% para 2024, posteriormente se espera que tengan un crecimiento alrededor de 6.8% en el mediano plazo debido principalmente a la estabilización de los precios de la economía como lo muestra el deflactor del PIB. Asimismo, se espera que el crédito al sector privado muestre un crecimiento entre 7.5% a 10.5% para 2024 y posteriormente se mantenga en promedio en 6.5% hasta 2028, respondiendo a la mejora en la actividad económica. Los pronósticos de los agregados monetarios del 2025 al 2028 fueron elaborados por la Dirección de Análisis y Política Fiscal. Asimismo, se prevé que la inflación en el mediano plazo se encuentre alrededor del límite inferior de la meta del 3.0% hasta 2028. Es importante mencionar que las proyecciones del escenario macroeconómico a utilizar en el Marco Fiscal de Mediano Plazo (2024-2028) corresponden al escenario bajo del Banco de Guatemala.</w:t>
            </w:r>
          </w:p>
          <w:p w14:paraId="247BB34B" w14:textId="77777777" w:rsidR="00140592" w:rsidRDefault="00140592" w:rsidP="00CB0BEF">
            <w:pPr>
              <w:contextualSpacing/>
              <w:jc w:val="both"/>
              <w:rPr>
                <w:lang w:val="es-GT"/>
              </w:rPr>
            </w:pPr>
          </w:p>
          <w:p w14:paraId="580E25D9" w14:textId="444EF78D" w:rsidR="00FE4377" w:rsidRPr="00FE4377" w:rsidRDefault="00FE4377" w:rsidP="00CB0BEF">
            <w:pPr>
              <w:contextualSpacing/>
              <w:jc w:val="both"/>
              <w:rPr>
                <w:lang w:val="es-GT"/>
              </w:rPr>
            </w:pPr>
            <w:r w:rsidRPr="00FE4377">
              <w:rPr>
                <w:lang w:val="es-GT"/>
              </w:rPr>
              <w:t>Para medir los factores múltiples que pueden afectar las trayectorias del crecimiento económico se consideró como base una metodología del Fondo Monetario Internacional para la elaboración de gráficos de abanicos contenida en la herramienta</w:t>
            </w:r>
            <w:r w:rsidRPr="00FE4377">
              <w:rPr>
                <w:i/>
                <w:iCs/>
                <w:lang w:val="es-GT"/>
              </w:rPr>
              <w:t xml:space="preserve"> Fiscal Risks Toolkit  -FRAT-</w:t>
            </w:r>
            <w:r w:rsidRPr="00FE4377">
              <w:rPr>
                <w:lang w:val="es-GT"/>
              </w:rPr>
              <w:t>, la cual hace uso de las estadísticas de los errores de pronósticos, que se define en este documento como la desviación entre el pronóstico utilizado cada presupuesto histórico y el dato observado, para estimar las probabilidades de que el las variables macroeconómicas se desvíen del escenario base.</w:t>
            </w:r>
          </w:p>
          <w:p w14:paraId="31CEDD29" w14:textId="77777777" w:rsidR="00FE4377" w:rsidRPr="00FE4377" w:rsidRDefault="00FE4377" w:rsidP="00CB0BEF">
            <w:pPr>
              <w:contextualSpacing/>
              <w:jc w:val="both"/>
              <w:rPr>
                <w:lang w:val="es-GT"/>
              </w:rPr>
            </w:pPr>
          </w:p>
          <w:p w14:paraId="6DE20E74" w14:textId="05BCEE2A" w:rsidR="00FE4377" w:rsidRDefault="00FE4377" w:rsidP="00CB0BEF">
            <w:pPr>
              <w:jc w:val="both"/>
              <w:rPr>
                <w:lang w:val="es-GT"/>
              </w:rPr>
            </w:pPr>
            <w:r w:rsidRPr="00FE4377">
              <w:rPr>
                <w:lang w:val="es-GT"/>
              </w:rPr>
              <w:t>Un ejemplo de estas, desviaciones son las originadas por eventos no esperados en el escenario base de la economía interna o externa, como lo fue más notoriamente en la crisis por la pandemia del 2020 en donde el crecimiento económico estuvo 4.8 puntos porcentuales debajo de lo previsto en el proyecto del presupuesto de dicho año, o en el año 2021 donde se estuvo 6.0 puntos porcentuales arriba debido a que la recuperación fue mayor que la esperada.  Considerando lo anterior se construyó un gráfico de abanico para el crecimiento económico que indica que existe un 50.0% de probabilidad de que el crecimiento se encuentre en 1.2% y 5.7% para 2024, y entre 1.3% a 5.0% en 2028.</w:t>
            </w:r>
          </w:p>
          <w:p w14:paraId="3C09879E" w14:textId="77777777" w:rsidR="003A465E" w:rsidRPr="00140592" w:rsidRDefault="003A465E" w:rsidP="00140592">
            <w:pPr>
              <w:jc w:val="both"/>
              <w:rPr>
                <w:lang w:val="es-GT"/>
              </w:rPr>
            </w:pPr>
          </w:p>
          <w:tbl>
            <w:tblPr>
              <w:tblStyle w:val="Tablaconcuadrcula4"/>
              <w:tblW w:w="8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70"/>
            </w:tblGrid>
            <w:tr w:rsidR="00FE4377" w:rsidRPr="00FE4377" w14:paraId="5347A858" w14:textId="77777777" w:rsidTr="00F75999">
              <w:trPr>
                <w:trHeight w:val="193"/>
              </w:trPr>
              <w:tc>
                <w:tcPr>
                  <w:tcW w:w="8670" w:type="dxa"/>
                  <w:tcBorders>
                    <w:top w:val="nil"/>
                    <w:left w:val="nil"/>
                    <w:bottom w:val="nil"/>
                    <w:right w:val="nil"/>
                  </w:tcBorders>
                </w:tcPr>
                <w:p w14:paraId="34379479" w14:textId="2CAD36D9" w:rsidR="00FE4377" w:rsidRPr="00FE4377" w:rsidRDefault="00FE4377" w:rsidP="00FE4377">
                  <w:pPr>
                    <w:spacing w:line="276" w:lineRule="auto"/>
                    <w:contextualSpacing/>
                    <w:jc w:val="center"/>
                    <w:rPr>
                      <w:rFonts w:eastAsiaTheme="majorEastAsia"/>
                      <w:b/>
                      <w:bCs/>
                      <w:szCs w:val="26"/>
                      <w:lang w:val="es-GT"/>
                    </w:rPr>
                  </w:pPr>
                  <w:bookmarkStart w:id="107" w:name="_Toc143870714"/>
                  <w:r w:rsidRPr="00FE4377">
                    <w:rPr>
                      <w:b/>
                      <w:bCs/>
                      <w:lang w:val="es-GT"/>
                    </w:rPr>
                    <w:t xml:space="preserve">Gráfico </w:t>
                  </w:r>
                  <w:r w:rsidRPr="00FE4377">
                    <w:rPr>
                      <w:b/>
                      <w:bCs/>
                    </w:rPr>
                    <w:fldChar w:fldCharType="begin"/>
                  </w:r>
                  <w:r w:rsidRPr="00FE4377">
                    <w:rPr>
                      <w:b/>
                      <w:bCs/>
                      <w:lang w:val="es-GT"/>
                    </w:rPr>
                    <w:instrText xml:space="preserve"> SEQ Gráfico \* ARABIC </w:instrText>
                  </w:r>
                  <w:r w:rsidRPr="00FE4377">
                    <w:rPr>
                      <w:b/>
                      <w:bCs/>
                    </w:rPr>
                    <w:fldChar w:fldCharType="separate"/>
                  </w:r>
                  <w:r w:rsidR="006622B2">
                    <w:rPr>
                      <w:b/>
                      <w:bCs/>
                      <w:noProof/>
                      <w:lang w:val="es-GT"/>
                    </w:rPr>
                    <w:t>47</w:t>
                  </w:r>
                  <w:r w:rsidRPr="00FE4377">
                    <w:rPr>
                      <w:b/>
                      <w:bCs/>
                    </w:rPr>
                    <w:fldChar w:fldCharType="end"/>
                  </w:r>
                  <w:r w:rsidRPr="00FE4377">
                    <w:rPr>
                      <w:b/>
                      <w:bCs/>
                      <w:i/>
                      <w:iCs/>
                      <w:lang w:val="es-GT"/>
                    </w:rPr>
                    <w:t xml:space="preserve">. </w:t>
                  </w:r>
                  <w:r w:rsidRPr="00FE4377">
                    <w:rPr>
                      <w:rFonts w:eastAsiaTheme="majorEastAsia"/>
                      <w:b/>
                      <w:bCs/>
                      <w:szCs w:val="26"/>
                      <w:lang w:val="es-GT"/>
                    </w:rPr>
                    <w:t xml:space="preserve">PIB: resultados históricos e incertidumbre en torno a los pronósticos actuales </w:t>
                  </w:r>
                  <w:r w:rsidRPr="00FE4377">
                    <w:rPr>
                      <w:rFonts w:eastAsiaTheme="majorEastAsia"/>
                      <w:sz w:val="20"/>
                      <w:szCs w:val="22"/>
                      <w:lang w:val="es-GT"/>
                    </w:rPr>
                    <w:t>(tasa de crecimiento en porcentaje)</w:t>
                  </w:r>
                  <w:bookmarkEnd w:id="107"/>
                </w:p>
              </w:tc>
            </w:tr>
            <w:tr w:rsidR="00FE4377" w:rsidRPr="00FE4377" w14:paraId="7652C090" w14:textId="77777777" w:rsidTr="00F75999">
              <w:tblPrEx>
                <w:tblCellMar>
                  <w:left w:w="70" w:type="dxa"/>
                  <w:right w:w="70" w:type="dxa"/>
                </w:tblCellMar>
              </w:tblPrEx>
              <w:trPr>
                <w:trHeight w:val="1423"/>
              </w:trPr>
              <w:tc>
                <w:tcPr>
                  <w:tcW w:w="8670" w:type="dxa"/>
                  <w:tcBorders>
                    <w:top w:val="nil"/>
                    <w:left w:val="nil"/>
                    <w:bottom w:val="nil"/>
                    <w:right w:val="nil"/>
                  </w:tcBorders>
                </w:tcPr>
                <w:p w14:paraId="7F122642" w14:textId="4A092001" w:rsidR="00FE4377" w:rsidRPr="00FE4377" w:rsidRDefault="00FE4377" w:rsidP="00FE4377">
                  <w:pPr>
                    <w:spacing w:line="276" w:lineRule="auto"/>
                    <w:contextualSpacing/>
                    <w:rPr>
                      <w:rFonts w:eastAsiaTheme="majorEastAsia"/>
                      <w:b/>
                      <w:bCs/>
                      <w:szCs w:val="26"/>
                    </w:rPr>
                  </w:pPr>
                  <w:r w:rsidRPr="00FE4377">
                    <w:rPr>
                      <w:noProof/>
                    </w:rPr>
                    <w:drawing>
                      <wp:inline distT="0" distB="0" distL="0" distR="0" wp14:anchorId="57315C2C" wp14:editId="5FECC6ED">
                        <wp:extent cx="5403850" cy="1566407"/>
                        <wp:effectExtent l="0" t="0" r="6350" b="0"/>
                        <wp:docPr id="291" name="Gráfico 29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tc>
            </w:tr>
            <w:tr w:rsidR="00FE4377" w:rsidRPr="00FE4377" w14:paraId="5572B3F1" w14:textId="77777777" w:rsidTr="00F75999">
              <w:trPr>
                <w:trHeight w:val="332"/>
              </w:trPr>
              <w:tc>
                <w:tcPr>
                  <w:tcW w:w="8670" w:type="dxa"/>
                  <w:tcBorders>
                    <w:top w:val="nil"/>
                    <w:left w:val="nil"/>
                    <w:bottom w:val="nil"/>
                    <w:right w:val="nil"/>
                  </w:tcBorders>
                </w:tcPr>
                <w:p w14:paraId="5FB247A0" w14:textId="77777777" w:rsidR="00FE4377" w:rsidRPr="00FE4377" w:rsidRDefault="00FE4377" w:rsidP="00FE4377">
                  <w:pPr>
                    <w:rPr>
                      <w:rFonts w:eastAsiaTheme="majorEastAsia"/>
                      <w:sz w:val="18"/>
                      <w:szCs w:val="20"/>
                      <w:lang w:val="es-GT"/>
                    </w:rPr>
                  </w:pPr>
                  <w:r w:rsidRPr="00FE4377">
                    <w:rPr>
                      <w:rFonts w:eastAsiaTheme="majorEastAsia"/>
                      <w:sz w:val="18"/>
                      <w:szCs w:val="20"/>
                      <w:lang w:val="es-GT"/>
                    </w:rPr>
                    <w:t>Fuente: Ministerio de Finanzas con metodología de la herramienta FRAT del FMI</w:t>
                  </w:r>
                </w:p>
              </w:tc>
            </w:tr>
          </w:tbl>
          <w:p w14:paraId="2C6E1731" w14:textId="77777777" w:rsidR="00FE4377" w:rsidRPr="003A465E" w:rsidRDefault="00FE4377" w:rsidP="00FE4377">
            <w:pPr>
              <w:spacing w:line="276" w:lineRule="auto"/>
              <w:contextualSpacing/>
              <w:jc w:val="both"/>
              <w:rPr>
                <w:rFonts w:eastAsiaTheme="majorEastAsia"/>
                <w:sz w:val="10"/>
                <w:szCs w:val="10"/>
                <w:lang w:val="es-GT"/>
              </w:rPr>
            </w:pPr>
          </w:p>
          <w:p w14:paraId="167C8932" w14:textId="77777777" w:rsidR="00FE4377" w:rsidRPr="00FE4377" w:rsidRDefault="00FE4377" w:rsidP="00CB0BEF">
            <w:pPr>
              <w:contextualSpacing/>
              <w:jc w:val="both"/>
              <w:rPr>
                <w:rFonts w:eastAsiaTheme="majorEastAsia"/>
                <w:b/>
                <w:bCs/>
                <w:szCs w:val="26"/>
                <w:lang w:val="es-GT"/>
              </w:rPr>
            </w:pPr>
            <w:r w:rsidRPr="00FE4377">
              <w:rPr>
                <w:rFonts w:eastAsiaTheme="majorEastAsia"/>
                <w:szCs w:val="26"/>
                <w:lang w:val="es-GT"/>
              </w:rPr>
              <w:t>Para el PIB nominal se espera que esta tenga un 50.0% de probabilidad de que su tasa de crecimiento se encuentre entre 4.2% a 7.6% en 2024 y que para el 2028 entre 3.8% a 7.0%. En el caso de la inflación se prevé un 50.0% de probabilidad de que se encuentre entre 1.8% a 4.2% en el 2024 y entre 1.5% a 4.5% para 2028. En el caso de estas dos variables los errores de pronóstico han aumentado por las presiones inflacionarias de la economía mundial y de la economía nacional en los últimos años.</w:t>
            </w:r>
          </w:p>
          <w:tbl>
            <w:tblPr>
              <w:tblStyle w:val="Tablaconcuadrcu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1"/>
              <w:gridCol w:w="4252"/>
            </w:tblGrid>
            <w:tr w:rsidR="00FE4377" w:rsidRPr="00FE4377" w14:paraId="17F1B17B" w14:textId="77777777" w:rsidTr="00F75999">
              <w:tc>
                <w:tcPr>
                  <w:tcW w:w="8503" w:type="dxa"/>
                  <w:gridSpan w:val="2"/>
                  <w:tcBorders>
                    <w:top w:val="nil"/>
                    <w:left w:val="nil"/>
                    <w:bottom w:val="nil"/>
                    <w:right w:val="nil"/>
                  </w:tcBorders>
                </w:tcPr>
                <w:p w14:paraId="432906AB" w14:textId="447C3CFD" w:rsidR="00FE4377" w:rsidRPr="00FE4377" w:rsidRDefault="00FE4377" w:rsidP="00FE4377">
                  <w:pPr>
                    <w:spacing w:line="276" w:lineRule="auto"/>
                    <w:contextualSpacing/>
                    <w:jc w:val="center"/>
                    <w:rPr>
                      <w:rFonts w:eastAsiaTheme="majorEastAsia"/>
                      <w:b/>
                      <w:bCs/>
                      <w:szCs w:val="26"/>
                      <w:lang w:val="es-GT"/>
                    </w:rPr>
                  </w:pPr>
                  <w:bookmarkStart w:id="108" w:name="_Toc143870715"/>
                  <w:r w:rsidRPr="00FE4377">
                    <w:rPr>
                      <w:b/>
                      <w:bCs/>
                      <w:lang w:val="es-GT"/>
                    </w:rPr>
                    <w:t xml:space="preserve">Gráfico </w:t>
                  </w:r>
                  <w:r w:rsidRPr="00FE4377">
                    <w:rPr>
                      <w:b/>
                      <w:bCs/>
                    </w:rPr>
                    <w:fldChar w:fldCharType="begin"/>
                  </w:r>
                  <w:r w:rsidRPr="00FE4377">
                    <w:rPr>
                      <w:b/>
                      <w:bCs/>
                      <w:lang w:val="es-GT"/>
                    </w:rPr>
                    <w:instrText xml:space="preserve"> SEQ Gráfico \* ARABIC </w:instrText>
                  </w:r>
                  <w:r w:rsidRPr="00FE4377">
                    <w:rPr>
                      <w:b/>
                      <w:bCs/>
                    </w:rPr>
                    <w:fldChar w:fldCharType="separate"/>
                  </w:r>
                  <w:r w:rsidR="006622B2">
                    <w:rPr>
                      <w:b/>
                      <w:bCs/>
                      <w:noProof/>
                      <w:lang w:val="es-GT"/>
                    </w:rPr>
                    <w:t>48</w:t>
                  </w:r>
                  <w:r w:rsidRPr="00FE4377">
                    <w:rPr>
                      <w:b/>
                      <w:bCs/>
                    </w:rPr>
                    <w:fldChar w:fldCharType="end"/>
                  </w:r>
                  <w:r w:rsidRPr="00FE4377">
                    <w:rPr>
                      <w:b/>
                      <w:bCs/>
                      <w:i/>
                      <w:iCs/>
                      <w:lang w:val="es-GT"/>
                    </w:rPr>
                    <w:t xml:space="preserve">. </w:t>
                  </w:r>
                  <w:r w:rsidRPr="00FE4377">
                    <w:rPr>
                      <w:rFonts w:eastAsiaTheme="majorEastAsia"/>
                      <w:b/>
                      <w:bCs/>
                      <w:szCs w:val="26"/>
                      <w:lang w:val="es-GT"/>
                    </w:rPr>
                    <w:t>Resultados históricos e incertidumbre en torno a los pronósticos actuales del PIB nominal y la inflación</w:t>
                  </w:r>
                  <w:bookmarkEnd w:id="108"/>
                </w:p>
              </w:tc>
            </w:tr>
            <w:tr w:rsidR="00FE4377" w:rsidRPr="00FE4377" w14:paraId="33BB7D28" w14:textId="77777777" w:rsidTr="00F75999">
              <w:tc>
                <w:tcPr>
                  <w:tcW w:w="4251" w:type="dxa"/>
                  <w:tcBorders>
                    <w:top w:val="nil"/>
                    <w:left w:val="nil"/>
                    <w:bottom w:val="nil"/>
                    <w:right w:val="nil"/>
                  </w:tcBorders>
                </w:tcPr>
                <w:p w14:paraId="2E32699E" w14:textId="77777777" w:rsidR="00FE4377" w:rsidRPr="00FE4377" w:rsidRDefault="00FE4377" w:rsidP="00FE4377">
                  <w:pPr>
                    <w:spacing w:line="276" w:lineRule="auto"/>
                    <w:contextualSpacing/>
                    <w:jc w:val="center"/>
                    <w:rPr>
                      <w:rFonts w:eastAsiaTheme="majorEastAsia"/>
                      <w:b/>
                      <w:bCs/>
                      <w:szCs w:val="26"/>
                      <w:lang w:val="es-GT"/>
                    </w:rPr>
                  </w:pPr>
                  <w:r w:rsidRPr="00FE4377">
                    <w:rPr>
                      <w:rFonts w:eastAsiaTheme="majorEastAsia"/>
                      <w:b/>
                      <w:bCs/>
                      <w:sz w:val="22"/>
                      <w:lang w:val="es-GT"/>
                    </w:rPr>
                    <w:t xml:space="preserve">PIB nominal </w:t>
                  </w:r>
                  <w:r w:rsidRPr="00FE4377">
                    <w:rPr>
                      <w:rFonts w:eastAsiaTheme="majorEastAsia"/>
                      <w:sz w:val="20"/>
                      <w:szCs w:val="22"/>
                      <w:lang w:val="es-GT"/>
                    </w:rPr>
                    <w:t>(tasa de crecimiento en porcentaje)</w:t>
                  </w:r>
                </w:p>
              </w:tc>
              <w:tc>
                <w:tcPr>
                  <w:tcW w:w="4252" w:type="dxa"/>
                  <w:tcBorders>
                    <w:top w:val="nil"/>
                    <w:left w:val="nil"/>
                    <w:bottom w:val="nil"/>
                    <w:right w:val="nil"/>
                  </w:tcBorders>
                  <w:vAlign w:val="center"/>
                </w:tcPr>
                <w:p w14:paraId="5F0A9323" w14:textId="77777777" w:rsidR="00FE4377" w:rsidRPr="00FE4377" w:rsidRDefault="00FE4377" w:rsidP="00FE4377">
                  <w:pPr>
                    <w:spacing w:line="276" w:lineRule="auto"/>
                    <w:contextualSpacing/>
                    <w:jc w:val="center"/>
                    <w:rPr>
                      <w:rFonts w:eastAsiaTheme="majorEastAsia"/>
                      <w:b/>
                      <w:bCs/>
                      <w:szCs w:val="26"/>
                    </w:rPr>
                  </w:pPr>
                  <w:r w:rsidRPr="00FE4377">
                    <w:rPr>
                      <w:rFonts w:eastAsiaTheme="majorEastAsia"/>
                      <w:b/>
                      <w:bCs/>
                      <w:sz w:val="22"/>
                    </w:rPr>
                    <w:t xml:space="preserve">Inflación </w:t>
                  </w:r>
                  <w:r w:rsidRPr="00FE4377">
                    <w:rPr>
                      <w:rFonts w:eastAsiaTheme="majorEastAsia"/>
                      <w:sz w:val="22"/>
                    </w:rPr>
                    <w:t>(porcentaje)</w:t>
                  </w:r>
                </w:p>
              </w:tc>
            </w:tr>
            <w:tr w:rsidR="00FE4377" w:rsidRPr="00FE4377" w14:paraId="34FDA2E3" w14:textId="77777777" w:rsidTr="00F75999">
              <w:tblPrEx>
                <w:tblCellMar>
                  <w:left w:w="70" w:type="dxa"/>
                  <w:right w:w="70" w:type="dxa"/>
                </w:tblCellMar>
              </w:tblPrEx>
              <w:tc>
                <w:tcPr>
                  <w:tcW w:w="4251" w:type="dxa"/>
                  <w:tcBorders>
                    <w:top w:val="nil"/>
                    <w:left w:val="nil"/>
                    <w:bottom w:val="nil"/>
                    <w:right w:val="nil"/>
                  </w:tcBorders>
                </w:tcPr>
                <w:p w14:paraId="3ABD4066" w14:textId="6C02D61F" w:rsidR="00FE4377" w:rsidRPr="00FE4377" w:rsidRDefault="00FE4377" w:rsidP="00FE4377">
                  <w:pPr>
                    <w:spacing w:line="276" w:lineRule="auto"/>
                    <w:contextualSpacing/>
                    <w:rPr>
                      <w:rFonts w:eastAsiaTheme="majorEastAsia"/>
                      <w:b/>
                      <w:bCs/>
                      <w:szCs w:val="26"/>
                    </w:rPr>
                  </w:pPr>
                  <w:r w:rsidRPr="00FE4377">
                    <w:rPr>
                      <w:noProof/>
                    </w:rPr>
                    <w:drawing>
                      <wp:inline distT="0" distB="0" distL="0" distR="0" wp14:anchorId="1BA9F4FB" wp14:editId="31DBB2BE">
                        <wp:extent cx="2541905" cy="1439545"/>
                        <wp:effectExtent l="0" t="0" r="0" b="8255"/>
                        <wp:docPr id="290" name="Gráfico 29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tc>
              <w:tc>
                <w:tcPr>
                  <w:tcW w:w="4252" w:type="dxa"/>
                  <w:tcBorders>
                    <w:top w:val="nil"/>
                    <w:left w:val="nil"/>
                    <w:bottom w:val="nil"/>
                    <w:right w:val="nil"/>
                  </w:tcBorders>
                </w:tcPr>
                <w:p w14:paraId="095C4CDE" w14:textId="20F80FC8" w:rsidR="00FE4377" w:rsidRPr="00FE4377" w:rsidRDefault="00FE4377" w:rsidP="00FE4377">
                  <w:pPr>
                    <w:spacing w:line="276" w:lineRule="auto"/>
                    <w:contextualSpacing/>
                    <w:rPr>
                      <w:rFonts w:eastAsiaTheme="majorEastAsia"/>
                      <w:b/>
                      <w:bCs/>
                      <w:szCs w:val="26"/>
                    </w:rPr>
                  </w:pPr>
                  <w:r w:rsidRPr="00FE4377">
                    <w:rPr>
                      <w:noProof/>
                    </w:rPr>
                    <w:drawing>
                      <wp:inline distT="0" distB="0" distL="0" distR="0" wp14:anchorId="6227F15C" wp14:editId="54B12007">
                        <wp:extent cx="2517775" cy="1439545"/>
                        <wp:effectExtent l="0" t="0" r="0" b="8255"/>
                        <wp:docPr id="289" name="Gráfico 2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tc>
            </w:tr>
            <w:tr w:rsidR="00FE4377" w:rsidRPr="00FE4377" w14:paraId="2758F676" w14:textId="77777777" w:rsidTr="00F75999">
              <w:tc>
                <w:tcPr>
                  <w:tcW w:w="8503" w:type="dxa"/>
                  <w:gridSpan w:val="2"/>
                  <w:tcBorders>
                    <w:top w:val="nil"/>
                    <w:left w:val="nil"/>
                    <w:bottom w:val="nil"/>
                    <w:right w:val="nil"/>
                  </w:tcBorders>
                </w:tcPr>
                <w:p w14:paraId="015EA7D3" w14:textId="77777777" w:rsidR="00FE4377" w:rsidRPr="00FE4377" w:rsidRDefault="00FE4377" w:rsidP="00FE4377">
                  <w:pPr>
                    <w:spacing w:line="276" w:lineRule="auto"/>
                    <w:contextualSpacing/>
                    <w:rPr>
                      <w:rFonts w:eastAsiaTheme="majorEastAsia"/>
                      <w:b/>
                      <w:bCs/>
                      <w:szCs w:val="26"/>
                      <w:lang w:val="es-GT"/>
                    </w:rPr>
                  </w:pPr>
                  <w:r w:rsidRPr="00FE4377">
                    <w:rPr>
                      <w:rFonts w:eastAsiaTheme="majorEastAsia"/>
                      <w:sz w:val="18"/>
                      <w:szCs w:val="20"/>
                      <w:lang w:val="es-GT"/>
                    </w:rPr>
                    <w:t>Fuente: Ministerio de Finanzas con metodología de la herramienta FRAT del FMI</w:t>
                  </w:r>
                </w:p>
              </w:tc>
            </w:tr>
          </w:tbl>
          <w:p w14:paraId="1AF3D82D" w14:textId="77777777" w:rsidR="00FE4377" w:rsidRPr="00FE4377" w:rsidRDefault="00FE4377" w:rsidP="00CB0BEF">
            <w:pPr>
              <w:contextualSpacing/>
              <w:rPr>
                <w:rFonts w:eastAsiaTheme="majorEastAsia"/>
                <w:b/>
                <w:bCs/>
                <w:szCs w:val="26"/>
                <w:lang w:val="es-GT"/>
              </w:rPr>
            </w:pPr>
          </w:p>
          <w:p w14:paraId="17B8E405" w14:textId="77777777" w:rsidR="00FE4377" w:rsidRPr="00FE4377" w:rsidRDefault="00FE4377" w:rsidP="00CB0BEF">
            <w:pPr>
              <w:contextualSpacing/>
              <w:jc w:val="both"/>
              <w:rPr>
                <w:rFonts w:eastAsiaTheme="majorEastAsia"/>
                <w:szCs w:val="26"/>
                <w:lang w:val="es-GT"/>
              </w:rPr>
            </w:pPr>
            <w:r w:rsidRPr="00FE4377">
              <w:rPr>
                <w:rFonts w:eastAsiaTheme="majorEastAsia"/>
                <w:szCs w:val="26"/>
                <w:lang w:val="es-GT"/>
              </w:rPr>
              <w:t xml:space="preserve">Para las importaciones el error promedio de pronóstico fue alto en los últimos años dado que para el presupuesto de 2021 se construyó bajo la premisa de que las importaciones FOB crecerían un 8.0%, no obstante, estas tuvieron un crecimiento de 41.7% en dicho año. Asimismo, en el año 2022 el error de pronóstico fue de 16.2% dado que se esperaba un crecimiento del 6.0% y el crecimiento se ubicó en 22.2%. Por lo que en el mediano plazo considerando esta información existe un 50.0% de probabilidad de que las importaciones tengan un crecimiento entre -1.9% a 13.9% para 2024 y que para 2028 este entre -2.4% a 14.4%. </w:t>
            </w:r>
          </w:p>
          <w:p w14:paraId="2B104F59" w14:textId="77777777" w:rsidR="00FE4377" w:rsidRPr="00FE4377" w:rsidRDefault="00FE4377" w:rsidP="00CB0BEF">
            <w:pPr>
              <w:contextualSpacing/>
              <w:jc w:val="both"/>
              <w:rPr>
                <w:rFonts w:eastAsiaTheme="majorEastAsia"/>
                <w:szCs w:val="26"/>
                <w:lang w:val="es-GT"/>
              </w:rPr>
            </w:pPr>
          </w:p>
          <w:p w14:paraId="33F0997A" w14:textId="77988DF7" w:rsidR="00140592" w:rsidRDefault="00FE4377" w:rsidP="00CB0BEF">
            <w:pPr>
              <w:contextualSpacing/>
              <w:jc w:val="both"/>
              <w:rPr>
                <w:rFonts w:eastAsiaTheme="majorEastAsia"/>
                <w:szCs w:val="26"/>
                <w:lang w:val="es-GT"/>
              </w:rPr>
            </w:pPr>
            <w:r w:rsidRPr="00FE4377">
              <w:rPr>
                <w:rFonts w:eastAsiaTheme="majorEastAsia"/>
                <w:szCs w:val="26"/>
                <w:lang w:val="es-GT"/>
              </w:rPr>
              <w:t>Los errores de pronósticos de las exportaciones también han sido altos, debido de los precios internacionales y a una recuperación de la demanda externa más alta de la esperada después de la crisis por la pandemia en 2020. De tal manera que se espera con un 50.0% de probabilidad de que el crecimiento de las exportaciones se encuentre entre -0.7% a 8.7% en el año 2024 y que para 2028 su crecimiento este entre -0.5% a 8.5%.</w:t>
            </w:r>
          </w:p>
          <w:p w14:paraId="328B2CE6" w14:textId="77777777" w:rsidR="00140592" w:rsidRPr="00CB0BEF" w:rsidRDefault="00140592" w:rsidP="00140592">
            <w:pPr>
              <w:spacing w:line="276" w:lineRule="auto"/>
              <w:contextualSpacing/>
              <w:jc w:val="both"/>
              <w:rPr>
                <w:rFonts w:eastAsiaTheme="majorEastAsia"/>
                <w:b/>
                <w:bCs/>
                <w:lang w:val="es-GT"/>
              </w:rPr>
            </w:pPr>
          </w:p>
          <w:tbl>
            <w:tblPr>
              <w:tblStyle w:val="Tablaconcuadrcu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7"/>
              <w:gridCol w:w="4195"/>
            </w:tblGrid>
            <w:tr w:rsidR="00140592" w:rsidRPr="00FE4377" w14:paraId="50AA06F5" w14:textId="77777777" w:rsidTr="00F9036A">
              <w:tc>
                <w:tcPr>
                  <w:tcW w:w="8372" w:type="dxa"/>
                  <w:gridSpan w:val="2"/>
                </w:tcPr>
                <w:p w14:paraId="6A802220" w14:textId="4EB82857" w:rsidR="0041675B" w:rsidRPr="00FE4377" w:rsidRDefault="00140592" w:rsidP="00CB0BEF">
                  <w:pPr>
                    <w:spacing w:line="276" w:lineRule="auto"/>
                    <w:contextualSpacing/>
                    <w:jc w:val="center"/>
                    <w:rPr>
                      <w:rFonts w:eastAsiaTheme="majorEastAsia"/>
                      <w:b/>
                      <w:bCs/>
                      <w:szCs w:val="26"/>
                      <w:lang w:val="es-GT"/>
                    </w:rPr>
                  </w:pPr>
                  <w:bookmarkStart w:id="109" w:name="_Toc143870716"/>
                  <w:r w:rsidRPr="00FE4377">
                    <w:rPr>
                      <w:b/>
                      <w:bCs/>
                      <w:lang w:val="es-GT"/>
                    </w:rPr>
                    <w:t xml:space="preserve">Gráfico </w:t>
                  </w:r>
                  <w:r w:rsidRPr="00FE4377">
                    <w:rPr>
                      <w:b/>
                      <w:bCs/>
                    </w:rPr>
                    <w:fldChar w:fldCharType="begin"/>
                  </w:r>
                  <w:r w:rsidRPr="00FE4377">
                    <w:rPr>
                      <w:b/>
                      <w:bCs/>
                      <w:lang w:val="es-GT"/>
                    </w:rPr>
                    <w:instrText xml:space="preserve"> SEQ Gráfico \* ARABIC </w:instrText>
                  </w:r>
                  <w:r w:rsidRPr="00FE4377">
                    <w:rPr>
                      <w:b/>
                      <w:bCs/>
                    </w:rPr>
                    <w:fldChar w:fldCharType="separate"/>
                  </w:r>
                  <w:r w:rsidR="006622B2">
                    <w:rPr>
                      <w:b/>
                      <w:bCs/>
                      <w:noProof/>
                      <w:lang w:val="es-GT"/>
                    </w:rPr>
                    <w:t>49</w:t>
                  </w:r>
                  <w:r w:rsidRPr="00FE4377">
                    <w:rPr>
                      <w:b/>
                      <w:bCs/>
                    </w:rPr>
                    <w:fldChar w:fldCharType="end"/>
                  </w:r>
                  <w:r w:rsidRPr="00FE4377">
                    <w:rPr>
                      <w:b/>
                      <w:bCs/>
                      <w:i/>
                      <w:iCs/>
                      <w:lang w:val="es-GT"/>
                    </w:rPr>
                    <w:t xml:space="preserve">. </w:t>
                  </w:r>
                  <w:r w:rsidRPr="00FE4377">
                    <w:rPr>
                      <w:rFonts w:eastAsiaTheme="majorEastAsia"/>
                      <w:b/>
                      <w:bCs/>
                      <w:szCs w:val="26"/>
                      <w:lang w:val="es-GT"/>
                    </w:rPr>
                    <w:t>Resultados históricos e incertidumbre en torno a los pronósticos actuales de las importaciones y exportaciones</w:t>
                  </w:r>
                  <w:bookmarkEnd w:id="109"/>
                </w:p>
              </w:tc>
            </w:tr>
            <w:tr w:rsidR="00140592" w:rsidRPr="00FE4377" w14:paraId="25F88534" w14:textId="77777777" w:rsidTr="00F9036A">
              <w:tc>
                <w:tcPr>
                  <w:tcW w:w="4177" w:type="dxa"/>
                </w:tcPr>
                <w:p w14:paraId="25D9BCF9" w14:textId="77777777" w:rsidR="00140592" w:rsidRPr="00FE4377" w:rsidRDefault="00140592" w:rsidP="00CB0BEF">
                  <w:pPr>
                    <w:spacing w:line="276" w:lineRule="auto"/>
                    <w:contextualSpacing/>
                    <w:jc w:val="center"/>
                    <w:rPr>
                      <w:rFonts w:eastAsiaTheme="majorEastAsia"/>
                      <w:b/>
                      <w:bCs/>
                      <w:szCs w:val="26"/>
                      <w:lang w:val="es-GT"/>
                    </w:rPr>
                  </w:pPr>
                  <w:r w:rsidRPr="00FE4377">
                    <w:rPr>
                      <w:rFonts w:eastAsiaTheme="majorEastAsia"/>
                      <w:b/>
                      <w:bCs/>
                      <w:sz w:val="22"/>
                      <w:lang w:val="es-GT"/>
                    </w:rPr>
                    <w:t xml:space="preserve">Importaciones </w:t>
                  </w:r>
                  <w:r w:rsidRPr="00FE4377">
                    <w:rPr>
                      <w:rFonts w:eastAsiaTheme="majorEastAsia"/>
                      <w:sz w:val="20"/>
                      <w:szCs w:val="22"/>
                      <w:lang w:val="es-GT"/>
                    </w:rPr>
                    <w:t>(tasa de crecimiento en porcentaje)</w:t>
                  </w:r>
                </w:p>
              </w:tc>
              <w:tc>
                <w:tcPr>
                  <w:tcW w:w="4194" w:type="dxa"/>
                </w:tcPr>
                <w:p w14:paraId="2D335960" w14:textId="77777777" w:rsidR="00140592" w:rsidRPr="00FE4377" w:rsidRDefault="00140592" w:rsidP="00CB0BEF">
                  <w:pPr>
                    <w:spacing w:line="276" w:lineRule="auto"/>
                    <w:contextualSpacing/>
                    <w:jc w:val="center"/>
                    <w:rPr>
                      <w:rFonts w:eastAsiaTheme="majorEastAsia"/>
                      <w:b/>
                      <w:bCs/>
                      <w:szCs w:val="26"/>
                      <w:lang w:val="es-GT"/>
                    </w:rPr>
                  </w:pPr>
                  <w:r w:rsidRPr="00FE4377">
                    <w:rPr>
                      <w:rFonts w:eastAsiaTheme="majorEastAsia"/>
                      <w:b/>
                      <w:bCs/>
                      <w:sz w:val="22"/>
                      <w:lang w:val="es-GT"/>
                    </w:rPr>
                    <w:t xml:space="preserve">Exportaciones </w:t>
                  </w:r>
                  <w:r w:rsidRPr="00FE4377">
                    <w:rPr>
                      <w:rFonts w:eastAsiaTheme="majorEastAsia"/>
                      <w:sz w:val="20"/>
                      <w:szCs w:val="22"/>
                      <w:lang w:val="es-GT"/>
                    </w:rPr>
                    <w:t>(tasa de crecimiento en porcentaje)</w:t>
                  </w:r>
                </w:p>
              </w:tc>
            </w:tr>
            <w:tr w:rsidR="00140592" w:rsidRPr="00FE4377" w14:paraId="4CEBBA50" w14:textId="77777777" w:rsidTr="00F9036A">
              <w:tblPrEx>
                <w:tblCellMar>
                  <w:left w:w="70" w:type="dxa"/>
                  <w:right w:w="70" w:type="dxa"/>
                </w:tblCellMar>
              </w:tblPrEx>
              <w:tc>
                <w:tcPr>
                  <w:tcW w:w="4177" w:type="dxa"/>
                </w:tcPr>
                <w:p w14:paraId="4A1AE0C0" w14:textId="77777777" w:rsidR="00140592" w:rsidRPr="00FE4377" w:rsidRDefault="00140592" w:rsidP="00140592">
                  <w:pPr>
                    <w:spacing w:line="276" w:lineRule="auto"/>
                    <w:contextualSpacing/>
                    <w:rPr>
                      <w:rFonts w:eastAsiaTheme="majorEastAsia"/>
                      <w:b/>
                      <w:bCs/>
                      <w:szCs w:val="26"/>
                    </w:rPr>
                  </w:pPr>
                  <w:r w:rsidRPr="00FE4377">
                    <w:rPr>
                      <w:noProof/>
                    </w:rPr>
                    <w:drawing>
                      <wp:inline distT="0" distB="0" distL="0" distR="0" wp14:anchorId="15079953" wp14:editId="10E12E55">
                        <wp:extent cx="2522855" cy="1439545"/>
                        <wp:effectExtent l="0" t="0" r="0" b="8255"/>
                        <wp:docPr id="252" name="Gráfico 2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tc>
              <w:tc>
                <w:tcPr>
                  <w:tcW w:w="4194" w:type="dxa"/>
                </w:tcPr>
                <w:p w14:paraId="042CFCD2" w14:textId="77777777" w:rsidR="00140592" w:rsidRPr="00FE4377" w:rsidRDefault="00140592" w:rsidP="00140592">
                  <w:pPr>
                    <w:spacing w:line="276" w:lineRule="auto"/>
                    <w:contextualSpacing/>
                    <w:rPr>
                      <w:rFonts w:eastAsiaTheme="majorEastAsia"/>
                      <w:b/>
                      <w:bCs/>
                      <w:szCs w:val="26"/>
                    </w:rPr>
                  </w:pPr>
                  <w:r w:rsidRPr="00FE4377">
                    <w:rPr>
                      <w:noProof/>
                    </w:rPr>
                    <w:drawing>
                      <wp:inline distT="0" distB="0" distL="0" distR="0" wp14:anchorId="7755E846" wp14:editId="3EB374C7">
                        <wp:extent cx="2531745" cy="1439545"/>
                        <wp:effectExtent l="0" t="0" r="1905" b="8255"/>
                        <wp:docPr id="251" name="Gráfico 2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tc>
            </w:tr>
            <w:tr w:rsidR="00140592" w:rsidRPr="00FE4377" w14:paraId="56299A0C" w14:textId="77777777" w:rsidTr="00F9036A">
              <w:tc>
                <w:tcPr>
                  <w:tcW w:w="8372" w:type="dxa"/>
                  <w:gridSpan w:val="2"/>
                </w:tcPr>
                <w:p w14:paraId="0A57677B" w14:textId="77777777" w:rsidR="00140592" w:rsidRPr="00140592" w:rsidRDefault="00140592" w:rsidP="00140592">
                  <w:pPr>
                    <w:spacing w:line="276" w:lineRule="auto"/>
                    <w:contextualSpacing/>
                    <w:rPr>
                      <w:rFonts w:eastAsiaTheme="majorEastAsia"/>
                      <w:sz w:val="18"/>
                      <w:szCs w:val="20"/>
                      <w:lang w:val="es-GT"/>
                    </w:rPr>
                  </w:pPr>
                  <w:r w:rsidRPr="00FE4377">
                    <w:rPr>
                      <w:rFonts w:eastAsiaTheme="majorEastAsia"/>
                      <w:sz w:val="18"/>
                      <w:szCs w:val="20"/>
                      <w:lang w:val="es-GT"/>
                    </w:rPr>
                    <w:t>Fuente: Ministerio de Finanzas con metodología de la herramienta FRAT del FMI</w:t>
                  </w:r>
                </w:p>
              </w:tc>
            </w:tr>
          </w:tbl>
          <w:p w14:paraId="6AFAD00A" w14:textId="77777777" w:rsidR="00FE4377" w:rsidRPr="00FE4377" w:rsidRDefault="00FE4377" w:rsidP="00FE4377">
            <w:pPr>
              <w:spacing w:line="276" w:lineRule="auto"/>
              <w:contextualSpacing/>
              <w:rPr>
                <w:rFonts w:eastAsiaTheme="majorEastAsia"/>
                <w:b/>
                <w:bCs/>
                <w:szCs w:val="26"/>
                <w:highlight w:val="yellow"/>
                <w:lang w:val="es-GT"/>
              </w:rPr>
            </w:pPr>
          </w:p>
        </w:tc>
      </w:tr>
    </w:tbl>
    <w:tbl>
      <w:tblPr>
        <w:tblW w:w="865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8656"/>
      </w:tblGrid>
      <w:tr w:rsidR="00140592" w14:paraId="5213573C" w14:textId="77777777" w:rsidTr="00CB0BEF">
        <w:trPr>
          <w:trHeight w:val="9605"/>
        </w:trPr>
        <w:tc>
          <w:tcPr>
            <w:tcW w:w="8656" w:type="dxa"/>
            <w:tcBorders>
              <w:top w:val="single" w:sz="12" w:space="0" w:color="auto"/>
              <w:left w:val="single" w:sz="12" w:space="0" w:color="auto"/>
              <w:bottom w:val="single" w:sz="12" w:space="0" w:color="auto"/>
              <w:right w:val="single" w:sz="12" w:space="0" w:color="auto"/>
            </w:tcBorders>
            <w:shd w:val="clear" w:color="auto" w:fill="B4C6E7" w:themeFill="accent1" w:themeFillTint="66"/>
          </w:tcPr>
          <w:p w14:paraId="40D77BF1" w14:textId="33644E99" w:rsidR="00140592" w:rsidRPr="00965FB8" w:rsidRDefault="00965FB8" w:rsidP="00965FB8">
            <w:pPr>
              <w:pStyle w:val="Descripcin"/>
              <w:spacing w:after="0"/>
              <w:jc w:val="center"/>
              <w:rPr>
                <w:b/>
                <w:bCs/>
                <w:i w:val="0"/>
                <w:iCs w:val="0"/>
                <w:color w:val="auto"/>
                <w:sz w:val="24"/>
                <w:szCs w:val="24"/>
              </w:rPr>
            </w:pPr>
            <w:r w:rsidRPr="00965FB8">
              <w:rPr>
                <w:b/>
                <w:bCs/>
                <w:i w:val="0"/>
                <w:iCs w:val="0"/>
                <w:color w:val="auto"/>
                <w:sz w:val="24"/>
                <w:szCs w:val="24"/>
              </w:rPr>
              <w:t xml:space="preserve">Recuadro </w:t>
            </w:r>
            <w:r w:rsidRPr="00965FB8">
              <w:rPr>
                <w:b/>
                <w:bCs/>
                <w:i w:val="0"/>
                <w:iCs w:val="0"/>
                <w:color w:val="auto"/>
                <w:sz w:val="24"/>
                <w:szCs w:val="24"/>
              </w:rPr>
              <w:fldChar w:fldCharType="begin"/>
            </w:r>
            <w:r w:rsidRPr="00965FB8">
              <w:rPr>
                <w:b/>
                <w:bCs/>
                <w:i w:val="0"/>
                <w:iCs w:val="0"/>
                <w:color w:val="auto"/>
                <w:sz w:val="24"/>
                <w:szCs w:val="24"/>
              </w:rPr>
              <w:instrText xml:space="preserve"> SEQ Recuadro \* ARABIC </w:instrText>
            </w:r>
            <w:r w:rsidRPr="00965FB8">
              <w:rPr>
                <w:b/>
                <w:bCs/>
                <w:i w:val="0"/>
                <w:iCs w:val="0"/>
                <w:color w:val="auto"/>
                <w:sz w:val="24"/>
                <w:szCs w:val="24"/>
              </w:rPr>
              <w:fldChar w:fldCharType="separate"/>
            </w:r>
            <w:r w:rsidR="006622B2">
              <w:rPr>
                <w:b/>
                <w:bCs/>
                <w:i w:val="0"/>
                <w:iCs w:val="0"/>
                <w:noProof/>
                <w:color w:val="auto"/>
                <w:sz w:val="24"/>
                <w:szCs w:val="24"/>
              </w:rPr>
              <w:t>2</w:t>
            </w:r>
            <w:r w:rsidRPr="00965FB8">
              <w:rPr>
                <w:b/>
                <w:bCs/>
                <w:i w:val="0"/>
                <w:iCs w:val="0"/>
                <w:color w:val="auto"/>
                <w:sz w:val="24"/>
                <w:szCs w:val="24"/>
              </w:rPr>
              <w:fldChar w:fldCharType="end"/>
            </w:r>
            <w:r w:rsidRPr="00965FB8">
              <w:rPr>
                <w:b/>
                <w:bCs/>
                <w:i w:val="0"/>
                <w:iCs w:val="0"/>
                <w:color w:val="auto"/>
                <w:sz w:val="24"/>
                <w:szCs w:val="24"/>
              </w:rPr>
              <w:t>.  La inflación y los precios de las materias prima internacionales</w:t>
            </w:r>
          </w:p>
          <w:p w14:paraId="25BAA1D2" w14:textId="77777777" w:rsidR="00140592" w:rsidRPr="00CB0BEF" w:rsidRDefault="00140592" w:rsidP="00CB0BEF">
            <w:pPr>
              <w:jc w:val="both"/>
              <w:rPr>
                <w:sz w:val="22"/>
                <w:szCs w:val="22"/>
                <w:lang w:val="es-MX"/>
              </w:rPr>
            </w:pPr>
            <w:r w:rsidRPr="00CB0BEF">
              <w:rPr>
                <w:sz w:val="22"/>
                <w:szCs w:val="22"/>
                <w:lang w:val="es-MX"/>
              </w:rPr>
              <w:t>La inflación es el fenómeno económico que un país experimenta sobre la variación</w:t>
            </w:r>
            <w:r w:rsidRPr="00CB0BEF">
              <w:rPr>
                <w:sz w:val="22"/>
                <w:szCs w:val="22"/>
              </w:rPr>
              <w:t xml:space="preserve"> en </w:t>
            </w:r>
            <w:r w:rsidRPr="00CB0BEF">
              <w:rPr>
                <w:sz w:val="22"/>
                <w:szCs w:val="22"/>
                <w:lang w:val="es-MX"/>
              </w:rPr>
              <w:t>precio de una cesta seleccionada de bienes y servicios de mercados locales; que se comercializan en un periodo de tiempo definido. Su importancia recala en el establecimiento del poder adquisitivo de los individuos. Una inflación moderada promueve el uso eficiente de los recursos productivos, disminuye la incertidumbre, incentiva la inversión y evita redistribuciones arbitrarias del ingreso y la riqueza, especialmente para la población más pobre. No obstante, la inflación nacional puede ser afectada por factores de oferta y demanda interna, o ser influida por los precios de las materias prima internacionales.</w:t>
            </w:r>
          </w:p>
          <w:p w14:paraId="03DEC3E5" w14:textId="77777777" w:rsidR="00140592" w:rsidRPr="00CB0BEF" w:rsidRDefault="00140592" w:rsidP="00CB0BEF">
            <w:pPr>
              <w:jc w:val="both"/>
              <w:rPr>
                <w:sz w:val="22"/>
                <w:szCs w:val="22"/>
                <w:lang w:val="es-MX"/>
              </w:rPr>
            </w:pPr>
          </w:p>
          <w:p w14:paraId="140DCA10" w14:textId="77777777" w:rsidR="00140592" w:rsidRPr="00CB0BEF" w:rsidRDefault="00140592" w:rsidP="00CB0BEF">
            <w:pPr>
              <w:jc w:val="both"/>
              <w:rPr>
                <w:sz w:val="22"/>
                <w:szCs w:val="22"/>
                <w:lang w:val="es-MX"/>
              </w:rPr>
            </w:pPr>
            <w:r w:rsidRPr="00CB0BEF">
              <w:rPr>
                <w:sz w:val="22"/>
                <w:szCs w:val="22"/>
                <w:lang w:val="es-MX"/>
              </w:rPr>
              <w:t>En el caso del precio de la materia prima internacionales en los últimos años ha mostrado una gran volatilidad, en 2020 los precios de la materia prima de energía tendieron a la baja por la disminución de la demanda externa y los altos inventarios. Por otro lado, en el 2021 y 2022 los precios de energía y de agricultura fueron impulsados por los cuellos de botella en la cadena de suministros por la reactivación de la economía después del cese de los confinamientos y por el conflicto bélico entre Rusia y Ucrania. Lo que influyó, junto con otros factores al aumento de la inflación de la mayoría de las economías y llevó a los bancos centrales a aumentar las tasas de interés para afectar las expectativas inflacionarias y disminuir la demanda agregada.</w:t>
            </w:r>
          </w:p>
          <w:p w14:paraId="700D7F2F" w14:textId="77777777" w:rsidR="00140592" w:rsidRDefault="00140592" w:rsidP="00140592">
            <w:pPr>
              <w:jc w:val="both"/>
              <w:rPr>
                <w:lang w:val="es-MX"/>
              </w:rPr>
            </w:pPr>
          </w:p>
          <w:tbl>
            <w:tblPr>
              <w:tblStyle w:val="Tablaconcuadrcula"/>
              <w:tblW w:w="86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2"/>
            </w:tblGrid>
            <w:tr w:rsidR="00140592" w14:paraId="18F37E71" w14:textId="77777777" w:rsidTr="009648FE">
              <w:trPr>
                <w:trHeight w:val="199"/>
              </w:trPr>
              <w:tc>
                <w:tcPr>
                  <w:tcW w:w="8642" w:type="dxa"/>
                  <w:hideMark/>
                </w:tcPr>
                <w:p w14:paraId="50D510D4" w14:textId="33B3055D" w:rsidR="00140592" w:rsidRPr="00255812" w:rsidRDefault="00140592" w:rsidP="00140592">
                  <w:pPr>
                    <w:jc w:val="center"/>
                    <w:rPr>
                      <w:rFonts w:eastAsiaTheme="minorEastAsia"/>
                      <w:b/>
                      <w:bCs/>
                      <w:lang w:val="es-GT"/>
                    </w:rPr>
                  </w:pPr>
                  <w:bookmarkStart w:id="110" w:name="_Toc143870717"/>
                  <w:r w:rsidRPr="00255812">
                    <w:rPr>
                      <w:b/>
                      <w:bCs/>
                      <w:lang w:val="es-GT"/>
                    </w:rPr>
                    <w:t xml:space="preserve">Gráfico </w:t>
                  </w:r>
                  <w:r>
                    <w:rPr>
                      <w:b/>
                      <w:bCs/>
                      <w:i/>
                      <w:iCs/>
                    </w:rPr>
                    <w:fldChar w:fldCharType="begin"/>
                  </w:r>
                  <w:r w:rsidRPr="00255812">
                    <w:rPr>
                      <w:b/>
                      <w:bCs/>
                      <w:lang w:val="es-GT"/>
                    </w:rPr>
                    <w:instrText xml:space="preserve"> SEQ Gráfico \* ARABIC </w:instrText>
                  </w:r>
                  <w:r>
                    <w:rPr>
                      <w:b/>
                      <w:bCs/>
                      <w:i/>
                      <w:iCs/>
                    </w:rPr>
                    <w:fldChar w:fldCharType="separate"/>
                  </w:r>
                  <w:r w:rsidR="006622B2">
                    <w:rPr>
                      <w:b/>
                      <w:bCs/>
                      <w:noProof/>
                      <w:lang w:val="es-GT"/>
                    </w:rPr>
                    <w:t>50</w:t>
                  </w:r>
                  <w:r>
                    <w:rPr>
                      <w:b/>
                      <w:bCs/>
                      <w:i/>
                      <w:iCs/>
                    </w:rPr>
                    <w:fldChar w:fldCharType="end"/>
                  </w:r>
                  <w:r w:rsidRPr="00255812">
                    <w:rPr>
                      <w:b/>
                      <w:bCs/>
                      <w:i/>
                      <w:iCs/>
                      <w:lang w:val="es-GT"/>
                    </w:rPr>
                    <w:t xml:space="preserve">. </w:t>
                  </w:r>
                  <w:r w:rsidRPr="00255812">
                    <w:rPr>
                      <w:rFonts w:eastAsiaTheme="minorEastAsia"/>
                      <w:b/>
                      <w:bCs/>
                      <w:lang w:val="es-GT"/>
                    </w:rPr>
                    <w:t>Variación interanual del IPC nacional y el índice global de materias prima</w:t>
                  </w:r>
                  <w:bookmarkEnd w:id="110"/>
                </w:p>
              </w:tc>
            </w:tr>
            <w:tr w:rsidR="00140592" w14:paraId="3B694F15" w14:textId="77777777" w:rsidTr="009648FE">
              <w:tblPrEx>
                <w:tblCellMar>
                  <w:left w:w="70" w:type="dxa"/>
                  <w:right w:w="70" w:type="dxa"/>
                </w:tblCellMar>
              </w:tblPrEx>
              <w:trPr>
                <w:trHeight w:val="2658"/>
              </w:trPr>
              <w:tc>
                <w:tcPr>
                  <w:tcW w:w="8642" w:type="dxa"/>
                  <w:hideMark/>
                </w:tcPr>
                <w:p w14:paraId="50467E54" w14:textId="77777777" w:rsidR="00140592" w:rsidRDefault="00140592" w:rsidP="00140592">
                  <w:pPr>
                    <w:jc w:val="center"/>
                    <w:rPr>
                      <w:rFonts w:eastAsiaTheme="minorEastAsia"/>
                    </w:rPr>
                  </w:pPr>
                  <w:r>
                    <w:rPr>
                      <w:noProof/>
                    </w:rPr>
                    <w:drawing>
                      <wp:inline distT="0" distB="0" distL="0" distR="0" wp14:anchorId="4B068D29" wp14:editId="55623B1B">
                        <wp:extent cx="4680000" cy="1620000"/>
                        <wp:effectExtent l="0" t="0" r="6350" b="0"/>
                        <wp:docPr id="12" name="Gráfico 12">
                          <a:extLst xmlns:a="http://schemas.openxmlformats.org/drawingml/2006/main">
                            <a:ext uri="{FF2B5EF4-FFF2-40B4-BE49-F238E27FC236}">
                              <a16:creationId xmlns:a16="http://schemas.microsoft.com/office/drawing/2014/main" id="{5D0B9547-72F2-4EC8-811F-07D142F90B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tc>
            </w:tr>
            <w:tr w:rsidR="00140592" w14:paraId="243AE93E" w14:textId="77777777" w:rsidTr="009648FE">
              <w:trPr>
                <w:trHeight w:val="80"/>
              </w:trPr>
              <w:tc>
                <w:tcPr>
                  <w:tcW w:w="8642" w:type="dxa"/>
                  <w:hideMark/>
                </w:tcPr>
                <w:p w14:paraId="520BA80D" w14:textId="77777777" w:rsidR="00140592" w:rsidRPr="00255812" w:rsidRDefault="00140592" w:rsidP="00140592">
                  <w:pPr>
                    <w:jc w:val="both"/>
                    <w:rPr>
                      <w:rFonts w:eastAsiaTheme="minorEastAsia"/>
                      <w:sz w:val="20"/>
                      <w:szCs w:val="20"/>
                      <w:lang w:val="es-GT"/>
                    </w:rPr>
                  </w:pPr>
                  <w:r w:rsidRPr="00255812">
                    <w:rPr>
                      <w:rFonts w:eastAsiaTheme="minorEastAsia"/>
                      <w:sz w:val="16"/>
                      <w:szCs w:val="20"/>
                      <w:lang w:val="es-GT"/>
                    </w:rPr>
                    <w:t>Fuente: Banco de Guatemala y FRED data</w:t>
                  </w:r>
                </w:p>
              </w:tc>
            </w:tr>
          </w:tbl>
          <w:p w14:paraId="0312C64B" w14:textId="77777777" w:rsidR="00140592" w:rsidRPr="00CB0BEF" w:rsidRDefault="00140592" w:rsidP="00140592">
            <w:pPr>
              <w:jc w:val="both"/>
              <w:rPr>
                <w:sz w:val="22"/>
                <w:szCs w:val="22"/>
              </w:rPr>
            </w:pPr>
          </w:p>
          <w:p w14:paraId="024DEBC3" w14:textId="77777777" w:rsidR="00140592" w:rsidRPr="00CB0BEF" w:rsidRDefault="00140592" w:rsidP="00140592">
            <w:pPr>
              <w:jc w:val="both"/>
              <w:rPr>
                <w:sz w:val="22"/>
                <w:szCs w:val="22"/>
                <w:lang w:val="es-MX"/>
              </w:rPr>
            </w:pPr>
            <w:r w:rsidRPr="00CB0BEF">
              <w:rPr>
                <w:sz w:val="22"/>
                <w:szCs w:val="22"/>
                <w:lang w:val="es-MX"/>
              </w:rPr>
              <w:t>Para medir como los precios de las materias primas pueden afectar el escenario base de inflación de mediano plazo, se utilizó la metodología descrita en el documento “</w:t>
            </w:r>
            <w:r w:rsidRPr="00CB0BEF">
              <w:rPr>
                <w:i/>
                <w:iCs/>
                <w:sz w:val="22"/>
                <w:szCs w:val="22"/>
                <w:lang w:val="es-MX"/>
              </w:rPr>
              <w:t>Fanchart: detalles técnicos de la nueva implementación”</w:t>
            </w:r>
            <w:r w:rsidRPr="00CB0BEF">
              <w:rPr>
                <w:sz w:val="22"/>
                <w:szCs w:val="22"/>
                <w:lang w:val="es-MX"/>
              </w:rPr>
              <w:t xml:space="preserve">  </w:t>
            </w:r>
            <w:r w:rsidRPr="00CB0BEF">
              <w:rPr>
                <w:sz w:val="22"/>
                <w:szCs w:val="22"/>
                <w:lang w:val="es-MX"/>
              </w:rPr>
              <w:fldChar w:fldCharType="begin"/>
            </w:r>
            <w:r w:rsidRPr="00CB0BEF">
              <w:rPr>
                <w:sz w:val="22"/>
                <w:szCs w:val="22"/>
                <w:lang w:val="es-MX"/>
              </w:rPr>
              <w:instrText xml:space="preserve"> CITATION Jul07 \l 4106 </w:instrText>
            </w:r>
            <w:r w:rsidRPr="00CB0BEF">
              <w:rPr>
                <w:sz w:val="22"/>
                <w:szCs w:val="22"/>
                <w:lang w:val="es-MX"/>
              </w:rPr>
              <w:fldChar w:fldCharType="separate"/>
            </w:r>
            <w:r w:rsidRPr="00CB0BEF">
              <w:rPr>
                <w:sz w:val="22"/>
                <w:szCs w:val="22"/>
                <w:lang w:val="es-MX"/>
              </w:rPr>
              <w:t>(Julio, 2007)</w:t>
            </w:r>
            <w:r w:rsidRPr="00CB0BEF">
              <w:rPr>
                <w:sz w:val="22"/>
                <w:szCs w:val="22"/>
                <w:lang w:val="es-MX"/>
              </w:rPr>
              <w:fldChar w:fldCharType="end"/>
            </w:r>
            <w:r w:rsidRPr="00CB0BEF">
              <w:rPr>
                <w:sz w:val="22"/>
                <w:szCs w:val="22"/>
                <w:lang w:val="es-MX"/>
              </w:rPr>
              <w:t xml:space="preserve">, en el cual se desarrolla gráficos de abanico a partir de una herramienta que considera un escenario base que sirve de senda modal sujeta a un conjunto de factores que la pueden afectar (en este caso el precio de las materias prima), a partir de la cual supone una distribución normal de dos partes, a la que le asigna dos parámetros una asociada a un balance de riesgo, es decir la probabilidad de que la variable este por debajo de la mediana; y la desviación histórica de los factores. Con la información disponible se estima la mediana, la moda, la media y el sesgo en cada uno de los periodos del pronóstico. </w:t>
            </w:r>
          </w:p>
          <w:p w14:paraId="025A5A62" w14:textId="77777777" w:rsidR="00140592" w:rsidRPr="00CB0BEF" w:rsidRDefault="00140592" w:rsidP="00140592">
            <w:pPr>
              <w:jc w:val="both"/>
              <w:rPr>
                <w:sz w:val="22"/>
                <w:szCs w:val="22"/>
                <w:lang w:val="es-MX"/>
              </w:rPr>
            </w:pPr>
          </w:p>
          <w:p w14:paraId="5F4A111A" w14:textId="77777777" w:rsidR="00140592" w:rsidRPr="00CB0BEF" w:rsidRDefault="00140592" w:rsidP="00140592">
            <w:pPr>
              <w:jc w:val="both"/>
              <w:rPr>
                <w:sz w:val="22"/>
                <w:szCs w:val="22"/>
                <w:lang w:val="es-MX"/>
              </w:rPr>
            </w:pPr>
            <w:r w:rsidRPr="00CB0BEF">
              <w:rPr>
                <w:sz w:val="22"/>
                <w:szCs w:val="22"/>
                <w:lang w:val="es-MX"/>
              </w:rPr>
              <w:t>Para medir el efecto de cada uno de los factores, se asigna una función impulso respuesta que se obtiene a través de un modelo satélite. Con esta información se genera un tablero de probabilidades y una nueva senda de pronóstico. Por lo tanto, para cuantificar el efecto del precio de las materias prima sobre la inflación nacional, se procedió a elaborar un modelo vectorial autorregresivo -VAR- con el índice de precios las materias primas del mercado global y IPC. De este modelo, se extrajo la función impulso respuesta que muestra un efecto significativo que la respuesta de la inflación trimestral de Guatemala presenta. En el primer período se observa un incremento en 0.21 desviaciones estándar, para luego incrementarse 0.35 pasado un trimestre. Posteriormente se observa una reducción paulatina hasta 0.0 cumplido los de 7 trimestres. </w:t>
            </w:r>
          </w:p>
          <w:p w14:paraId="377EEACE" w14:textId="77777777" w:rsidR="00140592" w:rsidRPr="00CB0BEF" w:rsidRDefault="00140592" w:rsidP="00140592">
            <w:pPr>
              <w:jc w:val="both"/>
              <w:rPr>
                <w:sz w:val="22"/>
                <w:szCs w:val="22"/>
                <w:lang w:val="es-MX"/>
              </w:rPr>
            </w:pPr>
          </w:p>
          <w:p w14:paraId="1B02A1BA" w14:textId="77777777" w:rsidR="00140592" w:rsidRPr="00CB0BEF" w:rsidRDefault="00140592" w:rsidP="00140592">
            <w:pPr>
              <w:jc w:val="both"/>
              <w:rPr>
                <w:sz w:val="22"/>
                <w:szCs w:val="22"/>
                <w:lang w:val="es-MX"/>
              </w:rPr>
            </w:pPr>
            <w:r w:rsidRPr="00CB0BEF">
              <w:rPr>
                <w:sz w:val="22"/>
                <w:szCs w:val="22"/>
                <w:lang w:val="es-MX"/>
              </w:rPr>
              <w:t>Establecido los efectos de la función impulso respuesta, se construyó un balance de riesgos, en una secuencia de 0.2 hasta 0.5 durante los primeros siete trimestres, y luego se mantenga en 0.5, indicando que se espera que la inflación tenga mayores probabilidades que este por encima del pronóstico. </w:t>
            </w:r>
          </w:p>
          <w:p w14:paraId="4F031B96" w14:textId="77777777" w:rsidR="00140592" w:rsidRDefault="00140592" w:rsidP="00140592">
            <w:pPr>
              <w:jc w:val="both"/>
              <w:rPr>
                <w:lang w:val="es-MX"/>
              </w:rPr>
            </w:pPr>
          </w:p>
          <w:tbl>
            <w:tblPr>
              <w:tblStyle w:val="Tablaconcuadrcula"/>
              <w:tblW w:w="81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94"/>
              <w:gridCol w:w="4095"/>
            </w:tblGrid>
            <w:tr w:rsidR="00140592" w14:paraId="2D64B576" w14:textId="77777777" w:rsidTr="009648FE">
              <w:trPr>
                <w:trHeight w:val="208"/>
              </w:trPr>
              <w:tc>
                <w:tcPr>
                  <w:tcW w:w="8189" w:type="dxa"/>
                  <w:gridSpan w:val="2"/>
                  <w:hideMark/>
                </w:tcPr>
                <w:p w14:paraId="45461A1D" w14:textId="0A30340D" w:rsidR="00140592" w:rsidRPr="00255812" w:rsidRDefault="00140592" w:rsidP="00140592">
                  <w:pPr>
                    <w:jc w:val="center"/>
                    <w:rPr>
                      <w:rFonts w:eastAsiaTheme="minorEastAsia"/>
                      <w:b/>
                      <w:bCs/>
                      <w:lang w:val="es-GT"/>
                    </w:rPr>
                  </w:pPr>
                  <w:bookmarkStart w:id="111" w:name="_Toc143870718"/>
                  <w:r w:rsidRPr="00255812">
                    <w:rPr>
                      <w:b/>
                      <w:bCs/>
                      <w:lang w:val="es-GT"/>
                    </w:rPr>
                    <w:t xml:space="preserve">Gráfico </w:t>
                  </w:r>
                  <w:r>
                    <w:rPr>
                      <w:b/>
                      <w:bCs/>
                      <w:i/>
                      <w:iCs/>
                    </w:rPr>
                    <w:fldChar w:fldCharType="begin"/>
                  </w:r>
                  <w:r w:rsidRPr="00255812">
                    <w:rPr>
                      <w:b/>
                      <w:bCs/>
                      <w:lang w:val="es-GT"/>
                    </w:rPr>
                    <w:instrText xml:space="preserve"> SEQ Gráfico \* ARABIC </w:instrText>
                  </w:r>
                  <w:r>
                    <w:rPr>
                      <w:b/>
                      <w:bCs/>
                      <w:i/>
                      <w:iCs/>
                    </w:rPr>
                    <w:fldChar w:fldCharType="separate"/>
                  </w:r>
                  <w:r w:rsidR="006622B2">
                    <w:rPr>
                      <w:b/>
                      <w:bCs/>
                      <w:noProof/>
                      <w:lang w:val="es-GT"/>
                    </w:rPr>
                    <w:t>51</w:t>
                  </w:r>
                  <w:r>
                    <w:rPr>
                      <w:b/>
                      <w:bCs/>
                      <w:i/>
                      <w:iCs/>
                    </w:rPr>
                    <w:fldChar w:fldCharType="end"/>
                  </w:r>
                  <w:r w:rsidRPr="00255812">
                    <w:rPr>
                      <w:b/>
                      <w:bCs/>
                      <w:i/>
                      <w:iCs/>
                      <w:lang w:val="es-GT"/>
                    </w:rPr>
                    <w:t xml:space="preserve">. </w:t>
                  </w:r>
                  <w:r w:rsidRPr="00255812">
                    <w:rPr>
                      <w:rFonts w:eastAsiaTheme="minorEastAsia"/>
                      <w:b/>
                      <w:bCs/>
                      <w:lang w:val="es-GT"/>
                    </w:rPr>
                    <w:t>Impacto de la inflación ante un choque en los precios de las materias primas internacionales</w:t>
                  </w:r>
                  <w:bookmarkEnd w:id="111"/>
                </w:p>
              </w:tc>
            </w:tr>
            <w:tr w:rsidR="00140592" w14:paraId="44A6DFB5" w14:textId="77777777" w:rsidTr="009648FE">
              <w:trPr>
                <w:trHeight w:val="208"/>
              </w:trPr>
              <w:tc>
                <w:tcPr>
                  <w:tcW w:w="4094" w:type="dxa"/>
                  <w:hideMark/>
                </w:tcPr>
                <w:p w14:paraId="0B922B10" w14:textId="77777777" w:rsidR="00140592" w:rsidRPr="00321A34" w:rsidRDefault="00140592" w:rsidP="00140592">
                  <w:pPr>
                    <w:jc w:val="center"/>
                    <w:rPr>
                      <w:rFonts w:eastAsiaTheme="minorEastAsia"/>
                      <w:lang w:val="es-GT"/>
                    </w:rPr>
                  </w:pPr>
                  <w:r w:rsidRPr="00321A34">
                    <w:rPr>
                      <w:rFonts w:eastAsiaTheme="minorEastAsia"/>
                      <w:sz w:val="20"/>
                      <w:szCs w:val="20"/>
                      <w:lang w:val="es-GT"/>
                    </w:rPr>
                    <w:t>Respuesta de la inflación ante un choque de una desviación estándar del índice de precio de materias prima del mercado global</w:t>
                  </w:r>
                </w:p>
              </w:tc>
              <w:tc>
                <w:tcPr>
                  <w:tcW w:w="4094" w:type="dxa"/>
                  <w:hideMark/>
                </w:tcPr>
                <w:p w14:paraId="018ACB53" w14:textId="77777777" w:rsidR="00140592" w:rsidRPr="00321A34" w:rsidRDefault="00140592" w:rsidP="00140592">
                  <w:pPr>
                    <w:jc w:val="center"/>
                    <w:rPr>
                      <w:rFonts w:eastAsiaTheme="minorEastAsia"/>
                      <w:lang w:val="es-GT"/>
                    </w:rPr>
                  </w:pPr>
                  <w:r w:rsidRPr="00321A34">
                    <w:rPr>
                      <w:rFonts w:eastAsiaTheme="minorEastAsia"/>
                      <w:sz w:val="20"/>
                      <w:szCs w:val="20"/>
                      <w:lang w:val="es-GT"/>
                    </w:rPr>
                    <w:t>Fan chart de la inflación considerando el choque de las materias prima</w:t>
                  </w:r>
                </w:p>
              </w:tc>
            </w:tr>
            <w:tr w:rsidR="00140592" w14:paraId="6648050C" w14:textId="77777777" w:rsidTr="009648FE">
              <w:tblPrEx>
                <w:tblCellMar>
                  <w:left w:w="70" w:type="dxa"/>
                  <w:right w:w="70" w:type="dxa"/>
                </w:tblCellMar>
              </w:tblPrEx>
              <w:trPr>
                <w:trHeight w:val="2783"/>
              </w:trPr>
              <w:tc>
                <w:tcPr>
                  <w:tcW w:w="4094" w:type="dxa"/>
                  <w:hideMark/>
                </w:tcPr>
                <w:p w14:paraId="50E0F134" w14:textId="77777777" w:rsidR="00140592" w:rsidRDefault="00140592" w:rsidP="00140592">
                  <w:pPr>
                    <w:rPr>
                      <w:rFonts w:eastAsiaTheme="minorEastAsia"/>
                    </w:rPr>
                  </w:pPr>
                  <w:r>
                    <w:rPr>
                      <w:noProof/>
                      <w:lang w:val="es-MX"/>
                    </w:rPr>
                    <w:drawing>
                      <wp:inline distT="0" distB="0" distL="0" distR="0" wp14:anchorId="34825326" wp14:editId="06BCB891">
                        <wp:extent cx="2519513" cy="1711757"/>
                        <wp:effectExtent l="0" t="0" r="0" b="317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rotWithShape="1">
                                <a:blip r:embed="rId89">
                                  <a:extLst>
                                    <a:ext uri="{28A0092B-C50C-407E-A947-70E740481C1C}">
                                      <a14:useLocalDpi xmlns:a14="http://schemas.microsoft.com/office/drawing/2010/main" val="0"/>
                                    </a:ext>
                                  </a:extLst>
                                </a:blip>
                                <a:srcRect l="15553" t="15236" r="21385" b="10065"/>
                                <a:stretch/>
                              </pic:blipFill>
                              <pic:spPr bwMode="auto">
                                <a:xfrm>
                                  <a:off x="0" y="0"/>
                                  <a:ext cx="2527387" cy="1717106"/>
                                </a:xfrm>
                                <a:prstGeom prst="rect">
                                  <a:avLst/>
                                </a:prstGeom>
                                <a:ln>
                                  <a:noFill/>
                                </a:ln>
                                <a:extLst>
                                  <a:ext uri="{53640926-AAD7-44D8-BBD7-CCE9431645EC}">
                                    <a14:shadowObscured xmlns:a14="http://schemas.microsoft.com/office/drawing/2010/main"/>
                                  </a:ext>
                                </a:extLst>
                              </pic:spPr>
                            </pic:pic>
                          </a:graphicData>
                        </a:graphic>
                      </wp:inline>
                    </w:drawing>
                  </w:r>
                </w:p>
              </w:tc>
              <w:tc>
                <w:tcPr>
                  <w:tcW w:w="4094" w:type="dxa"/>
                  <w:hideMark/>
                </w:tcPr>
                <w:p w14:paraId="60924403" w14:textId="77777777" w:rsidR="00140592" w:rsidRDefault="00140592" w:rsidP="00140592">
                  <w:pPr>
                    <w:jc w:val="center"/>
                    <w:rPr>
                      <w:rFonts w:eastAsiaTheme="minorEastAsia"/>
                    </w:rPr>
                  </w:pPr>
                  <w:r>
                    <w:rPr>
                      <w:noProof/>
                    </w:rPr>
                    <w:drawing>
                      <wp:inline distT="0" distB="0" distL="0" distR="0" wp14:anchorId="11014B66" wp14:editId="79B64EC9">
                        <wp:extent cx="2520000" cy="1620000"/>
                        <wp:effectExtent l="0" t="0" r="0" b="0"/>
                        <wp:docPr id="54" name="Gráfico 54">
                          <a:extLst xmlns:a="http://schemas.openxmlformats.org/drawingml/2006/main">
                            <a:ext uri="{FF2B5EF4-FFF2-40B4-BE49-F238E27FC236}">
                              <a16:creationId xmlns:a16="http://schemas.microsoft.com/office/drawing/2014/main" id="{A9EDC9F4-56A8-4B65-82C9-8F1BDCDE0B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tc>
            </w:tr>
            <w:tr w:rsidR="00140592" w14:paraId="55BFBDBA" w14:textId="77777777" w:rsidTr="009648FE">
              <w:trPr>
                <w:trHeight w:val="196"/>
              </w:trPr>
              <w:tc>
                <w:tcPr>
                  <w:tcW w:w="8189" w:type="dxa"/>
                  <w:gridSpan w:val="2"/>
                  <w:hideMark/>
                </w:tcPr>
                <w:p w14:paraId="73F69504" w14:textId="77777777" w:rsidR="00140592" w:rsidRPr="00255812" w:rsidRDefault="00140592" w:rsidP="00140592">
                  <w:pPr>
                    <w:jc w:val="both"/>
                    <w:rPr>
                      <w:rFonts w:eastAsiaTheme="minorEastAsia"/>
                      <w:sz w:val="20"/>
                      <w:szCs w:val="20"/>
                      <w:lang w:val="es-GT"/>
                    </w:rPr>
                  </w:pPr>
                  <w:r w:rsidRPr="00255812">
                    <w:rPr>
                      <w:rFonts w:eastAsiaTheme="minorEastAsia"/>
                      <w:sz w:val="16"/>
                      <w:szCs w:val="20"/>
                      <w:lang w:val="es-GT"/>
                    </w:rPr>
                    <w:t>Fuente: Dirección de Análisis y Política Fiscal</w:t>
                  </w:r>
                </w:p>
              </w:tc>
            </w:tr>
          </w:tbl>
          <w:p w14:paraId="37DE6B67" w14:textId="77777777" w:rsidR="00140592" w:rsidRPr="00CB0BEF" w:rsidRDefault="00140592" w:rsidP="00140592">
            <w:pPr>
              <w:jc w:val="both"/>
              <w:rPr>
                <w:sz w:val="22"/>
                <w:szCs w:val="22"/>
              </w:rPr>
            </w:pPr>
          </w:p>
          <w:p w14:paraId="6ACB184C" w14:textId="77777777" w:rsidR="00140592" w:rsidRPr="00CB0BEF" w:rsidRDefault="00140592" w:rsidP="00140592">
            <w:pPr>
              <w:jc w:val="both"/>
              <w:rPr>
                <w:sz w:val="22"/>
                <w:szCs w:val="22"/>
                <w:lang w:val="es-MX"/>
              </w:rPr>
            </w:pPr>
            <w:r w:rsidRPr="00CB0BEF">
              <w:rPr>
                <w:sz w:val="22"/>
                <w:szCs w:val="22"/>
                <w:lang w:val="es-MX"/>
              </w:rPr>
              <w:t>Los resultados obtenidos del Fan Chart muestran que existe un 68.2% de probabilidad de que la variación de la inflación sea mayor al 4.0% en el último trimestre del 2023, con una mediana de 4.22%. Para el último trimestre del 2024, se espera que la probabilidad de que la variable se encuentre entre los márgenes de la meta de inflación es del 53.5%, con una mediana de 3.25%. Al realizar la comparación entre el pronóstico original y el fan chart, se observa que el efecto del choque provocado por una desviación del índice global de precios de todas las materias primas, provocaría un aumento de 0.2 puntos porcentuales para el último trimestre del 2023 y para el cuarto trimestre de 2024.</w:t>
            </w:r>
          </w:p>
          <w:p w14:paraId="0C6FF933" w14:textId="77777777" w:rsidR="00140592" w:rsidRPr="00CB0BEF" w:rsidRDefault="00140592" w:rsidP="00140592">
            <w:pPr>
              <w:jc w:val="both"/>
              <w:rPr>
                <w:sz w:val="22"/>
                <w:szCs w:val="22"/>
                <w:lang w:val="es-MX"/>
              </w:rPr>
            </w:pPr>
          </w:p>
          <w:p w14:paraId="3EB7C80F" w14:textId="77777777" w:rsidR="00140592" w:rsidRPr="00CB0BEF" w:rsidRDefault="00140592" w:rsidP="00140592">
            <w:pPr>
              <w:rPr>
                <w:color w:val="000000" w:themeColor="text1"/>
                <w:sz w:val="20"/>
                <w:szCs w:val="20"/>
                <w:lang w:val="en-US"/>
              </w:rPr>
            </w:pPr>
            <w:r w:rsidRPr="00CB0BEF">
              <w:rPr>
                <w:color w:val="000000" w:themeColor="text1"/>
                <w:sz w:val="20"/>
                <w:szCs w:val="20"/>
                <w:lang w:val="en-US"/>
              </w:rPr>
              <w:t>Bibliografía</w:t>
            </w:r>
          </w:p>
          <w:p w14:paraId="2B82B992" w14:textId="77777777" w:rsidR="00140592" w:rsidRPr="00CB0BEF" w:rsidRDefault="00140592" w:rsidP="00140592">
            <w:pPr>
              <w:jc w:val="both"/>
              <w:rPr>
                <w:sz w:val="20"/>
                <w:szCs w:val="20"/>
                <w:lang w:val="es-MX"/>
              </w:rPr>
            </w:pPr>
            <w:r w:rsidRPr="00CB0BEF">
              <w:rPr>
                <w:sz w:val="20"/>
                <w:szCs w:val="20"/>
                <w:lang w:val="en-US"/>
              </w:rPr>
              <w:fldChar w:fldCharType="begin"/>
            </w:r>
            <w:r w:rsidRPr="00CB0BEF">
              <w:rPr>
                <w:sz w:val="20"/>
                <w:szCs w:val="20"/>
                <w:lang w:val="en-US"/>
              </w:rPr>
              <w:instrText>BIBLIOGRAPHY</w:instrText>
            </w:r>
            <w:r w:rsidRPr="00CB0BEF">
              <w:rPr>
                <w:sz w:val="20"/>
                <w:szCs w:val="20"/>
                <w:lang w:val="en-US"/>
              </w:rPr>
              <w:fldChar w:fldCharType="separate"/>
            </w:r>
            <w:r w:rsidRPr="00CB0BEF">
              <w:rPr>
                <w:noProof/>
                <w:sz w:val="20"/>
                <w:szCs w:val="20"/>
                <w:lang w:val="en-US"/>
              </w:rPr>
              <w:t xml:space="preserve">Julio, J. M. (2007). The Fan Chart; The Techinal Details Of The New Implementation. </w:t>
            </w:r>
            <w:r w:rsidRPr="00CB0BEF">
              <w:rPr>
                <w:i/>
                <w:iCs/>
                <w:noProof/>
                <w:sz w:val="20"/>
                <w:szCs w:val="20"/>
                <w:lang w:val="es-ES"/>
              </w:rPr>
              <w:t>Borradores de Economía No. 468</w:t>
            </w:r>
            <w:r w:rsidRPr="00CB0BEF">
              <w:rPr>
                <w:noProof/>
                <w:sz w:val="20"/>
                <w:szCs w:val="20"/>
                <w:lang w:val="es-ES"/>
              </w:rPr>
              <w:t>.</w:t>
            </w:r>
            <w:r w:rsidRPr="00CB0BEF">
              <w:rPr>
                <w:sz w:val="20"/>
                <w:szCs w:val="20"/>
                <w:lang w:val="en-US"/>
              </w:rPr>
              <w:fldChar w:fldCharType="end"/>
            </w:r>
          </w:p>
          <w:p w14:paraId="5115F2E0" w14:textId="77777777" w:rsidR="00140592" w:rsidRPr="00433AD0" w:rsidRDefault="00140592" w:rsidP="00140592">
            <w:pPr>
              <w:jc w:val="both"/>
              <w:rPr>
                <w:rFonts w:eastAsiaTheme="minorEastAsia"/>
                <w:lang w:val="es-MX"/>
              </w:rPr>
            </w:pPr>
          </w:p>
        </w:tc>
      </w:tr>
    </w:tbl>
    <w:p w14:paraId="138534FA" w14:textId="6E4B682C" w:rsidR="00586E14" w:rsidRDefault="00586E14" w:rsidP="00CB0BEF">
      <w:pPr>
        <w:rPr>
          <w:b/>
          <w:bCs/>
        </w:rPr>
      </w:pPr>
    </w:p>
    <w:p w14:paraId="5DE8565F" w14:textId="3546540D" w:rsidR="00CB0BEF" w:rsidRDefault="00CB0BEF" w:rsidP="00CB0BEF">
      <w:pPr>
        <w:rPr>
          <w:b/>
          <w:bCs/>
        </w:rPr>
      </w:pPr>
    </w:p>
    <w:p w14:paraId="661352E2" w14:textId="786C04B2" w:rsidR="00CB0BEF" w:rsidRDefault="00CB0BEF" w:rsidP="00CB0BEF">
      <w:pPr>
        <w:rPr>
          <w:b/>
          <w:bCs/>
        </w:rPr>
      </w:pPr>
    </w:p>
    <w:p w14:paraId="62FD18B3" w14:textId="7AD4FD9D" w:rsidR="00CB0BEF" w:rsidRDefault="00CB0BEF" w:rsidP="00CB0BEF">
      <w:pPr>
        <w:rPr>
          <w:b/>
          <w:bCs/>
        </w:rPr>
      </w:pPr>
    </w:p>
    <w:p w14:paraId="58126320" w14:textId="1355414F" w:rsidR="00CB0BEF" w:rsidRDefault="00CB0BEF" w:rsidP="00CB0BEF">
      <w:pPr>
        <w:rPr>
          <w:b/>
          <w:bCs/>
        </w:rPr>
      </w:pPr>
    </w:p>
    <w:p w14:paraId="48B741ED" w14:textId="57DEFFDE" w:rsidR="00CB0BEF" w:rsidRDefault="00CB0BEF" w:rsidP="00CB0BEF">
      <w:pPr>
        <w:rPr>
          <w:b/>
          <w:bCs/>
        </w:rPr>
      </w:pPr>
    </w:p>
    <w:p w14:paraId="210ABC2B" w14:textId="4E696CA5" w:rsidR="00CB0BEF" w:rsidRDefault="00CB0BEF" w:rsidP="00CB0BEF">
      <w:pPr>
        <w:rPr>
          <w:b/>
          <w:bCs/>
        </w:rPr>
      </w:pPr>
    </w:p>
    <w:p w14:paraId="3D79D5A0" w14:textId="56FAFA52" w:rsidR="00CB0BEF" w:rsidRDefault="00CB0BEF" w:rsidP="00CB0BEF">
      <w:pPr>
        <w:rPr>
          <w:b/>
          <w:bCs/>
        </w:rPr>
      </w:pPr>
    </w:p>
    <w:p w14:paraId="756207C2" w14:textId="46D3A0D0" w:rsidR="00CB0BEF" w:rsidRDefault="00CB0BEF" w:rsidP="00CB0BEF">
      <w:pPr>
        <w:rPr>
          <w:b/>
          <w:bCs/>
        </w:rPr>
      </w:pPr>
    </w:p>
    <w:p w14:paraId="3FCD3596" w14:textId="4AB01A69" w:rsidR="00CB0BEF" w:rsidRDefault="00CB0BEF" w:rsidP="00CB0BEF">
      <w:pPr>
        <w:rPr>
          <w:b/>
          <w:bCs/>
        </w:rPr>
      </w:pPr>
    </w:p>
    <w:p w14:paraId="60F2007D" w14:textId="77777777" w:rsidR="00CB0BEF" w:rsidRDefault="00CB0BEF" w:rsidP="00CB0BEF">
      <w:pPr>
        <w:rPr>
          <w:b/>
          <w:bCs/>
        </w:rPr>
      </w:pPr>
    </w:p>
    <w:p w14:paraId="785271F1" w14:textId="3DF55DDB" w:rsidR="00C73E17" w:rsidRPr="0049039C" w:rsidRDefault="003D7247" w:rsidP="0049039C">
      <w:pPr>
        <w:pStyle w:val="Prrafodelista"/>
        <w:numPr>
          <w:ilvl w:val="0"/>
          <w:numId w:val="2"/>
        </w:numPr>
        <w:ind w:left="284" w:hanging="284"/>
        <w:jc w:val="both"/>
        <w:outlineLvl w:val="0"/>
        <w:rPr>
          <w:b/>
          <w:bCs/>
          <w:sz w:val="28"/>
          <w:szCs w:val="28"/>
        </w:rPr>
      </w:pPr>
      <w:bookmarkStart w:id="112" w:name="_Toc143865817"/>
      <w:r w:rsidRPr="00203F36">
        <w:rPr>
          <w:b/>
          <w:bCs/>
          <w:sz w:val="28"/>
          <w:szCs w:val="28"/>
        </w:rPr>
        <w:t>Marco</w:t>
      </w:r>
      <w:r w:rsidRPr="0049039C">
        <w:rPr>
          <w:b/>
          <w:bCs/>
          <w:sz w:val="28"/>
          <w:szCs w:val="28"/>
        </w:rPr>
        <w:t xml:space="preserve"> Fiscal de Mediano Plazo</w:t>
      </w:r>
      <w:bookmarkEnd w:id="112"/>
    </w:p>
    <w:p w14:paraId="6771EE28" w14:textId="77777777" w:rsidR="00C73E17" w:rsidRDefault="00C73E17" w:rsidP="00E85FB3">
      <w:pPr>
        <w:jc w:val="both"/>
      </w:pPr>
    </w:p>
    <w:p w14:paraId="7C788D98" w14:textId="58F2B2D6" w:rsidR="008438C0" w:rsidRDefault="008438C0" w:rsidP="008438C0">
      <w:pPr>
        <w:jc w:val="both"/>
      </w:pPr>
      <w:r>
        <w:t>En este apartado, es relevante previamente conocer la evolución y comportamiento de la política fiscal en el último año (2022) para determinar el comportamiento futuro de las variables fiscales, tomando en consideración el escenario atípico que se planteó en dicho año por la coyuntura internacional adversa que</w:t>
      </w:r>
      <w:r w:rsidR="00C72F2C">
        <w:t>,</w:t>
      </w:r>
      <w:r>
        <w:t xml:space="preserve"> además de abruptos cambios en los precios de las materias primas, también dio un giro importante en las políticas monetarias y fiscales en muchos países, incidiendo esto de cierta manera en la conducción de la política fiscal en Guatemala, cuyos efectos se han materializado en 2023 con el aumento en las tasas de interés en los mercados internacionales y en el mercado interno, lo cual podría afectar el costo de la deuda pública.  </w:t>
      </w:r>
    </w:p>
    <w:p w14:paraId="37DD0717" w14:textId="77777777" w:rsidR="008438C0" w:rsidRDefault="008438C0" w:rsidP="008438C0">
      <w:pPr>
        <w:jc w:val="both"/>
      </w:pPr>
    </w:p>
    <w:p w14:paraId="3565D566" w14:textId="5E2BA966" w:rsidR="008438C0" w:rsidRDefault="00C72F2C" w:rsidP="008438C0">
      <w:pPr>
        <w:jc w:val="both"/>
      </w:pPr>
      <w:r>
        <w:t>D</w:t>
      </w:r>
      <w:r w:rsidR="008438C0">
        <w:t>esde 2021 se observa una mejora en los ingresos fiscales asociados a la coyuntura económica externa y al buen desempeño de la administración tributaria que ha logrado tener réditos importantes en la implementación de medidas para el control del contrabando y la evasión fiscal, permitiendo una mejora en la recaudación de impuestos, alcanzando su máximo nivel en 2022</w:t>
      </w:r>
      <w:r>
        <w:t xml:space="preserve"> con una carga tributaria del 12.0%</w:t>
      </w:r>
      <w:r w:rsidR="008438C0">
        <w:t>, logrando</w:t>
      </w:r>
      <w:r>
        <w:t>,</w:t>
      </w:r>
      <w:r w:rsidR="008438C0">
        <w:t xml:space="preserve"> </w:t>
      </w:r>
      <w:r w:rsidR="008438C0" w:rsidRPr="00634517">
        <w:t xml:space="preserve">hasta </w:t>
      </w:r>
      <w:r w:rsidR="00634517" w:rsidRPr="00634517">
        <w:t>junio</w:t>
      </w:r>
      <w:r w:rsidR="008438C0" w:rsidRPr="00634517">
        <w:t xml:space="preserve"> de 2023,</w:t>
      </w:r>
      <w:r w:rsidR="008438C0">
        <w:t xml:space="preserve"> mantener dicho comportamiento</w:t>
      </w:r>
      <w:r>
        <w:t xml:space="preserve"> de crecimiento sostenido</w:t>
      </w:r>
      <w:r w:rsidR="008438C0">
        <w:t>.</w:t>
      </w:r>
    </w:p>
    <w:p w14:paraId="1EB86DF1" w14:textId="77777777" w:rsidR="008438C0" w:rsidRDefault="008438C0" w:rsidP="008438C0">
      <w:pPr>
        <w:jc w:val="both"/>
      </w:pPr>
    </w:p>
    <w:p w14:paraId="112FC0CE" w14:textId="5857FAB6" w:rsidR="00C73E17" w:rsidRDefault="008438C0" w:rsidP="008438C0">
      <w:pPr>
        <w:jc w:val="both"/>
      </w:pPr>
      <w:r>
        <w:t>Por lo anterior, los retos para el mediano plazo serán seguir capitalizando los logros en materia de recaudación tributaria y lograr contar con una mayor cantidad de recursos sanos para el financiamiento del gasto público, lo cual podría coadyuvar al crecimiento económico mediante una mayor inversión pública y lograr reducir las brechas sociales mediante un mayor gasto público orientado a los sectores sociales, sin afectar con ello la sostenibilidad de la deuda pública y el apoyo a la estabilidad macroeconómica.</w:t>
      </w:r>
    </w:p>
    <w:p w14:paraId="4239EBAA" w14:textId="4312A08A" w:rsidR="008438C0" w:rsidRDefault="008438C0" w:rsidP="008438C0">
      <w:pPr>
        <w:jc w:val="both"/>
      </w:pPr>
    </w:p>
    <w:p w14:paraId="3CA5A86C" w14:textId="2112A101" w:rsidR="008438C0" w:rsidRPr="00B77381" w:rsidRDefault="008438C0" w:rsidP="00531A1B">
      <w:pPr>
        <w:pStyle w:val="Prrafodelista"/>
        <w:numPr>
          <w:ilvl w:val="0"/>
          <w:numId w:val="3"/>
        </w:numPr>
        <w:jc w:val="both"/>
        <w:outlineLvl w:val="0"/>
        <w:rPr>
          <w:b/>
          <w:bCs/>
        </w:rPr>
      </w:pPr>
      <w:bookmarkStart w:id="113" w:name="_Toc143865818"/>
      <w:r w:rsidRPr="00B77381">
        <w:rPr>
          <w:b/>
          <w:bCs/>
        </w:rPr>
        <w:t>Desempeño de la política fiscal en 2022</w:t>
      </w:r>
      <w:bookmarkEnd w:id="113"/>
    </w:p>
    <w:p w14:paraId="558B12DF" w14:textId="2A8D115A" w:rsidR="00C73E17" w:rsidRDefault="00C73E17" w:rsidP="00E85FB3">
      <w:pPr>
        <w:jc w:val="both"/>
      </w:pPr>
    </w:p>
    <w:p w14:paraId="00F860D5" w14:textId="21CA9A24" w:rsidR="008438C0" w:rsidRDefault="008438C0" w:rsidP="008438C0">
      <w:pPr>
        <w:jc w:val="both"/>
      </w:pPr>
      <w:r>
        <w:t>Luego de un 2020 totalmente inesperado y atípico por todo lo que conllev</w:t>
      </w:r>
      <w:r w:rsidR="00C72F2C">
        <w:t>ó</w:t>
      </w:r>
      <w:r>
        <w:t xml:space="preserve"> la crisis sanitaria y económica del COVID-19, así como un 2021 de recuperación económica y en la cual el enfoque del gobierno fue lograr avances en la vacunación en contra </w:t>
      </w:r>
      <w:r w:rsidRPr="00B36D18">
        <w:t>del COVID-19,</w:t>
      </w:r>
      <w:r>
        <w:t xml:space="preserve"> el año 2022 fue el tercer año de la actual administración pública y arrancó siendo un año más normal para la administración pública, aunque aún con diversos retos.</w:t>
      </w:r>
    </w:p>
    <w:p w14:paraId="53A76993" w14:textId="77777777" w:rsidR="008438C0" w:rsidRDefault="008438C0" w:rsidP="008438C0">
      <w:pPr>
        <w:jc w:val="both"/>
      </w:pPr>
    </w:p>
    <w:p w14:paraId="588A0DF5" w14:textId="71C39EA5" w:rsidR="008438C0" w:rsidRDefault="008438C0" w:rsidP="008438C0">
      <w:pPr>
        <w:jc w:val="both"/>
      </w:pPr>
      <w:r>
        <w:t xml:space="preserve">Luego de dos años consecutivos en los cuales el Proyecto de Presupuesto General de Ingresos y Egresos del Estado no había sido aprobado por el Congreso de la República, el ejercicio fiscal 2022 arrancó con la ventaja de contar con un </w:t>
      </w:r>
      <w:r w:rsidR="00C632EE">
        <w:t>p</w:t>
      </w:r>
      <w:r>
        <w:t xml:space="preserve">resupuesto </w:t>
      </w:r>
      <w:r w:rsidR="00C632EE">
        <w:t>a</w:t>
      </w:r>
      <w:r>
        <w:t>probado, lo cual responde a las necesidades y requerimientos que fueron planteadas por las entidades públicas.</w:t>
      </w:r>
    </w:p>
    <w:p w14:paraId="43466857" w14:textId="77777777" w:rsidR="008438C0" w:rsidRDefault="008438C0" w:rsidP="008438C0">
      <w:pPr>
        <w:jc w:val="both"/>
      </w:pPr>
    </w:p>
    <w:p w14:paraId="7F1DA080" w14:textId="77777777" w:rsidR="008438C0" w:rsidRDefault="008438C0" w:rsidP="008438C0">
      <w:pPr>
        <w:jc w:val="both"/>
      </w:pPr>
      <w:r>
        <w:t xml:space="preserve">La política fiscal fue expansiva, dado que fue necesario mitigar la volatilidad de los precios internacionales de ciertos commodities, de esa cuenta fue necesario aprobar el subsidio al gas propano desde finales de 2021. Dicha volatilidad se agravó en el primer trimestre del 2022 con el inicio de la guerra entre Rusia y Ucrania, por lo cual fue necesario prorrogar el subsidio al gas propano e incorporar o ampliar otros como a las gasolinas, diésel y a la energía eléctrica. </w:t>
      </w:r>
    </w:p>
    <w:p w14:paraId="2EA358F8" w14:textId="77777777" w:rsidR="008438C0" w:rsidRDefault="008438C0" w:rsidP="008438C0">
      <w:pPr>
        <w:jc w:val="both"/>
      </w:pPr>
    </w:p>
    <w:p w14:paraId="35EB89AE" w14:textId="78AA1726" w:rsidR="00797BA6" w:rsidRDefault="008438C0" w:rsidP="008438C0">
      <w:pPr>
        <w:jc w:val="both"/>
      </w:pPr>
      <w:r>
        <w:t>Lo anterior requirió la ampliación del presupuesto de 2022 por Q6,710.3 millones, financiada principalmente con uso de recursos de caja del gobierno en el Banco de Guatemala, que se obtuv</w:t>
      </w:r>
      <w:r w:rsidR="00C632EE">
        <w:t>ieron</w:t>
      </w:r>
      <w:r>
        <w:t xml:space="preserve"> básicamente del excedente de recaudación que se experimentó en 2021.</w:t>
      </w:r>
    </w:p>
    <w:p w14:paraId="670D50E5" w14:textId="6C08EF3E" w:rsidR="008438C0" w:rsidRDefault="008438C0" w:rsidP="008438C0">
      <w:pPr>
        <w:jc w:val="both"/>
        <w:rPr>
          <w:sz w:val="12"/>
          <w:szCs w:val="12"/>
        </w:rPr>
      </w:pPr>
    </w:p>
    <w:p w14:paraId="2DCF1689" w14:textId="77777777" w:rsidR="00CB0BEF" w:rsidRPr="00B77381" w:rsidRDefault="00CB0BEF" w:rsidP="008438C0">
      <w:pPr>
        <w:jc w:val="both"/>
        <w:rPr>
          <w:sz w:val="12"/>
          <w:szCs w:val="12"/>
        </w:rPr>
      </w:pPr>
    </w:p>
    <w:p w14:paraId="6969CFD3" w14:textId="5C91D778" w:rsidR="008438C0" w:rsidRDefault="00AA3776" w:rsidP="00F22D41">
      <w:pPr>
        <w:jc w:val="center"/>
      </w:pPr>
      <w:r>
        <w:rPr>
          <w:b/>
          <w:noProof/>
        </w:rPr>
        <mc:AlternateContent>
          <mc:Choice Requires="wpg">
            <w:drawing>
              <wp:anchor distT="0" distB="0" distL="114300" distR="114300" simplePos="0" relativeHeight="251665408" behindDoc="0" locked="0" layoutInCell="1" allowOverlap="1" wp14:anchorId="60B24C6D" wp14:editId="526D4E84">
                <wp:simplePos x="0" y="0"/>
                <wp:positionH relativeFrom="column">
                  <wp:posOffset>25334</wp:posOffset>
                </wp:positionH>
                <wp:positionV relativeFrom="paragraph">
                  <wp:posOffset>17515</wp:posOffset>
                </wp:positionV>
                <wp:extent cx="5923318" cy="4913194"/>
                <wp:effectExtent l="0" t="0" r="1270" b="0"/>
                <wp:wrapNone/>
                <wp:docPr id="1835" name="Grupo 1835"/>
                <wp:cNvGraphicFramePr/>
                <a:graphic xmlns:a="http://schemas.openxmlformats.org/drawingml/2006/main">
                  <a:graphicData uri="http://schemas.microsoft.com/office/word/2010/wordprocessingGroup">
                    <wpg:wgp>
                      <wpg:cNvGrpSpPr/>
                      <wpg:grpSpPr>
                        <a:xfrm>
                          <a:off x="0" y="0"/>
                          <a:ext cx="5923318" cy="4913194"/>
                          <a:chOff x="-152656" y="0"/>
                          <a:chExt cx="5939790" cy="5972175"/>
                        </a:xfrm>
                      </wpg:grpSpPr>
                      <wpg:graphicFrame>
                        <wpg:cNvPr id="4" name="Diagrama 4"/>
                        <wpg:cNvFrPr/>
                        <wpg:xfrm>
                          <a:off x="0" y="0"/>
                          <a:ext cx="5724525" cy="5972175"/>
                        </wpg:xfrm>
                        <a:graphic>
                          <a:graphicData uri="http://schemas.openxmlformats.org/drawingml/2006/diagram">
                            <dgm:relIds xmlns:dgm="http://schemas.openxmlformats.org/drawingml/2006/diagram" xmlns:r="http://schemas.openxmlformats.org/officeDocument/2006/relationships" r:dm="rId91" r:lo="rId92" r:qs="rId93" r:cs="rId94"/>
                          </a:graphicData>
                        </a:graphic>
                      </wpg:graphicFrame>
                      <wpg:grpSp>
                        <wpg:cNvPr id="254" name="Group 5042"/>
                        <wpg:cNvGrpSpPr>
                          <a:grpSpLocks/>
                        </wpg:cNvGrpSpPr>
                        <wpg:grpSpPr bwMode="auto">
                          <a:xfrm>
                            <a:off x="-152656" y="368508"/>
                            <a:ext cx="5939790" cy="3713480"/>
                            <a:chOff x="1554" y="3238"/>
                            <a:chExt cx="9354" cy="5848"/>
                          </a:xfrm>
                        </wpg:grpSpPr>
                        <wps:wsp>
                          <wps:cNvPr id="255" name="Text Box 5028"/>
                          <wps:cNvSpPr txBox="1">
                            <a:spLocks noChangeArrowheads="1"/>
                          </wps:cNvSpPr>
                          <wps:spPr bwMode="auto">
                            <a:xfrm>
                              <a:off x="5698" y="4551"/>
                              <a:ext cx="3980" cy="9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F4BF57" w14:textId="143132E8" w:rsidR="00F22D41" w:rsidRPr="00797BA6" w:rsidRDefault="00F22D41" w:rsidP="00F22D41">
                                <w:pPr>
                                  <w:jc w:val="both"/>
                                  <w:rPr>
                                    <w:sz w:val="16"/>
                                    <w:szCs w:val="16"/>
                                  </w:rPr>
                                </w:pPr>
                                <w:r w:rsidRPr="00797BA6">
                                  <w:rPr>
                                    <w:sz w:val="16"/>
                                    <w:szCs w:val="16"/>
                                  </w:rPr>
                                  <w:t>Corresponde principalmente, al Decreto 21-2022 Ley para Fortalecer el Mantenimiento y Construcción de Infraestructura Estratégica</w:t>
                                </w:r>
                                <w:r w:rsidR="00AA3776">
                                  <w:rPr>
                                    <w:sz w:val="16"/>
                                    <w:szCs w:val="16"/>
                                  </w:rPr>
                                  <w:t>.</w:t>
                                </w:r>
                                <w:r w:rsidRPr="00797BA6">
                                  <w:rPr>
                                    <w:sz w:val="16"/>
                                    <w:szCs w:val="16"/>
                                  </w:rPr>
                                  <w:t xml:space="preserve">  </w:t>
                                </w:r>
                              </w:p>
                            </w:txbxContent>
                          </wps:txbx>
                          <wps:bodyPr rot="0" vert="horz" wrap="square" lIns="91440" tIns="45720" rIns="91440" bIns="45720" anchor="t" anchorCtr="0" upright="1">
                            <a:noAutofit/>
                          </wps:bodyPr>
                        </wps:wsp>
                        <wps:wsp>
                          <wps:cNvPr id="256" name="Text Box 5035"/>
                          <wps:cNvSpPr txBox="1">
                            <a:spLocks noChangeArrowheads="1"/>
                          </wps:cNvSpPr>
                          <wps:spPr bwMode="auto">
                            <a:xfrm>
                              <a:off x="4284" y="3238"/>
                              <a:ext cx="4675" cy="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5D5667" w14:textId="77777777" w:rsidR="00F22D41" w:rsidRPr="00797BA6" w:rsidRDefault="00F22D41" w:rsidP="00F22D41">
                                <w:pPr>
                                  <w:jc w:val="both"/>
                                  <w:rPr>
                                    <w:sz w:val="16"/>
                                    <w:szCs w:val="16"/>
                                  </w:rPr>
                                </w:pPr>
                                <w:r w:rsidRPr="00797BA6">
                                  <w:rPr>
                                    <w:sz w:val="16"/>
                                    <w:szCs w:val="16"/>
                                  </w:rPr>
                                  <w:t xml:space="preserve">Corresponde a la atención del Estado de Calamidad por la época lluviosa y ciclón tropical Julia, así como estipendios por restauración de suelos por la emergencia a los agricultores, entre otros.   </w:t>
                                </w:r>
                              </w:p>
                            </w:txbxContent>
                          </wps:txbx>
                          <wps:bodyPr rot="0" vert="horz" wrap="square" lIns="91440" tIns="45720" rIns="91440" bIns="45720" anchor="t" anchorCtr="0" upright="1">
                            <a:noAutofit/>
                          </wps:bodyPr>
                        </wps:wsp>
                        <wpg:grpSp>
                          <wpg:cNvPr id="257" name="Group 5041"/>
                          <wpg:cNvGrpSpPr>
                            <a:grpSpLocks/>
                          </wpg:cNvGrpSpPr>
                          <wpg:grpSpPr bwMode="auto">
                            <a:xfrm>
                              <a:off x="1554" y="5938"/>
                              <a:ext cx="9354" cy="3148"/>
                              <a:chOff x="1554" y="5938"/>
                              <a:chExt cx="9354" cy="3148"/>
                            </a:xfrm>
                          </wpg:grpSpPr>
                          <wps:wsp>
                            <wps:cNvPr id="258" name="Text Box 5036"/>
                            <wps:cNvSpPr txBox="1">
                              <a:spLocks noChangeArrowheads="1"/>
                            </wps:cNvSpPr>
                            <wps:spPr bwMode="auto">
                              <a:xfrm>
                                <a:off x="6965" y="5938"/>
                                <a:ext cx="3090" cy="7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C8998B" w14:textId="77777777" w:rsidR="00F22D41" w:rsidRPr="00797BA6" w:rsidRDefault="00F22D41" w:rsidP="00F22D41">
                                  <w:pPr>
                                    <w:jc w:val="both"/>
                                    <w:rPr>
                                      <w:sz w:val="16"/>
                                      <w:szCs w:val="16"/>
                                    </w:rPr>
                                  </w:pPr>
                                  <w:r w:rsidRPr="00797BA6">
                                    <w:rPr>
                                      <w:sz w:val="16"/>
                                      <w:szCs w:val="16"/>
                                    </w:rPr>
                                    <w:t xml:space="preserve">Corresponde a los subsidios para gas propano y gasolinas. </w:t>
                                  </w:r>
                                </w:p>
                              </w:txbxContent>
                            </wps:txbx>
                            <wps:bodyPr rot="0" vert="horz" wrap="square" lIns="91440" tIns="45720" rIns="91440" bIns="45720" anchor="t" anchorCtr="0" upright="1">
                              <a:noAutofit/>
                            </wps:bodyPr>
                          </wps:wsp>
                          <wps:wsp>
                            <wps:cNvPr id="259" name="Text Box 5037"/>
                            <wps:cNvSpPr txBox="1">
                              <a:spLocks noChangeArrowheads="1"/>
                            </wps:cNvSpPr>
                            <wps:spPr bwMode="auto">
                              <a:xfrm>
                                <a:off x="7818" y="6833"/>
                                <a:ext cx="3090" cy="8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B72117" w14:textId="77777777" w:rsidR="00F22D41" w:rsidRPr="00797BA6" w:rsidRDefault="00F22D41" w:rsidP="00F22D41">
                                  <w:pPr>
                                    <w:jc w:val="both"/>
                                    <w:rPr>
                                      <w:sz w:val="16"/>
                                      <w:szCs w:val="16"/>
                                    </w:rPr>
                                  </w:pPr>
                                  <w:r w:rsidRPr="00797BA6">
                                    <w:rPr>
                                      <w:sz w:val="16"/>
                                      <w:szCs w:val="16"/>
                                    </w:rPr>
                                    <w:t xml:space="preserve">Corresponde a modificaciones a favor de los CODEDE y para el INDE por la ampliación del subsidio a la tarifa social. </w:t>
                                  </w:r>
                                </w:p>
                              </w:txbxContent>
                            </wps:txbx>
                            <wps:bodyPr rot="0" vert="horz" wrap="square" lIns="91440" tIns="45720" rIns="91440" bIns="45720" anchor="t" anchorCtr="0" upright="1">
                              <a:noAutofit/>
                            </wps:bodyPr>
                          </wps:wsp>
                          <wps:wsp>
                            <wps:cNvPr id="260" name="Text Box 5038"/>
                            <wps:cNvSpPr txBox="1">
                              <a:spLocks noChangeArrowheads="1"/>
                            </wps:cNvSpPr>
                            <wps:spPr bwMode="auto">
                              <a:xfrm>
                                <a:off x="1554" y="8070"/>
                                <a:ext cx="4284" cy="1016"/>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5E7D6704" w14:textId="77777777" w:rsidR="00F22D41" w:rsidRPr="00797BA6" w:rsidRDefault="00F22D41" w:rsidP="00F22D41">
                                  <w:pPr>
                                    <w:jc w:val="center"/>
                                    <w:rPr>
                                      <w:b/>
                                      <w:bCs/>
                                      <w:sz w:val="16"/>
                                      <w:szCs w:val="16"/>
                                    </w:rPr>
                                  </w:pPr>
                                  <w:r w:rsidRPr="00797BA6">
                                    <w:rPr>
                                      <w:b/>
                                      <w:bCs/>
                                      <w:sz w:val="16"/>
                                      <w:szCs w:val="16"/>
                                    </w:rPr>
                                    <w:t>Total, de las ampliaciones Q6,710.3 millones</w:t>
                                  </w:r>
                                </w:p>
                                <w:p w14:paraId="0BE5E171" w14:textId="77777777" w:rsidR="00F22D41" w:rsidRPr="00AA3776" w:rsidRDefault="00F22D41" w:rsidP="00F22D41">
                                  <w:pPr>
                                    <w:jc w:val="center"/>
                                    <w:rPr>
                                      <w:b/>
                                      <w:bCs/>
                                      <w:sz w:val="4"/>
                                      <w:szCs w:val="4"/>
                                    </w:rPr>
                                  </w:pPr>
                                </w:p>
                                <w:p w14:paraId="0D066F7D" w14:textId="77777777" w:rsidR="00F22D41" w:rsidRPr="00797BA6" w:rsidRDefault="00F22D41" w:rsidP="00F22D41">
                                  <w:pPr>
                                    <w:jc w:val="center"/>
                                    <w:rPr>
                                      <w:b/>
                                      <w:bCs/>
                                      <w:color w:val="C00000"/>
                                      <w:sz w:val="16"/>
                                      <w:szCs w:val="16"/>
                                    </w:rPr>
                                  </w:pPr>
                                  <w:r w:rsidRPr="00797BA6">
                                    <w:rPr>
                                      <w:b/>
                                      <w:bCs/>
                                      <w:color w:val="C00000"/>
                                      <w:sz w:val="16"/>
                                      <w:szCs w:val="16"/>
                                    </w:rPr>
                                    <w:t>Presupuesto Vigente</w:t>
                                  </w:r>
                                </w:p>
                                <w:p w14:paraId="4AEFD42B" w14:textId="77777777" w:rsidR="00F22D41" w:rsidRPr="00797BA6" w:rsidRDefault="00F22D41" w:rsidP="00F22D41">
                                  <w:pPr>
                                    <w:jc w:val="center"/>
                                    <w:rPr>
                                      <w:b/>
                                      <w:bCs/>
                                      <w:color w:val="C00000"/>
                                      <w:sz w:val="16"/>
                                      <w:szCs w:val="16"/>
                                    </w:rPr>
                                  </w:pPr>
                                  <w:r w:rsidRPr="00797BA6">
                                    <w:rPr>
                                      <w:b/>
                                      <w:bCs/>
                                      <w:color w:val="C00000"/>
                                      <w:sz w:val="16"/>
                                      <w:szCs w:val="16"/>
                                    </w:rPr>
                                    <w:t>Q112,939.8 millones</w:t>
                                  </w: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0B24C6D" id="Grupo 1835" o:spid="_x0000_s1026" style="position:absolute;left:0;text-align:left;margin-left:2pt;margin-top:1.4pt;width:466.4pt;height:386.85pt;z-index:251665408;mso-width-relative:margin;mso-height-relative:margin" coordorigin="-1526" coordsize="59397,59721"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agrama 4" o:spid="_x0000_s1027" type="#_x0000_t75" style="position:absolute;left:1;top:2889;width:43830;height:355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">
                  <v:imagedata r:id="rId96" o:title=""/>
                  <o:lock v:ext="edit" aspectratio="f"/>
                </v:shape>
                <v:group id="Group 5042" o:spid="_x0000_s1028" style="position:absolute;left:-1526;top:3685;width:59397;height:37134" coordorigin="1554,3238" coordsize="9354,5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I+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kL/B7JhwBuf4BAAD//wMAUEsBAi0AFAAGAAgAAAAhANvh9svuAAAAhQEAABMAAAAAAAAA&#10;AAAAAAAAAAAAAFtDb250ZW50X1R5cGVzXS54bWxQSwECLQAUAAYACAAAACEAWvQsW78AAAAVAQAA&#10;CwAAAAAAAAAAAAAAAAAfAQAAX3JlbHMvLnJlbHNQSwECLQAUAAYACAAAACEA/GnSPsYAAADcAAAA&#10;DwAAAAAAAAAAAAAAAAAHAgAAZHJzL2Rvd25yZXYueG1sUEsFBgAAAAADAAMAtwAAAPoCAAAAAA==&#10;">
                  <v:shapetype id="_x0000_t202" coordsize="21600,21600" o:spt="202" path="m,l,21600r21600,l21600,xe">
                    <v:stroke joinstyle="miter"/>
                    <v:path gradientshapeok="t" o:connecttype="rect"/>
                  </v:shapetype>
                  <v:shape id="Text Box 5028" o:spid="_x0000_s1029" type="#_x0000_t202" style="position:absolute;left:5698;top:4551;width:3980;height: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" stroked="f">
                    <v:textbox>
                      <w:txbxContent>
                        <w:p w14:paraId="49F4BF57" w14:textId="143132E8" w:rsidR="00F22D41" w:rsidRPr="00797BA6" w:rsidRDefault="00F22D41" w:rsidP="00F22D41">
                          <w:pPr>
                            <w:jc w:val="both"/>
                            <w:rPr>
                              <w:sz w:val="16"/>
                              <w:szCs w:val="16"/>
                            </w:rPr>
                          </w:pPr>
                          <w:r w:rsidRPr="00797BA6">
                            <w:rPr>
                              <w:sz w:val="16"/>
                              <w:szCs w:val="16"/>
                            </w:rPr>
                            <w:t>Corresponde principalmente, al Decreto 21-2022 Ley para Fortalecer el Mantenimiento y Construcción de Infraestructura Estratégica</w:t>
                          </w:r>
                          <w:r w:rsidR="00AA3776">
                            <w:rPr>
                              <w:sz w:val="16"/>
                              <w:szCs w:val="16"/>
                            </w:rPr>
                            <w:t>.</w:t>
                          </w:r>
                          <w:r w:rsidRPr="00797BA6">
                            <w:rPr>
                              <w:sz w:val="16"/>
                              <w:szCs w:val="16"/>
                            </w:rPr>
                            <w:t xml:space="preserve">  </w:t>
                          </w:r>
                        </w:p>
                      </w:txbxContent>
                    </v:textbox>
                  </v:shape>
                  <v:shape id="Text Box 5035" o:spid="_x0000_s1030" type="#_x0000_t202" style="position:absolute;left:4284;top:3238;width:4675;height: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" stroked="f">
                    <v:textbox>
                      <w:txbxContent>
                        <w:p w14:paraId="4D5D5667" w14:textId="77777777" w:rsidR="00F22D41" w:rsidRPr="00797BA6" w:rsidRDefault="00F22D41" w:rsidP="00F22D41">
                          <w:pPr>
                            <w:jc w:val="both"/>
                            <w:rPr>
                              <w:sz w:val="16"/>
                              <w:szCs w:val="16"/>
                            </w:rPr>
                          </w:pPr>
                          <w:r w:rsidRPr="00797BA6">
                            <w:rPr>
                              <w:sz w:val="16"/>
                              <w:szCs w:val="16"/>
                            </w:rPr>
                            <w:t xml:space="preserve">Corresponde a la atención del Estado de Calamidad por la época lluviosa y ciclón tropical Julia, así como estipendios por restauración de suelos por la emergencia a los agricultores, entre otros.   </w:t>
                          </w:r>
                        </w:p>
                      </w:txbxContent>
                    </v:textbox>
                  </v:shape>
                  <v:group id="Group 5041" o:spid="_x0000_s1031" style="position:absolute;left:1554;top:5938;width:9354;height:3148" coordorigin="1554,5938" coordsize="9354,3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">
                    <v:shape id="Text Box 5036" o:spid="_x0000_s1032" type="#_x0000_t202" style="position:absolute;left:6965;top:5938;width:3090;height: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" stroked="f">
                      <v:textbox>
                        <w:txbxContent>
                          <w:p w14:paraId="10C8998B" w14:textId="77777777" w:rsidR="00F22D41" w:rsidRPr="00797BA6" w:rsidRDefault="00F22D41" w:rsidP="00F22D41">
                            <w:pPr>
                              <w:jc w:val="both"/>
                              <w:rPr>
                                <w:sz w:val="16"/>
                                <w:szCs w:val="16"/>
                              </w:rPr>
                            </w:pPr>
                            <w:r w:rsidRPr="00797BA6">
                              <w:rPr>
                                <w:sz w:val="16"/>
                                <w:szCs w:val="16"/>
                              </w:rPr>
                              <w:t xml:space="preserve">Corresponde a los subsidios para gas propano y gasolinas. </w:t>
                            </w:r>
                          </w:p>
                        </w:txbxContent>
                      </v:textbox>
                    </v:shape>
                    <v:shape id="Text Box 5037" o:spid="_x0000_s1033" type="#_x0000_t202" style="position:absolute;left:7818;top:6833;width:3090;height: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" stroked="f">
                      <v:textbox>
                        <w:txbxContent>
                          <w:p w14:paraId="7AB72117" w14:textId="77777777" w:rsidR="00F22D41" w:rsidRPr="00797BA6" w:rsidRDefault="00F22D41" w:rsidP="00F22D41">
                            <w:pPr>
                              <w:jc w:val="both"/>
                              <w:rPr>
                                <w:sz w:val="16"/>
                                <w:szCs w:val="16"/>
                              </w:rPr>
                            </w:pPr>
                            <w:r w:rsidRPr="00797BA6">
                              <w:rPr>
                                <w:sz w:val="16"/>
                                <w:szCs w:val="16"/>
                              </w:rPr>
                              <w:t xml:space="preserve">Corresponde a modificaciones a favor de los CODEDE y para el INDE por la ampliación del subsidio a la tarifa social. </w:t>
                            </w:r>
                          </w:p>
                        </w:txbxContent>
                      </v:textbox>
                    </v:shape>
                    <v:shape id="Text Box 5038" o:spid="_x0000_s1034" type="#_x0000_t202" style="position:absolute;left:1554;top:8070;width:428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" fillcolor="#5b9bd5 [3208]" strokecolor="white [3201]" strokeweight="1.5pt">
                      <v:textbox>
                        <w:txbxContent>
                          <w:p w14:paraId="5E7D6704" w14:textId="77777777" w:rsidR="00F22D41" w:rsidRPr="00797BA6" w:rsidRDefault="00F22D41" w:rsidP="00F22D41">
                            <w:pPr>
                              <w:jc w:val="center"/>
                              <w:rPr>
                                <w:b/>
                                <w:bCs/>
                                <w:sz w:val="16"/>
                                <w:szCs w:val="16"/>
                              </w:rPr>
                            </w:pPr>
                            <w:r w:rsidRPr="00797BA6">
                              <w:rPr>
                                <w:b/>
                                <w:bCs/>
                                <w:sz w:val="16"/>
                                <w:szCs w:val="16"/>
                              </w:rPr>
                              <w:t>Total, de las ampliaciones Q6,710.3 millones</w:t>
                            </w:r>
                          </w:p>
                          <w:p w14:paraId="0BE5E171" w14:textId="77777777" w:rsidR="00F22D41" w:rsidRPr="00AA3776" w:rsidRDefault="00F22D41" w:rsidP="00F22D41">
                            <w:pPr>
                              <w:jc w:val="center"/>
                              <w:rPr>
                                <w:b/>
                                <w:bCs/>
                                <w:sz w:val="4"/>
                                <w:szCs w:val="4"/>
                              </w:rPr>
                            </w:pPr>
                          </w:p>
                          <w:p w14:paraId="0D066F7D" w14:textId="77777777" w:rsidR="00F22D41" w:rsidRPr="00797BA6" w:rsidRDefault="00F22D41" w:rsidP="00F22D41">
                            <w:pPr>
                              <w:jc w:val="center"/>
                              <w:rPr>
                                <w:b/>
                                <w:bCs/>
                                <w:color w:val="C00000"/>
                                <w:sz w:val="16"/>
                                <w:szCs w:val="16"/>
                              </w:rPr>
                            </w:pPr>
                            <w:r w:rsidRPr="00797BA6">
                              <w:rPr>
                                <w:b/>
                                <w:bCs/>
                                <w:color w:val="C00000"/>
                                <w:sz w:val="16"/>
                                <w:szCs w:val="16"/>
                              </w:rPr>
                              <w:t>Presupuesto Vigente</w:t>
                            </w:r>
                          </w:p>
                          <w:p w14:paraId="4AEFD42B" w14:textId="77777777" w:rsidR="00F22D41" w:rsidRPr="00797BA6" w:rsidRDefault="00F22D41" w:rsidP="00F22D41">
                            <w:pPr>
                              <w:jc w:val="center"/>
                              <w:rPr>
                                <w:b/>
                                <w:bCs/>
                                <w:color w:val="C00000"/>
                                <w:sz w:val="16"/>
                                <w:szCs w:val="16"/>
                              </w:rPr>
                            </w:pPr>
                            <w:r w:rsidRPr="00797BA6">
                              <w:rPr>
                                <w:b/>
                                <w:bCs/>
                                <w:color w:val="C00000"/>
                                <w:sz w:val="16"/>
                                <w:szCs w:val="16"/>
                              </w:rPr>
                              <w:t>Q112,939.8 millones</w:t>
                            </w:r>
                          </w:p>
                        </w:txbxContent>
                      </v:textbox>
                    </v:shape>
                  </v:group>
                </v:group>
              </v:group>
            </w:pict>
          </mc:Fallback>
        </mc:AlternateContent>
      </w:r>
      <w:r w:rsidR="00F22D41">
        <w:rPr>
          <w:b/>
        </w:rPr>
        <w:t>Determinación del Presupuesto Vigente 2022</w:t>
      </w:r>
    </w:p>
    <w:p w14:paraId="27BFCA05" w14:textId="65850004" w:rsidR="00C73E17" w:rsidRDefault="00C73E17" w:rsidP="00E85FB3">
      <w:pPr>
        <w:jc w:val="both"/>
      </w:pPr>
    </w:p>
    <w:p w14:paraId="73F4F6B2" w14:textId="61435507" w:rsidR="00C73E17" w:rsidRDefault="00753434" w:rsidP="00E85FB3">
      <w:pPr>
        <w:jc w:val="both"/>
      </w:pPr>
      <w:r>
        <w:rPr>
          <w:noProof/>
        </w:rPr>
        <mc:AlternateContent>
          <mc:Choice Requires="wps">
            <w:drawing>
              <wp:anchor distT="0" distB="0" distL="114300" distR="114300" simplePos="0" relativeHeight="251806720" behindDoc="0" locked="0" layoutInCell="1" allowOverlap="1" wp14:anchorId="32EB64FB" wp14:editId="0AC3BE8E">
                <wp:simplePos x="0" y="0"/>
                <wp:positionH relativeFrom="column">
                  <wp:posOffset>1492468</wp:posOffset>
                </wp:positionH>
                <wp:positionV relativeFrom="paragraph">
                  <wp:posOffset>137842</wp:posOffset>
                </wp:positionV>
                <wp:extent cx="238836" cy="191069"/>
                <wp:effectExtent l="0" t="0" r="8890" b="0"/>
                <wp:wrapNone/>
                <wp:docPr id="58" name="Flecha: a la derecha 58"/>
                <wp:cNvGraphicFramePr/>
                <a:graphic xmlns:a="http://schemas.openxmlformats.org/drawingml/2006/main">
                  <a:graphicData uri="http://schemas.microsoft.com/office/word/2010/wordprocessingShape">
                    <wps:wsp>
                      <wps:cNvSpPr/>
                      <wps:spPr>
                        <a:xfrm>
                          <a:off x="0" y="0"/>
                          <a:ext cx="238836" cy="191069"/>
                        </a:xfrm>
                        <a:prstGeom prst="right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8570C0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58" o:spid="_x0000_s1026" type="#_x0000_t13" style="position:absolute;margin-left:117.5pt;margin-top:10.85pt;width:18.8pt;height:15.05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" adj="12960" fillcolor="#ed7d31 [3205]" stroked="f" strokeweight="1pt"/>
            </w:pict>
          </mc:Fallback>
        </mc:AlternateContent>
      </w:r>
    </w:p>
    <w:p w14:paraId="2D263670" w14:textId="03400CF4" w:rsidR="00C73E17" w:rsidRDefault="00C73E17" w:rsidP="00E85FB3">
      <w:pPr>
        <w:jc w:val="both"/>
      </w:pPr>
    </w:p>
    <w:p w14:paraId="35B5AE69" w14:textId="6B9D904C" w:rsidR="00E85FB3" w:rsidRDefault="00E85FB3" w:rsidP="00E85FB3">
      <w:pPr>
        <w:jc w:val="both"/>
      </w:pPr>
    </w:p>
    <w:p w14:paraId="532FC7A5" w14:textId="2C374A0D" w:rsidR="00323953" w:rsidRDefault="00323953" w:rsidP="00E85FB3">
      <w:pPr>
        <w:jc w:val="both"/>
      </w:pPr>
    </w:p>
    <w:p w14:paraId="1B7BCB8C" w14:textId="71464789" w:rsidR="00323953" w:rsidRDefault="00323953" w:rsidP="00E85FB3">
      <w:pPr>
        <w:jc w:val="both"/>
      </w:pPr>
    </w:p>
    <w:p w14:paraId="64524CE1" w14:textId="70573662" w:rsidR="00323953" w:rsidRDefault="00753434" w:rsidP="00E85FB3">
      <w:pPr>
        <w:jc w:val="both"/>
      </w:pPr>
      <w:r>
        <w:rPr>
          <w:noProof/>
        </w:rPr>
        <mc:AlternateContent>
          <mc:Choice Requires="wps">
            <w:drawing>
              <wp:anchor distT="0" distB="0" distL="114300" distR="114300" simplePos="0" relativeHeight="251808768" behindDoc="0" locked="0" layoutInCell="1" allowOverlap="1" wp14:anchorId="67BF2A26" wp14:editId="6DF3D2F7">
                <wp:simplePos x="0" y="0"/>
                <wp:positionH relativeFrom="column">
                  <wp:posOffset>2388453</wp:posOffset>
                </wp:positionH>
                <wp:positionV relativeFrom="paragraph">
                  <wp:posOffset>6483</wp:posOffset>
                </wp:positionV>
                <wp:extent cx="238836" cy="191069"/>
                <wp:effectExtent l="0" t="0" r="8890" b="0"/>
                <wp:wrapNone/>
                <wp:docPr id="59" name="Flecha: a la derecha 59"/>
                <wp:cNvGraphicFramePr/>
                <a:graphic xmlns:a="http://schemas.openxmlformats.org/drawingml/2006/main">
                  <a:graphicData uri="http://schemas.microsoft.com/office/word/2010/wordprocessingShape">
                    <wps:wsp>
                      <wps:cNvSpPr/>
                      <wps:spPr>
                        <a:xfrm>
                          <a:off x="0" y="0"/>
                          <a:ext cx="238836" cy="191069"/>
                        </a:xfrm>
                        <a:prstGeom prst="right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59122D" id="Flecha: a la derecha 59" o:spid="_x0000_s1026" type="#_x0000_t13" style="position:absolute;margin-left:188.05pt;margin-top:.5pt;width:18.8pt;height:15.05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" adj="12960" fillcolor="#ed7d31 [3205]" stroked="f" strokeweight="1pt"/>
            </w:pict>
          </mc:Fallback>
        </mc:AlternateContent>
      </w:r>
    </w:p>
    <w:p w14:paraId="4E6FFB04" w14:textId="77E24172" w:rsidR="00E85FB3" w:rsidRDefault="00E85FB3" w:rsidP="00E85FB3">
      <w:pPr>
        <w:jc w:val="both"/>
      </w:pPr>
    </w:p>
    <w:p w14:paraId="10D34908" w14:textId="6444B33F" w:rsidR="00E85FB3" w:rsidRDefault="00E85FB3" w:rsidP="00E85FB3">
      <w:pPr>
        <w:jc w:val="both"/>
      </w:pPr>
    </w:p>
    <w:p w14:paraId="39A2D3D8" w14:textId="775AD272" w:rsidR="00E85FB3" w:rsidRDefault="00753434" w:rsidP="00E85FB3">
      <w:pPr>
        <w:jc w:val="both"/>
      </w:pPr>
      <w:r>
        <w:rPr>
          <w:noProof/>
        </w:rPr>
        <mc:AlternateContent>
          <mc:Choice Requires="wps">
            <w:drawing>
              <wp:anchor distT="0" distB="0" distL="114300" distR="114300" simplePos="0" relativeHeight="251810816" behindDoc="0" locked="0" layoutInCell="1" allowOverlap="1" wp14:anchorId="6249BD5B" wp14:editId="1932BDDF">
                <wp:simplePos x="0" y="0"/>
                <wp:positionH relativeFrom="column">
                  <wp:posOffset>3207471</wp:posOffset>
                </wp:positionH>
                <wp:positionV relativeFrom="paragraph">
                  <wp:posOffset>115105</wp:posOffset>
                </wp:positionV>
                <wp:extent cx="238836" cy="191069"/>
                <wp:effectExtent l="0" t="0" r="8890" b="0"/>
                <wp:wrapNone/>
                <wp:docPr id="60" name="Flecha: a la derecha 60"/>
                <wp:cNvGraphicFramePr/>
                <a:graphic xmlns:a="http://schemas.openxmlformats.org/drawingml/2006/main">
                  <a:graphicData uri="http://schemas.microsoft.com/office/word/2010/wordprocessingShape">
                    <wps:wsp>
                      <wps:cNvSpPr/>
                      <wps:spPr>
                        <a:xfrm>
                          <a:off x="0" y="0"/>
                          <a:ext cx="238836" cy="191069"/>
                        </a:xfrm>
                        <a:prstGeom prst="right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84291A" id="Flecha: a la derecha 60" o:spid="_x0000_s1026" type="#_x0000_t13" style="position:absolute;margin-left:252.55pt;margin-top:9.05pt;width:18.8pt;height:15.05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" adj="12960" fillcolor="#ed7d31 [3205]" stroked="f" strokeweight="1pt"/>
            </w:pict>
          </mc:Fallback>
        </mc:AlternateContent>
      </w:r>
    </w:p>
    <w:p w14:paraId="1194CC7B" w14:textId="0CEB43DF" w:rsidR="00E85FB3" w:rsidRDefault="00E85FB3" w:rsidP="00E85FB3">
      <w:pPr>
        <w:jc w:val="both"/>
      </w:pPr>
    </w:p>
    <w:p w14:paraId="73AD1C3B" w14:textId="04F0E55A" w:rsidR="00E85FB3" w:rsidRDefault="00E85FB3" w:rsidP="00E85FB3">
      <w:pPr>
        <w:jc w:val="both"/>
      </w:pPr>
    </w:p>
    <w:p w14:paraId="7FCE87E4" w14:textId="724862B0" w:rsidR="00E85FB3" w:rsidRDefault="00753434" w:rsidP="00E85FB3">
      <w:pPr>
        <w:jc w:val="both"/>
      </w:pPr>
      <w:r>
        <w:rPr>
          <w:noProof/>
        </w:rPr>
        <mc:AlternateContent>
          <mc:Choice Requires="wps">
            <w:drawing>
              <wp:anchor distT="0" distB="0" distL="114300" distR="114300" simplePos="0" relativeHeight="251812864" behindDoc="0" locked="0" layoutInCell="1" allowOverlap="1" wp14:anchorId="7596190D" wp14:editId="66F22754">
                <wp:simplePos x="0" y="0"/>
                <wp:positionH relativeFrom="column">
                  <wp:posOffset>3862212</wp:posOffset>
                </wp:positionH>
                <wp:positionV relativeFrom="paragraph">
                  <wp:posOffset>155452</wp:posOffset>
                </wp:positionV>
                <wp:extent cx="238836" cy="191069"/>
                <wp:effectExtent l="0" t="0" r="8890" b="0"/>
                <wp:wrapNone/>
                <wp:docPr id="1806" name="Flecha: a la derecha 1806"/>
                <wp:cNvGraphicFramePr/>
                <a:graphic xmlns:a="http://schemas.openxmlformats.org/drawingml/2006/main">
                  <a:graphicData uri="http://schemas.microsoft.com/office/word/2010/wordprocessingShape">
                    <wps:wsp>
                      <wps:cNvSpPr/>
                      <wps:spPr>
                        <a:xfrm>
                          <a:off x="0" y="0"/>
                          <a:ext cx="238836" cy="191069"/>
                        </a:xfrm>
                        <a:prstGeom prst="right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6D324A" id="Flecha: a la derecha 1806" o:spid="_x0000_s1026" type="#_x0000_t13" style="position:absolute;margin-left:304.1pt;margin-top:12.25pt;width:18.8pt;height:15.05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" adj="12960" fillcolor="#ed7d31 [3205]" stroked="f" strokeweight="1pt"/>
            </w:pict>
          </mc:Fallback>
        </mc:AlternateContent>
      </w:r>
    </w:p>
    <w:p w14:paraId="1FAC6115" w14:textId="77777777" w:rsidR="00E85FB3" w:rsidRDefault="00E85FB3" w:rsidP="00E85FB3">
      <w:pPr>
        <w:jc w:val="both"/>
      </w:pPr>
    </w:p>
    <w:p w14:paraId="733F3EC4" w14:textId="5C57D4EB" w:rsidR="00FB2F6F" w:rsidRDefault="00FB2F6F" w:rsidP="00FB2F6F">
      <w:pPr>
        <w:jc w:val="both"/>
      </w:pPr>
    </w:p>
    <w:p w14:paraId="309034FB" w14:textId="274D5375" w:rsidR="00FB2F6F" w:rsidRDefault="00FB2F6F" w:rsidP="00FB2F6F">
      <w:pPr>
        <w:jc w:val="both"/>
      </w:pPr>
    </w:p>
    <w:p w14:paraId="5C8773E9" w14:textId="77777777" w:rsidR="00FB2F6F" w:rsidRDefault="00FB2F6F" w:rsidP="00FB2F6F">
      <w:pPr>
        <w:jc w:val="both"/>
      </w:pPr>
    </w:p>
    <w:p w14:paraId="2540F7EA" w14:textId="77777777" w:rsidR="00682421" w:rsidRDefault="00682421" w:rsidP="00F22D41">
      <w:pPr>
        <w:jc w:val="both"/>
      </w:pPr>
    </w:p>
    <w:p w14:paraId="776C3C71" w14:textId="77777777" w:rsidR="00682421" w:rsidRDefault="00682421" w:rsidP="00F22D41">
      <w:pPr>
        <w:jc w:val="both"/>
      </w:pPr>
    </w:p>
    <w:p w14:paraId="66A2B611" w14:textId="77777777" w:rsidR="00CB0BEF" w:rsidRDefault="00CB0BEF" w:rsidP="00F22D41">
      <w:pPr>
        <w:jc w:val="both"/>
      </w:pPr>
    </w:p>
    <w:p w14:paraId="144AE12F" w14:textId="746876CE" w:rsidR="00F22D41" w:rsidRDefault="00F22D41" w:rsidP="00F22D41">
      <w:pPr>
        <w:jc w:val="both"/>
      </w:pPr>
      <w:r>
        <w:t xml:space="preserve">Adicionalmente es importante resaltar que en 2022 la dinámica del gasto público ya no estuvo influenciada por la crisis sanitaria y </w:t>
      </w:r>
      <w:r w:rsidRPr="00B36D18">
        <w:t>económica del COVID-19.  El gasto destinado a la vacuna contra el COVID-19 fue significativamente menor y hubo un mayor enfoque en los servicios de prevención y tratamiento de COVID-19.</w:t>
      </w:r>
    </w:p>
    <w:p w14:paraId="17AD72F0" w14:textId="77777777" w:rsidR="00F22D41" w:rsidRDefault="00F22D41" w:rsidP="00F22D41">
      <w:pPr>
        <w:jc w:val="both"/>
      </w:pPr>
    </w:p>
    <w:p w14:paraId="7C0EAD0A" w14:textId="66D31627" w:rsidR="00F22D41" w:rsidRDefault="00F22D41" w:rsidP="00F22D41">
      <w:pPr>
        <w:jc w:val="both"/>
      </w:pPr>
      <w:r>
        <w:t>Asimismo, se experimentó un invierno más copioso y prolongado, con lo cual la orientación del gasto público además de enfocarse en los subsidios de apoyo temporal, también se destinó a atender los diferentes programas Estados de Calamidad Pública derivado de los fenómenos naturales, tanto de proyectos de arrastre por la Tormenta ETA y IOTA, como los ocurridos en 2022 (Programa por exceso de lluvias y ciclón tropical Julia).</w:t>
      </w:r>
    </w:p>
    <w:p w14:paraId="261377BE" w14:textId="53E586AB" w:rsidR="00204A98" w:rsidRDefault="00204A98" w:rsidP="00F22D41">
      <w:pPr>
        <w:jc w:val="both"/>
      </w:pPr>
    </w:p>
    <w:p w14:paraId="276C3560" w14:textId="0D4EF176" w:rsidR="00204A98" w:rsidRPr="00B77381" w:rsidRDefault="00AA3776" w:rsidP="00531A1B">
      <w:pPr>
        <w:pStyle w:val="Prrafodelista"/>
        <w:numPr>
          <w:ilvl w:val="1"/>
          <w:numId w:val="3"/>
        </w:numPr>
        <w:tabs>
          <w:tab w:val="left" w:pos="709"/>
          <w:tab w:val="left" w:pos="993"/>
        </w:tabs>
        <w:ind w:left="567" w:hanging="283"/>
        <w:jc w:val="both"/>
        <w:outlineLvl w:val="1"/>
        <w:rPr>
          <w:b/>
          <w:bCs/>
        </w:rPr>
      </w:pPr>
      <w:r w:rsidRPr="00B77381">
        <w:rPr>
          <w:b/>
          <w:bCs/>
        </w:rPr>
        <w:t xml:space="preserve"> </w:t>
      </w:r>
      <w:bookmarkStart w:id="114" w:name="_Toc143865819"/>
      <w:r w:rsidR="00204A98" w:rsidRPr="00B77381">
        <w:rPr>
          <w:b/>
          <w:bCs/>
        </w:rPr>
        <w:t>La recaudación tributaria en 2022</w:t>
      </w:r>
      <w:bookmarkEnd w:id="114"/>
    </w:p>
    <w:p w14:paraId="4D25A814" w14:textId="7DFC26F9" w:rsidR="00F22D41" w:rsidRDefault="00F22D41" w:rsidP="00F22D41">
      <w:pPr>
        <w:jc w:val="both"/>
      </w:pPr>
    </w:p>
    <w:p w14:paraId="146C22E8" w14:textId="2D68B34F" w:rsidR="00F1655E" w:rsidRDefault="00F1655E" w:rsidP="00F1655E">
      <w:pPr>
        <w:jc w:val="both"/>
      </w:pPr>
      <w:r>
        <w:t>La recaudación estuvo determinada</w:t>
      </w:r>
      <w:r w:rsidR="00730607">
        <w:t>, en gran medida,</w:t>
      </w:r>
      <w:r>
        <w:t xml:space="preserve"> por el desempeño de la actividad económica, que </w:t>
      </w:r>
      <w:r w:rsidR="00730607">
        <w:t xml:space="preserve">está, </w:t>
      </w:r>
      <w:r>
        <w:t>en cierto sentido</w:t>
      </w:r>
      <w:r w:rsidR="00730607">
        <w:t>, regresando</w:t>
      </w:r>
      <w:r>
        <w:t xml:space="preserve"> a la normalidad, luego de la apertura gradual de la economía nacional.  Sin embargo, en dicho año se presentaron eventos que crearon cierta volatilidad en los mercados internacionales y que permearon la economía nacional.  De esa cuenta, el escenario macroeconómico proporcionado por el Banco de Guatemala el 15 de diciembre de 2021, pronosticaba mayor dinámica para 2022, un crecimiento de la economía en torno al 4.5% ± 1%, PIB nominal de 8.0% ± 1% y un crecimiento en las importaciones de 7.5% ± 1.5%.</w:t>
      </w:r>
    </w:p>
    <w:p w14:paraId="1383D2E2" w14:textId="77777777" w:rsidR="00F1655E" w:rsidRDefault="00F1655E" w:rsidP="00F1655E">
      <w:pPr>
        <w:jc w:val="both"/>
      </w:pPr>
    </w:p>
    <w:p w14:paraId="433DEF35" w14:textId="77777777" w:rsidR="00F1655E" w:rsidRDefault="00F1655E" w:rsidP="00F1655E">
      <w:pPr>
        <w:jc w:val="both"/>
      </w:pPr>
      <w:r>
        <w:t>La recaudación tributaria total de 2022 fue de Q88,579.0 millones, superior en Q12,264.2 millones respecto a lo establecido en la meta de presupuesto, que se situaba en Q76,314.9 millones y superior en Q10,560.0 millones (13.5%) a lo recaudado en 2021.</w:t>
      </w:r>
    </w:p>
    <w:p w14:paraId="3A0EAC8E" w14:textId="77777777" w:rsidR="00F1655E" w:rsidRDefault="00F1655E" w:rsidP="00F1655E">
      <w:pPr>
        <w:jc w:val="both"/>
      </w:pPr>
    </w:p>
    <w:p w14:paraId="5FFE976E" w14:textId="11826B48" w:rsidR="00F1655E" w:rsidRDefault="00F1655E" w:rsidP="00F1655E">
      <w:pPr>
        <w:jc w:val="both"/>
      </w:pPr>
      <w:r>
        <w:t xml:space="preserve">Este resultado en la recaudación tributaria </w:t>
      </w:r>
      <w:r w:rsidR="00753434">
        <w:t xml:space="preserve">también </w:t>
      </w:r>
      <w:r>
        <w:t>obedece a factores internos entre los que destacan las acciones que ha implementado la Superintendencia de Administración Tributaria -SAT- a través de sus Intendencias para garantizar el combate a la defraudación y contrabando aduanero, el incremento a la percepción de riesgo de los contribuyentes y la modernización aduanera. Por otro lado, la recaudación luego de declarada la pandemia en 2020 y la reapertura gradual de la economía en 2021 ha sido afectada por factores externos, en 2022 la guerra de Rusia y Ucrania afectó de manera directa el precio de las importaciones y de los principales commodities, que incidió positivamente en el nivel de recaudación</w:t>
      </w:r>
      <w:r w:rsidR="00730607">
        <w:t xml:space="preserve"> asociada al comercio exterior</w:t>
      </w:r>
      <w:r w:rsidR="00753434">
        <w:t xml:space="preserve"> pues la demanda de sus derivados (gasolinas y diésel), se mantuvo constante</w:t>
      </w:r>
      <w:r>
        <w:t xml:space="preserve">. </w:t>
      </w:r>
    </w:p>
    <w:p w14:paraId="45043A9E" w14:textId="77777777" w:rsidR="00F1655E" w:rsidRDefault="00F1655E" w:rsidP="00F1655E">
      <w:pPr>
        <w:jc w:val="both"/>
      </w:pPr>
    </w:p>
    <w:p w14:paraId="4E498934" w14:textId="7231CE90" w:rsidR="00F1655E" w:rsidRDefault="00F1655E" w:rsidP="00F1655E">
      <w:pPr>
        <w:jc w:val="both"/>
      </w:pPr>
      <w:r>
        <w:t xml:space="preserve">Los principales impuestos que contribuyeron con la brecha positiva en la recaudación tributaria fueron el Impuesto Sobre la Renta, Impuesto de Solidaridad, el Impuesto al Valor Agregado, los Derechos Arancelarios a la Importación (DAI) y los impuestos no administrados por la SAT, siendo estos </w:t>
      </w:r>
      <w:r w:rsidR="00730607">
        <w:t xml:space="preserve">el correspondiente </w:t>
      </w:r>
      <w:r w:rsidR="00682421">
        <w:t xml:space="preserve">a </w:t>
      </w:r>
      <w:r>
        <w:t>las Regalías e Hidrocarburos Compartibles y el Impuesto de Salidas del País.</w:t>
      </w:r>
    </w:p>
    <w:p w14:paraId="76216681" w14:textId="77777777" w:rsidR="00F1655E" w:rsidRDefault="00F1655E" w:rsidP="00F1655E">
      <w:pPr>
        <w:jc w:val="both"/>
      </w:pPr>
    </w:p>
    <w:p w14:paraId="4D7015D1" w14:textId="4DE2CB49" w:rsidR="00F1655E" w:rsidRDefault="00F1655E" w:rsidP="00F1655E">
      <w:pPr>
        <w:jc w:val="both"/>
      </w:pPr>
      <w:r>
        <w:t>La recaudación tributaria asociada al comercio exterior, luego del repunte observado hasta septiembre 2021, mes en el cual alcanzó su máximo histórico (45.7%), ha mostrado desaceleración, pero con crecimiento de 2 dígitos aún (20.4%) y ha generado una brecha positiva de Q6,276.7 millones respecto a la meta, y con relación a lo observado en 2021, de Q4,843.5 millones</w:t>
      </w:r>
      <w:r w:rsidR="00730607">
        <w:t>. E</w:t>
      </w:r>
      <w:r>
        <w:t xml:space="preserve">l IVA de importaciones supera lo observado en 2021 en Q4,426.2 millones y los Derechos Arancelarios en Q417.3 millones. Este resultado combina, por una parte, el seguimiento de las </w:t>
      </w:r>
      <w:r w:rsidRPr="00682421">
        <w:t>medidas implementadas</w:t>
      </w:r>
      <w:r>
        <w:t xml:space="preserve"> en 2021 en el ramo de aduanas, en donde se </w:t>
      </w:r>
      <w:r w:rsidR="00682421">
        <w:t xml:space="preserve">realizaron </w:t>
      </w:r>
      <w:r>
        <w:t>acciones para combatir la defraudación y el contrabando aduanero, tales como, mayor eficiencia del control aduanero, seguimiento del plan de combate al contrabando aduanero mediante la puesta en marcha de puestos de control interinstitucional (a la fecha van 7)</w:t>
      </w:r>
      <w:r w:rsidR="00730607">
        <w:t>,</w:t>
      </w:r>
      <w:r>
        <w:t xml:space="preserve"> a la simplificación, automatización y transparencia en el ingreso y salida de la carga vía aérea, fortalecimiento de la gestión de riesgo, operativos interinstitucionales en aduanas aéreas, terrestres, marítimas, puestos fronterizos, depósitos aduaneros y zonas francas, puesta en marcha del sistema de etiquetas de radiofrecuencia -RFID-, fortalecimiento del intercambio de información </w:t>
      </w:r>
      <w:r w:rsidR="00730607">
        <w:t xml:space="preserve">aduanera </w:t>
      </w:r>
      <w:r>
        <w:t>con otros Estados Parte, fortalecimiento de la valoración aduanera y a las mejoras en el tiempo de atención de solicitudes entre otras, pero a su vez también un efecto del precio de los combustibles que mantenía una tendencia alcista y que impacta en el mismo sentido en la recaudación aduanera asociada a dicho producto.</w:t>
      </w:r>
    </w:p>
    <w:p w14:paraId="1AC0CB7B" w14:textId="53A59F62" w:rsidR="00F1655E" w:rsidRDefault="00F1655E" w:rsidP="00F1655E">
      <w:pPr>
        <w:jc w:val="both"/>
      </w:pPr>
    </w:p>
    <w:p w14:paraId="13E04C72" w14:textId="450E83C1" w:rsidR="00CB0BEF" w:rsidRDefault="00CB0BEF" w:rsidP="00F1655E">
      <w:pPr>
        <w:jc w:val="both"/>
      </w:pPr>
    </w:p>
    <w:p w14:paraId="58E16664" w14:textId="4FDE25EA" w:rsidR="00CB0BEF" w:rsidRDefault="00CB0BEF" w:rsidP="00F1655E">
      <w:pPr>
        <w:jc w:val="both"/>
      </w:pPr>
    </w:p>
    <w:p w14:paraId="18615E66" w14:textId="2FD335BC" w:rsidR="00CB0BEF" w:rsidRDefault="00CB0BEF" w:rsidP="00F1655E">
      <w:pPr>
        <w:jc w:val="both"/>
      </w:pPr>
    </w:p>
    <w:p w14:paraId="54C13467" w14:textId="0AD9A498" w:rsidR="00CB0BEF" w:rsidRDefault="00CB0BEF" w:rsidP="00F1655E">
      <w:pPr>
        <w:jc w:val="both"/>
      </w:pPr>
    </w:p>
    <w:p w14:paraId="5A8C2506" w14:textId="51EFF180" w:rsidR="00CB0BEF" w:rsidRDefault="00CB0BEF" w:rsidP="00F1655E">
      <w:pPr>
        <w:jc w:val="both"/>
      </w:pPr>
    </w:p>
    <w:p w14:paraId="7D109FFA" w14:textId="3B359B18" w:rsidR="00CB0BEF" w:rsidRDefault="00CB0BEF" w:rsidP="00F1655E">
      <w:pPr>
        <w:jc w:val="both"/>
      </w:pPr>
    </w:p>
    <w:p w14:paraId="128BC921" w14:textId="6C185FDF" w:rsidR="00CB0BEF" w:rsidRDefault="00CB0BEF" w:rsidP="00F1655E">
      <w:pPr>
        <w:jc w:val="both"/>
      </w:pPr>
    </w:p>
    <w:p w14:paraId="12C7DAA3" w14:textId="0E5B220F" w:rsidR="00F1655E" w:rsidRPr="004423B7" w:rsidRDefault="004423B7" w:rsidP="004423B7">
      <w:pPr>
        <w:pStyle w:val="Descripcin"/>
        <w:spacing w:after="0"/>
        <w:jc w:val="center"/>
        <w:rPr>
          <w:b/>
          <w:bCs/>
          <w:i w:val="0"/>
          <w:iCs w:val="0"/>
          <w:color w:val="auto"/>
          <w:sz w:val="24"/>
          <w:szCs w:val="24"/>
        </w:rPr>
      </w:pPr>
      <w:bookmarkStart w:id="115" w:name="_Toc143870719"/>
      <w:r w:rsidRPr="004423B7">
        <w:rPr>
          <w:b/>
          <w:bCs/>
          <w:i w:val="0"/>
          <w:iCs w:val="0"/>
          <w:color w:val="auto"/>
          <w:sz w:val="24"/>
          <w:szCs w:val="24"/>
        </w:rPr>
        <w:t xml:space="preserve">Gráfico </w:t>
      </w:r>
      <w:r w:rsidRPr="004423B7">
        <w:rPr>
          <w:b/>
          <w:bCs/>
          <w:i w:val="0"/>
          <w:iCs w:val="0"/>
          <w:color w:val="auto"/>
          <w:sz w:val="24"/>
          <w:szCs w:val="24"/>
        </w:rPr>
        <w:fldChar w:fldCharType="begin"/>
      </w:r>
      <w:r w:rsidRPr="004423B7">
        <w:rPr>
          <w:b/>
          <w:bCs/>
          <w:i w:val="0"/>
          <w:iCs w:val="0"/>
          <w:color w:val="auto"/>
          <w:sz w:val="24"/>
          <w:szCs w:val="24"/>
        </w:rPr>
        <w:instrText xml:space="preserve"> SEQ Gráfico \* ARABIC </w:instrText>
      </w:r>
      <w:r w:rsidRPr="004423B7">
        <w:rPr>
          <w:b/>
          <w:bCs/>
          <w:i w:val="0"/>
          <w:iCs w:val="0"/>
          <w:color w:val="auto"/>
          <w:sz w:val="24"/>
          <w:szCs w:val="24"/>
        </w:rPr>
        <w:fldChar w:fldCharType="separate"/>
      </w:r>
      <w:r w:rsidR="006622B2">
        <w:rPr>
          <w:b/>
          <w:bCs/>
          <w:i w:val="0"/>
          <w:iCs w:val="0"/>
          <w:noProof/>
          <w:color w:val="auto"/>
          <w:sz w:val="24"/>
          <w:szCs w:val="24"/>
        </w:rPr>
        <w:t>52</w:t>
      </w:r>
      <w:r w:rsidRPr="004423B7">
        <w:rPr>
          <w:b/>
          <w:bCs/>
          <w:i w:val="0"/>
          <w:iCs w:val="0"/>
          <w:color w:val="auto"/>
          <w:sz w:val="24"/>
          <w:szCs w:val="24"/>
        </w:rPr>
        <w:fldChar w:fldCharType="end"/>
      </w:r>
      <w:r w:rsidRPr="004423B7">
        <w:rPr>
          <w:b/>
          <w:bCs/>
          <w:i w:val="0"/>
          <w:iCs w:val="0"/>
          <w:color w:val="auto"/>
          <w:sz w:val="24"/>
          <w:szCs w:val="24"/>
        </w:rPr>
        <w:t>.  Variación de la recaudación tributaria neta</w:t>
      </w:r>
      <w:bookmarkEnd w:id="115"/>
    </w:p>
    <w:p w14:paraId="181B5BC2" w14:textId="276CA3E9" w:rsidR="00F1655E" w:rsidRPr="00065214" w:rsidRDefault="004423B7" w:rsidP="00F1655E">
      <w:pPr>
        <w:spacing w:line="276" w:lineRule="auto"/>
        <w:ind w:left="562" w:right="1696"/>
        <w:jc w:val="center"/>
      </w:pPr>
      <w:r>
        <w:t xml:space="preserve">   </w:t>
      </w:r>
      <w:r w:rsidR="00F1655E" w:rsidRPr="00065214">
        <w:t>Porcentaje</w:t>
      </w:r>
    </w:p>
    <w:p w14:paraId="6C9BF252" w14:textId="77777777" w:rsidR="00F1655E" w:rsidRPr="00065214" w:rsidRDefault="00F1655E" w:rsidP="00AA3776">
      <w:pPr>
        <w:spacing w:line="276" w:lineRule="auto"/>
        <w:ind w:right="49"/>
        <w:jc w:val="both"/>
      </w:pPr>
      <w:r w:rsidRPr="00065214">
        <w:rPr>
          <w:noProof/>
        </w:rPr>
        <w:drawing>
          <wp:inline distT="0" distB="0" distL="0" distR="0" wp14:anchorId="2A4509BE" wp14:editId="436F2A58">
            <wp:extent cx="5476875" cy="2724150"/>
            <wp:effectExtent l="0" t="0" r="9525" b="0"/>
            <wp:docPr id="277" name="Gráfico 27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646FA83E" w14:textId="35AC339E" w:rsidR="00F1655E" w:rsidRPr="00F1655E" w:rsidRDefault="00F1655E" w:rsidP="00F1655E">
      <w:pPr>
        <w:ind w:firstLine="562"/>
        <w:jc w:val="both"/>
        <w:rPr>
          <w:sz w:val="18"/>
          <w:szCs w:val="18"/>
        </w:rPr>
      </w:pPr>
      <w:r w:rsidRPr="00F1655E">
        <w:rPr>
          <w:sz w:val="18"/>
          <w:szCs w:val="18"/>
        </w:rPr>
        <w:t>Fuente: Dirección de Análisis y Política Fiscal.</w:t>
      </w:r>
    </w:p>
    <w:p w14:paraId="42247556" w14:textId="3F76BC26" w:rsidR="00F1655E" w:rsidRDefault="00F1655E" w:rsidP="00F22D41">
      <w:pPr>
        <w:jc w:val="both"/>
      </w:pPr>
    </w:p>
    <w:p w14:paraId="491CC3F0" w14:textId="10130918" w:rsidR="00F1655E" w:rsidRPr="00B77381" w:rsidRDefault="00F1655E" w:rsidP="00531A1B">
      <w:pPr>
        <w:pStyle w:val="Prrafodelista"/>
        <w:numPr>
          <w:ilvl w:val="2"/>
          <w:numId w:val="3"/>
        </w:numPr>
        <w:tabs>
          <w:tab w:val="left" w:pos="993"/>
        </w:tabs>
        <w:ind w:left="426" w:hanging="142"/>
        <w:jc w:val="both"/>
        <w:outlineLvl w:val="2"/>
        <w:rPr>
          <w:b/>
          <w:bCs/>
        </w:rPr>
      </w:pPr>
      <w:bookmarkStart w:id="116" w:name="_Toc143865820"/>
      <w:r w:rsidRPr="00B77381">
        <w:rPr>
          <w:b/>
          <w:bCs/>
        </w:rPr>
        <w:t>Impuesto Sobre la Renta -ISR- y el Impuesto de Solidaridad -ISO-</w:t>
      </w:r>
      <w:bookmarkEnd w:id="116"/>
    </w:p>
    <w:p w14:paraId="6BFC6054" w14:textId="0C5BC1F8" w:rsidR="00F1655E" w:rsidRDefault="00F1655E" w:rsidP="00F22D41">
      <w:pPr>
        <w:jc w:val="both"/>
      </w:pPr>
    </w:p>
    <w:p w14:paraId="0C2CF9D9" w14:textId="77777777" w:rsidR="00F1655E" w:rsidRDefault="00F1655E" w:rsidP="00F1655E">
      <w:pPr>
        <w:jc w:val="both"/>
      </w:pPr>
      <w:r>
        <w:t>Estos dos impuestos lograron recaudar, en su conjunto, Q31,774.2 millones, de un estimado de Q27,793.2 millones, lo que generó una brecha positiva de Q3,981.0 millones respecto a la meta.</w:t>
      </w:r>
    </w:p>
    <w:p w14:paraId="3479A238" w14:textId="77777777" w:rsidR="00F1655E" w:rsidRDefault="00F1655E" w:rsidP="00F1655E">
      <w:pPr>
        <w:jc w:val="both"/>
      </w:pPr>
    </w:p>
    <w:p w14:paraId="39511483" w14:textId="078E75E1" w:rsidR="00F1655E" w:rsidRDefault="00F1655E" w:rsidP="00F1655E">
      <w:pPr>
        <w:jc w:val="both"/>
      </w:pPr>
      <w:r>
        <w:t>El ISR luego de vencimientos importantes como la liquidación anual en marzo y los pagos trimestrales percibidos en el año, mostró recuperación, creciendo en 10.2% respecto a lo observado en 2021</w:t>
      </w:r>
      <w:r w:rsidR="00730607">
        <w:t>.  E</w:t>
      </w:r>
      <w:r>
        <w:t>l régimen de actividades lucrativas creció en 18% respecto a 2021</w:t>
      </w:r>
      <w:r w:rsidR="00730607">
        <w:t>,</w:t>
      </w:r>
      <w:r>
        <w:t xml:space="preserve"> siendo el régimen sobre renta imponible el que más aportó a este resultado, los otros regímenes (relación de dependencia, retención a no domiciliados, productos financieros y otros ingresos) mostraron resultados positivos pero moderados.  Es importante hacer notar que si la comparación se realiza respecto al año 2019 (año sin pandemia) el ISR creció en 50%.</w:t>
      </w:r>
    </w:p>
    <w:p w14:paraId="768CBB14" w14:textId="77777777" w:rsidR="00F1655E" w:rsidRDefault="00F1655E" w:rsidP="00F1655E">
      <w:pPr>
        <w:jc w:val="both"/>
      </w:pPr>
    </w:p>
    <w:p w14:paraId="372D0D27" w14:textId="30470CB5" w:rsidR="00F1655E" w:rsidRDefault="00F1655E" w:rsidP="00F1655E">
      <w:pPr>
        <w:jc w:val="both"/>
      </w:pPr>
      <w:r>
        <w:t xml:space="preserve">El desempeño positivo en este impuesto obedece </w:t>
      </w:r>
      <w:r w:rsidR="00706267">
        <w:t>también</w:t>
      </w:r>
      <w:r>
        <w:t xml:space="preserve"> a los esfuerzos realizados por la SAT, la cual ha implementado mecanismos que permitieron aumentar la percepción de riesgo de los contribuyentes, a la facilitación de suscripción de convenios de pago, mejoras en el RTU digital, mejoras en la gestión de fiscalización y gestión judicial y el monitoreo de contribuyentes mediante el cumplimiento tributario -IPT-, que está enfocado sobre la base de recaudación potencial de la Actividad Económica.</w:t>
      </w:r>
    </w:p>
    <w:p w14:paraId="4CDABCFD" w14:textId="4BD4483D" w:rsidR="00F1655E" w:rsidRDefault="00F1655E" w:rsidP="00F1655E">
      <w:pPr>
        <w:jc w:val="both"/>
      </w:pPr>
    </w:p>
    <w:p w14:paraId="29E43AD5" w14:textId="4C3111F8" w:rsidR="00CB0BEF" w:rsidRDefault="00CB0BEF" w:rsidP="00F1655E">
      <w:pPr>
        <w:jc w:val="both"/>
      </w:pPr>
    </w:p>
    <w:p w14:paraId="118B3548" w14:textId="34671408" w:rsidR="00CB0BEF" w:rsidRDefault="00CB0BEF" w:rsidP="00F1655E">
      <w:pPr>
        <w:jc w:val="both"/>
      </w:pPr>
    </w:p>
    <w:p w14:paraId="71783638" w14:textId="7E821F8C" w:rsidR="00CB0BEF" w:rsidRDefault="00CB0BEF" w:rsidP="00F1655E">
      <w:pPr>
        <w:jc w:val="both"/>
      </w:pPr>
    </w:p>
    <w:p w14:paraId="61014301" w14:textId="62D3092F" w:rsidR="00CB0BEF" w:rsidRDefault="00CB0BEF" w:rsidP="00F1655E">
      <w:pPr>
        <w:jc w:val="both"/>
      </w:pPr>
    </w:p>
    <w:p w14:paraId="55144064" w14:textId="77777777" w:rsidR="00CB0BEF" w:rsidRDefault="00CB0BEF" w:rsidP="00F1655E">
      <w:pPr>
        <w:jc w:val="both"/>
      </w:pPr>
    </w:p>
    <w:p w14:paraId="7BAA3CB2" w14:textId="1B1970BC" w:rsidR="00D31CC8" w:rsidRPr="00CB0BEF" w:rsidRDefault="007B7995" w:rsidP="00CB0BEF">
      <w:pPr>
        <w:pStyle w:val="Descripcin"/>
        <w:spacing w:after="0"/>
        <w:jc w:val="center"/>
        <w:rPr>
          <w:b/>
          <w:bCs/>
          <w:i w:val="0"/>
          <w:iCs w:val="0"/>
          <w:color w:val="auto"/>
          <w:sz w:val="24"/>
          <w:szCs w:val="24"/>
        </w:rPr>
      </w:pPr>
      <w:bookmarkStart w:id="117" w:name="_Toc143870720"/>
      <w:r w:rsidRPr="007B7995">
        <w:rPr>
          <w:b/>
          <w:bCs/>
          <w:i w:val="0"/>
          <w:iCs w:val="0"/>
          <w:color w:val="auto"/>
          <w:sz w:val="24"/>
          <w:szCs w:val="24"/>
        </w:rPr>
        <w:t xml:space="preserve">Gráfico </w:t>
      </w:r>
      <w:r w:rsidRPr="007B7995">
        <w:rPr>
          <w:b/>
          <w:bCs/>
          <w:i w:val="0"/>
          <w:iCs w:val="0"/>
          <w:color w:val="auto"/>
          <w:sz w:val="24"/>
          <w:szCs w:val="24"/>
        </w:rPr>
        <w:fldChar w:fldCharType="begin"/>
      </w:r>
      <w:r w:rsidRPr="007B7995">
        <w:rPr>
          <w:b/>
          <w:bCs/>
          <w:i w:val="0"/>
          <w:iCs w:val="0"/>
          <w:color w:val="auto"/>
          <w:sz w:val="24"/>
          <w:szCs w:val="24"/>
        </w:rPr>
        <w:instrText xml:space="preserve"> SEQ Gráfico \* ARABIC </w:instrText>
      </w:r>
      <w:r w:rsidRPr="007B7995">
        <w:rPr>
          <w:b/>
          <w:bCs/>
          <w:i w:val="0"/>
          <w:iCs w:val="0"/>
          <w:color w:val="auto"/>
          <w:sz w:val="24"/>
          <w:szCs w:val="24"/>
        </w:rPr>
        <w:fldChar w:fldCharType="separate"/>
      </w:r>
      <w:r w:rsidR="006622B2">
        <w:rPr>
          <w:b/>
          <w:bCs/>
          <w:i w:val="0"/>
          <w:iCs w:val="0"/>
          <w:noProof/>
          <w:color w:val="auto"/>
          <w:sz w:val="24"/>
          <w:szCs w:val="24"/>
        </w:rPr>
        <w:t>53</w:t>
      </w:r>
      <w:r w:rsidRPr="007B7995">
        <w:rPr>
          <w:b/>
          <w:bCs/>
          <w:i w:val="0"/>
          <w:iCs w:val="0"/>
          <w:color w:val="auto"/>
          <w:sz w:val="24"/>
          <w:szCs w:val="24"/>
        </w:rPr>
        <w:fldChar w:fldCharType="end"/>
      </w:r>
      <w:r w:rsidRPr="007B7995">
        <w:rPr>
          <w:b/>
          <w:bCs/>
          <w:i w:val="0"/>
          <w:iCs w:val="0"/>
          <w:color w:val="auto"/>
          <w:sz w:val="24"/>
          <w:szCs w:val="24"/>
        </w:rPr>
        <w:t>.  Variación del Impuesto Sobre la Renta</w:t>
      </w:r>
      <w:bookmarkEnd w:id="117"/>
    </w:p>
    <w:tbl>
      <w:tblPr>
        <w:tblW w:w="10915" w:type="dxa"/>
        <w:tblLayout w:type="fixed"/>
        <w:tblLook w:val="04A0" w:firstRow="1" w:lastRow="0" w:firstColumn="1" w:lastColumn="0" w:noHBand="0" w:noVBand="1"/>
      </w:tblPr>
      <w:tblGrid>
        <w:gridCol w:w="4458"/>
        <w:gridCol w:w="362"/>
        <w:gridCol w:w="3969"/>
        <w:gridCol w:w="2126"/>
      </w:tblGrid>
      <w:tr w:rsidR="00F1655E" w:rsidRPr="00065214" w14:paraId="5C7B36D1" w14:textId="77777777" w:rsidTr="00AA3776">
        <w:trPr>
          <w:trHeight w:val="590"/>
        </w:trPr>
        <w:tc>
          <w:tcPr>
            <w:tcW w:w="4820" w:type="dxa"/>
            <w:gridSpan w:val="2"/>
          </w:tcPr>
          <w:p w14:paraId="21431FF3" w14:textId="44A28023" w:rsidR="00F1655E" w:rsidRPr="00065214" w:rsidRDefault="00F1655E" w:rsidP="00321A34">
            <w:pPr>
              <w:ind w:left="562" w:right="175"/>
              <w:jc w:val="center"/>
              <w:rPr>
                <w:b/>
                <w:bCs/>
              </w:rPr>
            </w:pPr>
            <w:bookmarkStart w:id="118" w:name="_Toc125722937"/>
            <w:r w:rsidRPr="00065214">
              <w:rPr>
                <w:b/>
                <w:bCs/>
              </w:rPr>
              <w:t xml:space="preserve">Variación del </w:t>
            </w:r>
            <w:r>
              <w:rPr>
                <w:b/>
                <w:bCs/>
              </w:rPr>
              <w:t>I</w:t>
            </w:r>
            <w:r w:rsidRPr="00065214">
              <w:rPr>
                <w:b/>
                <w:bCs/>
              </w:rPr>
              <w:t>SR de actividades lucrativas</w:t>
            </w:r>
            <w:bookmarkEnd w:id="118"/>
          </w:p>
          <w:p w14:paraId="272D724A" w14:textId="526A00F8" w:rsidR="00F1655E" w:rsidRPr="00065214" w:rsidRDefault="00871DA6" w:rsidP="00321A34">
            <w:pPr>
              <w:tabs>
                <w:tab w:val="left" w:pos="2873"/>
                <w:tab w:val="left" w:pos="2903"/>
              </w:tabs>
              <w:ind w:left="562" w:right="1696"/>
              <w:jc w:val="center"/>
            </w:pPr>
            <w:r>
              <w:t xml:space="preserve">                    </w:t>
            </w:r>
            <w:r w:rsidR="00F1655E" w:rsidRPr="00065214">
              <w:t>Porcentajes</w:t>
            </w:r>
          </w:p>
        </w:tc>
        <w:tc>
          <w:tcPr>
            <w:tcW w:w="6095" w:type="dxa"/>
            <w:gridSpan w:val="2"/>
          </w:tcPr>
          <w:p w14:paraId="15863F87" w14:textId="291A903E" w:rsidR="00F1655E" w:rsidRPr="00065214" w:rsidRDefault="00F1655E" w:rsidP="00321A34">
            <w:pPr>
              <w:ind w:left="-108" w:right="1696"/>
              <w:jc w:val="center"/>
              <w:rPr>
                <w:b/>
                <w:bCs/>
              </w:rPr>
            </w:pPr>
            <w:bookmarkStart w:id="119" w:name="_Toc125722938"/>
            <w:r w:rsidRPr="00065214">
              <w:rPr>
                <w:b/>
                <w:bCs/>
              </w:rPr>
              <w:t>Variación del ISR en relación de dependencia</w:t>
            </w:r>
            <w:bookmarkEnd w:id="119"/>
          </w:p>
          <w:p w14:paraId="5A3FCBD3" w14:textId="77777777" w:rsidR="00F1655E" w:rsidRPr="00065214" w:rsidRDefault="00F1655E" w:rsidP="00321A34">
            <w:pPr>
              <w:ind w:right="1696"/>
              <w:jc w:val="center"/>
            </w:pPr>
            <w:r w:rsidRPr="00065214">
              <w:t>Porcentajes</w:t>
            </w:r>
          </w:p>
        </w:tc>
      </w:tr>
      <w:tr w:rsidR="00F1655E" w:rsidRPr="00065214" w14:paraId="6F1AEF3C" w14:textId="77777777" w:rsidTr="00871DA6">
        <w:trPr>
          <w:gridAfter w:val="1"/>
          <w:wAfter w:w="2126" w:type="dxa"/>
          <w:trHeight w:val="2103"/>
        </w:trPr>
        <w:tc>
          <w:tcPr>
            <w:tcW w:w="4458" w:type="dxa"/>
          </w:tcPr>
          <w:p w14:paraId="7DF2CF9B" w14:textId="77777777" w:rsidR="00F1655E" w:rsidRPr="00065214" w:rsidRDefault="00F1655E" w:rsidP="00AA3776">
            <w:pPr>
              <w:spacing w:line="276" w:lineRule="auto"/>
              <w:ind w:left="38" w:right="1696"/>
              <w:jc w:val="both"/>
            </w:pPr>
            <w:r w:rsidRPr="00065214">
              <w:rPr>
                <w:noProof/>
              </w:rPr>
              <w:drawing>
                <wp:inline distT="0" distB="0" distL="0" distR="0" wp14:anchorId="7758BC3E" wp14:editId="223A82A6">
                  <wp:extent cx="2857500" cy="1409700"/>
                  <wp:effectExtent l="0" t="0" r="0" b="0"/>
                  <wp:docPr id="278" name="Gráfico 2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tc>
        <w:tc>
          <w:tcPr>
            <w:tcW w:w="4331" w:type="dxa"/>
            <w:gridSpan w:val="2"/>
          </w:tcPr>
          <w:p w14:paraId="67136BC9" w14:textId="77777777" w:rsidR="00F1655E" w:rsidRPr="00065214" w:rsidRDefault="00F1655E" w:rsidP="00AA3776">
            <w:pPr>
              <w:spacing w:line="276" w:lineRule="auto"/>
              <w:ind w:left="116" w:right="1696"/>
              <w:jc w:val="both"/>
            </w:pPr>
            <w:r w:rsidRPr="00065214">
              <w:rPr>
                <w:noProof/>
              </w:rPr>
              <w:drawing>
                <wp:inline distT="0" distB="0" distL="0" distR="0" wp14:anchorId="39B2D1FA" wp14:editId="1C2E3C17">
                  <wp:extent cx="2609850" cy="1409700"/>
                  <wp:effectExtent l="0" t="0" r="0" b="0"/>
                  <wp:docPr id="279" name="Gráfico 27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tc>
      </w:tr>
    </w:tbl>
    <w:p w14:paraId="1DD6CD45" w14:textId="5D14C8B8" w:rsidR="00F1655E" w:rsidRDefault="00F1655E" w:rsidP="00F1655E">
      <w:pPr>
        <w:jc w:val="both"/>
        <w:rPr>
          <w:sz w:val="18"/>
          <w:szCs w:val="18"/>
        </w:rPr>
      </w:pPr>
      <w:r w:rsidRPr="00F1655E">
        <w:rPr>
          <w:sz w:val="18"/>
          <w:szCs w:val="18"/>
        </w:rPr>
        <w:t>Fuente: Dirección de Análisis y Política Fiscal.</w:t>
      </w:r>
    </w:p>
    <w:p w14:paraId="01652BFD" w14:textId="21554707" w:rsidR="00F1655E" w:rsidRPr="00F1655E" w:rsidRDefault="00F1655E" w:rsidP="00F1655E">
      <w:pPr>
        <w:jc w:val="both"/>
      </w:pPr>
    </w:p>
    <w:p w14:paraId="5F92A146" w14:textId="2A7BCEC3" w:rsidR="00F1655E" w:rsidRPr="00B77381" w:rsidRDefault="00F1655E" w:rsidP="00531A1B">
      <w:pPr>
        <w:pStyle w:val="Prrafodelista"/>
        <w:numPr>
          <w:ilvl w:val="2"/>
          <w:numId w:val="3"/>
        </w:numPr>
        <w:tabs>
          <w:tab w:val="left" w:pos="851"/>
        </w:tabs>
        <w:ind w:left="709"/>
        <w:jc w:val="both"/>
        <w:outlineLvl w:val="2"/>
      </w:pPr>
      <w:bookmarkStart w:id="120" w:name="_Toc143865821"/>
      <w:r w:rsidRPr="00B77381">
        <w:rPr>
          <w:b/>
          <w:bCs/>
        </w:rPr>
        <w:t>Impuesto al Valor Agregado (IVA)</w:t>
      </w:r>
      <w:bookmarkEnd w:id="120"/>
    </w:p>
    <w:p w14:paraId="53AB7A83" w14:textId="099B1DAC" w:rsidR="00F1655E" w:rsidRDefault="00F1655E" w:rsidP="00F1655E">
      <w:pPr>
        <w:jc w:val="both"/>
      </w:pPr>
    </w:p>
    <w:p w14:paraId="1ECE152C" w14:textId="396D1682" w:rsidR="00F1655E" w:rsidRDefault="00F1655E" w:rsidP="00F1655E">
      <w:pPr>
        <w:jc w:val="both"/>
      </w:pPr>
      <w:r w:rsidRPr="00F1655E">
        <w:t>Este impuesto generó una brecha positiva de Q6,984.3 millones respecto a la meta, explicada en su mayoría por el IVA asociado al comercio exterior, el cual mantiene la dinámica observada en 2021, principalmente como reflejo al aumento de precios en los combustibles. Con relación a 2021 se observó un crecimiento en el IVA total de 17.4%</w:t>
      </w:r>
      <w:r w:rsidR="007C4B91">
        <w:t>,</w:t>
      </w:r>
      <w:r w:rsidRPr="00F1655E">
        <w:t xml:space="preserve"> es decir</w:t>
      </w:r>
      <w:r w:rsidR="007C4B91">
        <w:t>,</w:t>
      </w:r>
      <w:r w:rsidRPr="00F1655E">
        <w:t xml:space="preserve"> se generó una brecha positiva de Q6,419.1 millones.</w:t>
      </w:r>
    </w:p>
    <w:p w14:paraId="3AB2891B" w14:textId="6E42B090" w:rsidR="00F1655E" w:rsidRDefault="00F1655E" w:rsidP="00F1655E">
      <w:pPr>
        <w:jc w:val="both"/>
      </w:pPr>
    </w:p>
    <w:p w14:paraId="0827F8FE" w14:textId="2D65F450" w:rsidR="00F1655E" w:rsidRPr="007B7995" w:rsidRDefault="007B7995" w:rsidP="007B7995">
      <w:pPr>
        <w:pStyle w:val="Descripcin"/>
        <w:spacing w:after="0"/>
        <w:jc w:val="center"/>
        <w:rPr>
          <w:b/>
          <w:bCs/>
          <w:i w:val="0"/>
          <w:iCs w:val="0"/>
          <w:color w:val="auto"/>
          <w:sz w:val="24"/>
          <w:szCs w:val="24"/>
        </w:rPr>
      </w:pPr>
      <w:bookmarkStart w:id="121" w:name="_Toc143870721"/>
      <w:r w:rsidRPr="007B7995">
        <w:rPr>
          <w:b/>
          <w:bCs/>
          <w:i w:val="0"/>
          <w:iCs w:val="0"/>
          <w:color w:val="auto"/>
          <w:sz w:val="24"/>
          <w:szCs w:val="24"/>
        </w:rPr>
        <w:t xml:space="preserve">Gráfico </w:t>
      </w:r>
      <w:r w:rsidRPr="007B7995">
        <w:rPr>
          <w:b/>
          <w:bCs/>
          <w:i w:val="0"/>
          <w:iCs w:val="0"/>
          <w:color w:val="auto"/>
          <w:sz w:val="24"/>
          <w:szCs w:val="24"/>
        </w:rPr>
        <w:fldChar w:fldCharType="begin"/>
      </w:r>
      <w:r w:rsidRPr="007B7995">
        <w:rPr>
          <w:b/>
          <w:bCs/>
          <w:i w:val="0"/>
          <w:iCs w:val="0"/>
          <w:color w:val="auto"/>
          <w:sz w:val="24"/>
          <w:szCs w:val="24"/>
        </w:rPr>
        <w:instrText xml:space="preserve"> SEQ Gráfico \* ARABIC </w:instrText>
      </w:r>
      <w:r w:rsidRPr="007B7995">
        <w:rPr>
          <w:b/>
          <w:bCs/>
          <w:i w:val="0"/>
          <w:iCs w:val="0"/>
          <w:color w:val="auto"/>
          <w:sz w:val="24"/>
          <w:szCs w:val="24"/>
        </w:rPr>
        <w:fldChar w:fldCharType="separate"/>
      </w:r>
      <w:r w:rsidR="006622B2">
        <w:rPr>
          <w:b/>
          <w:bCs/>
          <w:i w:val="0"/>
          <w:iCs w:val="0"/>
          <w:noProof/>
          <w:color w:val="auto"/>
          <w:sz w:val="24"/>
          <w:szCs w:val="24"/>
        </w:rPr>
        <w:t>54</w:t>
      </w:r>
      <w:r w:rsidRPr="007B7995">
        <w:rPr>
          <w:b/>
          <w:bCs/>
          <w:i w:val="0"/>
          <w:iCs w:val="0"/>
          <w:color w:val="auto"/>
          <w:sz w:val="24"/>
          <w:szCs w:val="24"/>
        </w:rPr>
        <w:fldChar w:fldCharType="end"/>
      </w:r>
      <w:r w:rsidRPr="007B7995">
        <w:rPr>
          <w:b/>
          <w:bCs/>
          <w:i w:val="0"/>
          <w:iCs w:val="0"/>
          <w:color w:val="auto"/>
          <w:sz w:val="24"/>
          <w:szCs w:val="24"/>
        </w:rPr>
        <w:t xml:space="preserve">.  </w:t>
      </w:r>
      <w:bookmarkStart w:id="122" w:name="_Toc125722939"/>
      <w:r w:rsidRPr="007B7995">
        <w:rPr>
          <w:b/>
          <w:bCs/>
          <w:i w:val="0"/>
          <w:iCs w:val="0"/>
          <w:color w:val="auto"/>
          <w:sz w:val="24"/>
          <w:szCs w:val="24"/>
        </w:rPr>
        <w:t>Brecha del impuesto al valor agregado respecto a presupuesto</w:t>
      </w:r>
      <w:bookmarkEnd w:id="121"/>
      <w:bookmarkEnd w:id="122"/>
    </w:p>
    <w:p w14:paraId="0087DCE1" w14:textId="77777777" w:rsidR="00F1655E" w:rsidRPr="00871DA6" w:rsidRDefault="00F1655E" w:rsidP="00F1655E">
      <w:pPr>
        <w:spacing w:line="276" w:lineRule="auto"/>
        <w:ind w:left="562" w:right="1696"/>
        <w:jc w:val="center"/>
        <w:rPr>
          <w:sz w:val="20"/>
          <w:szCs w:val="20"/>
        </w:rPr>
      </w:pPr>
      <w:r w:rsidRPr="00871DA6">
        <w:rPr>
          <w:sz w:val="20"/>
          <w:szCs w:val="20"/>
        </w:rPr>
        <w:t>Millones de quetzales</w:t>
      </w:r>
    </w:p>
    <w:p w14:paraId="7731447B" w14:textId="77777777" w:rsidR="00F1655E" w:rsidRPr="00065214" w:rsidRDefault="00F1655E" w:rsidP="00871DA6">
      <w:pPr>
        <w:spacing w:line="276" w:lineRule="auto"/>
        <w:ind w:right="49"/>
        <w:jc w:val="both"/>
      </w:pPr>
      <w:r w:rsidRPr="00065214">
        <w:rPr>
          <w:noProof/>
        </w:rPr>
        <w:drawing>
          <wp:inline distT="0" distB="0" distL="0" distR="0" wp14:anchorId="4D3B44EE" wp14:editId="1A072004">
            <wp:extent cx="5419725" cy="2472538"/>
            <wp:effectExtent l="0" t="0" r="0" b="4445"/>
            <wp:docPr id="280" name="Gráfico 28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28414665" w14:textId="1FB56333" w:rsidR="007B7995" w:rsidRPr="00017F3A" w:rsidRDefault="00F1655E" w:rsidP="00017F3A">
      <w:pPr>
        <w:ind w:left="562" w:right="1696"/>
        <w:jc w:val="both"/>
        <w:rPr>
          <w:sz w:val="18"/>
          <w:szCs w:val="18"/>
        </w:rPr>
      </w:pPr>
      <w:r w:rsidRPr="00F1655E">
        <w:rPr>
          <w:sz w:val="18"/>
          <w:szCs w:val="18"/>
        </w:rPr>
        <w:t>Fuente: Ministerio de Finanzas Públicas.</w:t>
      </w:r>
    </w:p>
    <w:p w14:paraId="2EB10292" w14:textId="77777777" w:rsidR="00CB0BEF" w:rsidRDefault="00CB0BEF" w:rsidP="00F1655E">
      <w:pPr>
        <w:jc w:val="both"/>
      </w:pPr>
    </w:p>
    <w:p w14:paraId="103D24DF" w14:textId="19640F70" w:rsidR="00F1655E" w:rsidRDefault="00F1655E" w:rsidP="00F1655E">
      <w:pPr>
        <w:jc w:val="both"/>
      </w:pPr>
      <w:r>
        <w:t>El IVA asociado al consumo interno creció en 11.9% respecto a 2021 y superó la meta en Q1,992.9 millones, este impuesto en su apertura por régimen muestra que el que más aporta a la recaudación es el Régimen General (69.3%)</w:t>
      </w:r>
      <w:r w:rsidR="007C4B91">
        <w:t>,</w:t>
      </w:r>
      <w:r>
        <w:t xml:space="preserve"> el cual tuvo un crecimiento de 8.2% (Q1,064.8 millones), seguido por el Régimen de Retenciones que aporta el 20% a la recaudación y que creció en 20.8% (Q697.5 millones).  Del resto de regímenes destaca el del Pequeño Contribuyente cuyo aporte a recaudación es del 3% y que creció en 9.2% (Q50.8 millones), todos medidos respecto a 2021.  </w:t>
      </w:r>
    </w:p>
    <w:p w14:paraId="1314D525" w14:textId="7F4CFF78" w:rsidR="00F1655E" w:rsidRDefault="00F1655E" w:rsidP="00F1655E">
      <w:pPr>
        <w:jc w:val="both"/>
      </w:pPr>
      <w:r>
        <w:t xml:space="preserve">El IVA asociado a las importaciones, como se ha comentado, creció en 21.9% respecto a 2021 y superó la meta de presupuesto en Q5,747.6 millones, estos resultados son producto de las medidas implementadas por la SAT en la Intendencia de Aduanas y producto del aumento en el precio del barril de petróleo, que impacta en el precio de los combustibles derivados, fluctuación generada como consecuencia del conflicto armado entre Rusia y Ucrania. </w:t>
      </w:r>
    </w:p>
    <w:p w14:paraId="2141AE61" w14:textId="77777777" w:rsidR="00F1655E" w:rsidRDefault="00F1655E" w:rsidP="00F1655E">
      <w:pPr>
        <w:jc w:val="both"/>
      </w:pPr>
    </w:p>
    <w:p w14:paraId="4E250174" w14:textId="6FD67048" w:rsidR="00F1655E" w:rsidRDefault="00F1655E" w:rsidP="00F1655E">
      <w:pPr>
        <w:jc w:val="both"/>
      </w:pPr>
      <w:r>
        <w:t>En 2021 el precio medio del barril de petróleo WTI fue de US$67.96 dólares y en 2022 se ubicó en US$94.23 dólares, según la U.S. Energy Information Administration.</w:t>
      </w:r>
    </w:p>
    <w:p w14:paraId="109E6A7A" w14:textId="28678896" w:rsidR="00F1655E" w:rsidRDefault="00F1655E" w:rsidP="00F1655E">
      <w:pPr>
        <w:jc w:val="both"/>
      </w:pPr>
    </w:p>
    <w:p w14:paraId="0668E301" w14:textId="1B3C02A6" w:rsidR="00F1655E" w:rsidRPr="007B7995" w:rsidRDefault="007B7995" w:rsidP="007B7995">
      <w:pPr>
        <w:pStyle w:val="Descripcin"/>
        <w:spacing w:after="0"/>
        <w:jc w:val="center"/>
        <w:rPr>
          <w:b/>
          <w:bCs/>
          <w:i w:val="0"/>
          <w:iCs w:val="0"/>
          <w:color w:val="auto"/>
          <w:sz w:val="24"/>
          <w:szCs w:val="24"/>
        </w:rPr>
      </w:pPr>
      <w:bookmarkStart w:id="123" w:name="_Toc143870722"/>
      <w:r w:rsidRPr="007B7995">
        <w:rPr>
          <w:b/>
          <w:bCs/>
          <w:i w:val="0"/>
          <w:iCs w:val="0"/>
          <w:color w:val="auto"/>
          <w:sz w:val="24"/>
          <w:szCs w:val="24"/>
        </w:rPr>
        <w:t xml:space="preserve">Gráfico </w:t>
      </w:r>
      <w:r w:rsidRPr="007B7995">
        <w:rPr>
          <w:b/>
          <w:bCs/>
          <w:i w:val="0"/>
          <w:iCs w:val="0"/>
          <w:color w:val="auto"/>
          <w:sz w:val="24"/>
          <w:szCs w:val="24"/>
        </w:rPr>
        <w:fldChar w:fldCharType="begin"/>
      </w:r>
      <w:r w:rsidRPr="007B7995">
        <w:rPr>
          <w:b/>
          <w:bCs/>
          <w:i w:val="0"/>
          <w:iCs w:val="0"/>
          <w:color w:val="auto"/>
          <w:sz w:val="24"/>
          <w:szCs w:val="24"/>
        </w:rPr>
        <w:instrText xml:space="preserve"> SEQ Gráfico \* ARABIC </w:instrText>
      </w:r>
      <w:r w:rsidRPr="007B7995">
        <w:rPr>
          <w:b/>
          <w:bCs/>
          <w:i w:val="0"/>
          <w:iCs w:val="0"/>
          <w:color w:val="auto"/>
          <w:sz w:val="24"/>
          <w:szCs w:val="24"/>
        </w:rPr>
        <w:fldChar w:fldCharType="separate"/>
      </w:r>
      <w:r w:rsidR="006622B2">
        <w:rPr>
          <w:b/>
          <w:bCs/>
          <w:i w:val="0"/>
          <w:iCs w:val="0"/>
          <w:noProof/>
          <w:color w:val="auto"/>
          <w:sz w:val="24"/>
          <w:szCs w:val="24"/>
        </w:rPr>
        <w:t>55</w:t>
      </w:r>
      <w:r w:rsidRPr="007B7995">
        <w:rPr>
          <w:b/>
          <w:bCs/>
          <w:i w:val="0"/>
          <w:iCs w:val="0"/>
          <w:color w:val="auto"/>
          <w:sz w:val="24"/>
          <w:szCs w:val="24"/>
        </w:rPr>
        <w:fldChar w:fldCharType="end"/>
      </w:r>
      <w:r w:rsidRPr="007B7995">
        <w:rPr>
          <w:b/>
          <w:bCs/>
          <w:i w:val="0"/>
          <w:iCs w:val="0"/>
          <w:color w:val="auto"/>
          <w:sz w:val="24"/>
          <w:szCs w:val="24"/>
        </w:rPr>
        <w:t xml:space="preserve">.  </w:t>
      </w:r>
      <w:bookmarkStart w:id="124" w:name="_Toc125722940"/>
      <w:r w:rsidRPr="007B7995">
        <w:rPr>
          <w:b/>
          <w:bCs/>
          <w:i w:val="0"/>
          <w:iCs w:val="0"/>
          <w:color w:val="auto"/>
          <w:sz w:val="24"/>
          <w:szCs w:val="24"/>
        </w:rPr>
        <w:t xml:space="preserve">Precio del </w:t>
      </w:r>
      <w:r w:rsidR="00D31CC8">
        <w:rPr>
          <w:b/>
          <w:bCs/>
          <w:i w:val="0"/>
          <w:iCs w:val="0"/>
          <w:color w:val="auto"/>
          <w:sz w:val="24"/>
          <w:szCs w:val="24"/>
        </w:rPr>
        <w:t>p</w:t>
      </w:r>
      <w:r w:rsidRPr="007B7995">
        <w:rPr>
          <w:b/>
          <w:bCs/>
          <w:i w:val="0"/>
          <w:iCs w:val="0"/>
          <w:color w:val="auto"/>
          <w:sz w:val="24"/>
          <w:szCs w:val="24"/>
        </w:rPr>
        <w:t>etróleo WTI</w:t>
      </w:r>
      <w:bookmarkEnd w:id="123"/>
      <w:bookmarkEnd w:id="124"/>
    </w:p>
    <w:p w14:paraId="00D9533E" w14:textId="5D307C16" w:rsidR="00F1655E" w:rsidRPr="00871DA6" w:rsidRDefault="00F1655E" w:rsidP="00F1655E">
      <w:pPr>
        <w:spacing w:line="276" w:lineRule="auto"/>
        <w:ind w:left="562" w:right="1696"/>
        <w:jc w:val="center"/>
        <w:rPr>
          <w:sz w:val="20"/>
          <w:szCs w:val="20"/>
        </w:rPr>
      </w:pPr>
      <w:r w:rsidRPr="00871DA6">
        <w:rPr>
          <w:sz w:val="20"/>
          <w:szCs w:val="20"/>
        </w:rPr>
        <w:t>Dólares por barril</w:t>
      </w:r>
    </w:p>
    <w:p w14:paraId="2C5B15A4" w14:textId="28153DE5" w:rsidR="00F1655E" w:rsidRPr="00065214" w:rsidRDefault="00017F3A" w:rsidP="00871DA6">
      <w:pPr>
        <w:spacing w:line="276" w:lineRule="auto"/>
        <w:ind w:right="49"/>
        <w:jc w:val="both"/>
      </w:pPr>
      <w:r w:rsidRPr="00871DA6">
        <w:rPr>
          <w:noProof/>
          <w:sz w:val="20"/>
          <w:szCs w:val="20"/>
        </w:rPr>
        <w:drawing>
          <wp:anchor distT="0" distB="0" distL="114300" distR="116205" simplePos="0" relativeHeight="251667456" behindDoc="0" locked="0" layoutInCell="1" allowOverlap="1" wp14:anchorId="19846E46" wp14:editId="58CB8854">
            <wp:simplePos x="0" y="0"/>
            <wp:positionH relativeFrom="margin">
              <wp:posOffset>160268</wp:posOffset>
            </wp:positionH>
            <wp:positionV relativeFrom="paragraph">
              <wp:posOffset>9663</wp:posOffset>
            </wp:positionV>
            <wp:extent cx="5208270" cy="2210463"/>
            <wp:effectExtent l="0" t="0" r="0" b="0"/>
            <wp:wrapNone/>
            <wp:docPr id="281" name="Gráfico 2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14:sizeRelH relativeFrom="margin">
              <wp14:pctWidth>0</wp14:pctWidth>
            </wp14:sizeRelH>
            <wp14:sizeRelV relativeFrom="margin">
              <wp14:pctHeight>0</wp14:pctHeight>
            </wp14:sizeRelV>
          </wp:anchor>
        </w:drawing>
      </w:r>
    </w:p>
    <w:p w14:paraId="3D59FD2F" w14:textId="77777777" w:rsidR="00F1655E" w:rsidRPr="00065214" w:rsidRDefault="00F1655E" w:rsidP="00F1655E">
      <w:pPr>
        <w:spacing w:line="276" w:lineRule="auto"/>
        <w:ind w:left="562" w:right="1696"/>
        <w:jc w:val="both"/>
      </w:pPr>
    </w:p>
    <w:p w14:paraId="4052D9CA" w14:textId="77777777" w:rsidR="00F1655E" w:rsidRPr="00065214" w:rsidRDefault="00F1655E" w:rsidP="00F1655E">
      <w:pPr>
        <w:spacing w:line="276" w:lineRule="auto"/>
        <w:ind w:left="562" w:right="1696"/>
        <w:jc w:val="both"/>
      </w:pPr>
    </w:p>
    <w:p w14:paraId="4579F725" w14:textId="77777777" w:rsidR="00F1655E" w:rsidRPr="00065214" w:rsidRDefault="00F1655E" w:rsidP="00F1655E">
      <w:pPr>
        <w:spacing w:line="276" w:lineRule="auto"/>
        <w:ind w:left="562" w:right="1696"/>
        <w:jc w:val="both"/>
      </w:pPr>
    </w:p>
    <w:p w14:paraId="730B1B55" w14:textId="77777777" w:rsidR="00F1655E" w:rsidRPr="00065214" w:rsidRDefault="00F1655E" w:rsidP="00F1655E">
      <w:pPr>
        <w:spacing w:line="276" w:lineRule="auto"/>
        <w:ind w:left="562" w:right="1696"/>
        <w:jc w:val="both"/>
      </w:pPr>
    </w:p>
    <w:p w14:paraId="0C24845E" w14:textId="77777777" w:rsidR="00F1655E" w:rsidRPr="00065214" w:rsidRDefault="00F1655E" w:rsidP="00F1655E">
      <w:pPr>
        <w:spacing w:line="276" w:lineRule="auto"/>
        <w:ind w:left="562" w:right="1696"/>
        <w:jc w:val="both"/>
      </w:pPr>
    </w:p>
    <w:p w14:paraId="6FF6C09E" w14:textId="77777777" w:rsidR="00F1655E" w:rsidRPr="00065214" w:rsidRDefault="00F1655E" w:rsidP="00F1655E">
      <w:pPr>
        <w:spacing w:line="276" w:lineRule="auto"/>
        <w:ind w:left="562" w:right="1696"/>
        <w:jc w:val="both"/>
      </w:pPr>
    </w:p>
    <w:p w14:paraId="68486F9F" w14:textId="77777777" w:rsidR="00F1655E" w:rsidRPr="00065214" w:rsidRDefault="00F1655E" w:rsidP="00F1655E">
      <w:pPr>
        <w:spacing w:line="276" w:lineRule="auto"/>
        <w:ind w:left="562" w:right="1696"/>
        <w:jc w:val="both"/>
      </w:pPr>
    </w:p>
    <w:p w14:paraId="3DEF1B47" w14:textId="77777777" w:rsidR="00F1655E" w:rsidRPr="00065214" w:rsidRDefault="00F1655E" w:rsidP="00F1655E">
      <w:pPr>
        <w:spacing w:line="276" w:lineRule="auto"/>
        <w:ind w:left="562" w:right="1696"/>
        <w:jc w:val="both"/>
      </w:pPr>
    </w:p>
    <w:p w14:paraId="18F63794" w14:textId="77777777" w:rsidR="00F1655E" w:rsidRPr="00065214" w:rsidRDefault="00F1655E" w:rsidP="00F1655E">
      <w:pPr>
        <w:spacing w:line="276" w:lineRule="auto"/>
        <w:ind w:left="562" w:right="1696"/>
        <w:jc w:val="both"/>
      </w:pPr>
    </w:p>
    <w:p w14:paraId="748C3842" w14:textId="44D5C61E" w:rsidR="00CB0BEF" w:rsidRDefault="00CB0BEF" w:rsidP="00CA7052">
      <w:pPr>
        <w:ind w:firstLine="708"/>
        <w:jc w:val="both"/>
        <w:rPr>
          <w:sz w:val="18"/>
          <w:szCs w:val="18"/>
        </w:rPr>
      </w:pPr>
    </w:p>
    <w:p w14:paraId="581E5858" w14:textId="77777777" w:rsidR="00321A34" w:rsidRPr="004423B7" w:rsidRDefault="00321A34" w:rsidP="00CA7052">
      <w:pPr>
        <w:ind w:firstLine="708"/>
        <w:jc w:val="both"/>
        <w:rPr>
          <w:sz w:val="18"/>
          <w:szCs w:val="18"/>
        </w:rPr>
      </w:pPr>
    </w:p>
    <w:p w14:paraId="26EFBA29" w14:textId="7BC94C97" w:rsidR="00F1655E" w:rsidRPr="00F1655E" w:rsidRDefault="00F1655E" w:rsidP="00CA7052">
      <w:pPr>
        <w:ind w:firstLine="708"/>
        <w:jc w:val="both"/>
        <w:rPr>
          <w:sz w:val="22"/>
          <w:szCs w:val="22"/>
          <w:lang w:val="en-US"/>
        </w:rPr>
      </w:pPr>
      <w:r w:rsidRPr="00F1655E">
        <w:rPr>
          <w:sz w:val="18"/>
          <w:szCs w:val="18"/>
          <w:lang w:val="en-US"/>
        </w:rPr>
        <w:t>Fuente: U.S. Energy Information Administration.</w:t>
      </w:r>
    </w:p>
    <w:p w14:paraId="5E222233" w14:textId="5E86DD29" w:rsidR="00F1655E" w:rsidRPr="00F1655E" w:rsidRDefault="00F1655E" w:rsidP="00F1655E">
      <w:pPr>
        <w:jc w:val="both"/>
        <w:rPr>
          <w:lang w:val="en-US"/>
        </w:rPr>
      </w:pPr>
    </w:p>
    <w:p w14:paraId="76DF578A" w14:textId="7080A1A0" w:rsidR="00F1655E" w:rsidRPr="00B77381" w:rsidRDefault="00F1655E" w:rsidP="00531A1B">
      <w:pPr>
        <w:pStyle w:val="Prrafodelista"/>
        <w:numPr>
          <w:ilvl w:val="2"/>
          <w:numId w:val="3"/>
        </w:numPr>
        <w:ind w:left="993" w:hanging="709"/>
        <w:jc w:val="both"/>
        <w:outlineLvl w:val="2"/>
        <w:rPr>
          <w:b/>
          <w:bCs/>
        </w:rPr>
      </w:pPr>
      <w:bookmarkStart w:id="125" w:name="_Toc143865822"/>
      <w:r w:rsidRPr="00B77381">
        <w:rPr>
          <w:b/>
          <w:bCs/>
        </w:rPr>
        <w:t>Carga tributaria y factores que lograron cambiar su tendencia</w:t>
      </w:r>
      <w:bookmarkEnd w:id="125"/>
    </w:p>
    <w:p w14:paraId="1866F27E" w14:textId="2938EFB8" w:rsidR="00F1655E" w:rsidRDefault="00F1655E" w:rsidP="00F1655E">
      <w:pPr>
        <w:jc w:val="both"/>
      </w:pPr>
    </w:p>
    <w:p w14:paraId="085129BC" w14:textId="14D9CFD8" w:rsidR="00F1655E" w:rsidRDefault="00F1655E" w:rsidP="00F1655E">
      <w:pPr>
        <w:jc w:val="both"/>
      </w:pPr>
      <w:r w:rsidRPr="00F1655E">
        <w:t>Los esfuerzos realizados por la SAT para contener la caída en la recaudación tributaria observada en 2020 producto de la pandemia, se fortalecieron para el ejercicio fiscal 2022.  El impacto de esas acciones se puede observar a través del indicador de carga tributaria, que pasó del 10.1% en 2020 y 11.7% en 2021, a 12.</w:t>
      </w:r>
      <w:r w:rsidR="007C4B91">
        <w:t>0</w:t>
      </w:r>
      <w:r w:rsidRPr="00F1655E">
        <w:t>% en 2022, mayor al observado en los últimos 30 años, y lejos del observado en 2015 año en que se suscitó la crisis institucional de la SAT.  El resultado observado en 2022, si bien recoge el esfuerzo realizado por SAT a través de medidas administrativas que permitieron recaudar cerca de Q2,227.3 millones, producto de programas específicos de las Intendencias de Recaudación, de Fiscalización, Jurídico y Aduanas, y algunos factores exógenos que apuntalaron la recaudación, tal y como se ha citado con el precio de los combustibles, así como una depreciación del tipo de cambio, la no acreditación al fondo del crédito fiscal a los exportadores a partir del 16 de septiembre al 31 de diciembre, producto de suficiencia financiera en la cuenta para atender esos compromisos</w:t>
      </w:r>
      <w:r w:rsidR="007C4B91">
        <w:t>, también contribuyeron con incrementar la recaudación observada</w:t>
      </w:r>
      <w:r w:rsidRPr="00F1655E">
        <w:t>.</w:t>
      </w:r>
    </w:p>
    <w:p w14:paraId="35465AE6" w14:textId="60A48636" w:rsidR="00F1655E" w:rsidRDefault="00F1655E" w:rsidP="00F1655E">
      <w:pPr>
        <w:jc w:val="both"/>
      </w:pPr>
    </w:p>
    <w:p w14:paraId="22BDAD8B" w14:textId="7FB9672D" w:rsidR="00CB0BEF" w:rsidRDefault="00CB0BEF" w:rsidP="00F1655E">
      <w:pPr>
        <w:jc w:val="both"/>
      </w:pPr>
    </w:p>
    <w:p w14:paraId="054BCE90" w14:textId="1339DB5B" w:rsidR="00CB0BEF" w:rsidRDefault="00CB0BEF" w:rsidP="00F1655E">
      <w:pPr>
        <w:jc w:val="both"/>
      </w:pPr>
    </w:p>
    <w:p w14:paraId="2DA0E78F" w14:textId="10E026F4" w:rsidR="00321A34" w:rsidRDefault="00321A34" w:rsidP="00F1655E">
      <w:pPr>
        <w:jc w:val="both"/>
      </w:pPr>
    </w:p>
    <w:p w14:paraId="0243157E" w14:textId="77777777" w:rsidR="00321A34" w:rsidRDefault="00321A34" w:rsidP="00F1655E">
      <w:pPr>
        <w:jc w:val="both"/>
      </w:pPr>
    </w:p>
    <w:p w14:paraId="3EAAA57E" w14:textId="3A4CBEDB" w:rsidR="00F1655E" w:rsidRPr="007B7995" w:rsidRDefault="007B7995" w:rsidP="007B7995">
      <w:pPr>
        <w:pStyle w:val="Descripcin"/>
        <w:spacing w:after="0"/>
        <w:jc w:val="center"/>
        <w:rPr>
          <w:b/>
          <w:bCs/>
          <w:i w:val="0"/>
          <w:iCs w:val="0"/>
          <w:color w:val="auto"/>
          <w:sz w:val="24"/>
          <w:szCs w:val="24"/>
        </w:rPr>
      </w:pPr>
      <w:bookmarkStart w:id="126" w:name="_Toc143870723"/>
      <w:r w:rsidRPr="007B7995">
        <w:rPr>
          <w:b/>
          <w:bCs/>
          <w:i w:val="0"/>
          <w:iCs w:val="0"/>
          <w:color w:val="auto"/>
          <w:sz w:val="24"/>
          <w:szCs w:val="24"/>
        </w:rPr>
        <w:t xml:space="preserve">Gráfico </w:t>
      </w:r>
      <w:r w:rsidRPr="007B7995">
        <w:rPr>
          <w:b/>
          <w:bCs/>
          <w:i w:val="0"/>
          <w:iCs w:val="0"/>
          <w:color w:val="auto"/>
          <w:sz w:val="24"/>
          <w:szCs w:val="24"/>
        </w:rPr>
        <w:fldChar w:fldCharType="begin"/>
      </w:r>
      <w:r w:rsidRPr="007B7995">
        <w:rPr>
          <w:b/>
          <w:bCs/>
          <w:i w:val="0"/>
          <w:iCs w:val="0"/>
          <w:color w:val="auto"/>
          <w:sz w:val="24"/>
          <w:szCs w:val="24"/>
        </w:rPr>
        <w:instrText xml:space="preserve"> SEQ Gráfico \* ARABIC </w:instrText>
      </w:r>
      <w:r w:rsidRPr="007B7995">
        <w:rPr>
          <w:b/>
          <w:bCs/>
          <w:i w:val="0"/>
          <w:iCs w:val="0"/>
          <w:color w:val="auto"/>
          <w:sz w:val="24"/>
          <w:szCs w:val="24"/>
        </w:rPr>
        <w:fldChar w:fldCharType="separate"/>
      </w:r>
      <w:r w:rsidR="006622B2">
        <w:rPr>
          <w:b/>
          <w:bCs/>
          <w:i w:val="0"/>
          <w:iCs w:val="0"/>
          <w:noProof/>
          <w:color w:val="auto"/>
          <w:sz w:val="24"/>
          <w:szCs w:val="24"/>
        </w:rPr>
        <w:t>56</w:t>
      </w:r>
      <w:r w:rsidRPr="007B7995">
        <w:rPr>
          <w:b/>
          <w:bCs/>
          <w:i w:val="0"/>
          <w:iCs w:val="0"/>
          <w:color w:val="auto"/>
          <w:sz w:val="24"/>
          <w:szCs w:val="24"/>
        </w:rPr>
        <w:fldChar w:fldCharType="end"/>
      </w:r>
      <w:r w:rsidRPr="007B7995">
        <w:rPr>
          <w:b/>
          <w:bCs/>
          <w:i w:val="0"/>
          <w:iCs w:val="0"/>
          <w:color w:val="auto"/>
          <w:sz w:val="24"/>
          <w:szCs w:val="24"/>
        </w:rPr>
        <w:t xml:space="preserve">. </w:t>
      </w:r>
      <w:bookmarkStart w:id="127" w:name="_Toc125722943"/>
      <w:r w:rsidRPr="007B7995">
        <w:rPr>
          <w:b/>
          <w:bCs/>
          <w:i w:val="0"/>
          <w:iCs w:val="0"/>
          <w:color w:val="auto"/>
          <w:sz w:val="24"/>
          <w:szCs w:val="24"/>
        </w:rPr>
        <w:t xml:space="preserve">Carga </w:t>
      </w:r>
      <w:r w:rsidR="00D31CC8">
        <w:rPr>
          <w:b/>
          <w:bCs/>
          <w:i w:val="0"/>
          <w:iCs w:val="0"/>
          <w:color w:val="auto"/>
          <w:sz w:val="24"/>
          <w:szCs w:val="24"/>
        </w:rPr>
        <w:t>t</w:t>
      </w:r>
      <w:r w:rsidRPr="007B7995">
        <w:rPr>
          <w:b/>
          <w:bCs/>
          <w:i w:val="0"/>
          <w:iCs w:val="0"/>
          <w:color w:val="auto"/>
          <w:sz w:val="24"/>
          <w:szCs w:val="24"/>
        </w:rPr>
        <w:t>ributaria</w:t>
      </w:r>
      <w:bookmarkEnd w:id="126"/>
      <w:bookmarkEnd w:id="127"/>
    </w:p>
    <w:p w14:paraId="339B97C9" w14:textId="7D5960E2" w:rsidR="00F1655E" w:rsidRPr="00871DA6" w:rsidRDefault="00CB0BEF" w:rsidP="00F1655E">
      <w:pPr>
        <w:spacing w:line="276" w:lineRule="auto"/>
        <w:ind w:left="562" w:right="1696"/>
        <w:jc w:val="center"/>
        <w:rPr>
          <w:sz w:val="20"/>
          <w:szCs w:val="20"/>
        </w:rPr>
      </w:pPr>
      <w:r>
        <w:rPr>
          <w:sz w:val="20"/>
          <w:szCs w:val="20"/>
        </w:rPr>
        <w:t xml:space="preserve">          </w:t>
      </w:r>
      <w:r w:rsidR="00F1655E" w:rsidRPr="00871DA6">
        <w:rPr>
          <w:sz w:val="20"/>
          <w:szCs w:val="20"/>
        </w:rPr>
        <w:t>Porcentajes</w:t>
      </w:r>
    </w:p>
    <w:p w14:paraId="731AB8A8" w14:textId="77777777" w:rsidR="00F1655E" w:rsidRPr="00065214" w:rsidRDefault="00F1655E" w:rsidP="00871DA6">
      <w:pPr>
        <w:spacing w:line="276" w:lineRule="auto"/>
        <w:ind w:right="49"/>
        <w:jc w:val="center"/>
      </w:pPr>
      <w:r w:rsidRPr="00065214">
        <w:rPr>
          <w:noProof/>
        </w:rPr>
        <w:drawing>
          <wp:inline distT="0" distB="0" distL="0" distR="0" wp14:anchorId="039A2A60" wp14:editId="2ADA1FA1">
            <wp:extent cx="5314950" cy="1905000"/>
            <wp:effectExtent l="0" t="0" r="0" b="0"/>
            <wp:docPr id="282" name="Gráfico 2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632AFF8A" w14:textId="77777777" w:rsidR="00F1655E" w:rsidRPr="00F1655E" w:rsidRDefault="00F1655E" w:rsidP="00F1655E">
      <w:pPr>
        <w:spacing w:line="276" w:lineRule="auto"/>
        <w:ind w:left="562" w:right="1696" w:firstLine="158"/>
        <w:jc w:val="both"/>
        <w:rPr>
          <w:sz w:val="18"/>
          <w:szCs w:val="18"/>
        </w:rPr>
      </w:pPr>
      <w:r w:rsidRPr="00F1655E">
        <w:rPr>
          <w:sz w:val="18"/>
          <w:szCs w:val="18"/>
        </w:rPr>
        <w:t>Fuente: Dirección de Análisis y Política Fiscal.</w:t>
      </w:r>
    </w:p>
    <w:p w14:paraId="543E5E8D" w14:textId="77BE25B4" w:rsidR="00F1655E" w:rsidRPr="00B77381" w:rsidRDefault="00F1655E" w:rsidP="00F1655E">
      <w:pPr>
        <w:jc w:val="both"/>
      </w:pPr>
    </w:p>
    <w:p w14:paraId="54B96C77" w14:textId="770079DB" w:rsidR="00F1655E" w:rsidRPr="00B77381" w:rsidRDefault="00F1655E" w:rsidP="00531A1B">
      <w:pPr>
        <w:pStyle w:val="Prrafodelista"/>
        <w:numPr>
          <w:ilvl w:val="2"/>
          <w:numId w:val="3"/>
        </w:numPr>
        <w:ind w:left="851" w:hanging="709"/>
        <w:jc w:val="both"/>
        <w:outlineLvl w:val="2"/>
        <w:rPr>
          <w:b/>
          <w:bCs/>
        </w:rPr>
      </w:pPr>
      <w:bookmarkStart w:id="128" w:name="_Toc143865823"/>
      <w:r w:rsidRPr="00B77381">
        <w:rPr>
          <w:b/>
          <w:bCs/>
        </w:rPr>
        <w:t>Recaudación Tributaria Observada 2022 respecto a Presupuesto Aprobado de Ingresos</w:t>
      </w:r>
      <w:bookmarkEnd w:id="128"/>
      <w:r w:rsidR="00DB3AC5">
        <w:rPr>
          <w:b/>
          <w:bCs/>
        </w:rPr>
        <w:t xml:space="preserve"> 2022</w:t>
      </w:r>
    </w:p>
    <w:p w14:paraId="2A100C22" w14:textId="302ADBF0" w:rsidR="00F1655E" w:rsidRDefault="00F1655E" w:rsidP="00F1655E">
      <w:pPr>
        <w:jc w:val="both"/>
      </w:pPr>
    </w:p>
    <w:p w14:paraId="774451B6" w14:textId="69F9E2EE" w:rsidR="00F1655E" w:rsidRDefault="00F1655E" w:rsidP="00F1655E">
      <w:pPr>
        <w:jc w:val="both"/>
      </w:pPr>
      <w:r w:rsidRPr="00F1655E">
        <w:t>El Presupuesto General de Ingresos y Egresos para el ejercicio fiscal se formuló con un escenario macroeconómico menor al de la última revisión trasladada por el Banco de Guatemala al Ministerio de Finanzas en abril de 2023, como se indica en el siguiente cuadro comparativo:</w:t>
      </w:r>
    </w:p>
    <w:p w14:paraId="36D4EC26" w14:textId="0C0BE7BF" w:rsidR="00F1655E" w:rsidRDefault="00F1655E" w:rsidP="00F1655E">
      <w:pPr>
        <w:jc w:val="both"/>
      </w:pPr>
    </w:p>
    <w:p w14:paraId="3FC63ACA" w14:textId="5FF666B1" w:rsidR="007B7995" w:rsidRPr="007B7995" w:rsidRDefault="007B7995" w:rsidP="007B7995">
      <w:pPr>
        <w:pStyle w:val="Descripcin"/>
        <w:keepNext/>
        <w:spacing w:after="0"/>
        <w:jc w:val="center"/>
        <w:rPr>
          <w:b/>
          <w:bCs/>
          <w:i w:val="0"/>
          <w:iCs w:val="0"/>
          <w:color w:val="auto"/>
          <w:sz w:val="24"/>
          <w:szCs w:val="24"/>
        </w:rPr>
      </w:pPr>
      <w:bookmarkStart w:id="129" w:name="_Toc143871215"/>
      <w:r w:rsidRPr="007B7995">
        <w:rPr>
          <w:b/>
          <w:bCs/>
          <w:i w:val="0"/>
          <w:iCs w:val="0"/>
          <w:color w:val="auto"/>
          <w:sz w:val="24"/>
          <w:szCs w:val="24"/>
        </w:rPr>
        <w:t xml:space="preserve">Tabla </w:t>
      </w:r>
      <w:r w:rsidRPr="007B7995">
        <w:rPr>
          <w:b/>
          <w:bCs/>
          <w:i w:val="0"/>
          <w:iCs w:val="0"/>
          <w:color w:val="auto"/>
          <w:sz w:val="24"/>
          <w:szCs w:val="24"/>
        </w:rPr>
        <w:fldChar w:fldCharType="begin"/>
      </w:r>
      <w:r w:rsidRPr="007B7995">
        <w:rPr>
          <w:b/>
          <w:bCs/>
          <w:i w:val="0"/>
          <w:iCs w:val="0"/>
          <w:color w:val="auto"/>
          <w:sz w:val="24"/>
          <w:szCs w:val="24"/>
        </w:rPr>
        <w:instrText xml:space="preserve"> SEQ Tabla \* ARABIC </w:instrText>
      </w:r>
      <w:r w:rsidRPr="007B7995">
        <w:rPr>
          <w:b/>
          <w:bCs/>
          <w:i w:val="0"/>
          <w:iCs w:val="0"/>
          <w:color w:val="auto"/>
          <w:sz w:val="24"/>
          <w:szCs w:val="24"/>
        </w:rPr>
        <w:fldChar w:fldCharType="separate"/>
      </w:r>
      <w:r w:rsidR="006622B2">
        <w:rPr>
          <w:b/>
          <w:bCs/>
          <w:i w:val="0"/>
          <w:iCs w:val="0"/>
          <w:noProof/>
          <w:color w:val="auto"/>
          <w:sz w:val="24"/>
          <w:szCs w:val="24"/>
        </w:rPr>
        <w:t>8</w:t>
      </w:r>
      <w:r w:rsidRPr="007B7995">
        <w:rPr>
          <w:b/>
          <w:bCs/>
          <w:i w:val="0"/>
          <w:iCs w:val="0"/>
          <w:color w:val="auto"/>
          <w:sz w:val="24"/>
          <w:szCs w:val="24"/>
        </w:rPr>
        <w:fldChar w:fldCharType="end"/>
      </w:r>
      <w:r w:rsidRPr="007B7995">
        <w:rPr>
          <w:b/>
          <w:bCs/>
          <w:i w:val="0"/>
          <w:iCs w:val="0"/>
          <w:color w:val="auto"/>
          <w:sz w:val="24"/>
          <w:szCs w:val="24"/>
        </w:rPr>
        <w:t>.  Escenario macroeconómico</w:t>
      </w:r>
      <w:bookmarkEnd w:id="129"/>
    </w:p>
    <w:tbl>
      <w:tblPr>
        <w:tblStyle w:val="Tablaconcuadrcula1"/>
        <w:tblW w:w="0" w:type="auto"/>
        <w:jc w:val="center"/>
        <w:tblInd w:w="0" w:type="dxa"/>
        <w:tblLook w:val="04A0" w:firstRow="1" w:lastRow="0" w:firstColumn="1" w:lastColumn="0" w:noHBand="0" w:noVBand="1"/>
      </w:tblPr>
      <w:tblGrid>
        <w:gridCol w:w="2414"/>
        <w:gridCol w:w="1559"/>
        <w:gridCol w:w="1432"/>
        <w:gridCol w:w="1910"/>
        <w:gridCol w:w="1432"/>
      </w:tblGrid>
      <w:tr w:rsidR="00F1655E" w14:paraId="5C29961F" w14:textId="77777777" w:rsidTr="00B77381">
        <w:trPr>
          <w:trHeight w:val="536"/>
          <w:jc w:val="center"/>
        </w:trPr>
        <w:tc>
          <w:tcPr>
            <w:tcW w:w="2414" w:type="dxa"/>
            <w:shd w:val="clear" w:color="auto" w:fill="5B9BD5" w:themeFill="accent5"/>
          </w:tcPr>
          <w:p w14:paraId="179DD790" w14:textId="77777777" w:rsidR="00F1655E" w:rsidRPr="00B77381" w:rsidRDefault="00F1655E" w:rsidP="00582CA7">
            <w:pPr>
              <w:spacing w:line="276" w:lineRule="auto"/>
              <w:jc w:val="center"/>
              <w:rPr>
                <w:b/>
                <w:bCs/>
                <w:sz w:val="18"/>
                <w:szCs w:val="18"/>
                <w:lang w:val="es-GT"/>
              </w:rPr>
            </w:pPr>
          </w:p>
        </w:tc>
        <w:tc>
          <w:tcPr>
            <w:tcW w:w="1559" w:type="dxa"/>
            <w:shd w:val="clear" w:color="auto" w:fill="5B9BD5" w:themeFill="accent5"/>
          </w:tcPr>
          <w:p w14:paraId="1D6369E9" w14:textId="77777777" w:rsidR="00F1655E" w:rsidRPr="00B77381" w:rsidRDefault="00F1655E" w:rsidP="00582CA7">
            <w:pPr>
              <w:spacing w:line="276" w:lineRule="auto"/>
              <w:jc w:val="center"/>
              <w:rPr>
                <w:b/>
                <w:bCs/>
                <w:sz w:val="18"/>
                <w:szCs w:val="18"/>
              </w:rPr>
            </w:pPr>
            <w:r w:rsidRPr="00B77381">
              <w:rPr>
                <w:b/>
                <w:bCs/>
                <w:sz w:val="18"/>
                <w:szCs w:val="18"/>
              </w:rPr>
              <w:t>Presupuesto Aprobado 2022</w:t>
            </w:r>
          </w:p>
        </w:tc>
        <w:tc>
          <w:tcPr>
            <w:tcW w:w="1432" w:type="dxa"/>
            <w:shd w:val="clear" w:color="auto" w:fill="5B9BD5" w:themeFill="accent5"/>
          </w:tcPr>
          <w:p w14:paraId="09E2C4C6" w14:textId="77777777" w:rsidR="00F1655E" w:rsidRPr="00B77381" w:rsidRDefault="00F1655E" w:rsidP="00582CA7">
            <w:pPr>
              <w:spacing w:line="276" w:lineRule="auto"/>
              <w:jc w:val="center"/>
              <w:rPr>
                <w:b/>
                <w:bCs/>
                <w:sz w:val="18"/>
                <w:szCs w:val="18"/>
              </w:rPr>
            </w:pPr>
            <w:r w:rsidRPr="00B77381">
              <w:rPr>
                <w:b/>
                <w:bCs/>
                <w:sz w:val="18"/>
                <w:szCs w:val="18"/>
              </w:rPr>
              <w:t>Cierre de Ejercicio 2022</w:t>
            </w:r>
          </w:p>
        </w:tc>
        <w:tc>
          <w:tcPr>
            <w:tcW w:w="1910" w:type="dxa"/>
            <w:shd w:val="clear" w:color="auto" w:fill="5B9BD5" w:themeFill="accent5"/>
          </w:tcPr>
          <w:p w14:paraId="5BA38B16" w14:textId="77777777" w:rsidR="00F1655E" w:rsidRPr="00B77381" w:rsidRDefault="00F1655E" w:rsidP="00582CA7">
            <w:pPr>
              <w:spacing w:line="276" w:lineRule="auto"/>
              <w:jc w:val="center"/>
              <w:rPr>
                <w:b/>
                <w:bCs/>
                <w:sz w:val="18"/>
                <w:szCs w:val="18"/>
                <w:lang w:val="es-GT"/>
              </w:rPr>
            </w:pPr>
            <w:r w:rsidRPr="00B77381">
              <w:rPr>
                <w:b/>
                <w:bCs/>
                <w:sz w:val="18"/>
                <w:szCs w:val="18"/>
                <w:lang w:val="es-GT"/>
              </w:rPr>
              <w:t>A que impuesto afectan las variables</w:t>
            </w:r>
          </w:p>
        </w:tc>
        <w:tc>
          <w:tcPr>
            <w:tcW w:w="1432" w:type="dxa"/>
            <w:shd w:val="clear" w:color="auto" w:fill="5B9BD5" w:themeFill="accent5"/>
          </w:tcPr>
          <w:p w14:paraId="2C1BBCCF" w14:textId="77777777" w:rsidR="00F1655E" w:rsidRPr="00B77381" w:rsidRDefault="00F1655E" w:rsidP="00582CA7">
            <w:pPr>
              <w:spacing w:line="276" w:lineRule="auto"/>
              <w:jc w:val="center"/>
              <w:rPr>
                <w:b/>
                <w:bCs/>
                <w:sz w:val="18"/>
                <w:szCs w:val="18"/>
                <w:lang w:val="es-GT"/>
              </w:rPr>
            </w:pPr>
          </w:p>
          <w:p w14:paraId="3F2727AB" w14:textId="77777777" w:rsidR="00F1655E" w:rsidRPr="00B77381" w:rsidRDefault="00F1655E" w:rsidP="00582CA7">
            <w:pPr>
              <w:spacing w:line="276" w:lineRule="auto"/>
              <w:jc w:val="center"/>
              <w:rPr>
                <w:b/>
                <w:bCs/>
                <w:sz w:val="18"/>
                <w:szCs w:val="18"/>
              </w:rPr>
            </w:pPr>
            <w:r w:rsidRPr="00B77381">
              <w:rPr>
                <w:b/>
                <w:bCs/>
                <w:sz w:val="18"/>
                <w:szCs w:val="18"/>
              </w:rPr>
              <w:t>Diferencias</w:t>
            </w:r>
          </w:p>
        </w:tc>
      </w:tr>
      <w:tr w:rsidR="00F1655E" w14:paraId="2BA69E85" w14:textId="77777777" w:rsidTr="00871DA6">
        <w:trPr>
          <w:trHeight w:val="519"/>
          <w:jc w:val="center"/>
        </w:trPr>
        <w:tc>
          <w:tcPr>
            <w:tcW w:w="2414" w:type="dxa"/>
          </w:tcPr>
          <w:p w14:paraId="42711CA5" w14:textId="77777777" w:rsidR="00F1655E" w:rsidRDefault="00F1655E" w:rsidP="00582CA7">
            <w:pPr>
              <w:spacing w:line="276" w:lineRule="auto"/>
              <w:jc w:val="center"/>
              <w:rPr>
                <w:sz w:val="18"/>
                <w:szCs w:val="18"/>
              </w:rPr>
            </w:pPr>
            <w:r>
              <w:rPr>
                <w:sz w:val="18"/>
                <w:szCs w:val="18"/>
              </w:rPr>
              <w:t>PIB real</w:t>
            </w:r>
          </w:p>
          <w:p w14:paraId="0864C9AD" w14:textId="77777777" w:rsidR="00F1655E" w:rsidRDefault="00F1655E" w:rsidP="00582CA7">
            <w:pPr>
              <w:spacing w:line="276" w:lineRule="auto"/>
              <w:jc w:val="center"/>
              <w:rPr>
                <w:sz w:val="18"/>
                <w:szCs w:val="18"/>
              </w:rPr>
            </w:pPr>
            <w:r>
              <w:rPr>
                <w:sz w:val="18"/>
                <w:szCs w:val="18"/>
              </w:rPr>
              <w:t>Variación</w:t>
            </w:r>
          </w:p>
        </w:tc>
        <w:tc>
          <w:tcPr>
            <w:tcW w:w="1559" w:type="dxa"/>
          </w:tcPr>
          <w:p w14:paraId="1D999C42" w14:textId="77777777" w:rsidR="00F1655E" w:rsidRDefault="00F1655E" w:rsidP="00582CA7">
            <w:pPr>
              <w:spacing w:line="276" w:lineRule="auto"/>
              <w:jc w:val="center"/>
              <w:rPr>
                <w:sz w:val="18"/>
                <w:szCs w:val="18"/>
              </w:rPr>
            </w:pPr>
            <w:r>
              <w:rPr>
                <w:sz w:val="18"/>
                <w:szCs w:val="18"/>
              </w:rPr>
              <w:t>550,350.8</w:t>
            </w:r>
          </w:p>
          <w:p w14:paraId="290C6279" w14:textId="77777777" w:rsidR="00F1655E" w:rsidRDefault="00F1655E" w:rsidP="00582CA7">
            <w:pPr>
              <w:spacing w:line="276" w:lineRule="auto"/>
              <w:jc w:val="center"/>
              <w:rPr>
                <w:sz w:val="18"/>
                <w:szCs w:val="18"/>
              </w:rPr>
            </w:pPr>
            <w:r>
              <w:rPr>
                <w:sz w:val="18"/>
                <w:szCs w:val="18"/>
              </w:rPr>
              <w:t>3.5</w:t>
            </w:r>
          </w:p>
        </w:tc>
        <w:tc>
          <w:tcPr>
            <w:tcW w:w="1432" w:type="dxa"/>
          </w:tcPr>
          <w:p w14:paraId="5B2A9545" w14:textId="77777777" w:rsidR="00F1655E" w:rsidRDefault="00F1655E" w:rsidP="00582CA7">
            <w:pPr>
              <w:spacing w:line="276" w:lineRule="auto"/>
              <w:jc w:val="center"/>
              <w:rPr>
                <w:sz w:val="18"/>
                <w:szCs w:val="18"/>
              </w:rPr>
            </w:pPr>
            <w:r>
              <w:rPr>
                <w:sz w:val="18"/>
                <w:szCs w:val="18"/>
              </w:rPr>
              <w:t>569,127.1</w:t>
            </w:r>
          </w:p>
          <w:p w14:paraId="0BAD65B1" w14:textId="77777777" w:rsidR="00F1655E" w:rsidRDefault="00F1655E" w:rsidP="00582CA7">
            <w:pPr>
              <w:spacing w:line="276" w:lineRule="auto"/>
              <w:jc w:val="center"/>
              <w:rPr>
                <w:sz w:val="18"/>
                <w:szCs w:val="18"/>
              </w:rPr>
            </w:pPr>
            <w:r>
              <w:rPr>
                <w:sz w:val="18"/>
                <w:szCs w:val="18"/>
              </w:rPr>
              <w:t>4.1</w:t>
            </w:r>
          </w:p>
        </w:tc>
        <w:tc>
          <w:tcPr>
            <w:tcW w:w="1910" w:type="dxa"/>
          </w:tcPr>
          <w:p w14:paraId="1622E0D0" w14:textId="77777777" w:rsidR="00F1655E" w:rsidRDefault="00F1655E" w:rsidP="00582CA7">
            <w:pPr>
              <w:spacing w:line="276" w:lineRule="auto"/>
              <w:jc w:val="center"/>
              <w:rPr>
                <w:noProof/>
                <w:sz w:val="18"/>
                <w:szCs w:val="18"/>
              </w:rPr>
            </w:pPr>
            <w:r>
              <w:rPr>
                <w:noProof/>
                <w:sz w:val="18"/>
                <w:szCs w:val="18"/>
              </w:rPr>
              <w:t xml:space="preserve">ISO </w:t>
            </w:r>
          </w:p>
          <w:p w14:paraId="5317572A" w14:textId="77777777" w:rsidR="00F1655E" w:rsidRDefault="00F1655E" w:rsidP="00582CA7">
            <w:pPr>
              <w:spacing w:line="276" w:lineRule="auto"/>
              <w:jc w:val="center"/>
              <w:rPr>
                <w:noProof/>
                <w:sz w:val="18"/>
                <w:szCs w:val="18"/>
              </w:rPr>
            </w:pPr>
            <w:r>
              <w:rPr>
                <w:noProof/>
                <w:sz w:val="18"/>
                <w:szCs w:val="18"/>
              </w:rPr>
              <w:t>Derivados Petróleo</w:t>
            </w:r>
          </w:p>
        </w:tc>
        <w:tc>
          <w:tcPr>
            <w:tcW w:w="1432" w:type="dxa"/>
          </w:tcPr>
          <w:p w14:paraId="4177CAA9" w14:textId="77777777" w:rsidR="00F1655E" w:rsidRDefault="00F1655E" w:rsidP="00582CA7">
            <w:pPr>
              <w:spacing w:line="276" w:lineRule="auto"/>
              <w:jc w:val="center"/>
              <w:rPr>
                <w:sz w:val="18"/>
                <w:szCs w:val="18"/>
              </w:rPr>
            </w:pPr>
            <w:r>
              <w:rPr>
                <w:noProof/>
                <w:sz w:val="18"/>
                <w:szCs w:val="18"/>
              </w:rPr>
              <mc:AlternateContent>
                <mc:Choice Requires="wps">
                  <w:drawing>
                    <wp:anchor distT="0" distB="0" distL="114300" distR="114300" simplePos="0" relativeHeight="251669504" behindDoc="0" locked="0" layoutInCell="1" allowOverlap="1" wp14:anchorId="48B37BC6" wp14:editId="28A02DCD">
                      <wp:simplePos x="0" y="0"/>
                      <wp:positionH relativeFrom="column">
                        <wp:posOffset>264148</wp:posOffset>
                      </wp:positionH>
                      <wp:positionV relativeFrom="paragraph">
                        <wp:posOffset>72200</wp:posOffset>
                      </wp:positionV>
                      <wp:extent cx="264352" cy="138677"/>
                      <wp:effectExtent l="57150" t="38100" r="21590" b="71120"/>
                      <wp:wrapNone/>
                      <wp:docPr id="284" name="Flecha: hacia arriba 284"/>
                      <wp:cNvGraphicFramePr/>
                      <a:graphic xmlns:a="http://schemas.openxmlformats.org/drawingml/2006/main">
                        <a:graphicData uri="http://schemas.microsoft.com/office/word/2010/wordprocessingShape">
                          <wps:wsp>
                            <wps:cNvSpPr/>
                            <wps:spPr>
                              <a:xfrm>
                                <a:off x="0" y="0"/>
                                <a:ext cx="264352" cy="138677"/>
                              </a:xfrm>
                              <a:prstGeom prst="upArrow">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2A44B61"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284" o:spid="_x0000_s1026" type="#_x0000_t68" style="position:absolute;margin-left:20.8pt;margin-top:5.7pt;width:20.8pt;height:10.9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" adj="10800" fillcolor="#77b64e [3033]" stroked="f">
                      <v:fill color2="#6eaa46 [3177]" rotate="t" colors="0 #81b861;.5 #6fb242;1 #61a235" focus="100%" type="gradient">
                        <o:fill v:ext="view" type="gradientUnscaled"/>
                      </v:fill>
                      <v:shadow on="t" color="black" opacity="41287f" offset="0,1.5pt"/>
                    </v:shape>
                  </w:pict>
                </mc:Fallback>
              </mc:AlternateContent>
            </w:r>
          </w:p>
        </w:tc>
      </w:tr>
      <w:tr w:rsidR="00F1655E" w14:paraId="0A74EBB4" w14:textId="77777777" w:rsidTr="00871DA6">
        <w:trPr>
          <w:trHeight w:val="499"/>
          <w:jc w:val="center"/>
        </w:trPr>
        <w:tc>
          <w:tcPr>
            <w:tcW w:w="2414" w:type="dxa"/>
          </w:tcPr>
          <w:p w14:paraId="321C2816" w14:textId="77777777" w:rsidR="00F1655E" w:rsidRDefault="00F1655E" w:rsidP="00582CA7">
            <w:pPr>
              <w:spacing w:line="276" w:lineRule="auto"/>
              <w:jc w:val="center"/>
              <w:rPr>
                <w:sz w:val="18"/>
                <w:szCs w:val="18"/>
              </w:rPr>
            </w:pPr>
            <w:r>
              <w:rPr>
                <w:sz w:val="18"/>
                <w:szCs w:val="18"/>
              </w:rPr>
              <w:t>PIB nominal</w:t>
            </w:r>
          </w:p>
          <w:p w14:paraId="7D3AB0AD" w14:textId="77777777" w:rsidR="00F1655E" w:rsidRDefault="00F1655E" w:rsidP="00582CA7">
            <w:pPr>
              <w:spacing w:line="276" w:lineRule="auto"/>
              <w:jc w:val="center"/>
              <w:rPr>
                <w:sz w:val="18"/>
                <w:szCs w:val="18"/>
              </w:rPr>
            </w:pPr>
            <w:r>
              <w:rPr>
                <w:sz w:val="18"/>
                <w:szCs w:val="18"/>
              </w:rPr>
              <w:t>Variación</w:t>
            </w:r>
          </w:p>
        </w:tc>
        <w:tc>
          <w:tcPr>
            <w:tcW w:w="1559" w:type="dxa"/>
          </w:tcPr>
          <w:p w14:paraId="4F98D123" w14:textId="77777777" w:rsidR="00F1655E" w:rsidRDefault="00F1655E" w:rsidP="00582CA7">
            <w:pPr>
              <w:spacing w:line="276" w:lineRule="auto"/>
              <w:jc w:val="center"/>
              <w:rPr>
                <w:sz w:val="18"/>
                <w:szCs w:val="18"/>
              </w:rPr>
            </w:pPr>
            <w:r>
              <w:rPr>
                <w:sz w:val="18"/>
                <w:szCs w:val="18"/>
              </w:rPr>
              <w:t>695,899.2</w:t>
            </w:r>
          </w:p>
          <w:p w14:paraId="349C01F5" w14:textId="77777777" w:rsidR="00F1655E" w:rsidRDefault="00F1655E" w:rsidP="00582CA7">
            <w:pPr>
              <w:spacing w:line="276" w:lineRule="auto"/>
              <w:jc w:val="center"/>
              <w:rPr>
                <w:sz w:val="18"/>
                <w:szCs w:val="18"/>
              </w:rPr>
            </w:pPr>
            <w:r>
              <w:rPr>
                <w:sz w:val="18"/>
                <w:szCs w:val="18"/>
              </w:rPr>
              <w:t>6.8</w:t>
            </w:r>
          </w:p>
        </w:tc>
        <w:tc>
          <w:tcPr>
            <w:tcW w:w="1432" w:type="dxa"/>
          </w:tcPr>
          <w:p w14:paraId="6003F077" w14:textId="77777777" w:rsidR="00F1655E" w:rsidRDefault="00F1655E" w:rsidP="00582CA7">
            <w:pPr>
              <w:spacing w:line="276" w:lineRule="auto"/>
              <w:jc w:val="center"/>
              <w:rPr>
                <w:sz w:val="18"/>
                <w:szCs w:val="18"/>
              </w:rPr>
            </w:pPr>
            <w:r>
              <w:rPr>
                <w:sz w:val="18"/>
                <w:szCs w:val="18"/>
              </w:rPr>
              <w:t>736,109.0</w:t>
            </w:r>
          </w:p>
          <w:p w14:paraId="122CE49E" w14:textId="77777777" w:rsidR="00F1655E" w:rsidRDefault="00F1655E" w:rsidP="00582CA7">
            <w:pPr>
              <w:spacing w:line="276" w:lineRule="auto"/>
              <w:jc w:val="center"/>
              <w:rPr>
                <w:sz w:val="18"/>
                <w:szCs w:val="18"/>
              </w:rPr>
            </w:pPr>
            <w:r>
              <w:rPr>
                <w:sz w:val="18"/>
                <w:szCs w:val="18"/>
              </w:rPr>
              <w:t>10.6</w:t>
            </w:r>
          </w:p>
        </w:tc>
        <w:tc>
          <w:tcPr>
            <w:tcW w:w="1910" w:type="dxa"/>
          </w:tcPr>
          <w:p w14:paraId="5F4B3DA4" w14:textId="77777777" w:rsidR="00F1655E" w:rsidRDefault="00F1655E" w:rsidP="00582CA7">
            <w:pPr>
              <w:spacing w:line="276" w:lineRule="auto"/>
              <w:jc w:val="center"/>
              <w:rPr>
                <w:noProof/>
                <w:sz w:val="18"/>
                <w:szCs w:val="18"/>
              </w:rPr>
            </w:pPr>
            <w:r>
              <w:rPr>
                <w:noProof/>
                <w:sz w:val="18"/>
                <w:szCs w:val="18"/>
              </w:rPr>
              <w:t>ISR, ISO</w:t>
            </w:r>
          </w:p>
          <w:p w14:paraId="648897EA" w14:textId="77777777" w:rsidR="00F1655E" w:rsidRDefault="00F1655E" w:rsidP="00582CA7">
            <w:pPr>
              <w:spacing w:line="276" w:lineRule="auto"/>
              <w:jc w:val="center"/>
              <w:rPr>
                <w:noProof/>
                <w:sz w:val="18"/>
                <w:szCs w:val="18"/>
              </w:rPr>
            </w:pPr>
            <w:r>
              <w:rPr>
                <w:noProof/>
                <w:sz w:val="18"/>
                <w:szCs w:val="18"/>
              </w:rPr>
              <w:t>IVA</w:t>
            </w:r>
          </w:p>
        </w:tc>
        <w:tc>
          <w:tcPr>
            <w:tcW w:w="1432" w:type="dxa"/>
          </w:tcPr>
          <w:p w14:paraId="6738D5F4" w14:textId="77777777" w:rsidR="00F1655E" w:rsidRDefault="00F1655E" w:rsidP="00582CA7">
            <w:pPr>
              <w:spacing w:line="276" w:lineRule="auto"/>
              <w:jc w:val="center"/>
              <w:rPr>
                <w:sz w:val="18"/>
                <w:szCs w:val="18"/>
              </w:rPr>
            </w:pPr>
            <w:r>
              <w:rPr>
                <w:noProof/>
                <w:sz w:val="18"/>
                <w:szCs w:val="18"/>
              </w:rPr>
              <mc:AlternateContent>
                <mc:Choice Requires="wps">
                  <w:drawing>
                    <wp:anchor distT="0" distB="0" distL="114300" distR="114300" simplePos="0" relativeHeight="251670528" behindDoc="0" locked="0" layoutInCell="1" allowOverlap="1" wp14:anchorId="2409E745" wp14:editId="2AF9F4B8">
                      <wp:simplePos x="0" y="0"/>
                      <wp:positionH relativeFrom="column">
                        <wp:posOffset>265511</wp:posOffset>
                      </wp:positionH>
                      <wp:positionV relativeFrom="paragraph">
                        <wp:posOffset>54165</wp:posOffset>
                      </wp:positionV>
                      <wp:extent cx="264352" cy="138677"/>
                      <wp:effectExtent l="57150" t="38100" r="21590" b="71120"/>
                      <wp:wrapNone/>
                      <wp:docPr id="285" name="Flecha: hacia arriba 285"/>
                      <wp:cNvGraphicFramePr/>
                      <a:graphic xmlns:a="http://schemas.openxmlformats.org/drawingml/2006/main">
                        <a:graphicData uri="http://schemas.microsoft.com/office/word/2010/wordprocessingShape">
                          <wps:wsp>
                            <wps:cNvSpPr/>
                            <wps:spPr>
                              <a:xfrm>
                                <a:off x="0" y="0"/>
                                <a:ext cx="264352" cy="138677"/>
                              </a:xfrm>
                              <a:prstGeom prst="upArrow">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F7D54B" id="Flecha: hacia arriba 285" o:spid="_x0000_s1026" type="#_x0000_t68" style="position:absolute;margin-left:20.9pt;margin-top:4.25pt;width:20.8pt;height:10.9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" adj="10800" fillcolor="#77b64e [3033]" stroked="f">
                      <v:fill color2="#6eaa46 [3177]" rotate="t" colors="0 #81b861;.5 #6fb242;1 #61a235" focus="100%" type="gradient">
                        <o:fill v:ext="view" type="gradientUnscaled"/>
                      </v:fill>
                      <v:shadow on="t" color="black" opacity="41287f" offset="0,1.5pt"/>
                    </v:shape>
                  </w:pict>
                </mc:Fallback>
              </mc:AlternateContent>
            </w:r>
          </w:p>
        </w:tc>
      </w:tr>
      <w:tr w:rsidR="00F1655E" w14:paraId="1D445222" w14:textId="77777777" w:rsidTr="00871DA6">
        <w:trPr>
          <w:trHeight w:val="493"/>
          <w:jc w:val="center"/>
        </w:trPr>
        <w:tc>
          <w:tcPr>
            <w:tcW w:w="2414" w:type="dxa"/>
          </w:tcPr>
          <w:p w14:paraId="428307BF" w14:textId="77777777" w:rsidR="00F1655E" w:rsidRDefault="00F1655E" w:rsidP="00582CA7">
            <w:pPr>
              <w:spacing w:line="276" w:lineRule="auto"/>
              <w:jc w:val="center"/>
              <w:rPr>
                <w:sz w:val="18"/>
                <w:szCs w:val="18"/>
              </w:rPr>
            </w:pPr>
            <w:r>
              <w:rPr>
                <w:sz w:val="18"/>
                <w:szCs w:val="18"/>
              </w:rPr>
              <w:t>Importaciones FOB</w:t>
            </w:r>
          </w:p>
          <w:p w14:paraId="37CCFC6F" w14:textId="77777777" w:rsidR="00F1655E" w:rsidRDefault="00F1655E" w:rsidP="00582CA7">
            <w:pPr>
              <w:spacing w:line="276" w:lineRule="auto"/>
              <w:jc w:val="center"/>
              <w:rPr>
                <w:sz w:val="18"/>
                <w:szCs w:val="18"/>
              </w:rPr>
            </w:pPr>
            <w:r>
              <w:rPr>
                <w:sz w:val="18"/>
                <w:szCs w:val="18"/>
              </w:rPr>
              <w:t>Variación</w:t>
            </w:r>
          </w:p>
        </w:tc>
        <w:tc>
          <w:tcPr>
            <w:tcW w:w="1559" w:type="dxa"/>
          </w:tcPr>
          <w:p w14:paraId="4DFD0431" w14:textId="77777777" w:rsidR="00F1655E" w:rsidRDefault="00F1655E" w:rsidP="00582CA7">
            <w:pPr>
              <w:spacing w:line="276" w:lineRule="auto"/>
              <w:jc w:val="center"/>
              <w:rPr>
                <w:sz w:val="18"/>
                <w:szCs w:val="18"/>
              </w:rPr>
            </w:pPr>
            <w:r>
              <w:rPr>
                <w:sz w:val="18"/>
                <w:szCs w:val="18"/>
              </w:rPr>
              <w:t>20,907.9</w:t>
            </w:r>
          </w:p>
          <w:p w14:paraId="7E96ABC8" w14:textId="77777777" w:rsidR="00F1655E" w:rsidRDefault="00F1655E" w:rsidP="00582CA7">
            <w:pPr>
              <w:spacing w:line="276" w:lineRule="auto"/>
              <w:jc w:val="center"/>
              <w:rPr>
                <w:sz w:val="18"/>
                <w:szCs w:val="18"/>
              </w:rPr>
            </w:pPr>
            <w:r>
              <w:rPr>
                <w:sz w:val="18"/>
                <w:szCs w:val="18"/>
              </w:rPr>
              <w:t>6.0</w:t>
            </w:r>
          </w:p>
        </w:tc>
        <w:tc>
          <w:tcPr>
            <w:tcW w:w="1432" w:type="dxa"/>
          </w:tcPr>
          <w:p w14:paraId="75490BA4" w14:textId="77777777" w:rsidR="00F1655E" w:rsidRDefault="00F1655E" w:rsidP="00582CA7">
            <w:pPr>
              <w:spacing w:line="276" w:lineRule="auto"/>
              <w:jc w:val="center"/>
              <w:rPr>
                <w:sz w:val="18"/>
                <w:szCs w:val="18"/>
              </w:rPr>
            </w:pPr>
            <w:r>
              <w:rPr>
                <w:sz w:val="18"/>
                <w:szCs w:val="18"/>
              </w:rPr>
              <w:t>28,467.7</w:t>
            </w:r>
          </w:p>
          <w:p w14:paraId="0E5099AD" w14:textId="77777777" w:rsidR="00F1655E" w:rsidRDefault="00F1655E" w:rsidP="00582CA7">
            <w:pPr>
              <w:spacing w:line="276" w:lineRule="auto"/>
              <w:jc w:val="center"/>
              <w:rPr>
                <w:sz w:val="18"/>
                <w:szCs w:val="18"/>
              </w:rPr>
            </w:pPr>
            <w:r>
              <w:rPr>
                <w:sz w:val="18"/>
                <w:szCs w:val="18"/>
              </w:rPr>
              <w:t>22.2</w:t>
            </w:r>
          </w:p>
        </w:tc>
        <w:tc>
          <w:tcPr>
            <w:tcW w:w="1910" w:type="dxa"/>
          </w:tcPr>
          <w:p w14:paraId="45244881" w14:textId="77777777" w:rsidR="00F1655E" w:rsidRDefault="00F1655E" w:rsidP="00582CA7">
            <w:pPr>
              <w:spacing w:line="276" w:lineRule="auto"/>
              <w:jc w:val="center"/>
              <w:rPr>
                <w:noProof/>
                <w:sz w:val="18"/>
                <w:szCs w:val="18"/>
              </w:rPr>
            </w:pPr>
            <w:r>
              <w:rPr>
                <w:noProof/>
                <w:sz w:val="18"/>
                <w:szCs w:val="18"/>
              </w:rPr>
              <w:t>IVA Importaciones</w:t>
            </w:r>
          </w:p>
          <w:p w14:paraId="1BFE61B8" w14:textId="77777777" w:rsidR="00F1655E" w:rsidRDefault="00F1655E" w:rsidP="00582CA7">
            <w:pPr>
              <w:spacing w:line="276" w:lineRule="auto"/>
              <w:jc w:val="center"/>
              <w:rPr>
                <w:noProof/>
                <w:sz w:val="18"/>
                <w:szCs w:val="18"/>
              </w:rPr>
            </w:pPr>
            <w:r>
              <w:rPr>
                <w:noProof/>
                <w:sz w:val="18"/>
                <w:szCs w:val="18"/>
              </w:rPr>
              <w:t>DAI</w:t>
            </w:r>
          </w:p>
        </w:tc>
        <w:tc>
          <w:tcPr>
            <w:tcW w:w="1432" w:type="dxa"/>
          </w:tcPr>
          <w:p w14:paraId="08F7960E" w14:textId="77777777" w:rsidR="00F1655E" w:rsidRDefault="00F1655E" w:rsidP="00582CA7">
            <w:pPr>
              <w:spacing w:line="276" w:lineRule="auto"/>
              <w:jc w:val="center"/>
              <w:rPr>
                <w:sz w:val="18"/>
                <w:szCs w:val="18"/>
              </w:rPr>
            </w:pPr>
            <w:r>
              <w:rPr>
                <w:noProof/>
                <w:sz w:val="18"/>
                <w:szCs w:val="18"/>
              </w:rPr>
              <mc:AlternateContent>
                <mc:Choice Requires="wps">
                  <w:drawing>
                    <wp:anchor distT="0" distB="0" distL="114300" distR="114300" simplePos="0" relativeHeight="251671552" behindDoc="0" locked="0" layoutInCell="1" allowOverlap="1" wp14:anchorId="522E0897" wp14:editId="4B0C6937">
                      <wp:simplePos x="0" y="0"/>
                      <wp:positionH relativeFrom="column">
                        <wp:posOffset>265511</wp:posOffset>
                      </wp:positionH>
                      <wp:positionV relativeFrom="paragraph">
                        <wp:posOffset>87675</wp:posOffset>
                      </wp:positionV>
                      <wp:extent cx="264352" cy="138677"/>
                      <wp:effectExtent l="57150" t="38100" r="21590" b="71120"/>
                      <wp:wrapNone/>
                      <wp:docPr id="286" name="Flecha: hacia arriba 286"/>
                      <wp:cNvGraphicFramePr/>
                      <a:graphic xmlns:a="http://schemas.openxmlformats.org/drawingml/2006/main">
                        <a:graphicData uri="http://schemas.microsoft.com/office/word/2010/wordprocessingShape">
                          <wps:wsp>
                            <wps:cNvSpPr/>
                            <wps:spPr>
                              <a:xfrm>
                                <a:off x="0" y="0"/>
                                <a:ext cx="264352" cy="138677"/>
                              </a:xfrm>
                              <a:prstGeom prst="upArrow">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DF318D" id="Flecha: hacia arriba 286" o:spid="_x0000_s1026" type="#_x0000_t68" style="position:absolute;margin-left:20.9pt;margin-top:6.9pt;width:20.8pt;height:10.9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" adj="10800" fillcolor="#77b64e [3033]" stroked="f">
                      <v:fill color2="#6eaa46 [3177]" rotate="t" colors="0 #81b861;.5 #6fb242;1 #61a235" focus="100%" type="gradient">
                        <o:fill v:ext="view" type="gradientUnscaled"/>
                      </v:fill>
                      <v:shadow on="t" color="black" opacity="41287f" offset="0,1.5pt"/>
                    </v:shape>
                  </w:pict>
                </mc:Fallback>
              </mc:AlternateContent>
            </w:r>
          </w:p>
        </w:tc>
      </w:tr>
      <w:tr w:rsidR="00F1655E" w14:paraId="6D9DD291" w14:textId="77777777" w:rsidTr="00871DA6">
        <w:trPr>
          <w:trHeight w:val="487"/>
          <w:jc w:val="center"/>
        </w:trPr>
        <w:tc>
          <w:tcPr>
            <w:tcW w:w="2414" w:type="dxa"/>
          </w:tcPr>
          <w:p w14:paraId="610F9AEC" w14:textId="77777777" w:rsidR="00F1655E" w:rsidRPr="00F1655E" w:rsidRDefault="00F1655E" w:rsidP="00582CA7">
            <w:pPr>
              <w:spacing w:line="276" w:lineRule="auto"/>
              <w:jc w:val="center"/>
              <w:rPr>
                <w:sz w:val="18"/>
                <w:szCs w:val="18"/>
                <w:lang w:val="es-GT"/>
              </w:rPr>
            </w:pPr>
            <w:r w:rsidRPr="00F1655E">
              <w:rPr>
                <w:sz w:val="18"/>
                <w:szCs w:val="18"/>
                <w:lang w:val="es-GT"/>
              </w:rPr>
              <w:t>Precio del Petróleo WTI</w:t>
            </w:r>
          </w:p>
          <w:p w14:paraId="2EB72EE5" w14:textId="77777777" w:rsidR="00F1655E" w:rsidRPr="00F1655E" w:rsidRDefault="00F1655E" w:rsidP="00582CA7">
            <w:pPr>
              <w:spacing w:line="276" w:lineRule="auto"/>
              <w:jc w:val="center"/>
              <w:rPr>
                <w:sz w:val="18"/>
                <w:szCs w:val="18"/>
                <w:lang w:val="es-GT"/>
              </w:rPr>
            </w:pPr>
            <w:r w:rsidRPr="00F1655E">
              <w:rPr>
                <w:sz w:val="18"/>
                <w:szCs w:val="18"/>
                <w:lang w:val="es-GT"/>
              </w:rPr>
              <w:t>(d</w:t>
            </w:r>
            <w:r>
              <w:rPr>
                <w:sz w:val="18"/>
                <w:szCs w:val="18"/>
              </w:rPr>
              <w:t>ólares</w:t>
            </w:r>
            <w:r w:rsidRPr="00F1655E">
              <w:rPr>
                <w:sz w:val="18"/>
                <w:szCs w:val="18"/>
                <w:lang w:val="es-GT"/>
              </w:rPr>
              <w:t xml:space="preserve"> por barril)</w:t>
            </w:r>
          </w:p>
        </w:tc>
        <w:tc>
          <w:tcPr>
            <w:tcW w:w="1559" w:type="dxa"/>
          </w:tcPr>
          <w:p w14:paraId="448ED4E4" w14:textId="77777777" w:rsidR="00F1655E" w:rsidRDefault="00F1655E" w:rsidP="00582CA7">
            <w:pPr>
              <w:spacing w:line="276" w:lineRule="auto"/>
              <w:jc w:val="center"/>
              <w:rPr>
                <w:sz w:val="18"/>
                <w:szCs w:val="18"/>
              </w:rPr>
            </w:pPr>
            <w:r>
              <w:rPr>
                <w:sz w:val="18"/>
                <w:szCs w:val="18"/>
              </w:rPr>
              <w:t>$64.85</w:t>
            </w:r>
          </w:p>
        </w:tc>
        <w:tc>
          <w:tcPr>
            <w:tcW w:w="1432" w:type="dxa"/>
          </w:tcPr>
          <w:p w14:paraId="368A1688" w14:textId="77777777" w:rsidR="00F1655E" w:rsidRDefault="00F1655E" w:rsidP="00582CA7">
            <w:pPr>
              <w:spacing w:line="276" w:lineRule="auto"/>
              <w:jc w:val="center"/>
              <w:rPr>
                <w:sz w:val="18"/>
                <w:szCs w:val="18"/>
              </w:rPr>
            </w:pPr>
            <w:r>
              <w:rPr>
                <w:sz w:val="18"/>
                <w:szCs w:val="18"/>
              </w:rPr>
              <w:t>$94.23</w:t>
            </w:r>
          </w:p>
        </w:tc>
        <w:tc>
          <w:tcPr>
            <w:tcW w:w="1910" w:type="dxa"/>
          </w:tcPr>
          <w:p w14:paraId="6A8F21DE" w14:textId="77777777" w:rsidR="00F1655E" w:rsidRDefault="00F1655E" w:rsidP="00582CA7">
            <w:pPr>
              <w:spacing w:line="276" w:lineRule="auto"/>
              <w:jc w:val="center"/>
              <w:rPr>
                <w:noProof/>
                <w:sz w:val="18"/>
                <w:szCs w:val="18"/>
              </w:rPr>
            </w:pPr>
            <w:r>
              <w:rPr>
                <w:noProof/>
                <w:sz w:val="18"/>
                <w:szCs w:val="18"/>
              </w:rPr>
              <w:t xml:space="preserve">Derivados </w:t>
            </w:r>
          </w:p>
          <w:p w14:paraId="10131FE9" w14:textId="77777777" w:rsidR="00F1655E" w:rsidRDefault="00F1655E" w:rsidP="00582CA7">
            <w:pPr>
              <w:spacing w:line="276" w:lineRule="auto"/>
              <w:jc w:val="center"/>
              <w:rPr>
                <w:noProof/>
                <w:sz w:val="18"/>
                <w:szCs w:val="18"/>
              </w:rPr>
            </w:pPr>
            <w:r>
              <w:rPr>
                <w:noProof/>
                <w:sz w:val="18"/>
                <w:szCs w:val="18"/>
              </w:rPr>
              <w:t>Petróleo</w:t>
            </w:r>
          </w:p>
        </w:tc>
        <w:tc>
          <w:tcPr>
            <w:tcW w:w="1432" w:type="dxa"/>
          </w:tcPr>
          <w:p w14:paraId="48BBF474" w14:textId="77777777" w:rsidR="00F1655E" w:rsidRDefault="00F1655E" w:rsidP="00582CA7">
            <w:pPr>
              <w:spacing w:line="276" w:lineRule="auto"/>
              <w:jc w:val="center"/>
              <w:rPr>
                <w:sz w:val="18"/>
                <w:szCs w:val="18"/>
              </w:rPr>
            </w:pPr>
            <w:r>
              <w:rPr>
                <w:noProof/>
                <w:sz w:val="18"/>
                <w:szCs w:val="18"/>
              </w:rPr>
              <mc:AlternateContent>
                <mc:Choice Requires="wps">
                  <w:drawing>
                    <wp:anchor distT="0" distB="0" distL="114300" distR="114300" simplePos="0" relativeHeight="251672576" behindDoc="0" locked="0" layoutInCell="1" allowOverlap="1" wp14:anchorId="362D2D16" wp14:editId="7E27711E">
                      <wp:simplePos x="0" y="0"/>
                      <wp:positionH relativeFrom="column">
                        <wp:posOffset>269845</wp:posOffset>
                      </wp:positionH>
                      <wp:positionV relativeFrom="paragraph">
                        <wp:posOffset>60403</wp:posOffset>
                      </wp:positionV>
                      <wp:extent cx="264352" cy="138677"/>
                      <wp:effectExtent l="57150" t="38100" r="21590" b="71120"/>
                      <wp:wrapNone/>
                      <wp:docPr id="287" name="Flecha: hacia arriba 287"/>
                      <wp:cNvGraphicFramePr/>
                      <a:graphic xmlns:a="http://schemas.openxmlformats.org/drawingml/2006/main">
                        <a:graphicData uri="http://schemas.microsoft.com/office/word/2010/wordprocessingShape">
                          <wps:wsp>
                            <wps:cNvSpPr/>
                            <wps:spPr>
                              <a:xfrm>
                                <a:off x="0" y="0"/>
                                <a:ext cx="264352" cy="138677"/>
                              </a:xfrm>
                              <a:prstGeom prst="upArrow">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38294A" id="Flecha: hacia arriba 287" o:spid="_x0000_s1026" type="#_x0000_t68" style="position:absolute;margin-left:21.25pt;margin-top:4.75pt;width:20.8pt;height:10.9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" adj="10800" fillcolor="#77b64e [3033]" stroked="f">
                      <v:fill color2="#6eaa46 [3177]" rotate="t" colors="0 #81b861;.5 #6fb242;1 #61a235" focus="100%" type="gradient">
                        <o:fill v:ext="view" type="gradientUnscaled"/>
                      </v:fill>
                      <v:shadow on="t" color="black" opacity="41287f" offset="0,1.5pt"/>
                    </v:shape>
                  </w:pict>
                </mc:Fallback>
              </mc:AlternateContent>
            </w:r>
          </w:p>
        </w:tc>
      </w:tr>
      <w:tr w:rsidR="00F1655E" w14:paraId="0CF25BAC" w14:textId="77777777" w:rsidTr="00871DA6">
        <w:trPr>
          <w:trHeight w:val="453"/>
          <w:jc w:val="center"/>
        </w:trPr>
        <w:tc>
          <w:tcPr>
            <w:tcW w:w="2414" w:type="dxa"/>
          </w:tcPr>
          <w:p w14:paraId="5AA3E901" w14:textId="77777777" w:rsidR="00F1655E" w:rsidRDefault="00F1655E" w:rsidP="00582CA7">
            <w:pPr>
              <w:spacing w:line="276" w:lineRule="auto"/>
              <w:jc w:val="center"/>
              <w:rPr>
                <w:sz w:val="18"/>
                <w:szCs w:val="18"/>
              </w:rPr>
            </w:pPr>
            <w:r>
              <w:rPr>
                <w:sz w:val="18"/>
                <w:szCs w:val="18"/>
              </w:rPr>
              <w:t>TC de referencia</w:t>
            </w:r>
          </w:p>
        </w:tc>
        <w:tc>
          <w:tcPr>
            <w:tcW w:w="1559" w:type="dxa"/>
          </w:tcPr>
          <w:p w14:paraId="5D2EAD98" w14:textId="77777777" w:rsidR="00F1655E" w:rsidRDefault="00F1655E" w:rsidP="00582CA7">
            <w:pPr>
              <w:spacing w:line="276" w:lineRule="auto"/>
              <w:jc w:val="center"/>
              <w:rPr>
                <w:sz w:val="18"/>
                <w:szCs w:val="18"/>
              </w:rPr>
            </w:pPr>
            <w:r w:rsidRPr="007849DF">
              <w:rPr>
                <w:sz w:val="18"/>
                <w:szCs w:val="18"/>
              </w:rPr>
              <w:t>7.734241</w:t>
            </w:r>
          </w:p>
        </w:tc>
        <w:tc>
          <w:tcPr>
            <w:tcW w:w="1432" w:type="dxa"/>
          </w:tcPr>
          <w:p w14:paraId="62C67F13" w14:textId="77777777" w:rsidR="00F1655E" w:rsidRDefault="00F1655E" w:rsidP="00582CA7">
            <w:pPr>
              <w:spacing w:line="276" w:lineRule="auto"/>
              <w:jc w:val="center"/>
              <w:rPr>
                <w:sz w:val="18"/>
                <w:szCs w:val="18"/>
              </w:rPr>
            </w:pPr>
            <w:r w:rsidRPr="00EF222F">
              <w:rPr>
                <w:sz w:val="18"/>
                <w:szCs w:val="18"/>
              </w:rPr>
              <w:t>7.74723</w:t>
            </w:r>
          </w:p>
        </w:tc>
        <w:tc>
          <w:tcPr>
            <w:tcW w:w="1910" w:type="dxa"/>
          </w:tcPr>
          <w:p w14:paraId="7405FA74" w14:textId="77777777" w:rsidR="00F1655E" w:rsidRDefault="00F1655E" w:rsidP="00582CA7">
            <w:pPr>
              <w:spacing w:line="276" w:lineRule="auto"/>
              <w:jc w:val="center"/>
              <w:rPr>
                <w:noProof/>
                <w:sz w:val="18"/>
                <w:szCs w:val="18"/>
              </w:rPr>
            </w:pPr>
            <w:r>
              <w:rPr>
                <w:noProof/>
                <w:sz w:val="18"/>
                <w:szCs w:val="18"/>
              </w:rPr>
              <w:t>IVA Importaciones</w:t>
            </w:r>
          </w:p>
          <w:p w14:paraId="24662C54" w14:textId="77777777" w:rsidR="00F1655E" w:rsidRDefault="00F1655E" w:rsidP="00582CA7">
            <w:pPr>
              <w:spacing w:line="276" w:lineRule="auto"/>
              <w:jc w:val="center"/>
              <w:rPr>
                <w:noProof/>
                <w:sz w:val="18"/>
                <w:szCs w:val="18"/>
              </w:rPr>
            </w:pPr>
            <w:r>
              <w:rPr>
                <w:noProof/>
                <w:sz w:val="18"/>
                <w:szCs w:val="18"/>
              </w:rPr>
              <w:t>DAI</w:t>
            </w:r>
          </w:p>
        </w:tc>
        <w:tc>
          <w:tcPr>
            <w:tcW w:w="1432" w:type="dxa"/>
          </w:tcPr>
          <w:p w14:paraId="7EBF537A" w14:textId="77777777" w:rsidR="00F1655E" w:rsidRDefault="00F1655E" w:rsidP="00582CA7">
            <w:pPr>
              <w:spacing w:line="276" w:lineRule="auto"/>
              <w:jc w:val="center"/>
              <w:rPr>
                <w:sz w:val="18"/>
                <w:szCs w:val="18"/>
              </w:rPr>
            </w:pPr>
            <w:r>
              <w:rPr>
                <w:noProof/>
                <w:sz w:val="18"/>
                <w:szCs w:val="18"/>
              </w:rPr>
              <mc:AlternateContent>
                <mc:Choice Requires="wps">
                  <w:drawing>
                    <wp:anchor distT="0" distB="0" distL="114300" distR="114300" simplePos="0" relativeHeight="251673600" behindDoc="0" locked="0" layoutInCell="1" allowOverlap="1" wp14:anchorId="4A2B7AB8" wp14:editId="010FB133">
                      <wp:simplePos x="0" y="0"/>
                      <wp:positionH relativeFrom="column">
                        <wp:posOffset>273830</wp:posOffset>
                      </wp:positionH>
                      <wp:positionV relativeFrom="paragraph">
                        <wp:posOffset>46812</wp:posOffset>
                      </wp:positionV>
                      <wp:extent cx="264352" cy="138677"/>
                      <wp:effectExtent l="57150" t="38100" r="21590" b="71120"/>
                      <wp:wrapNone/>
                      <wp:docPr id="288" name="Flecha: hacia arriba 288"/>
                      <wp:cNvGraphicFramePr/>
                      <a:graphic xmlns:a="http://schemas.openxmlformats.org/drawingml/2006/main">
                        <a:graphicData uri="http://schemas.microsoft.com/office/word/2010/wordprocessingShape">
                          <wps:wsp>
                            <wps:cNvSpPr/>
                            <wps:spPr>
                              <a:xfrm>
                                <a:off x="0" y="0"/>
                                <a:ext cx="264352" cy="138677"/>
                              </a:xfrm>
                              <a:prstGeom prst="upArrow">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C6D06E" id="Flecha: hacia arriba 288" o:spid="_x0000_s1026" type="#_x0000_t68" style="position:absolute;margin-left:21.55pt;margin-top:3.7pt;width:20.8pt;height:10.9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" adj="10800" fillcolor="#77b64e [3033]" stroked="f">
                      <v:fill color2="#6eaa46 [3177]" rotate="t" colors="0 #81b861;.5 #6fb242;1 #61a235" focus="100%" type="gradient">
                        <o:fill v:ext="view" type="gradientUnscaled"/>
                      </v:fill>
                      <v:shadow on="t" color="black" opacity="41287f" offset="0,1.5pt"/>
                    </v:shape>
                  </w:pict>
                </mc:Fallback>
              </mc:AlternateContent>
            </w:r>
          </w:p>
        </w:tc>
      </w:tr>
    </w:tbl>
    <w:p w14:paraId="0488BB25" w14:textId="04F910F1" w:rsidR="00F1655E" w:rsidRPr="00F1655E" w:rsidRDefault="00F1655E" w:rsidP="00F1655E">
      <w:pPr>
        <w:jc w:val="both"/>
        <w:rPr>
          <w:sz w:val="18"/>
          <w:szCs w:val="18"/>
        </w:rPr>
      </w:pPr>
      <w:r w:rsidRPr="00F1655E">
        <w:rPr>
          <w:sz w:val="18"/>
          <w:szCs w:val="18"/>
        </w:rPr>
        <w:t>Fuente: Ministerio de Finanzas Públicas con datos de BANGUAT.</w:t>
      </w:r>
    </w:p>
    <w:p w14:paraId="119D8E51" w14:textId="77777777" w:rsidR="00F1655E" w:rsidRPr="00F1655E" w:rsidRDefault="00F1655E" w:rsidP="00F1655E">
      <w:pPr>
        <w:jc w:val="both"/>
      </w:pPr>
    </w:p>
    <w:p w14:paraId="5CD54FCD" w14:textId="56184878" w:rsidR="00F1655E" w:rsidRDefault="007C4B91" w:rsidP="00F1655E">
      <w:pPr>
        <w:jc w:val="both"/>
      </w:pPr>
      <w:r>
        <w:t>Las</w:t>
      </w:r>
      <w:r w:rsidRPr="00F1655E">
        <w:t xml:space="preserve"> </w:t>
      </w:r>
      <w:r w:rsidR="00F1655E" w:rsidRPr="00F1655E">
        <w:t>diferencias en el escenario macroeconómico afecta</w:t>
      </w:r>
      <w:r>
        <w:t>ro</w:t>
      </w:r>
      <w:r w:rsidR="00F1655E" w:rsidRPr="00F1655E">
        <w:t>n de manera positiva a la recaudación tributaria de 2022</w:t>
      </w:r>
      <w:r>
        <w:t>.  L</w:t>
      </w:r>
      <w:r w:rsidR="00F1655E" w:rsidRPr="00F1655E">
        <w:t>a recaudación observada recoge el efecto del nuevo escenario macroeconómico</w:t>
      </w:r>
      <w:r>
        <w:t>,</w:t>
      </w:r>
      <w:r w:rsidR="00F1655E" w:rsidRPr="00F1655E">
        <w:t xml:space="preserve"> por lo que se genera una brecha positiva respecto a la meta de presupuesto de Q12,264.2 millones</w:t>
      </w:r>
      <w:r>
        <w:t>,</w:t>
      </w:r>
      <w:r w:rsidR="00F1655E" w:rsidRPr="00F1655E">
        <w:t xml:space="preserve"> la cual a nivel del desempeño de cada uno de los impuestos se puede explicar por el IVA de importaciones y Derechos Arancelarios a la Importación</w:t>
      </w:r>
      <w:r>
        <w:t>,</w:t>
      </w:r>
      <w:r w:rsidR="00F1655E" w:rsidRPr="00F1655E">
        <w:t xml:space="preserve"> los cuales están asociados a la variación de las Importaciones FOB </w:t>
      </w:r>
      <w:r>
        <w:t>con una</w:t>
      </w:r>
      <w:r w:rsidRPr="00F1655E">
        <w:t xml:space="preserve"> </w:t>
      </w:r>
      <w:r w:rsidR="009D548B">
        <w:t xml:space="preserve">brecha positiva </w:t>
      </w:r>
      <w:r>
        <w:t>de</w:t>
      </w:r>
      <w:r w:rsidRPr="00F1655E">
        <w:t xml:space="preserve"> </w:t>
      </w:r>
      <w:r w:rsidR="00F1655E" w:rsidRPr="00F1655E">
        <w:t>Q6,276.7 millones respecto a la meta establecida (Q22,286.4 millones)</w:t>
      </w:r>
      <w:r>
        <w:t>.  L</w:t>
      </w:r>
      <w:r w:rsidR="00F1655E" w:rsidRPr="00F1655E">
        <w:t xml:space="preserve">os impuestos en la estimación de presupuesto que están asociados al </w:t>
      </w:r>
      <w:r w:rsidR="00F1655E" w:rsidRPr="007C4B91">
        <w:t>PIB real</w:t>
      </w:r>
      <w:r w:rsidR="00F1655E" w:rsidRPr="00F1655E">
        <w:t xml:space="preserve"> y al PIB nominal (ISR, ISO, IVA doméstico) </w:t>
      </w:r>
      <w:r w:rsidR="00D0171E">
        <w:t xml:space="preserve">tenían una </w:t>
      </w:r>
      <w:r w:rsidR="00F1655E" w:rsidRPr="00F1655E">
        <w:t>meta de presupuesto</w:t>
      </w:r>
      <w:r w:rsidR="00D0171E">
        <w:t xml:space="preserve"> en conjunto de</w:t>
      </w:r>
      <w:r w:rsidR="00F1655E" w:rsidRPr="00F1655E">
        <w:t xml:space="preserve"> Q45,300.3 millones, </w:t>
      </w:r>
      <w:r w:rsidR="00D0171E">
        <w:t>la recaudación de estos tres impuestos generó una brecha positiva respecto a la meta de presupuesto de Q5,217.7 millones</w:t>
      </w:r>
      <w:r w:rsidR="00F1655E" w:rsidRPr="00F1655E">
        <w:t xml:space="preserve"> </w:t>
      </w:r>
      <w:r w:rsidR="00F1655E" w:rsidRPr="00D0171E">
        <w:t>los restantes Q769.8 millones están distribuidos entre el resto de impuestos.</w:t>
      </w:r>
    </w:p>
    <w:p w14:paraId="32814739" w14:textId="249619D2" w:rsidR="00F1655E" w:rsidRDefault="00F1655E" w:rsidP="00F1655E">
      <w:pPr>
        <w:jc w:val="both"/>
      </w:pPr>
    </w:p>
    <w:p w14:paraId="73829CB9" w14:textId="1C7AF72B" w:rsidR="00F1655E" w:rsidRPr="008A39B4" w:rsidRDefault="008A39B4" w:rsidP="008A39B4">
      <w:pPr>
        <w:pStyle w:val="Descripcin"/>
        <w:spacing w:after="0"/>
        <w:jc w:val="center"/>
        <w:rPr>
          <w:b/>
          <w:bCs/>
          <w:i w:val="0"/>
          <w:iCs w:val="0"/>
          <w:color w:val="auto"/>
          <w:sz w:val="24"/>
          <w:szCs w:val="24"/>
        </w:rPr>
      </w:pPr>
      <w:bookmarkStart w:id="130" w:name="_Toc143870724"/>
      <w:r w:rsidRPr="008A39B4">
        <w:rPr>
          <w:b/>
          <w:bCs/>
          <w:i w:val="0"/>
          <w:iCs w:val="0"/>
          <w:color w:val="auto"/>
          <w:sz w:val="24"/>
          <w:szCs w:val="24"/>
        </w:rPr>
        <w:t xml:space="preserve">Gráfico </w:t>
      </w:r>
      <w:r w:rsidRPr="008A39B4">
        <w:rPr>
          <w:b/>
          <w:bCs/>
          <w:i w:val="0"/>
          <w:iCs w:val="0"/>
          <w:color w:val="auto"/>
          <w:sz w:val="24"/>
          <w:szCs w:val="24"/>
        </w:rPr>
        <w:fldChar w:fldCharType="begin"/>
      </w:r>
      <w:r w:rsidRPr="008A39B4">
        <w:rPr>
          <w:b/>
          <w:bCs/>
          <w:i w:val="0"/>
          <w:iCs w:val="0"/>
          <w:color w:val="auto"/>
          <w:sz w:val="24"/>
          <w:szCs w:val="24"/>
        </w:rPr>
        <w:instrText xml:space="preserve"> SEQ Gráfico \* ARABIC </w:instrText>
      </w:r>
      <w:r w:rsidRPr="008A39B4">
        <w:rPr>
          <w:b/>
          <w:bCs/>
          <w:i w:val="0"/>
          <w:iCs w:val="0"/>
          <w:color w:val="auto"/>
          <w:sz w:val="24"/>
          <w:szCs w:val="24"/>
        </w:rPr>
        <w:fldChar w:fldCharType="separate"/>
      </w:r>
      <w:r w:rsidR="006622B2">
        <w:rPr>
          <w:b/>
          <w:bCs/>
          <w:i w:val="0"/>
          <w:iCs w:val="0"/>
          <w:noProof/>
          <w:color w:val="auto"/>
          <w:sz w:val="24"/>
          <w:szCs w:val="24"/>
        </w:rPr>
        <w:t>57</w:t>
      </w:r>
      <w:r w:rsidRPr="008A39B4">
        <w:rPr>
          <w:b/>
          <w:bCs/>
          <w:i w:val="0"/>
          <w:iCs w:val="0"/>
          <w:color w:val="auto"/>
          <w:sz w:val="24"/>
          <w:szCs w:val="24"/>
        </w:rPr>
        <w:fldChar w:fldCharType="end"/>
      </w:r>
      <w:r w:rsidRPr="008A39B4">
        <w:rPr>
          <w:b/>
          <w:bCs/>
          <w:i w:val="0"/>
          <w:iCs w:val="0"/>
          <w:color w:val="auto"/>
          <w:sz w:val="24"/>
          <w:szCs w:val="24"/>
        </w:rPr>
        <w:t>.  Variación de la recaudación tributaria neta acumulada</w:t>
      </w:r>
      <w:bookmarkEnd w:id="130"/>
      <w:r w:rsidR="00634517">
        <w:rPr>
          <w:b/>
          <w:bCs/>
          <w:i w:val="0"/>
          <w:iCs w:val="0"/>
          <w:color w:val="auto"/>
          <w:sz w:val="24"/>
          <w:szCs w:val="24"/>
        </w:rPr>
        <w:t xml:space="preserve"> 2022</w:t>
      </w:r>
    </w:p>
    <w:p w14:paraId="48927126" w14:textId="0181EBEB" w:rsidR="00F1655E" w:rsidRPr="00871DA6" w:rsidRDefault="00871DA6" w:rsidP="00871DA6">
      <w:pPr>
        <w:spacing w:line="276" w:lineRule="auto"/>
        <w:ind w:left="562" w:right="1696"/>
        <w:jc w:val="center"/>
        <w:rPr>
          <w:sz w:val="20"/>
          <w:szCs w:val="20"/>
        </w:rPr>
      </w:pPr>
      <w:r w:rsidRPr="00871DA6">
        <w:rPr>
          <w:noProof/>
          <w:sz w:val="20"/>
          <w:szCs w:val="20"/>
        </w:rPr>
        <w:drawing>
          <wp:anchor distT="0" distB="0" distL="114300" distR="114300" simplePos="0" relativeHeight="251675648" behindDoc="0" locked="0" layoutInCell="1" allowOverlap="1" wp14:anchorId="17A9D21A" wp14:editId="53F019AC">
            <wp:simplePos x="0" y="0"/>
            <wp:positionH relativeFrom="column">
              <wp:posOffset>250190</wp:posOffset>
            </wp:positionH>
            <wp:positionV relativeFrom="paragraph">
              <wp:posOffset>156845</wp:posOffset>
            </wp:positionV>
            <wp:extent cx="5208270" cy="2489200"/>
            <wp:effectExtent l="0" t="0" r="0" b="6350"/>
            <wp:wrapSquare wrapText="bothSides"/>
            <wp:docPr id="283" name="Gráfico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margin">
              <wp14:pctWidth>0</wp14:pctWidth>
            </wp14:sizeRelH>
            <wp14:sizeRelV relativeFrom="margin">
              <wp14:pctHeight>0</wp14:pctHeight>
            </wp14:sizeRelV>
          </wp:anchor>
        </w:drawing>
      </w:r>
      <w:r w:rsidR="00F1655E" w:rsidRPr="00871DA6">
        <w:rPr>
          <w:sz w:val="20"/>
          <w:szCs w:val="20"/>
        </w:rPr>
        <w:t>Millones de quetzales</w:t>
      </w:r>
    </w:p>
    <w:p w14:paraId="350B9041" w14:textId="77777777" w:rsidR="00F1655E" w:rsidRPr="00F1655E" w:rsidRDefault="00F1655E" w:rsidP="00F1655E">
      <w:pPr>
        <w:spacing w:line="276" w:lineRule="auto"/>
        <w:ind w:left="2002" w:right="1696" w:firstLine="158"/>
        <w:jc w:val="both"/>
        <w:rPr>
          <w:sz w:val="18"/>
          <w:szCs w:val="18"/>
        </w:rPr>
      </w:pPr>
      <w:r w:rsidRPr="00F1655E">
        <w:rPr>
          <w:sz w:val="18"/>
          <w:szCs w:val="18"/>
        </w:rPr>
        <w:t>Fuente: Dirección de Análisis y Política Fiscal.</w:t>
      </w:r>
    </w:p>
    <w:p w14:paraId="2D69508A" w14:textId="2FC7E838" w:rsidR="00F1655E" w:rsidRDefault="00F1655E" w:rsidP="00F1655E">
      <w:pPr>
        <w:jc w:val="both"/>
      </w:pPr>
    </w:p>
    <w:p w14:paraId="7B79445A" w14:textId="29CD0708" w:rsidR="00F1655E" w:rsidRDefault="00F1655E" w:rsidP="00F1655E">
      <w:pPr>
        <w:jc w:val="both"/>
      </w:pPr>
      <w:r>
        <w:t>La brecha positiva de la recaudación tributaria observada (Q12,264.2 millones) respecto a la meta de Presupuesto Aprobado para 2022</w:t>
      </w:r>
      <w:r w:rsidR="007C4B91">
        <w:t>,</w:t>
      </w:r>
      <w:r>
        <w:t xml:space="preserve"> en rigor de la metodología</w:t>
      </w:r>
      <w:r w:rsidR="000C1D11" w:rsidRPr="00DB3AC5">
        <w:rPr>
          <w:rStyle w:val="TextonotapieCar"/>
          <w:vertAlign w:val="superscript"/>
        </w:rPr>
        <w:footnoteReference w:id="2"/>
      </w:r>
      <w:r>
        <w:t xml:space="preserve"> de estimación utilizada</w:t>
      </w:r>
      <w:r w:rsidR="00177136">
        <w:t>,</w:t>
      </w:r>
      <w:r>
        <w:t xml:space="preserve"> se puede explicar de la siguiente forma:</w:t>
      </w:r>
    </w:p>
    <w:p w14:paraId="7640359D" w14:textId="77777777" w:rsidR="00F1655E" w:rsidRDefault="00F1655E" w:rsidP="00F1655E">
      <w:pPr>
        <w:jc w:val="both"/>
      </w:pPr>
    </w:p>
    <w:p w14:paraId="1855D13B" w14:textId="5F3CE334" w:rsidR="00F1655E" w:rsidRDefault="00F1655E" w:rsidP="00321A34">
      <w:pPr>
        <w:pStyle w:val="Prrafodelista"/>
        <w:numPr>
          <w:ilvl w:val="0"/>
          <w:numId w:val="57"/>
        </w:numPr>
        <w:jc w:val="both"/>
      </w:pPr>
      <w:r>
        <w:t>Efecto del escenario Macroeconómico Q6,425.8 millones.</w:t>
      </w:r>
    </w:p>
    <w:p w14:paraId="2F488E64" w14:textId="3DE51AD5" w:rsidR="00F1655E" w:rsidRPr="00CA7052" w:rsidRDefault="00F1655E" w:rsidP="00CA7052">
      <w:pPr>
        <w:pStyle w:val="Prrafodelista"/>
        <w:numPr>
          <w:ilvl w:val="1"/>
          <w:numId w:val="4"/>
        </w:numPr>
        <w:ind w:left="1134"/>
        <w:jc w:val="both"/>
        <w:rPr>
          <w:sz w:val="22"/>
          <w:szCs w:val="22"/>
        </w:rPr>
      </w:pPr>
      <w:r w:rsidRPr="00CA7052">
        <w:rPr>
          <w:sz w:val="22"/>
          <w:szCs w:val="22"/>
        </w:rPr>
        <w:t>Efecto por variación de las Importaciones FOB Q4,368.4 millones.</w:t>
      </w:r>
    </w:p>
    <w:p w14:paraId="0D8B5086" w14:textId="19432829" w:rsidR="00F1655E" w:rsidRPr="00CA7052" w:rsidRDefault="00F1655E" w:rsidP="00CA7052">
      <w:pPr>
        <w:pStyle w:val="Prrafodelista"/>
        <w:numPr>
          <w:ilvl w:val="1"/>
          <w:numId w:val="4"/>
        </w:numPr>
        <w:ind w:left="1134"/>
        <w:jc w:val="both"/>
        <w:rPr>
          <w:sz w:val="22"/>
          <w:szCs w:val="22"/>
        </w:rPr>
      </w:pPr>
      <w:r w:rsidRPr="00CA7052">
        <w:rPr>
          <w:sz w:val="22"/>
          <w:szCs w:val="22"/>
        </w:rPr>
        <w:t>Efecto por variación del PIB real Q60.4 millones.</w:t>
      </w:r>
    </w:p>
    <w:p w14:paraId="349CCF04" w14:textId="40686B03" w:rsidR="00F1655E" w:rsidRPr="00CA7052" w:rsidRDefault="00F1655E" w:rsidP="00CA7052">
      <w:pPr>
        <w:pStyle w:val="Prrafodelista"/>
        <w:numPr>
          <w:ilvl w:val="1"/>
          <w:numId w:val="4"/>
        </w:numPr>
        <w:ind w:left="1134"/>
        <w:jc w:val="both"/>
        <w:rPr>
          <w:sz w:val="22"/>
          <w:szCs w:val="22"/>
        </w:rPr>
      </w:pPr>
      <w:r w:rsidRPr="00CA7052">
        <w:rPr>
          <w:sz w:val="22"/>
          <w:szCs w:val="22"/>
        </w:rPr>
        <w:t>Efecto por variación del PIB nominal Q1,997.1 millones.</w:t>
      </w:r>
    </w:p>
    <w:p w14:paraId="7EBE97FA" w14:textId="3BD08E71" w:rsidR="00F1655E" w:rsidRPr="00CA7052" w:rsidRDefault="00F1655E" w:rsidP="00CA7052">
      <w:pPr>
        <w:pStyle w:val="Prrafodelista"/>
        <w:numPr>
          <w:ilvl w:val="1"/>
          <w:numId w:val="4"/>
        </w:numPr>
        <w:ind w:left="1134"/>
        <w:jc w:val="both"/>
        <w:rPr>
          <w:sz w:val="22"/>
          <w:szCs w:val="22"/>
        </w:rPr>
      </w:pPr>
      <w:r w:rsidRPr="00CA7052">
        <w:rPr>
          <w:sz w:val="22"/>
          <w:szCs w:val="22"/>
        </w:rPr>
        <w:t>No acreditamiento al fondo de crédito fiscal a los exportadores Q1,160 millones.</w:t>
      </w:r>
    </w:p>
    <w:p w14:paraId="70D9559E" w14:textId="2BB80D08" w:rsidR="00F1655E" w:rsidRPr="00CA7052" w:rsidRDefault="00F1655E" w:rsidP="00CA7052">
      <w:pPr>
        <w:pStyle w:val="Prrafodelista"/>
        <w:numPr>
          <w:ilvl w:val="1"/>
          <w:numId w:val="4"/>
        </w:numPr>
        <w:ind w:left="1134"/>
        <w:jc w:val="both"/>
        <w:rPr>
          <w:sz w:val="22"/>
          <w:szCs w:val="22"/>
        </w:rPr>
      </w:pPr>
      <w:r w:rsidRPr="00CA7052">
        <w:rPr>
          <w:sz w:val="22"/>
          <w:szCs w:val="22"/>
        </w:rPr>
        <w:t>Efecto del Tipo de Cambio en la recaudación asociada al comercio exterior Q56.3 millones.</w:t>
      </w:r>
    </w:p>
    <w:p w14:paraId="5CB67BB8" w14:textId="6A54EEA7" w:rsidR="00F1655E" w:rsidRPr="00CA7052" w:rsidRDefault="00F1655E" w:rsidP="00CA7052">
      <w:pPr>
        <w:pStyle w:val="Prrafodelista"/>
        <w:numPr>
          <w:ilvl w:val="1"/>
          <w:numId w:val="4"/>
        </w:numPr>
        <w:ind w:left="1134"/>
        <w:jc w:val="both"/>
        <w:rPr>
          <w:sz w:val="22"/>
          <w:szCs w:val="22"/>
        </w:rPr>
      </w:pPr>
      <w:r w:rsidRPr="00CA7052">
        <w:rPr>
          <w:sz w:val="22"/>
          <w:szCs w:val="22"/>
        </w:rPr>
        <w:t xml:space="preserve">Efecto neto del precio del petróleo en las importaciones de combustibles (volumen y precio) Q1,389.7 millones. </w:t>
      </w:r>
    </w:p>
    <w:p w14:paraId="5FB51C48" w14:textId="4805CB12" w:rsidR="00F1655E" w:rsidRDefault="00F1655E" w:rsidP="00321A34">
      <w:pPr>
        <w:pStyle w:val="Prrafodelista"/>
        <w:numPr>
          <w:ilvl w:val="0"/>
          <w:numId w:val="56"/>
        </w:numPr>
        <w:jc w:val="both"/>
      </w:pPr>
      <w:r>
        <w:t>Medidas Administrativas implementadas por SAT Q2,227.3 millones.</w:t>
      </w:r>
    </w:p>
    <w:p w14:paraId="420AD936" w14:textId="6EAF898D" w:rsidR="00F1655E" w:rsidRDefault="00F1655E" w:rsidP="00321A34">
      <w:pPr>
        <w:pStyle w:val="Prrafodelista"/>
        <w:numPr>
          <w:ilvl w:val="0"/>
          <w:numId w:val="56"/>
        </w:numPr>
        <w:jc w:val="both"/>
      </w:pPr>
      <w:r>
        <w:t>Otros efectos no especificados (puede ser recaudación extraordinaria) Q1,005.1 millones.</w:t>
      </w:r>
    </w:p>
    <w:p w14:paraId="353BCB67" w14:textId="77777777" w:rsidR="00F1655E" w:rsidRDefault="00F1655E" w:rsidP="00F1655E">
      <w:pPr>
        <w:jc w:val="both"/>
      </w:pPr>
    </w:p>
    <w:p w14:paraId="71242D95" w14:textId="62865940" w:rsidR="00635815" w:rsidRPr="00635815" w:rsidRDefault="00635815" w:rsidP="00635815">
      <w:pPr>
        <w:jc w:val="both"/>
      </w:pPr>
      <w:r w:rsidRPr="00635815">
        <w:rPr>
          <w:lang w:val="es-MX"/>
        </w:rPr>
        <w:t>La recaudación tributaria neta</w:t>
      </w:r>
      <w:r>
        <w:rPr>
          <w:lang w:val="es-MX"/>
        </w:rPr>
        <w:t xml:space="preserve"> administrada por la SAT</w:t>
      </w:r>
      <w:r w:rsidRPr="00635815">
        <w:rPr>
          <w:lang w:val="es-MX"/>
        </w:rPr>
        <w:t>, ajustada de conformidad con el alcance de la literal a)</w:t>
      </w:r>
      <w:r w:rsidR="00DD7C19">
        <w:rPr>
          <w:lang w:val="es-MX"/>
        </w:rPr>
        <w:t>,</w:t>
      </w:r>
      <w:r w:rsidRPr="00635815">
        <w:rPr>
          <w:lang w:val="es-MX"/>
        </w:rPr>
        <w:t xml:space="preserve"> del artículo 23bis de la LOSAT, actualizada con el entorno macroeconómico más reciente de 2022, muestra que la meta potencial indicativa, se ubicaría en alrededor de Q82,375.5 millones</w:t>
      </w:r>
      <w:r w:rsidR="00DD7C19">
        <w:rPr>
          <w:lang w:val="es-MX"/>
        </w:rPr>
        <w:t>.  L</w:t>
      </w:r>
      <w:r>
        <w:rPr>
          <w:lang w:val="es-MX"/>
        </w:rPr>
        <w:t xml:space="preserve">a recaudación tributaria observada en 2022 administrada por </w:t>
      </w:r>
      <w:r w:rsidR="00DD7C19">
        <w:rPr>
          <w:lang w:val="es-MX"/>
        </w:rPr>
        <w:t xml:space="preserve">la </w:t>
      </w:r>
      <w:r>
        <w:rPr>
          <w:lang w:val="es-MX"/>
        </w:rPr>
        <w:t>SAT</w:t>
      </w:r>
      <w:r w:rsidR="00DD7C19">
        <w:rPr>
          <w:lang w:val="es-MX"/>
        </w:rPr>
        <w:t>,</w:t>
      </w:r>
      <w:r>
        <w:rPr>
          <w:lang w:val="es-MX"/>
        </w:rPr>
        <w:t xml:space="preserve"> </w:t>
      </w:r>
      <w:r w:rsidR="00DD7C19">
        <w:rPr>
          <w:lang w:val="es-MX"/>
        </w:rPr>
        <w:t xml:space="preserve">comparable con la nueva estimación </w:t>
      </w:r>
      <w:r>
        <w:rPr>
          <w:lang w:val="es-MX"/>
        </w:rPr>
        <w:t>se ubicó en Q84,519.8</w:t>
      </w:r>
      <w:r w:rsidR="00DD7C19">
        <w:rPr>
          <w:lang w:val="es-MX"/>
        </w:rPr>
        <w:t xml:space="preserve"> millones, con lo cual </w:t>
      </w:r>
      <w:r>
        <w:rPr>
          <w:lang w:val="es-MX"/>
        </w:rPr>
        <w:t>se genera una brecha positiva de Q2,144.3 millones</w:t>
      </w:r>
      <w:r w:rsidR="00DD7C19">
        <w:rPr>
          <w:lang w:val="es-MX"/>
        </w:rPr>
        <w:t>, que estaría asociada a las medidas administrativas que la SAT debe de implementar para mejorar el cumplimiento tributario y reducir los niveles de evasión, defraudación y contrabando aduaneros.</w:t>
      </w:r>
    </w:p>
    <w:p w14:paraId="75C78A67" w14:textId="77777777" w:rsidR="00635815" w:rsidRDefault="00635815" w:rsidP="00F1655E">
      <w:pPr>
        <w:jc w:val="both"/>
      </w:pPr>
    </w:p>
    <w:p w14:paraId="232487AF" w14:textId="1AD84479" w:rsidR="00F1655E" w:rsidRPr="00F1655E" w:rsidRDefault="00F1655E" w:rsidP="00F1655E">
      <w:pPr>
        <w:jc w:val="both"/>
      </w:pPr>
      <w:r>
        <w:t>Es preciso indicar que este resultado en la recaudación tributaria 2022 est</w:t>
      </w:r>
      <w:r w:rsidR="00DF1170">
        <w:t>á</w:t>
      </w:r>
      <w:r>
        <w:t xml:space="preserve"> influenciado por las medidas que implement</w:t>
      </w:r>
      <w:r w:rsidR="001504AE">
        <w:t>ó</w:t>
      </w:r>
      <w:r>
        <w:t xml:space="preserve"> la SAT para combatir la defraudación y contrabando aduanero, aumento en la percepción de riesgo de parte de los contribuyentes, mayor simplicidad para el cumplimiento de las obligaciones tributarias y a la nueva forma de fiscalización a través de actividad económica</w:t>
      </w:r>
      <w:r w:rsidR="00DF1170">
        <w:t>, por lo que el excedente en recaudación determinado bajo el nuevo escenario macroeconómico, sugiere una mejoría en la gestión de los impuestos a cargo de la SAT</w:t>
      </w:r>
      <w:r>
        <w:t>.</w:t>
      </w:r>
    </w:p>
    <w:p w14:paraId="429D51C4" w14:textId="24A2BBAC" w:rsidR="00F1655E" w:rsidRDefault="00F1655E" w:rsidP="00F1655E">
      <w:pPr>
        <w:jc w:val="both"/>
      </w:pPr>
    </w:p>
    <w:p w14:paraId="1206733A" w14:textId="579D87A5" w:rsidR="00F1655E" w:rsidRPr="00B77381" w:rsidRDefault="00871DA6" w:rsidP="00531A1B">
      <w:pPr>
        <w:pStyle w:val="Prrafodelista"/>
        <w:numPr>
          <w:ilvl w:val="1"/>
          <w:numId w:val="3"/>
        </w:numPr>
        <w:ind w:left="709" w:hanging="425"/>
        <w:jc w:val="both"/>
        <w:outlineLvl w:val="1"/>
        <w:rPr>
          <w:b/>
          <w:bCs/>
        </w:rPr>
      </w:pPr>
      <w:r w:rsidRPr="00B77381">
        <w:rPr>
          <w:b/>
          <w:bCs/>
        </w:rPr>
        <w:t xml:space="preserve"> </w:t>
      </w:r>
      <w:bookmarkStart w:id="131" w:name="_Toc143865824"/>
      <w:r w:rsidR="00F1655E" w:rsidRPr="00B77381">
        <w:rPr>
          <w:b/>
          <w:bCs/>
        </w:rPr>
        <w:t>Ejecución del gasto público</w:t>
      </w:r>
      <w:bookmarkEnd w:id="131"/>
    </w:p>
    <w:p w14:paraId="1A05F972" w14:textId="78D9E714" w:rsidR="00F1655E" w:rsidRDefault="00F1655E" w:rsidP="00F1655E">
      <w:pPr>
        <w:jc w:val="both"/>
      </w:pPr>
    </w:p>
    <w:p w14:paraId="70807F89" w14:textId="35618B2A" w:rsidR="00F1655E" w:rsidRDefault="00F1655E" w:rsidP="00F1655E">
      <w:pPr>
        <w:jc w:val="both"/>
      </w:pPr>
      <w:r>
        <w:t>El contar con un presupuesto aprobado</w:t>
      </w:r>
      <w:r w:rsidR="00DF1170">
        <w:t xml:space="preserve"> para 2022,</w:t>
      </w:r>
      <w:r>
        <w:t xml:space="preserve"> supuso una ventaja al inicio del </w:t>
      </w:r>
      <w:r w:rsidR="00DF1170">
        <w:t>año</w:t>
      </w:r>
      <w:r>
        <w:t xml:space="preserve">, </w:t>
      </w:r>
      <w:r w:rsidR="00DF1170">
        <w:t xml:space="preserve">respecto a años anteriores de la </w:t>
      </w:r>
      <w:r>
        <w:t>actual administración pública</w:t>
      </w:r>
      <w:r w:rsidR="00DF1170">
        <w:t xml:space="preserve">, </w:t>
      </w:r>
      <w:r w:rsidR="00B36D18">
        <w:t>e</w:t>
      </w:r>
      <w:r>
        <w:t xml:space="preserve">sto </w:t>
      </w:r>
      <w:r w:rsidR="00DF1170">
        <w:t xml:space="preserve">permitió </w:t>
      </w:r>
      <w:r>
        <w:t>un mejor manejo de la política fiscal dado que las entidades públicas t</w:t>
      </w:r>
      <w:r w:rsidR="00DF1170">
        <w:t>uvieron</w:t>
      </w:r>
      <w:r>
        <w:t xml:space="preserve"> certidumbre respecto al espacio real de ejecución, además la programación realizada para el ejercicio </w:t>
      </w:r>
      <w:r w:rsidR="00DF1170">
        <w:t xml:space="preserve">se </w:t>
      </w:r>
      <w:r>
        <w:t xml:space="preserve">encuentra acorde a las necesidades que fueron planteadas por las diferentes entidades en sus respectivos proyectos de presupuesto </w:t>
      </w:r>
      <w:r w:rsidR="00DF1170">
        <w:t xml:space="preserve">presentados durante </w:t>
      </w:r>
      <w:r>
        <w:t>el ejercicio de transparencia de Presupuesto Abierto.</w:t>
      </w:r>
    </w:p>
    <w:p w14:paraId="0CA9AF52" w14:textId="77777777" w:rsidR="00F1655E" w:rsidRDefault="00F1655E" w:rsidP="00F1655E">
      <w:pPr>
        <w:jc w:val="both"/>
      </w:pPr>
    </w:p>
    <w:p w14:paraId="64B79CB3" w14:textId="51ADE570" w:rsidR="00F1655E" w:rsidRDefault="00F1655E" w:rsidP="00F1655E">
      <w:pPr>
        <w:jc w:val="both"/>
      </w:pPr>
      <w:r>
        <w:t>Para la ejecución del gasto público 2022, destaca el hecho que desde el principio del ejercicio fiscal se conocía que iba a ser superior al reportado en 2021, dado que en ese ejercicio se tuvo un presupuesto operativo</w:t>
      </w:r>
      <w:r w:rsidR="00DF1170">
        <w:t>, determinado</w:t>
      </w:r>
      <w:r>
        <w:t xml:space="preserve"> por la no aprobación del presupuesto y los programas sociales y económicos por COVID-19 de 2020 </w:t>
      </w:r>
      <w:r w:rsidR="00DF1170">
        <w:t xml:space="preserve">que </w:t>
      </w:r>
      <w:r>
        <w:t>ya habían cumplido los fines para los cuales fueron establecidos</w:t>
      </w:r>
      <w:r w:rsidR="00DF1170">
        <w:t xml:space="preserve"> y que requerían una consideración especial para no afectar la percepción de ejecución presupuestaria.</w:t>
      </w:r>
      <w:r>
        <w:t xml:space="preserve"> </w:t>
      </w:r>
    </w:p>
    <w:p w14:paraId="73037CE7" w14:textId="77777777" w:rsidR="00F1655E" w:rsidRDefault="00F1655E" w:rsidP="00F1655E">
      <w:pPr>
        <w:jc w:val="both"/>
      </w:pPr>
    </w:p>
    <w:p w14:paraId="5A82EF69" w14:textId="6734B4A4" w:rsidR="00F1655E" w:rsidRDefault="00F1655E" w:rsidP="00F1655E">
      <w:pPr>
        <w:jc w:val="both"/>
      </w:pPr>
      <w:r>
        <w:t>Adicionalmente, desde el primer trimestre</w:t>
      </w:r>
      <w:r w:rsidR="00DF1170">
        <w:t>,</w:t>
      </w:r>
      <w:r>
        <w:t xml:space="preserve"> el conflicto geopolítico entre Rusia y Ucrania</w:t>
      </w:r>
      <w:r w:rsidR="00DF1170">
        <w:t>,</w:t>
      </w:r>
      <w:r>
        <w:t xml:space="preserve">  generó tensiones imperantes en los mercados internacionales, afectando el abastecimiento </w:t>
      </w:r>
      <w:r w:rsidR="00DF1170">
        <w:t xml:space="preserve">en el </w:t>
      </w:r>
      <w:r>
        <w:t xml:space="preserve">mercado de ciertos commodities, incidiendo de forma significativa en los precios y por ende en la inflación, lo cual presentó un escenario de incertidumbre a nivel mundial en cuanto al desempeño de la actividad económica, causando preocupación en la población guatemalteca, lo cual </w:t>
      </w:r>
      <w:r w:rsidRPr="00B36D18">
        <w:t>mo</w:t>
      </w:r>
      <w:r w:rsidR="00B36D18" w:rsidRPr="00B36D18">
        <w:t>l</w:t>
      </w:r>
      <w:r w:rsidRPr="00B36D18">
        <w:t xml:space="preserve">dearía </w:t>
      </w:r>
      <w:r w:rsidR="00DF1170" w:rsidRPr="00B36D18">
        <w:t>también</w:t>
      </w:r>
      <w:r w:rsidR="00DF1170">
        <w:t xml:space="preserve"> </w:t>
      </w:r>
      <w:r>
        <w:t>la ejecución del gasto a lo largo de 2022. Derivado de ello, durante e</w:t>
      </w:r>
      <w:r w:rsidR="00DF1170">
        <w:t>ste</w:t>
      </w:r>
      <w:r>
        <w:t xml:space="preserve"> ejercicio, se dio una fuerte intervención </w:t>
      </w:r>
      <w:r w:rsidR="002D2FA3">
        <w:t>a través de decisiones de</w:t>
      </w:r>
      <w:r>
        <w:t xml:space="preserve"> política fiscal</w:t>
      </w:r>
      <w:r w:rsidR="002D2FA3">
        <w:t>, con incidencia en el alivio de</w:t>
      </w:r>
      <w:r>
        <w:t xml:space="preserve"> los efectos del incremento de los precios en la economía de los guatemaltecos</w:t>
      </w:r>
      <w:r w:rsidR="002D2FA3">
        <w:t>. E</w:t>
      </w:r>
      <w:r>
        <w:t>sta intervención se tradujo en la aprobación de diversos Decretos Legislativos que permitieron ampliar el presupuesto y con ello brindar apoyos de carácter temporal en productos y servicios esenciales como el gas propano, los combustibles y la energía eléctrica.</w:t>
      </w:r>
    </w:p>
    <w:p w14:paraId="4A1C8CCE" w14:textId="2E63E8D1" w:rsidR="000C1D11" w:rsidRDefault="000C1D11" w:rsidP="00F1655E">
      <w:pPr>
        <w:jc w:val="both"/>
      </w:pPr>
    </w:p>
    <w:p w14:paraId="49E75485" w14:textId="4AA24DCE" w:rsidR="00C71383" w:rsidRDefault="00C71383" w:rsidP="00F1655E">
      <w:pPr>
        <w:jc w:val="both"/>
      </w:pPr>
    </w:p>
    <w:p w14:paraId="4F8FA95B" w14:textId="37772556" w:rsidR="00C71383" w:rsidRDefault="00C71383" w:rsidP="00F1655E">
      <w:pPr>
        <w:jc w:val="both"/>
      </w:pPr>
    </w:p>
    <w:p w14:paraId="045EDCD9" w14:textId="464B1579" w:rsidR="00C71383" w:rsidRDefault="00C71383" w:rsidP="00F1655E">
      <w:pPr>
        <w:jc w:val="both"/>
      </w:pPr>
    </w:p>
    <w:p w14:paraId="1E9476C0" w14:textId="30140B4D" w:rsidR="000C1D11" w:rsidRPr="008A39B4" w:rsidRDefault="008A39B4" w:rsidP="008A39B4">
      <w:pPr>
        <w:pStyle w:val="Descripcin"/>
        <w:spacing w:after="0"/>
        <w:jc w:val="center"/>
        <w:rPr>
          <w:b/>
          <w:bCs/>
          <w:i w:val="0"/>
          <w:iCs w:val="0"/>
          <w:color w:val="auto"/>
          <w:sz w:val="24"/>
          <w:szCs w:val="24"/>
        </w:rPr>
      </w:pPr>
      <w:bookmarkStart w:id="132" w:name="_Toc143870725"/>
      <w:r w:rsidRPr="008A39B4">
        <w:rPr>
          <w:b/>
          <w:bCs/>
          <w:i w:val="0"/>
          <w:iCs w:val="0"/>
          <w:color w:val="auto"/>
          <w:sz w:val="24"/>
          <w:szCs w:val="24"/>
        </w:rPr>
        <w:t xml:space="preserve">Gráfico </w:t>
      </w:r>
      <w:r w:rsidRPr="008A39B4">
        <w:rPr>
          <w:b/>
          <w:bCs/>
          <w:i w:val="0"/>
          <w:iCs w:val="0"/>
          <w:color w:val="auto"/>
          <w:sz w:val="24"/>
          <w:szCs w:val="24"/>
        </w:rPr>
        <w:fldChar w:fldCharType="begin"/>
      </w:r>
      <w:r w:rsidRPr="008A39B4">
        <w:rPr>
          <w:b/>
          <w:bCs/>
          <w:i w:val="0"/>
          <w:iCs w:val="0"/>
          <w:color w:val="auto"/>
          <w:sz w:val="24"/>
          <w:szCs w:val="24"/>
        </w:rPr>
        <w:instrText xml:space="preserve"> SEQ Gráfico \* ARABIC </w:instrText>
      </w:r>
      <w:r w:rsidRPr="008A39B4">
        <w:rPr>
          <w:b/>
          <w:bCs/>
          <w:i w:val="0"/>
          <w:iCs w:val="0"/>
          <w:color w:val="auto"/>
          <w:sz w:val="24"/>
          <w:szCs w:val="24"/>
        </w:rPr>
        <w:fldChar w:fldCharType="separate"/>
      </w:r>
      <w:r w:rsidR="006622B2">
        <w:rPr>
          <w:b/>
          <w:bCs/>
          <w:i w:val="0"/>
          <w:iCs w:val="0"/>
          <w:noProof/>
          <w:color w:val="auto"/>
          <w:sz w:val="24"/>
          <w:szCs w:val="24"/>
        </w:rPr>
        <w:t>58</w:t>
      </w:r>
      <w:r w:rsidRPr="008A39B4">
        <w:rPr>
          <w:b/>
          <w:bCs/>
          <w:i w:val="0"/>
          <w:iCs w:val="0"/>
          <w:color w:val="auto"/>
          <w:sz w:val="24"/>
          <w:szCs w:val="24"/>
        </w:rPr>
        <w:fldChar w:fldCharType="end"/>
      </w:r>
      <w:r w:rsidRPr="008A39B4">
        <w:rPr>
          <w:b/>
          <w:bCs/>
          <w:i w:val="0"/>
          <w:iCs w:val="0"/>
          <w:color w:val="auto"/>
          <w:sz w:val="24"/>
          <w:szCs w:val="24"/>
        </w:rPr>
        <w:t>. Ritmo de ejecución del gasto público</w:t>
      </w:r>
      <w:bookmarkEnd w:id="132"/>
    </w:p>
    <w:p w14:paraId="409C592D" w14:textId="05307E34" w:rsidR="000C1D11" w:rsidRPr="00C71383" w:rsidRDefault="00CA7052" w:rsidP="00C71383">
      <w:pPr>
        <w:spacing w:before="91"/>
        <w:ind w:right="49"/>
        <w:jc w:val="center"/>
        <w:rPr>
          <w:bCs/>
          <w:sz w:val="20"/>
          <w:szCs w:val="20"/>
        </w:rPr>
      </w:pPr>
      <w:r w:rsidRPr="00C71383">
        <w:rPr>
          <w:noProof/>
          <w:sz w:val="20"/>
          <w:szCs w:val="20"/>
        </w:rPr>
        <w:drawing>
          <wp:anchor distT="0" distB="0" distL="114300" distR="114300" simplePos="0" relativeHeight="251677696" behindDoc="0" locked="0" layoutInCell="1" allowOverlap="1" wp14:anchorId="5BF61944" wp14:editId="3ABFFD70">
            <wp:simplePos x="0" y="0"/>
            <wp:positionH relativeFrom="column">
              <wp:posOffset>79375</wp:posOffset>
            </wp:positionH>
            <wp:positionV relativeFrom="paragraph">
              <wp:posOffset>377825</wp:posOffset>
            </wp:positionV>
            <wp:extent cx="5486400" cy="3104515"/>
            <wp:effectExtent l="0" t="0" r="0" b="635"/>
            <wp:wrapSquare wrapText="bothSides"/>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page">
              <wp14:pctWidth>0</wp14:pctWidth>
            </wp14:sizeRelH>
            <wp14:sizeRelV relativeFrom="page">
              <wp14:pctHeight>0</wp14:pctHeight>
            </wp14:sizeRelV>
          </wp:anchor>
        </w:drawing>
      </w:r>
      <w:r w:rsidR="000C1D11" w:rsidRPr="00C71383">
        <w:rPr>
          <w:bCs/>
          <w:sz w:val="20"/>
          <w:szCs w:val="20"/>
        </w:rPr>
        <w:t>Mensual 2018-2022</w:t>
      </w:r>
    </w:p>
    <w:p w14:paraId="4915DA61" w14:textId="6944885E" w:rsidR="000C1D11" w:rsidRPr="00C71383" w:rsidRDefault="000C1D11" w:rsidP="00C71383">
      <w:pPr>
        <w:spacing w:before="29"/>
        <w:ind w:right="49"/>
        <w:jc w:val="center"/>
        <w:rPr>
          <w:sz w:val="20"/>
          <w:szCs w:val="20"/>
        </w:rPr>
      </w:pPr>
      <w:r w:rsidRPr="00C71383">
        <w:rPr>
          <w:sz w:val="20"/>
          <w:szCs w:val="20"/>
        </w:rPr>
        <w:t>Variación interanual (%)</w:t>
      </w:r>
    </w:p>
    <w:p w14:paraId="2FEE6502" w14:textId="5F145439" w:rsidR="000C1D11" w:rsidRPr="00C71383" w:rsidRDefault="000C1D11" w:rsidP="00C71383">
      <w:pPr>
        <w:spacing w:line="276" w:lineRule="auto"/>
        <w:contextualSpacing/>
        <w:rPr>
          <w:sz w:val="18"/>
          <w:szCs w:val="18"/>
          <w:lang w:val="es-ES_tradnl" w:eastAsia="es-ES"/>
        </w:rPr>
      </w:pPr>
      <w:r w:rsidRPr="00C71383">
        <w:rPr>
          <w:sz w:val="18"/>
          <w:szCs w:val="18"/>
          <w:lang w:val="es-ES_tradnl" w:eastAsia="es-ES"/>
        </w:rPr>
        <w:t>Nota: No incluye amortizaciones de la deuda pública</w:t>
      </w:r>
    </w:p>
    <w:p w14:paraId="29F0004D" w14:textId="2608ABE7" w:rsidR="000C1D11" w:rsidRPr="00C71383" w:rsidRDefault="000C1D11" w:rsidP="00C71383">
      <w:pPr>
        <w:spacing w:line="276" w:lineRule="auto"/>
        <w:contextualSpacing/>
        <w:rPr>
          <w:sz w:val="18"/>
          <w:szCs w:val="18"/>
          <w:lang w:val="es-ES_tradnl" w:eastAsia="es-ES"/>
        </w:rPr>
      </w:pPr>
      <w:r w:rsidRPr="00C71383">
        <w:rPr>
          <w:sz w:val="18"/>
          <w:szCs w:val="18"/>
          <w:lang w:val="es-ES_tradnl" w:eastAsia="es-ES"/>
        </w:rPr>
        <w:t>Fuente: Dirección de Análisis y Política Fiscal.</w:t>
      </w:r>
    </w:p>
    <w:p w14:paraId="3223BFBB" w14:textId="77777777" w:rsidR="000C1D11" w:rsidRDefault="000C1D11" w:rsidP="00F1655E">
      <w:pPr>
        <w:jc w:val="both"/>
      </w:pPr>
    </w:p>
    <w:p w14:paraId="7C752730" w14:textId="5B058EB9" w:rsidR="000C1D11" w:rsidRDefault="000C1D11" w:rsidP="000C1D11">
      <w:pPr>
        <w:jc w:val="both"/>
      </w:pPr>
      <w:r>
        <w:t>La ejecución de</w:t>
      </w:r>
      <w:r w:rsidR="002D2FA3">
        <w:t>l</w:t>
      </w:r>
      <w:r>
        <w:t xml:space="preserve"> gasto al cierre de 2022 se situó en Q105,725.8 millones (sin incluir amortizaciones de la deuda pública), mayor en Q15,660.0 millones al cierre de 2021, permitiendo que el gasto público reportara un crecimiento de 17.4%, crecimiento incluso superior al reportado en 2020, cuando fue de 17.2%.</w:t>
      </w:r>
    </w:p>
    <w:p w14:paraId="356D493C" w14:textId="77777777" w:rsidR="000C1D11" w:rsidRDefault="000C1D11" w:rsidP="000C1D11">
      <w:pPr>
        <w:jc w:val="both"/>
      </w:pPr>
    </w:p>
    <w:p w14:paraId="3C9F52BF" w14:textId="697A9A53" w:rsidR="000C1D11" w:rsidRDefault="000C1D11" w:rsidP="000C1D11">
      <w:pPr>
        <w:jc w:val="both"/>
      </w:pPr>
      <w:r>
        <w:t xml:space="preserve">A nivel de los diferentes rubros por cuenta económica del gasto, se puede observar que el rubro que reporta el mayor crecimiento interanual en términos absolutos, </w:t>
      </w:r>
      <w:r w:rsidR="006C56A2">
        <w:t xml:space="preserve">es el de </w:t>
      </w:r>
      <w:r>
        <w:t xml:space="preserve">transferencias corrientes con Q6,579.4 millones, </w:t>
      </w:r>
      <w:r w:rsidR="006C56A2">
        <w:t xml:space="preserve">cuyo desglose muestra que las </w:t>
      </w:r>
      <w:r>
        <w:t>transferencias al sector privado concentran el mayor crecimiento, derivado que el Ministerio de Energía y Minas realizó transferencias hacia empresas privadas por concepto del subsidio al precio del gas propano y de las gasolinas y diésel. Es importante considerar que, los subsidios sufrieron diferentes prórrogas durante el 2022, derivado del incremento de los precios internacionales, con repercusiones en la economía nacional.</w:t>
      </w:r>
    </w:p>
    <w:p w14:paraId="47363BF5" w14:textId="77777777" w:rsidR="000C1D11" w:rsidRDefault="000C1D11" w:rsidP="000C1D11">
      <w:pPr>
        <w:jc w:val="both"/>
      </w:pPr>
    </w:p>
    <w:p w14:paraId="06A7064A" w14:textId="77777777" w:rsidR="000C1D11" w:rsidRDefault="000C1D11" w:rsidP="000C1D11">
      <w:pPr>
        <w:jc w:val="both"/>
      </w:pPr>
      <w:r>
        <w:t xml:space="preserve">Seguidamente, los bienes y servicios reportaron un crecimiento interanual de 28.2%, equivalente a Q3,875.9 millones, siendo el Ministerio de Comunicaciones, Infraestructura y Vivienda, la entidad que reporta el mayor dinamismo en este rubro derivado de intervenciones en el mantenimiento y reparación de carreteras y puentes, que fueron afectados por un invierno más copioso, con daños significativos en la infraestructura nacional y estratégica. </w:t>
      </w:r>
    </w:p>
    <w:p w14:paraId="50A90805" w14:textId="77777777" w:rsidR="000C1D11" w:rsidRDefault="000C1D11" w:rsidP="000C1D11">
      <w:pPr>
        <w:jc w:val="both"/>
      </w:pPr>
    </w:p>
    <w:p w14:paraId="436B69BF" w14:textId="09FBEC43" w:rsidR="00F1655E" w:rsidRDefault="000C1D11" w:rsidP="000C1D11">
      <w:pPr>
        <w:jc w:val="both"/>
      </w:pPr>
      <w:r>
        <w:t>Luego se encuentra el Ministerio de Economía, con un incremento de Q362.9 millones, el cual concentra las sentencias judiciales, entre otras, el pago por una demanda en contra del Estado de Guatemala. Asimismo, el Ministerio de Gobernación reporta un incremento de Q360.9 millones por combustibles y lubricantes, otros servicios, prendas de vestir, entre otros.</w:t>
      </w:r>
    </w:p>
    <w:p w14:paraId="42BEE567" w14:textId="4F3D2441" w:rsidR="000C1D11" w:rsidRDefault="00D0069E" w:rsidP="000C1D11">
      <w:pPr>
        <w:jc w:val="both"/>
      </w:pPr>
      <w:r>
        <w:rPr>
          <w:noProof/>
          <w:lang w:val="es-MX"/>
        </w:rPr>
        <mc:AlternateContent>
          <mc:Choice Requires="wps">
            <w:drawing>
              <wp:anchor distT="0" distB="0" distL="114300" distR="114300" simplePos="0" relativeHeight="251679744" behindDoc="0" locked="0" layoutInCell="1" allowOverlap="1" wp14:anchorId="77A4A30F" wp14:editId="334622CB">
                <wp:simplePos x="0" y="0"/>
                <wp:positionH relativeFrom="column">
                  <wp:posOffset>1905</wp:posOffset>
                </wp:positionH>
                <wp:positionV relativeFrom="paragraph">
                  <wp:posOffset>175895</wp:posOffset>
                </wp:positionV>
                <wp:extent cx="5552440" cy="5800725"/>
                <wp:effectExtent l="0" t="0" r="10160" b="28575"/>
                <wp:wrapSquare wrapText="bothSides"/>
                <wp:docPr id="253" name="Text Box 5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2440" cy="5800725"/>
                        </a:xfrm>
                        <a:prstGeom prst="rect">
                          <a:avLst/>
                        </a:prstGeom>
                        <a:solidFill>
                          <a:schemeClr val="accent1">
                            <a:lumMod val="20000"/>
                            <a:lumOff val="80000"/>
                          </a:schemeClr>
                        </a:solidFill>
                        <a:ln w="9525">
                          <a:solidFill>
                            <a:srgbClr val="000000"/>
                          </a:solidFill>
                          <a:miter lim="800000"/>
                          <a:headEnd/>
                          <a:tailEnd/>
                        </a:ln>
                      </wps:spPr>
                      <wps:txbx>
                        <w:txbxContent>
                          <w:p w14:paraId="36A6F7EC" w14:textId="731B9F0A" w:rsidR="00965FB8" w:rsidRPr="00965FB8" w:rsidRDefault="00965FB8" w:rsidP="00965FB8">
                            <w:pPr>
                              <w:pStyle w:val="Descripcin"/>
                              <w:spacing w:after="0"/>
                              <w:jc w:val="center"/>
                              <w:rPr>
                                <w:b/>
                                <w:bCs/>
                                <w:i w:val="0"/>
                                <w:iCs w:val="0"/>
                                <w:color w:val="auto"/>
                                <w:sz w:val="22"/>
                                <w:szCs w:val="22"/>
                              </w:rPr>
                            </w:pPr>
                            <w:r w:rsidRPr="00965FB8">
                              <w:rPr>
                                <w:b/>
                                <w:bCs/>
                                <w:i w:val="0"/>
                                <w:iCs w:val="0"/>
                                <w:color w:val="auto"/>
                                <w:sz w:val="22"/>
                                <w:szCs w:val="22"/>
                              </w:rPr>
                              <w:t xml:space="preserve">Recuadro </w:t>
                            </w:r>
                            <w:r w:rsidRPr="00965FB8">
                              <w:rPr>
                                <w:b/>
                                <w:bCs/>
                                <w:i w:val="0"/>
                                <w:iCs w:val="0"/>
                                <w:color w:val="auto"/>
                                <w:sz w:val="22"/>
                                <w:szCs w:val="22"/>
                              </w:rPr>
                              <w:fldChar w:fldCharType="begin"/>
                            </w:r>
                            <w:r w:rsidRPr="00965FB8">
                              <w:rPr>
                                <w:b/>
                                <w:bCs/>
                                <w:i w:val="0"/>
                                <w:iCs w:val="0"/>
                                <w:color w:val="auto"/>
                                <w:sz w:val="22"/>
                                <w:szCs w:val="22"/>
                              </w:rPr>
                              <w:instrText xml:space="preserve"> SEQ Recuadro \* ARABIC </w:instrText>
                            </w:r>
                            <w:r w:rsidRPr="00965FB8">
                              <w:rPr>
                                <w:b/>
                                <w:bCs/>
                                <w:i w:val="0"/>
                                <w:iCs w:val="0"/>
                                <w:color w:val="auto"/>
                                <w:sz w:val="22"/>
                                <w:szCs w:val="22"/>
                              </w:rPr>
                              <w:fldChar w:fldCharType="separate"/>
                            </w:r>
                            <w:r w:rsidR="006622B2">
                              <w:rPr>
                                <w:b/>
                                <w:bCs/>
                                <w:i w:val="0"/>
                                <w:iCs w:val="0"/>
                                <w:noProof/>
                                <w:color w:val="auto"/>
                                <w:sz w:val="22"/>
                                <w:szCs w:val="22"/>
                              </w:rPr>
                              <w:t>3</w:t>
                            </w:r>
                            <w:r w:rsidRPr="00965FB8">
                              <w:rPr>
                                <w:b/>
                                <w:bCs/>
                                <w:i w:val="0"/>
                                <w:iCs w:val="0"/>
                                <w:color w:val="auto"/>
                                <w:sz w:val="22"/>
                                <w:szCs w:val="22"/>
                              </w:rPr>
                              <w:fldChar w:fldCharType="end"/>
                            </w:r>
                            <w:r w:rsidRPr="00965FB8">
                              <w:rPr>
                                <w:b/>
                                <w:bCs/>
                                <w:i w:val="0"/>
                                <w:iCs w:val="0"/>
                                <w:color w:val="auto"/>
                                <w:sz w:val="22"/>
                                <w:szCs w:val="22"/>
                              </w:rPr>
                              <w:t>.  Pago a favor de la empresa Teco Guatemala Holdings por US$46.0 millones</w:t>
                            </w:r>
                          </w:p>
                          <w:p w14:paraId="290A8657" w14:textId="77777777" w:rsidR="00D0069E" w:rsidRPr="00CB0BEF" w:rsidRDefault="00D0069E" w:rsidP="00D0069E">
                            <w:pPr>
                              <w:jc w:val="both"/>
                              <w:rPr>
                                <w:sz w:val="20"/>
                                <w:szCs w:val="20"/>
                                <w:lang w:val="es-MX"/>
                              </w:rPr>
                            </w:pPr>
                            <w:r w:rsidRPr="00CB0BEF">
                              <w:rPr>
                                <w:sz w:val="20"/>
                                <w:szCs w:val="20"/>
                                <w:lang w:val="es-MX"/>
                              </w:rPr>
                              <w:t>Con la aprobación del Tratado de Libre Comercio entre la República Dominicana, Centroamérica y EE.UU., se aprueba también el Convenio sobre Arreglo de Diferencias Relativas a Inversiones entre Estados y Nacionales de otros Estados, los cuales establecen el arbitraje internacional de inversión como método para resolver litigios o controversias entre los Estados Parte y los inversionistas extranjeros protegidos, que incluye un laudo obligatorio para las partes.</w:t>
                            </w:r>
                          </w:p>
                          <w:p w14:paraId="13D07D24" w14:textId="77777777" w:rsidR="00D0069E" w:rsidRPr="00CB0BEF" w:rsidRDefault="00D0069E" w:rsidP="00D0069E">
                            <w:pPr>
                              <w:jc w:val="both"/>
                              <w:rPr>
                                <w:sz w:val="20"/>
                                <w:szCs w:val="20"/>
                                <w:lang w:val="es-MX"/>
                              </w:rPr>
                            </w:pPr>
                          </w:p>
                          <w:p w14:paraId="405D9722" w14:textId="77777777" w:rsidR="00D0069E" w:rsidRPr="00CB0BEF" w:rsidRDefault="00D0069E" w:rsidP="00D0069E">
                            <w:pPr>
                              <w:jc w:val="both"/>
                              <w:rPr>
                                <w:sz w:val="20"/>
                                <w:szCs w:val="20"/>
                                <w:lang w:val="es-MX"/>
                              </w:rPr>
                            </w:pPr>
                            <w:r w:rsidRPr="00CB0BEF">
                              <w:rPr>
                                <w:sz w:val="20"/>
                                <w:szCs w:val="20"/>
                                <w:lang w:val="es-MX"/>
                              </w:rPr>
                              <w:t>En este contexto, un tribunal arbitral determinó que la República de Guatemala debía pagar a la entidad Teco Guatemala Holdings LLC, la suma de US$64.7 millones (al 19 de octubre de 2022), por el incumplimiento de las normas jurídicas, derivado del proceso de fijación de tarifas de distribución de energía eléctrica para el quinquenio 2008-2013 realizado por la Comisión Nacional de Energía Eléctrica.</w:t>
                            </w:r>
                          </w:p>
                          <w:p w14:paraId="617BD103" w14:textId="77777777" w:rsidR="00D0069E" w:rsidRPr="00CB0BEF" w:rsidRDefault="00D0069E" w:rsidP="00D0069E">
                            <w:pPr>
                              <w:jc w:val="both"/>
                              <w:rPr>
                                <w:sz w:val="20"/>
                                <w:szCs w:val="20"/>
                                <w:lang w:val="es-MX"/>
                              </w:rPr>
                            </w:pPr>
                          </w:p>
                          <w:p w14:paraId="660E3BE0" w14:textId="78F8E528" w:rsidR="00D0069E" w:rsidRPr="00CB0BEF" w:rsidRDefault="00D0069E" w:rsidP="00D0069E">
                            <w:pPr>
                              <w:jc w:val="both"/>
                              <w:rPr>
                                <w:sz w:val="20"/>
                                <w:szCs w:val="20"/>
                                <w:lang w:val="es-MX"/>
                              </w:rPr>
                            </w:pPr>
                            <w:r w:rsidRPr="00CB0BEF">
                              <w:rPr>
                                <w:sz w:val="20"/>
                                <w:szCs w:val="20"/>
                                <w:lang w:val="es-MX"/>
                              </w:rPr>
                              <w:t>Derivado de esto, se determinó</w:t>
                            </w:r>
                            <w:r w:rsidR="006C56A2" w:rsidRPr="00CB0BEF">
                              <w:rPr>
                                <w:sz w:val="20"/>
                                <w:szCs w:val="20"/>
                                <w:lang w:val="es-MX"/>
                              </w:rPr>
                              <w:t>,</w:t>
                            </w:r>
                            <w:r w:rsidRPr="00CB0BEF">
                              <w:rPr>
                                <w:sz w:val="20"/>
                                <w:szCs w:val="20"/>
                                <w:lang w:val="es-MX"/>
                              </w:rPr>
                              <w:t xml:space="preserve"> a través de análisis técnicos y jurídicos, la conveniencia a los intereses del Estado de finalizar el litigio por medio de una transacción y así evitar nuevas demandas internacionales y gastos legales adicionales, reduciendo la suma adeudada y prevenir procesos de ejecución en contra de Guatemala en jurisdicciones extranjeras. </w:t>
                            </w:r>
                          </w:p>
                          <w:p w14:paraId="4B1BEDC5" w14:textId="77777777" w:rsidR="00D0069E" w:rsidRPr="00CB0BEF" w:rsidRDefault="00D0069E" w:rsidP="00D0069E">
                            <w:pPr>
                              <w:jc w:val="both"/>
                              <w:rPr>
                                <w:sz w:val="20"/>
                                <w:szCs w:val="20"/>
                                <w:lang w:val="es-MX"/>
                              </w:rPr>
                            </w:pPr>
                          </w:p>
                          <w:p w14:paraId="097D7FE7" w14:textId="7F7C2025" w:rsidR="00D0069E" w:rsidRPr="00CB0BEF" w:rsidRDefault="00D0069E" w:rsidP="00D0069E">
                            <w:pPr>
                              <w:jc w:val="both"/>
                              <w:rPr>
                                <w:sz w:val="20"/>
                                <w:szCs w:val="20"/>
                                <w:lang w:val="es-MX"/>
                              </w:rPr>
                            </w:pPr>
                            <w:r w:rsidRPr="00CB0BEF">
                              <w:rPr>
                                <w:sz w:val="20"/>
                                <w:szCs w:val="20"/>
                                <w:lang w:val="es-MX"/>
                              </w:rPr>
                              <w:t>Por medio del Acuerdo Gubernativo 282-2022, Guatemala, por conducto del Ministerio de Economía</w:t>
                            </w:r>
                            <w:r w:rsidR="006C56A2" w:rsidRPr="00CB0BEF">
                              <w:rPr>
                                <w:sz w:val="20"/>
                                <w:szCs w:val="20"/>
                                <w:lang w:val="es-MX"/>
                              </w:rPr>
                              <w:t>,</w:t>
                            </w:r>
                            <w:r w:rsidRPr="00CB0BEF">
                              <w:rPr>
                                <w:sz w:val="20"/>
                                <w:szCs w:val="20"/>
                                <w:lang w:val="es-MX"/>
                              </w:rPr>
                              <w:t xml:space="preserve"> realizó un proceso de negociación con Teco Guatemala Holdings LLC, acordando las bases para cerrar la controversia internacional, otorgándose concesiones recíprocas. </w:t>
                            </w:r>
                          </w:p>
                          <w:p w14:paraId="2EA07286" w14:textId="77777777" w:rsidR="00D0069E" w:rsidRPr="00CB0BEF" w:rsidRDefault="00D0069E" w:rsidP="00D0069E">
                            <w:pPr>
                              <w:jc w:val="both"/>
                              <w:rPr>
                                <w:sz w:val="20"/>
                                <w:szCs w:val="20"/>
                                <w:lang w:val="es-MX"/>
                              </w:rPr>
                            </w:pPr>
                          </w:p>
                          <w:p w14:paraId="5C563B98" w14:textId="77777777" w:rsidR="00D0069E" w:rsidRPr="00CB0BEF" w:rsidRDefault="00D0069E" w:rsidP="00D0069E">
                            <w:pPr>
                              <w:jc w:val="both"/>
                              <w:rPr>
                                <w:sz w:val="20"/>
                                <w:szCs w:val="20"/>
                                <w:lang w:val="es-MX"/>
                              </w:rPr>
                            </w:pPr>
                            <w:r w:rsidRPr="00CB0BEF">
                              <w:rPr>
                                <w:sz w:val="20"/>
                                <w:szCs w:val="20"/>
                                <w:lang w:val="es-MX"/>
                              </w:rPr>
                              <w:t>En las bases de la transacción se dispuso que Teco otorgara una reducción de US$18.7 millones a favor de Guatemala del monto indemnizatorio por el caso CIADI No. ARB/10/23. Asimismo, Teco aceptaría de forma expresa e irrevocable que el monto que Guatemala debía pagar a su favor era de US$46.0 millones.</w:t>
                            </w:r>
                          </w:p>
                          <w:p w14:paraId="733929E8" w14:textId="77777777" w:rsidR="00D0069E" w:rsidRPr="00CB0BEF" w:rsidRDefault="00D0069E" w:rsidP="00D0069E">
                            <w:pPr>
                              <w:jc w:val="both"/>
                              <w:rPr>
                                <w:sz w:val="20"/>
                                <w:szCs w:val="20"/>
                                <w:lang w:val="es-MX"/>
                              </w:rPr>
                            </w:pPr>
                          </w:p>
                          <w:p w14:paraId="73099480" w14:textId="77777777" w:rsidR="00D0069E" w:rsidRPr="00CB0BEF" w:rsidRDefault="00D0069E" w:rsidP="00D0069E">
                            <w:pPr>
                              <w:jc w:val="both"/>
                              <w:rPr>
                                <w:sz w:val="20"/>
                                <w:szCs w:val="20"/>
                                <w:lang w:val="es-MX"/>
                              </w:rPr>
                            </w:pPr>
                            <w:r w:rsidRPr="00CB0BEF">
                              <w:rPr>
                                <w:sz w:val="20"/>
                                <w:szCs w:val="20"/>
                                <w:lang w:val="es-MX"/>
                              </w:rPr>
                              <w:t>Una vez realizado el pago por US$46 millones, Teco renunciaría a cualquier pretensión, reclamo, potencial reclamo, demanda, derecho u acción de cualquier naturaleza ante foro judicial, extrajudicial, arbitral, o de otra naturaleza a nivel nacional o internacional en contra de Guatemala.</w:t>
                            </w:r>
                          </w:p>
                          <w:p w14:paraId="5192F001" w14:textId="77777777" w:rsidR="00D0069E" w:rsidRPr="00CB0BEF" w:rsidRDefault="00D0069E" w:rsidP="00D0069E">
                            <w:pPr>
                              <w:jc w:val="both"/>
                              <w:rPr>
                                <w:sz w:val="20"/>
                                <w:szCs w:val="20"/>
                                <w:lang w:val="es-MX"/>
                              </w:rPr>
                            </w:pPr>
                          </w:p>
                          <w:p w14:paraId="0D0E39CC" w14:textId="77777777" w:rsidR="00D0069E" w:rsidRPr="00CB0BEF" w:rsidRDefault="00D0069E" w:rsidP="00D0069E">
                            <w:pPr>
                              <w:jc w:val="both"/>
                              <w:rPr>
                                <w:sz w:val="20"/>
                                <w:szCs w:val="20"/>
                                <w:lang w:val="es-MX"/>
                              </w:rPr>
                            </w:pPr>
                            <w:r w:rsidRPr="00CB0BEF">
                              <w:rPr>
                                <w:sz w:val="20"/>
                                <w:szCs w:val="20"/>
                                <w:lang w:val="es-MX"/>
                              </w:rPr>
                              <w:t xml:space="preserve">En virtud de lo anterior, el Estado de Guatemala pagó a favor de Teco la suma de US$46 millones, para satisfacer absoluta y definitivamente el laudo denominado nueva sumisión y la decisión suplementaria del arbitraje Teco Guatemala Holdings LLC contra la República de Guatemala, Caso CIADI No. ARB/10/23. </w:t>
                            </w:r>
                          </w:p>
                          <w:p w14:paraId="75CBFC01" w14:textId="77777777" w:rsidR="00D0069E" w:rsidRPr="00CB0BEF" w:rsidRDefault="00D0069E" w:rsidP="00D0069E">
                            <w:pPr>
                              <w:jc w:val="both"/>
                              <w:rPr>
                                <w:lang w:val="es-MX"/>
                              </w:rPr>
                            </w:pPr>
                          </w:p>
                          <w:p w14:paraId="2D8FBBB5" w14:textId="57EA2BF1" w:rsidR="00D0069E" w:rsidRPr="00B77381" w:rsidRDefault="00D0069E" w:rsidP="00D0069E">
                            <w:pPr>
                              <w:jc w:val="both"/>
                              <w:rPr>
                                <w:sz w:val="18"/>
                                <w:szCs w:val="18"/>
                                <w:lang w:val="es-MX"/>
                              </w:rPr>
                            </w:pPr>
                            <w:r w:rsidRPr="00CB0BEF">
                              <w:rPr>
                                <w:sz w:val="20"/>
                                <w:szCs w:val="20"/>
                                <w:lang w:val="es-MX"/>
                              </w:rPr>
                              <w:t>El pago se realizó por medio del Viceministerio de Integración y Comercio Exterior del Ministerio de Economía, re</w:t>
                            </w:r>
                            <w:r w:rsidR="006C56A2" w:rsidRPr="00CB0BEF">
                              <w:rPr>
                                <w:sz w:val="20"/>
                                <w:szCs w:val="20"/>
                                <w:lang w:val="es-MX"/>
                              </w:rPr>
                              <w:t>n</w:t>
                            </w:r>
                            <w:r w:rsidRPr="00CB0BEF">
                              <w:rPr>
                                <w:sz w:val="20"/>
                                <w:szCs w:val="20"/>
                                <w:lang w:val="es-MX"/>
                              </w:rPr>
                              <w:t>glón 913 sentencias judiciales, siendo financiado con las fuentes de financiamiento disponibles, fue un solo pago, mediante transferencia a la cuenta bancaria designada por Teco, con fecha límite del 22 de diciembre 2022</w:t>
                            </w:r>
                            <w:r w:rsidRPr="00B77381">
                              <w:rPr>
                                <w:sz w:val="18"/>
                                <w:szCs w:val="18"/>
                                <w:lang w:val="es-MX"/>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A4A30F" id="Text Box 5048" o:spid="_x0000_s1035" type="#_x0000_t202" style="position:absolute;left:0;text-align:left;margin-left:.15pt;margin-top:13.85pt;width:437.2pt;height:456.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" fillcolor="#d9e2f3 [660]">
                <v:textbox>
                  <w:txbxContent>
                    <w:p w14:paraId="36A6F7EC" w14:textId="731B9F0A" w:rsidR="00965FB8" w:rsidRPr="00965FB8" w:rsidRDefault="00965FB8" w:rsidP="00965FB8">
                      <w:pPr>
                        <w:pStyle w:val="Descripcin"/>
                        <w:spacing w:after="0"/>
                        <w:jc w:val="center"/>
                        <w:rPr>
                          <w:b/>
                          <w:bCs/>
                          <w:i w:val="0"/>
                          <w:iCs w:val="0"/>
                          <w:color w:val="auto"/>
                          <w:sz w:val="22"/>
                          <w:szCs w:val="22"/>
                        </w:rPr>
                      </w:pPr>
                      <w:r w:rsidRPr="00965FB8">
                        <w:rPr>
                          <w:b/>
                          <w:bCs/>
                          <w:i w:val="0"/>
                          <w:iCs w:val="0"/>
                          <w:color w:val="auto"/>
                          <w:sz w:val="22"/>
                          <w:szCs w:val="22"/>
                        </w:rPr>
                        <w:t xml:space="preserve">Recuadro </w:t>
                      </w:r>
                      <w:r w:rsidRPr="00965FB8">
                        <w:rPr>
                          <w:b/>
                          <w:bCs/>
                          <w:i w:val="0"/>
                          <w:iCs w:val="0"/>
                          <w:color w:val="auto"/>
                          <w:sz w:val="22"/>
                          <w:szCs w:val="22"/>
                        </w:rPr>
                        <w:fldChar w:fldCharType="begin"/>
                      </w:r>
                      <w:r w:rsidRPr="00965FB8">
                        <w:rPr>
                          <w:b/>
                          <w:bCs/>
                          <w:i w:val="0"/>
                          <w:iCs w:val="0"/>
                          <w:color w:val="auto"/>
                          <w:sz w:val="22"/>
                          <w:szCs w:val="22"/>
                        </w:rPr>
                        <w:instrText xml:space="preserve"> SEQ Recuadro \* ARABIC </w:instrText>
                      </w:r>
                      <w:r w:rsidRPr="00965FB8">
                        <w:rPr>
                          <w:b/>
                          <w:bCs/>
                          <w:i w:val="0"/>
                          <w:iCs w:val="0"/>
                          <w:color w:val="auto"/>
                          <w:sz w:val="22"/>
                          <w:szCs w:val="22"/>
                        </w:rPr>
                        <w:fldChar w:fldCharType="separate"/>
                      </w:r>
                      <w:r w:rsidR="006622B2">
                        <w:rPr>
                          <w:b/>
                          <w:bCs/>
                          <w:i w:val="0"/>
                          <w:iCs w:val="0"/>
                          <w:noProof/>
                          <w:color w:val="auto"/>
                          <w:sz w:val="22"/>
                          <w:szCs w:val="22"/>
                        </w:rPr>
                        <w:t>3</w:t>
                      </w:r>
                      <w:r w:rsidRPr="00965FB8">
                        <w:rPr>
                          <w:b/>
                          <w:bCs/>
                          <w:i w:val="0"/>
                          <w:iCs w:val="0"/>
                          <w:color w:val="auto"/>
                          <w:sz w:val="22"/>
                          <w:szCs w:val="22"/>
                        </w:rPr>
                        <w:fldChar w:fldCharType="end"/>
                      </w:r>
                      <w:r w:rsidRPr="00965FB8">
                        <w:rPr>
                          <w:b/>
                          <w:bCs/>
                          <w:i w:val="0"/>
                          <w:iCs w:val="0"/>
                          <w:color w:val="auto"/>
                          <w:sz w:val="22"/>
                          <w:szCs w:val="22"/>
                        </w:rPr>
                        <w:t>.  Pago a favor de la empresa Teco Guatemala Holdings por US$46.0 millones</w:t>
                      </w:r>
                    </w:p>
                    <w:p w14:paraId="290A8657" w14:textId="77777777" w:rsidR="00D0069E" w:rsidRPr="00CB0BEF" w:rsidRDefault="00D0069E" w:rsidP="00D0069E">
                      <w:pPr>
                        <w:jc w:val="both"/>
                        <w:rPr>
                          <w:sz w:val="20"/>
                          <w:szCs w:val="20"/>
                          <w:lang w:val="es-MX"/>
                        </w:rPr>
                      </w:pPr>
                      <w:r w:rsidRPr="00CB0BEF">
                        <w:rPr>
                          <w:sz w:val="20"/>
                          <w:szCs w:val="20"/>
                          <w:lang w:val="es-MX"/>
                        </w:rPr>
                        <w:t>Con la aprobación del Tratado de Libre Comercio entre la República Dominicana, Centroamérica y EE.UU., se aprueba también el Convenio sobre Arreglo de Diferencias Relativas a Inversiones entre Estados y Nacionales de otros Estados, los cuales establecen el arbitraje internacional de inversión como método para resolver litigios o controversias entre los Estados Parte y los inversionistas extranjeros protegidos, que incluye un laudo obligatorio para las partes.</w:t>
                      </w:r>
                    </w:p>
                    <w:p w14:paraId="13D07D24" w14:textId="77777777" w:rsidR="00D0069E" w:rsidRPr="00CB0BEF" w:rsidRDefault="00D0069E" w:rsidP="00D0069E">
                      <w:pPr>
                        <w:jc w:val="both"/>
                        <w:rPr>
                          <w:sz w:val="20"/>
                          <w:szCs w:val="20"/>
                          <w:lang w:val="es-MX"/>
                        </w:rPr>
                      </w:pPr>
                    </w:p>
                    <w:p w14:paraId="405D9722" w14:textId="77777777" w:rsidR="00D0069E" w:rsidRPr="00CB0BEF" w:rsidRDefault="00D0069E" w:rsidP="00D0069E">
                      <w:pPr>
                        <w:jc w:val="both"/>
                        <w:rPr>
                          <w:sz w:val="20"/>
                          <w:szCs w:val="20"/>
                          <w:lang w:val="es-MX"/>
                        </w:rPr>
                      </w:pPr>
                      <w:r w:rsidRPr="00CB0BEF">
                        <w:rPr>
                          <w:sz w:val="20"/>
                          <w:szCs w:val="20"/>
                          <w:lang w:val="es-MX"/>
                        </w:rPr>
                        <w:t>En este contexto, un tribunal arbitral determinó que la República de Guatemala debía pagar a la entidad Teco Guatemala Holdings LLC, la suma de US$64.7 millones (al 19 de octubre de 2022), por el incumplimiento de las normas jurídicas, derivado del proceso de fijación de tarifas de distribución de energía eléctrica para el quinquenio 2008-2013 realizado por la Comisión Nacional de Energía Eléctrica.</w:t>
                      </w:r>
                    </w:p>
                    <w:p w14:paraId="617BD103" w14:textId="77777777" w:rsidR="00D0069E" w:rsidRPr="00CB0BEF" w:rsidRDefault="00D0069E" w:rsidP="00D0069E">
                      <w:pPr>
                        <w:jc w:val="both"/>
                        <w:rPr>
                          <w:sz w:val="20"/>
                          <w:szCs w:val="20"/>
                          <w:lang w:val="es-MX"/>
                        </w:rPr>
                      </w:pPr>
                    </w:p>
                    <w:p w14:paraId="660E3BE0" w14:textId="78F8E528" w:rsidR="00D0069E" w:rsidRPr="00CB0BEF" w:rsidRDefault="00D0069E" w:rsidP="00D0069E">
                      <w:pPr>
                        <w:jc w:val="both"/>
                        <w:rPr>
                          <w:sz w:val="20"/>
                          <w:szCs w:val="20"/>
                          <w:lang w:val="es-MX"/>
                        </w:rPr>
                      </w:pPr>
                      <w:r w:rsidRPr="00CB0BEF">
                        <w:rPr>
                          <w:sz w:val="20"/>
                          <w:szCs w:val="20"/>
                          <w:lang w:val="es-MX"/>
                        </w:rPr>
                        <w:t>Derivado de esto, se determinó</w:t>
                      </w:r>
                      <w:r w:rsidR="006C56A2" w:rsidRPr="00CB0BEF">
                        <w:rPr>
                          <w:sz w:val="20"/>
                          <w:szCs w:val="20"/>
                          <w:lang w:val="es-MX"/>
                        </w:rPr>
                        <w:t>,</w:t>
                      </w:r>
                      <w:r w:rsidRPr="00CB0BEF">
                        <w:rPr>
                          <w:sz w:val="20"/>
                          <w:szCs w:val="20"/>
                          <w:lang w:val="es-MX"/>
                        </w:rPr>
                        <w:t xml:space="preserve"> a través de análisis técnicos y jurídicos, la conveniencia a los intereses del Estado de finalizar el litigio por medio de una transacción y así evitar nuevas demandas internacionales y gastos legales adicionales, reduciendo la suma adeudada y prevenir procesos de ejecución en contra de Guatemala en jurisdicciones extranjeras. </w:t>
                      </w:r>
                    </w:p>
                    <w:p w14:paraId="4B1BEDC5" w14:textId="77777777" w:rsidR="00D0069E" w:rsidRPr="00CB0BEF" w:rsidRDefault="00D0069E" w:rsidP="00D0069E">
                      <w:pPr>
                        <w:jc w:val="both"/>
                        <w:rPr>
                          <w:sz w:val="20"/>
                          <w:szCs w:val="20"/>
                          <w:lang w:val="es-MX"/>
                        </w:rPr>
                      </w:pPr>
                    </w:p>
                    <w:p w14:paraId="097D7FE7" w14:textId="7F7C2025" w:rsidR="00D0069E" w:rsidRPr="00CB0BEF" w:rsidRDefault="00D0069E" w:rsidP="00D0069E">
                      <w:pPr>
                        <w:jc w:val="both"/>
                        <w:rPr>
                          <w:sz w:val="20"/>
                          <w:szCs w:val="20"/>
                          <w:lang w:val="es-MX"/>
                        </w:rPr>
                      </w:pPr>
                      <w:r w:rsidRPr="00CB0BEF">
                        <w:rPr>
                          <w:sz w:val="20"/>
                          <w:szCs w:val="20"/>
                          <w:lang w:val="es-MX"/>
                        </w:rPr>
                        <w:t>Por medio del Acuerdo Gubernativo 282-2022, Guatemala, por conducto del Ministerio de Economía</w:t>
                      </w:r>
                      <w:r w:rsidR="006C56A2" w:rsidRPr="00CB0BEF">
                        <w:rPr>
                          <w:sz w:val="20"/>
                          <w:szCs w:val="20"/>
                          <w:lang w:val="es-MX"/>
                        </w:rPr>
                        <w:t>,</w:t>
                      </w:r>
                      <w:r w:rsidRPr="00CB0BEF">
                        <w:rPr>
                          <w:sz w:val="20"/>
                          <w:szCs w:val="20"/>
                          <w:lang w:val="es-MX"/>
                        </w:rPr>
                        <w:t xml:space="preserve"> realizó un proceso de negociación con Teco Guatemala Holdings LLC, acordando las bases para cerrar la controversia internacional, otorgándose concesiones recíprocas. </w:t>
                      </w:r>
                    </w:p>
                    <w:p w14:paraId="2EA07286" w14:textId="77777777" w:rsidR="00D0069E" w:rsidRPr="00CB0BEF" w:rsidRDefault="00D0069E" w:rsidP="00D0069E">
                      <w:pPr>
                        <w:jc w:val="both"/>
                        <w:rPr>
                          <w:sz w:val="20"/>
                          <w:szCs w:val="20"/>
                          <w:lang w:val="es-MX"/>
                        </w:rPr>
                      </w:pPr>
                    </w:p>
                    <w:p w14:paraId="5C563B98" w14:textId="77777777" w:rsidR="00D0069E" w:rsidRPr="00CB0BEF" w:rsidRDefault="00D0069E" w:rsidP="00D0069E">
                      <w:pPr>
                        <w:jc w:val="both"/>
                        <w:rPr>
                          <w:sz w:val="20"/>
                          <w:szCs w:val="20"/>
                          <w:lang w:val="es-MX"/>
                        </w:rPr>
                      </w:pPr>
                      <w:r w:rsidRPr="00CB0BEF">
                        <w:rPr>
                          <w:sz w:val="20"/>
                          <w:szCs w:val="20"/>
                          <w:lang w:val="es-MX"/>
                        </w:rPr>
                        <w:t>En las bases de la transacción se dispuso que Teco otorgara una reducción de US$18.7 millones a favor de Guatemala del monto indemnizatorio por el caso CIADI No. ARB/10/23. Asimismo, Teco aceptaría de forma expresa e irrevocable que el monto que Guatemala debía pagar a su favor era de US$46.0 millones.</w:t>
                      </w:r>
                    </w:p>
                    <w:p w14:paraId="733929E8" w14:textId="77777777" w:rsidR="00D0069E" w:rsidRPr="00CB0BEF" w:rsidRDefault="00D0069E" w:rsidP="00D0069E">
                      <w:pPr>
                        <w:jc w:val="both"/>
                        <w:rPr>
                          <w:sz w:val="20"/>
                          <w:szCs w:val="20"/>
                          <w:lang w:val="es-MX"/>
                        </w:rPr>
                      </w:pPr>
                    </w:p>
                    <w:p w14:paraId="73099480" w14:textId="77777777" w:rsidR="00D0069E" w:rsidRPr="00CB0BEF" w:rsidRDefault="00D0069E" w:rsidP="00D0069E">
                      <w:pPr>
                        <w:jc w:val="both"/>
                        <w:rPr>
                          <w:sz w:val="20"/>
                          <w:szCs w:val="20"/>
                          <w:lang w:val="es-MX"/>
                        </w:rPr>
                      </w:pPr>
                      <w:r w:rsidRPr="00CB0BEF">
                        <w:rPr>
                          <w:sz w:val="20"/>
                          <w:szCs w:val="20"/>
                          <w:lang w:val="es-MX"/>
                        </w:rPr>
                        <w:t>Una vez realizado el pago por US$46 millones, Teco renunciaría a cualquier pretensión, reclamo, potencial reclamo, demanda, derecho u acción de cualquier naturaleza ante foro judicial, extrajudicial, arbitral, o de otra naturaleza a nivel nacional o internacional en contra de Guatemala.</w:t>
                      </w:r>
                    </w:p>
                    <w:p w14:paraId="5192F001" w14:textId="77777777" w:rsidR="00D0069E" w:rsidRPr="00CB0BEF" w:rsidRDefault="00D0069E" w:rsidP="00D0069E">
                      <w:pPr>
                        <w:jc w:val="both"/>
                        <w:rPr>
                          <w:sz w:val="20"/>
                          <w:szCs w:val="20"/>
                          <w:lang w:val="es-MX"/>
                        </w:rPr>
                      </w:pPr>
                    </w:p>
                    <w:p w14:paraId="0D0E39CC" w14:textId="77777777" w:rsidR="00D0069E" w:rsidRPr="00CB0BEF" w:rsidRDefault="00D0069E" w:rsidP="00D0069E">
                      <w:pPr>
                        <w:jc w:val="both"/>
                        <w:rPr>
                          <w:sz w:val="20"/>
                          <w:szCs w:val="20"/>
                          <w:lang w:val="es-MX"/>
                        </w:rPr>
                      </w:pPr>
                      <w:r w:rsidRPr="00CB0BEF">
                        <w:rPr>
                          <w:sz w:val="20"/>
                          <w:szCs w:val="20"/>
                          <w:lang w:val="es-MX"/>
                        </w:rPr>
                        <w:t xml:space="preserve">En virtud de lo anterior, el Estado de Guatemala pagó a favor de Teco la suma de US$46 millones, para satisfacer absoluta y definitivamente el laudo denominado nueva sumisión y la decisión suplementaria del arbitraje Teco Guatemala Holdings LLC contra la República de Guatemala, Caso CIADI No. ARB/10/23. </w:t>
                      </w:r>
                    </w:p>
                    <w:p w14:paraId="75CBFC01" w14:textId="77777777" w:rsidR="00D0069E" w:rsidRPr="00CB0BEF" w:rsidRDefault="00D0069E" w:rsidP="00D0069E">
                      <w:pPr>
                        <w:jc w:val="both"/>
                        <w:rPr>
                          <w:lang w:val="es-MX"/>
                        </w:rPr>
                      </w:pPr>
                    </w:p>
                    <w:p w14:paraId="2D8FBBB5" w14:textId="57EA2BF1" w:rsidR="00D0069E" w:rsidRPr="00B77381" w:rsidRDefault="00D0069E" w:rsidP="00D0069E">
                      <w:pPr>
                        <w:jc w:val="both"/>
                        <w:rPr>
                          <w:sz w:val="18"/>
                          <w:szCs w:val="18"/>
                          <w:lang w:val="es-MX"/>
                        </w:rPr>
                      </w:pPr>
                      <w:r w:rsidRPr="00CB0BEF">
                        <w:rPr>
                          <w:sz w:val="20"/>
                          <w:szCs w:val="20"/>
                          <w:lang w:val="es-MX"/>
                        </w:rPr>
                        <w:t>El pago se realizó por medio del Viceministerio de Integración y Comercio Exterior del Ministerio de Economía, re</w:t>
                      </w:r>
                      <w:r w:rsidR="006C56A2" w:rsidRPr="00CB0BEF">
                        <w:rPr>
                          <w:sz w:val="20"/>
                          <w:szCs w:val="20"/>
                          <w:lang w:val="es-MX"/>
                        </w:rPr>
                        <w:t>n</w:t>
                      </w:r>
                      <w:r w:rsidRPr="00CB0BEF">
                        <w:rPr>
                          <w:sz w:val="20"/>
                          <w:szCs w:val="20"/>
                          <w:lang w:val="es-MX"/>
                        </w:rPr>
                        <w:t>glón 913 sentencias judiciales, siendo financiado con las fuentes de financiamiento disponibles, fue un solo pago, mediante transferencia a la cuenta bancaria designada por Teco, con fecha límite del 22 de diciembre 2022</w:t>
                      </w:r>
                      <w:r w:rsidRPr="00B77381">
                        <w:rPr>
                          <w:sz w:val="18"/>
                          <w:szCs w:val="18"/>
                          <w:lang w:val="es-MX"/>
                        </w:rPr>
                        <w:t>.</w:t>
                      </w:r>
                    </w:p>
                  </w:txbxContent>
                </v:textbox>
                <w10:wrap type="square"/>
              </v:shape>
            </w:pict>
          </mc:Fallback>
        </mc:AlternateContent>
      </w:r>
    </w:p>
    <w:p w14:paraId="354FD939" w14:textId="534D3D4B" w:rsidR="00F1655E" w:rsidRDefault="00F1655E" w:rsidP="00F1655E">
      <w:pPr>
        <w:jc w:val="both"/>
      </w:pPr>
    </w:p>
    <w:p w14:paraId="236E4490" w14:textId="77777777" w:rsidR="00D0069E" w:rsidRDefault="00D0069E" w:rsidP="00D0069E">
      <w:pPr>
        <w:jc w:val="both"/>
      </w:pPr>
      <w:r>
        <w:t xml:space="preserve">Por su parte, el Ministerio de Salud Pública y Asistencia Social, es la entidad con la mayor caída en la adquisición de bienes y servicios (Q622.8 millones), lo cual se encuentra asociado a que en este rubro se registra la compra de la vacuna contra el COVID-19, siendo las compras por este concepto menores durante 2022. </w:t>
      </w:r>
    </w:p>
    <w:p w14:paraId="58490E85" w14:textId="77777777" w:rsidR="00D0069E" w:rsidRDefault="00D0069E" w:rsidP="00D0069E">
      <w:pPr>
        <w:jc w:val="both"/>
      </w:pPr>
    </w:p>
    <w:p w14:paraId="412129DC" w14:textId="68E6B60F" w:rsidR="006C56A2" w:rsidRDefault="00D0069E" w:rsidP="00D0069E">
      <w:pPr>
        <w:jc w:val="both"/>
      </w:pPr>
      <w:r>
        <w:t>En cuanto a las transferencias de capital, estas reportan un crecimiento de 16.7% (equivalente a Q1,975.2 millones), por las transferencias al sector público, resaltando las transferencias a las municipalidades con un aumento de Q1,196.2 millones y los Consejos de Desarrollo Urbano y Rural con un aumento de Q592.7 millones, lo cual se explica por el dinamismo de la recaudación tributaria que ha derivado en un aumento de los aportes institucionales provenientes de la recaudación tributaria.</w:t>
      </w:r>
    </w:p>
    <w:p w14:paraId="75E3564E" w14:textId="77777777" w:rsidR="00CB0BEF" w:rsidRDefault="00CB0BEF" w:rsidP="00D0069E">
      <w:pPr>
        <w:jc w:val="both"/>
      </w:pPr>
    </w:p>
    <w:p w14:paraId="4C54493D" w14:textId="4DA4AA2C" w:rsidR="00D0069E" w:rsidRDefault="00D0069E" w:rsidP="00D0069E">
      <w:pPr>
        <w:jc w:val="both"/>
      </w:pPr>
      <w:r>
        <w:t xml:space="preserve">Asimismo, las remuneraciones crecieron (4.6%), mayor al crecimiento observado durante 2021 (3.6%), esto se explica porque en el Ministerio de Educación se dio el mayor aumento en términos absolutos, siendo de Q808.8 millones. Hay que considerar que en 2021 no se dieron mejoras salariales, mientras que en marzo de 2022 se resolvió homologar el Pacto Colectivo de Condiciones de Trabajo, negociado y suscrito entre el Ministerio de Educación y el Sindicato de Trabajadores y Trabajadoras de la Educación de Guatemala (STEG), siendo la vigencia del pacto colectivo de 2 años. En el artículo 64 reajuste salarial, el Mineduc considera que la dignificación de los trabajadores es un elemento fundamental en la prestación de los servicios a la población en general. Si bien durante 2021 y 2022 no hubo reajustes salariales, en el presupuesto del 2023 habría un reajuste del 3% sobre el salario base; no obstante, lo relevante en esta homologación es un bono anual de Q2,500 en el mes de junio a partir del 2022. Por su parte, también se otorgará un reajuste al salario base de todos los trabajadores administrativos y de servicio que no superaran el salario mínimo vigente. </w:t>
      </w:r>
    </w:p>
    <w:p w14:paraId="588A76DC" w14:textId="77777777" w:rsidR="00D0069E" w:rsidRDefault="00D0069E" w:rsidP="00D0069E">
      <w:pPr>
        <w:jc w:val="both"/>
      </w:pPr>
    </w:p>
    <w:p w14:paraId="52FEBD9F" w14:textId="77777777" w:rsidR="00D0069E" w:rsidRDefault="00D0069E" w:rsidP="00D0069E">
      <w:pPr>
        <w:jc w:val="both"/>
      </w:pPr>
      <w:r>
        <w:t>Adicionalmente, se otorgó un bono de profesionalización que estuvo vigente desde el 01 de enero del 2022 por un monto mensual de Q700 para los docentes que se graduaron como profesores del Programa Académico de Desarrollo Profesional y Docente de Educación Física, siendo este bono otorgado también a los profesores egresados de la Formación Inicial Docente (FID).</w:t>
      </w:r>
    </w:p>
    <w:p w14:paraId="11BD6597" w14:textId="77777777" w:rsidR="00D0069E" w:rsidRDefault="00D0069E" w:rsidP="00D0069E">
      <w:pPr>
        <w:jc w:val="both"/>
      </w:pPr>
    </w:p>
    <w:p w14:paraId="29EF09C1" w14:textId="77777777" w:rsidR="00D0069E" w:rsidRDefault="00D0069E" w:rsidP="00D0069E">
      <w:pPr>
        <w:jc w:val="both"/>
      </w:pPr>
      <w:r>
        <w:t>En lo que respecta a la inversión real directa, tuvo un crecimiento de 23.9% (equivalente a Q888.3 millones), siendo la entidad que más aporta a este aumento el Ministerio de Salud Pública y Asistencia Social por construcciones de hospitales y centros de salud, seguido de mobiliario y equipo médico-sanitario y de laboratorio. Asimismo, el Ministerio de Defensa Nacional realizó compras de maquinaria y equipos (puentes con especificaciones militares) que contribuyeron a la inversión y el Ministerio de Educación realizó compras de equipo de cómputo.</w:t>
      </w:r>
    </w:p>
    <w:p w14:paraId="5255F7EB" w14:textId="77777777" w:rsidR="00D0069E" w:rsidRDefault="00D0069E" w:rsidP="00D0069E">
      <w:pPr>
        <w:jc w:val="both"/>
      </w:pPr>
    </w:p>
    <w:p w14:paraId="4714E529" w14:textId="77777777" w:rsidR="00D0069E" w:rsidRDefault="00D0069E" w:rsidP="00D0069E">
      <w:pPr>
        <w:jc w:val="both"/>
      </w:pPr>
      <w:r>
        <w:t xml:space="preserve">Por su parte, el Ministerio de Comunicaciones, Infraestructura y Vivienda reportó una contracción de 0.4%. En marzo fue aprobado el Decreto número 21-2022, “Ley para fortalecer el Mantenimiento y Construcción de Infraestructura Estratégica”, siendo el objeto apoyar el mantenimiento y construcción de infraestructura estratégica, así como la recuperación de la red vial, como un mecanismo de reactivación económica y generación de empleo. En junio, ante la necesidad de reorientar recursos, el Decreto número 21-2022 se modificó mediante el Decreto número 36-2022, que estableció un monto de hasta Q400 millones para destinarlos al fortalecimiento del Fondo Emergente, permitiendo mitigar los daños ocasionados por los fenómenos naturales que afectaron al país. Por ello, el presupuesto destinado a la infraestructura estratégica descendió. </w:t>
      </w:r>
    </w:p>
    <w:p w14:paraId="07A83A3A" w14:textId="77777777" w:rsidR="00D0069E" w:rsidRDefault="00D0069E" w:rsidP="00D0069E">
      <w:pPr>
        <w:jc w:val="both"/>
      </w:pPr>
    </w:p>
    <w:p w14:paraId="5BCE7EDD" w14:textId="4DEF6E6F" w:rsidR="00D0069E" w:rsidRDefault="00D0069E" w:rsidP="00D0069E">
      <w:pPr>
        <w:jc w:val="both"/>
      </w:pPr>
      <w:r>
        <w:t>En octubre fue aprobado el Decreto número 50-2022 por medio del cual se decreta estado de calamidad pública en todo el territorio por un plazo de 30 días.  En el mismo se dispone que el Ministerio de Comunicaciones debe poner a disposición del Fondo Emergente un monto de hasta Q540.0 millones de los recursos correspondientes al Decreto número 21-2022 “Ley para fortalecer el Mantenimiento y Construcción de Infraestructura Estratégica”. Por ello, el presupuesto destinado a este decreto descendió nuevamente y esto afect</w:t>
      </w:r>
      <w:r w:rsidR="006C56A2">
        <w:t>ó</w:t>
      </w:r>
      <w:r>
        <w:t xml:space="preserve"> la inversión real directa. No obstante, el Ministerio de Comunicaciones ha aumentado sus intervenciones en el mantenimiento de carreteras y puentes, lo cual se ve reflejado en el rubro de bienes y servicios.</w:t>
      </w:r>
    </w:p>
    <w:p w14:paraId="1BE5BC2E" w14:textId="77777777" w:rsidR="00D0069E" w:rsidRDefault="00D0069E" w:rsidP="00D0069E">
      <w:pPr>
        <w:jc w:val="both"/>
      </w:pPr>
    </w:p>
    <w:p w14:paraId="5770E6A9" w14:textId="756C7336" w:rsidR="00D0069E" w:rsidRDefault="00D0069E" w:rsidP="00D0069E">
      <w:pPr>
        <w:jc w:val="both"/>
      </w:pPr>
      <w:r>
        <w:t xml:space="preserve">Respecto a los intereses de la deuda pública, dicho rubro aumentó en Q726.4 millones a lo observado en 2021, de los cuales </w:t>
      </w:r>
      <w:r w:rsidR="006C56A2">
        <w:t>existe</w:t>
      </w:r>
      <w:r>
        <w:t xml:space="preserve"> un aumento en los intereses de la deuda interna por Q576.5 millones, por la mayor colocación de Bonos del Tesoro. Por su parte, los intereses de la deuda externa aumentaron en Q149.8 millones, principalmente por la colocación de Eurobonos.  Para final de año</w:t>
      </w:r>
      <w:r w:rsidR="006C56A2">
        <w:t>,</w:t>
      </w:r>
      <w:r>
        <w:t xml:space="preserve"> el tipo de cambio promedio mostró una depreciación lo que generó un aumento en el pago de intereses en moneda extranjera.</w:t>
      </w:r>
    </w:p>
    <w:p w14:paraId="214DB2D8" w14:textId="77777777" w:rsidR="00D0069E" w:rsidRDefault="00D0069E" w:rsidP="00D0069E">
      <w:pPr>
        <w:jc w:val="both"/>
      </w:pPr>
    </w:p>
    <w:p w14:paraId="3CD2CCF4" w14:textId="77777777" w:rsidR="00D0069E" w:rsidRDefault="00D0069E" w:rsidP="00D0069E">
      <w:pPr>
        <w:jc w:val="both"/>
      </w:pPr>
      <w:r>
        <w:t>Por su parte, las prestaciones a la seguridad social, que incluye el pago de pensiones y jubilaciones a los trabajadores del Estado, dan cuenta de un aumento de Q415.7 millones respecto a lo observado en 2021. En octubre se firmó y aprobó en Consejo de Ministros, un aumento del 10% para los beneficiarios del régimen de clases pasivas y civiles del Estado, por medio del Acuerdo Gubernativo Número 267-2022.  Dicho aumento en ningún caso podrá ser menor a Q300.00, esto con el propósito de dignificar a los servidores públicos, comenzando a regir a partir de noviembre 2022. El mayor efecto de este aumento se verá reflejado durante 2023.</w:t>
      </w:r>
    </w:p>
    <w:p w14:paraId="7E0D873A" w14:textId="77777777" w:rsidR="00D0069E" w:rsidRDefault="00D0069E" w:rsidP="00D0069E">
      <w:pPr>
        <w:jc w:val="both"/>
      </w:pPr>
    </w:p>
    <w:p w14:paraId="6809AD0F" w14:textId="79E1430D" w:rsidR="00D0069E" w:rsidRDefault="00D0069E" w:rsidP="00D0069E">
      <w:pPr>
        <w:jc w:val="both"/>
      </w:pPr>
      <w:r>
        <w:t>Por último, la inversión financiera sería el único rubro del gasto que reportaría contracción</w:t>
      </w:r>
      <w:r w:rsidR="006C56A2">
        <w:t xml:space="preserve">. </w:t>
      </w:r>
      <w:r>
        <w:t xml:space="preserve"> </w:t>
      </w:r>
      <w:r w:rsidR="006C56A2">
        <w:t xml:space="preserve">La </w:t>
      </w:r>
      <w:r>
        <w:t>caída se debe a que en 2021 se tuvo un aporte de capital mediante la compra de acciones y/o participaciones al Banco de Desarrollo Rural (Banrural)</w:t>
      </w:r>
      <w:r w:rsidR="00335878">
        <w:t xml:space="preserve"> por Q213.9 millones</w:t>
      </w:r>
      <w:r>
        <w:t xml:space="preserve">, mientras que en 2022 no se reportó ningún gasto relevante en dicho rubro. </w:t>
      </w:r>
    </w:p>
    <w:p w14:paraId="5641155B" w14:textId="77777777" w:rsidR="00D0069E" w:rsidRDefault="00D0069E" w:rsidP="00D0069E">
      <w:pPr>
        <w:jc w:val="both"/>
      </w:pPr>
    </w:p>
    <w:p w14:paraId="19DD1608" w14:textId="4774DEEF" w:rsidR="00D0069E" w:rsidRDefault="00D0069E" w:rsidP="00D0069E">
      <w:pPr>
        <w:jc w:val="both"/>
      </w:pPr>
      <w:r>
        <w:t xml:space="preserve">El grado de ejecución presupuestaria, a nivel institucional, se ubicó en </w:t>
      </w:r>
      <w:r w:rsidRPr="00151130">
        <w:t>Q108,593.1 millones</w:t>
      </w:r>
      <w:r w:rsidR="00151130">
        <w:t xml:space="preserve"> (incluyendo amortizaciones de la deuda pública)</w:t>
      </w:r>
      <w:r>
        <w:t xml:space="preserve">, equivalente a un grado de ejecución de 96.2%, siendo el nivel de ejecución más alto de los últimos 10 años. Es importante considerar que durante el ejercicio fiscal se dieron ampliaciones presupuestarias aprobadas por el Congreso de la República de Q6,710.4 millones, de las cuales el 45.2% corresponde a los apoyos temporales otorgados a la población guatemalteca, 47.6% corresponde a infraestructura estratégica y el 7.25% restante a otras ampliaciones a favor de Consejos Departamentales de Desarrollo y entidades del Estado. </w:t>
      </w:r>
    </w:p>
    <w:p w14:paraId="51A2FFCE" w14:textId="77777777" w:rsidR="00D0069E" w:rsidRDefault="00D0069E" w:rsidP="00D0069E">
      <w:pPr>
        <w:jc w:val="both"/>
      </w:pPr>
    </w:p>
    <w:p w14:paraId="3CA8EBCD" w14:textId="4AA8FB25" w:rsidR="00D0069E" w:rsidRDefault="00D0069E" w:rsidP="00D0069E">
      <w:pPr>
        <w:jc w:val="both"/>
      </w:pPr>
      <w:r>
        <w:t xml:space="preserve">Dentro de las entidades es posible observar una alta dispersión en el grado de ejecución presupuestaria, siendo la entidad que muestra el mayor grado de ejecución el Ministerio de Defensa Nacional con 99.9%, mientras que la entidad con el menor nivel de ejecución fue el Ministerio de Cultura y Deportes con 88.2%. El nivel de ejecución que reportan las entidades se encuentra asociado a la capacidad real de ejecución de cada institución, de las fuentes de financiamiento disponibles, de las prioridades nacionales y de variables exógenas como rigideces legales o institucionales. </w:t>
      </w:r>
      <w:r w:rsidR="002259C8">
        <w:t xml:space="preserve"> </w:t>
      </w:r>
      <w:r>
        <w:t xml:space="preserve">En el caso del Ministerio de Defensa Nacional, su ejecución estuvo impulsada principalmente porque todos los programas que implementa tuvieron ejecuciones superiores al 99%. Asimismo, el Servicio de la Deuda Pública tuvo una alta ejecución, 98.9%, siendo relevante dado que ahí se registra el pago de intereses, comisiones y amortizaciones de deuda pública por compromisos adquiridos con tenedores de títulos de deuda.  Es importante resaltar que durante el ejercicio fiscal no se colocaron Q5,149.4 millones correspondiente a bonos del tesoro, debido a la suficiente disponibilidad de recursos en caja y a que las presiones de gasto estaban cubiertas con las fuentes de financiamiento disponibles, esto sería ventajoso de cara al futuro ya que representaría un menor servicio de la deuda para los próximos años. </w:t>
      </w:r>
    </w:p>
    <w:p w14:paraId="376AF9A1" w14:textId="77777777" w:rsidR="00D0069E" w:rsidRDefault="00D0069E" w:rsidP="00D0069E">
      <w:pPr>
        <w:jc w:val="both"/>
      </w:pPr>
    </w:p>
    <w:p w14:paraId="1DF76D62" w14:textId="77777777" w:rsidR="00D0069E" w:rsidRDefault="00D0069E" w:rsidP="00D0069E">
      <w:pPr>
        <w:jc w:val="both"/>
      </w:pPr>
      <w:r>
        <w:t xml:space="preserve">Otras entidades cuyo nivel de ejecución se encuentra por arriba de la ejecución total son Relaciones Exteriores (99.3%), Energía y Minas (99.3%), Desarrollo Social (98.7%), Finanzas Públicas (98.6%), Educación (98.3%), Presidencia (97.7%), Gobernación (97.1%), PGN (97.0%), Trabajo (96.4%) y Economía (96.3%). </w:t>
      </w:r>
    </w:p>
    <w:p w14:paraId="382BFE8D" w14:textId="77777777" w:rsidR="00D0069E" w:rsidRDefault="00D0069E" w:rsidP="00D0069E">
      <w:pPr>
        <w:jc w:val="both"/>
      </w:pPr>
    </w:p>
    <w:p w14:paraId="0AD138AC" w14:textId="77777777" w:rsidR="00D0069E" w:rsidRDefault="00D0069E" w:rsidP="00D0069E">
      <w:pPr>
        <w:jc w:val="both"/>
      </w:pPr>
      <w:r>
        <w:t xml:space="preserve">En el caso del Ministerio de Trabajo, es importante mencionar la aprobación del Decreto número 04-2022, el cual contiene reformas al Decreto número 85-2005, Ley del Programa de Aporte Económico del Adulto Mayor, siendo un aporte económico mensual por parte del Estado, para aquellas personas que según el estudio socioeconómico sean elegibles. El aporte económico para cada uno de los beneficiarios que haya llenado los requisitos que establece esta Ley y su reglamento será de Q500.00 mensuales. El monto deberá ser revisado mediante estudios actuariales periódicamente tomando en consideración para el efecto, el número de beneficiarios y la situación financiera del programa. </w:t>
      </w:r>
    </w:p>
    <w:p w14:paraId="1777E2F9" w14:textId="77777777" w:rsidR="00D0069E" w:rsidRDefault="00D0069E" w:rsidP="00D0069E">
      <w:pPr>
        <w:jc w:val="both"/>
      </w:pPr>
    </w:p>
    <w:p w14:paraId="6D4B1EAE" w14:textId="77777777" w:rsidR="00D0069E" w:rsidRDefault="00D0069E" w:rsidP="00D0069E">
      <w:pPr>
        <w:jc w:val="both"/>
      </w:pPr>
      <w:r>
        <w:t>Con el objeto que el programa de Aporte Económico del Adulto Mayor cuente con los recursos económicos necesarios para su funcionamiento y cobertura, contará con las siguientes fuentes de financiamiento:</w:t>
      </w:r>
    </w:p>
    <w:p w14:paraId="75E4EA33" w14:textId="77777777" w:rsidR="00D0069E" w:rsidRDefault="00D0069E" w:rsidP="00D0069E">
      <w:pPr>
        <w:jc w:val="both"/>
      </w:pPr>
    </w:p>
    <w:p w14:paraId="7DBFD352" w14:textId="54348DB3" w:rsidR="0078088C" w:rsidRDefault="00D0069E" w:rsidP="00354A9C">
      <w:pPr>
        <w:pStyle w:val="Prrafodelista"/>
        <w:numPr>
          <w:ilvl w:val="0"/>
          <w:numId w:val="11"/>
        </w:numPr>
        <w:ind w:left="567"/>
        <w:jc w:val="both"/>
      </w:pPr>
      <w:r>
        <w:t>Una asignación anual mínima de Q820.0 millones que deberá aportar el Estado a partir del ejercicio fiscal 2022 y que deberá incluirse dentro de los presupuestos de ingresos y egresos de cada ejercicio fiscal</w:t>
      </w:r>
      <w:r w:rsidR="0078088C">
        <w:t>. La</w:t>
      </w:r>
      <w:r>
        <w:t xml:space="preserve"> fuente de financiamiento provendrá de los bonos del tesoro internos y externos e ingresos tributarios y saldos de caja y bancos que identifique el Ministerio de Finanzas Públicas para el efecto, de cuyo aporte se podrá destinar hasta el 3% para gastos de funcionamiento del programa. </w:t>
      </w:r>
    </w:p>
    <w:p w14:paraId="0AC33361" w14:textId="77777777" w:rsidR="00797EE6" w:rsidRDefault="00797EE6" w:rsidP="00797EE6">
      <w:pPr>
        <w:pStyle w:val="Prrafodelista"/>
        <w:ind w:left="567"/>
        <w:jc w:val="both"/>
      </w:pPr>
    </w:p>
    <w:p w14:paraId="28FFAB5F" w14:textId="034BB74A" w:rsidR="00D0069E" w:rsidRDefault="00D0069E" w:rsidP="00354A9C">
      <w:pPr>
        <w:pStyle w:val="Prrafodelista"/>
        <w:numPr>
          <w:ilvl w:val="0"/>
          <w:numId w:val="11"/>
        </w:numPr>
        <w:ind w:left="567"/>
        <w:jc w:val="both"/>
      </w:pPr>
      <w:r>
        <w:t xml:space="preserve">Donaciones y otros aportes que se reciban para el programa, de entidades nacionales y extranjeras. </w:t>
      </w:r>
    </w:p>
    <w:p w14:paraId="735E3160" w14:textId="77777777" w:rsidR="00D0069E" w:rsidRDefault="00D0069E" w:rsidP="00D0069E">
      <w:pPr>
        <w:jc w:val="both"/>
      </w:pPr>
    </w:p>
    <w:p w14:paraId="55353B10" w14:textId="749D9938" w:rsidR="00F1655E" w:rsidRDefault="00D0069E" w:rsidP="00D0069E">
      <w:pPr>
        <w:jc w:val="both"/>
      </w:pPr>
      <w:r>
        <w:t>Por ello, el programa con mayor crecimiento dentro de la entidad es el programa de atención al adulto mayor, el cual reporta un crecimiento interanual de 50.7%, equivalente a Q263.8 millones.</w:t>
      </w:r>
      <w:r w:rsidR="00CB0BEF">
        <w:t xml:space="preserve">  </w:t>
      </w:r>
      <w:r>
        <w:t>En el caso del Ministerio de Energía y Minas resalta que fue la entidad con el mayor crecimiento interanual, derivado que durante el año se aprobaron varias ampliaciones presupuestarias, lo cual provocó que el presupuesto de la entidad creciera en más de 30 veces su nivel inicial, esto por los apoyos temporales en el gas propano y las gasolinas, por el alza</w:t>
      </w:r>
      <w:r w:rsidR="00CA7052">
        <w:t xml:space="preserve"> </w:t>
      </w:r>
      <w:r>
        <w:t xml:space="preserve">de los precios, siendo una de las prioridades gubernamentales el apoyo a los hogares </w:t>
      </w:r>
      <w:r w:rsidR="00C71383">
        <w:rPr>
          <w:noProof/>
          <w:lang w:val="es-MX"/>
        </w:rPr>
        <mc:AlternateContent>
          <mc:Choice Requires="wps">
            <w:drawing>
              <wp:anchor distT="0" distB="0" distL="114300" distR="114300" simplePos="0" relativeHeight="251681792" behindDoc="0" locked="0" layoutInCell="1" allowOverlap="1" wp14:anchorId="2CA01103" wp14:editId="64C88B38">
                <wp:simplePos x="0" y="0"/>
                <wp:positionH relativeFrom="column">
                  <wp:posOffset>24130</wp:posOffset>
                </wp:positionH>
                <wp:positionV relativeFrom="paragraph">
                  <wp:posOffset>511810</wp:posOffset>
                </wp:positionV>
                <wp:extent cx="5552440" cy="5961380"/>
                <wp:effectExtent l="0" t="0" r="10160" b="20320"/>
                <wp:wrapSquare wrapText="bothSides"/>
                <wp:docPr id="1" name="Text Box 5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2440" cy="5961380"/>
                        </a:xfrm>
                        <a:prstGeom prst="rect">
                          <a:avLst/>
                        </a:prstGeom>
                        <a:solidFill>
                          <a:schemeClr val="accent1">
                            <a:lumMod val="20000"/>
                            <a:lumOff val="80000"/>
                          </a:schemeClr>
                        </a:solidFill>
                        <a:ln w="9525">
                          <a:solidFill>
                            <a:srgbClr val="000000"/>
                          </a:solidFill>
                          <a:miter lim="800000"/>
                          <a:headEnd/>
                          <a:tailEnd/>
                        </a:ln>
                      </wps:spPr>
                      <wps:txbx>
                        <w:txbxContent>
                          <w:p w14:paraId="75C3D26A" w14:textId="4050B8D6" w:rsidR="00965FB8" w:rsidRPr="00AC3F5D" w:rsidRDefault="00965FB8" w:rsidP="00AC3F5D">
                            <w:pPr>
                              <w:pStyle w:val="Descripcin"/>
                              <w:spacing w:after="0"/>
                              <w:jc w:val="center"/>
                              <w:rPr>
                                <w:b/>
                                <w:bCs/>
                                <w:i w:val="0"/>
                                <w:iCs w:val="0"/>
                                <w:color w:val="auto"/>
                                <w:sz w:val="24"/>
                                <w:szCs w:val="24"/>
                              </w:rPr>
                            </w:pPr>
                            <w:r w:rsidRPr="00AC3F5D">
                              <w:rPr>
                                <w:b/>
                                <w:bCs/>
                                <w:i w:val="0"/>
                                <w:iCs w:val="0"/>
                                <w:color w:val="auto"/>
                                <w:sz w:val="24"/>
                                <w:szCs w:val="24"/>
                              </w:rPr>
                              <w:t xml:space="preserve">Recuadro </w:t>
                            </w:r>
                            <w:r w:rsidRPr="00AC3F5D">
                              <w:rPr>
                                <w:b/>
                                <w:bCs/>
                                <w:i w:val="0"/>
                                <w:iCs w:val="0"/>
                                <w:color w:val="auto"/>
                                <w:sz w:val="24"/>
                                <w:szCs w:val="24"/>
                              </w:rPr>
                              <w:fldChar w:fldCharType="begin"/>
                            </w:r>
                            <w:r w:rsidRPr="00AC3F5D">
                              <w:rPr>
                                <w:b/>
                                <w:bCs/>
                                <w:i w:val="0"/>
                                <w:iCs w:val="0"/>
                                <w:color w:val="auto"/>
                                <w:sz w:val="24"/>
                                <w:szCs w:val="24"/>
                              </w:rPr>
                              <w:instrText xml:space="preserve"> SEQ Recuadro \* ARABIC </w:instrText>
                            </w:r>
                            <w:r w:rsidRPr="00AC3F5D">
                              <w:rPr>
                                <w:b/>
                                <w:bCs/>
                                <w:i w:val="0"/>
                                <w:iCs w:val="0"/>
                                <w:color w:val="auto"/>
                                <w:sz w:val="24"/>
                                <w:szCs w:val="24"/>
                              </w:rPr>
                              <w:fldChar w:fldCharType="separate"/>
                            </w:r>
                            <w:r w:rsidR="006622B2">
                              <w:rPr>
                                <w:b/>
                                <w:bCs/>
                                <w:i w:val="0"/>
                                <w:iCs w:val="0"/>
                                <w:noProof/>
                                <w:color w:val="auto"/>
                                <w:sz w:val="24"/>
                                <w:szCs w:val="24"/>
                              </w:rPr>
                              <w:t>4</w:t>
                            </w:r>
                            <w:r w:rsidRPr="00AC3F5D">
                              <w:rPr>
                                <w:b/>
                                <w:bCs/>
                                <w:i w:val="0"/>
                                <w:iCs w:val="0"/>
                                <w:color w:val="auto"/>
                                <w:sz w:val="24"/>
                                <w:szCs w:val="24"/>
                              </w:rPr>
                              <w:fldChar w:fldCharType="end"/>
                            </w:r>
                            <w:r w:rsidRPr="00AC3F5D">
                              <w:rPr>
                                <w:b/>
                                <w:bCs/>
                                <w:i w:val="0"/>
                                <w:iCs w:val="0"/>
                                <w:color w:val="auto"/>
                                <w:sz w:val="24"/>
                                <w:szCs w:val="24"/>
                              </w:rPr>
                              <w:t xml:space="preserve">.  </w:t>
                            </w:r>
                            <w:r w:rsidR="00AC3F5D" w:rsidRPr="00AC3F5D">
                              <w:rPr>
                                <w:b/>
                                <w:bCs/>
                                <w:i w:val="0"/>
                                <w:iCs w:val="0"/>
                                <w:color w:val="auto"/>
                                <w:sz w:val="24"/>
                                <w:szCs w:val="24"/>
                              </w:rPr>
                              <w:t>Decretos aprobados en concepto de apoyos temporales</w:t>
                            </w:r>
                          </w:p>
                          <w:p w14:paraId="514817C5" w14:textId="77777777" w:rsidR="00D0069E" w:rsidRPr="00CB0BEF" w:rsidRDefault="00D0069E" w:rsidP="00D0069E">
                            <w:pPr>
                              <w:jc w:val="both"/>
                              <w:rPr>
                                <w:sz w:val="20"/>
                                <w:szCs w:val="20"/>
                                <w:lang w:val="es-MX"/>
                              </w:rPr>
                            </w:pPr>
                            <w:r w:rsidRPr="00CB0BEF">
                              <w:rPr>
                                <w:sz w:val="20"/>
                                <w:szCs w:val="20"/>
                                <w:lang w:val="es-MX"/>
                              </w:rPr>
                              <w:t>Durante el 2022 se observaron una serie de factores externos que impulsaron los precios de los combustibles, entre estos destacan las tensiones geopolíticas por la guerra entre Rusia y Ucrania, la reducción de la producción por parte de la OPEP y las medidas de confinamiento contra el COVID-19 en Asia que crearon una disrupción en la cadena de suministros afectando el transporte marítimo de mercancías, entre ellas el petróleo.</w:t>
                            </w:r>
                          </w:p>
                          <w:p w14:paraId="55C4C232" w14:textId="77777777" w:rsidR="00D0069E" w:rsidRPr="00CB0BEF" w:rsidRDefault="00D0069E" w:rsidP="00D0069E">
                            <w:pPr>
                              <w:jc w:val="both"/>
                              <w:rPr>
                                <w:sz w:val="20"/>
                                <w:szCs w:val="20"/>
                                <w:lang w:val="es-MX"/>
                              </w:rPr>
                            </w:pPr>
                          </w:p>
                          <w:p w14:paraId="78F36E2A" w14:textId="1EA485B6" w:rsidR="00D0069E" w:rsidRPr="00CB0BEF" w:rsidRDefault="00D0069E" w:rsidP="00D0069E">
                            <w:pPr>
                              <w:jc w:val="both"/>
                              <w:rPr>
                                <w:sz w:val="20"/>
                                <w:szCs w:val="20"/>
                                <w:lang w:val="es-MX"/>
                              </w:rPr>
                            </w:pPr>
                            <w:r w:rsidRPr="00CB0BEF">
                              <w:rPr>
                                <w:sz w:val="20"/>
                                <w:szCs w:val="20"/>
                                <w:lang w:val="es-MX"/>
                              </w:rPr>
                              <w:t>En 2022 se implementaron diferentes medidas en concepto de apoyos temporales para la población guatemalteca, estando las intervenciones concentradas en el Ministerio de Energía y Minas para el subsidio al gas propano y combustibles, mientras que la ampliación a la tarifa social estuvo a cargo del Instituto Nacional de Electrificación (INDE), por medio del aporte que se le hizo desde las Obligaciones del Estado a Cargo del Tesoro.</w:t>
                            </w:r>
                          </w:p>
                          <w:p w14:paraId="28AA4F51" w14:textId="77777777" w:rsidR="00B77381" w:rsidRDefault="00B77381" w:rsidP="00D0069E">
                            <w:pPr>
                              <w:jc w:val="both"/>
                              <w:rPr>
                                <w:sz w:val="18"/>
                                <w:szCs w:val="18"/>
                                <w:lang w:val="es-MX"/>
                              </w:rPr>
                            </w:pPr>
                          </w:p>
                          <w:p w14:paraId="3D016055" w14:textId="77777777" w:rsidR="00B77381" w:rsidRPr="00B77381" w:rsidRDefault="00B77381" w:rsidP="00D0069E">
                            <w:pPr>
                              <w:jc w:val="both"/>
                              <w:rPr>
                                <w:sz w:val="10"/>
                                <w:szCs w:val="10"/>
                                <w:lang w:val="es-MX"/>
                              </w:rPr>
                            </w:pPr>
                          </w:p>
                          <w:p w14:paraId="454A5EAE" w14:textId="1609242E" w:rsidR="00D0069E" w:rsidRPr="00B77381" w:rsidRDefault="00D0069E" w:rsidP="00D0069E">
                            <w:pPr>
                              <w:jc w:val="both"/>
                              <w:rPr>
                                <w:lang w:val="es-MX"/>
                              </w:rPr>
                            </w:pPr>
                            <w:r w:rsidRPr="002C40AA">
                              <w:rPr>
                                <w:b/>
                                <w:noProof/>
                                <w:sz w:val="22"/>
                                <w:szCs w:val="22"/>
                                <w:lang w:val="es-MX" w:eastAsia="es-ES"/>
                              </w:rPr>
                              <w:drawing>
                                <wp:inline distT="0" distB="0" distL="0" distR="0" wp14:anchorId="4FA774D4" wp14:editId="2B4B168E">
                                  <wp:extent cx="5332095" cy="2702204"/>
                                  <wp:effectExtent l="38100" t="19050" r="20955" b="0"/>
                                  <wp:docPr id="61" name="Diagrama 6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inline>
                              </w:drawing>
                            </w:r>
                            <w:r w:rsidRPr="00CB0BEF">
                              <w:rPr>
                                <w:sz w:val="20"/>
                                <w:szCs w:val="20"/>
                                <w:lang w:val="es-MX"/>
                              </w:rPr>
                              <w:t>Cabe destacar que las medidas tuvieron un presupuesto de Q3,257.5 millones, incluyendo el decreto 15-2021 que fue aprobado en noviembre de 2021 y estuvo vigente en los primeros meses de 2022 y el decreto 55-2022 que estuvo vigente a finales de 2022 y lo estaría en parte del 2023. Merece especial atención el amplio espacio de intervención que tuvo el gobierno en 2022, derivado de un manejo prudente de las finanzas públicas en los años anteriores, especialmente durante la crisis económica y sanitaria ocasionada por el COVID-19, lo cual permitió que los apoyos temporales se financiaran en un 100% con recursos de caja y bancos, es decir, con ahorros que había generado el gobierno en períodos anteriores.</w:t>
                            </w:r>
                          </w:p>
                          <w:p w14:paraId="3ED59566" w14:textId="22D14E3C" w:rsidR="00DE52BD" w:rsidRDefault="00DE52BD" w:rsidP="00D0069E">
                            <w:pPr>
                              <w:jc w:val="both"/>
                              <w:rPr>
                                <w:sz w:val="20"/>
                                <w:szCs w:val="20"/>
                                <w:lang w:val="es-MX"/>
                              </w:rPr>
                            </w:pPr>
                          </w:p>
                          <w:p w14:paraId="52B32804" w14:textId="3E130196" w:rsidR="00DE52BD" w:rsidRDefault="00DE52BD" w:rsidP="00D0069E">
                            <w:pPr>
                              <w:jc w:val="both"/>
                              <w:rPr>
                                <w:sz w:val="20"/>
                                <w:szCs w:val="20"/>
                                <w:lang w:val="es-MX"/>
                              </w:rPr>
                            </w:pPr>
                          </w:p>
                          <w:p w14:paraId="7A30B30D" w14:textId="77777777" w:rsidR="00DE52BD" w:rsidRPr="00D0069E" w:rsidRDefault="00DE52BD" w:rsidP="00D0069E">
                            <w:pPr>
                              <w:jc w:val="both"/>
                              <w:rPr>
                                <w:sz w:val="20"/>
                                <w:szCs w:val="20"/>
                                <w:lang w:val="es-MX"/>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01103" id="_x0000_s1036" type="#_x0000_t202" style="position:absolute;left:0;text-align:left;margin-left:1.9pt;margin-top:40.3pt;width:437.2pt;height:469.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" fillcolor="#d9e2f3 [660]">
                <v:textbox>
                  <w:txbxContent>
                    <w:p w14:paraId="75C3D26A" w14:textId="4050B8D6" w:rsidR="00965FB8" w:rsidRPr="00AC3F5D" w:rsidRDefault="00965FB8" w:rsidP="00AC3F5D">
                      <w:pPr>
                        <w:pStyle w:val="Descripcin"/>
                        <w:spacing w:after="0"/>
                        <w:jc w:val="center"/>
                        <w:rPr>
                          <w:b/>
                          <w:bCs/>
                          <w:i w:val="0"/>
                          <w:iCs w:val="0"/>
                          <w:color w:val="auto"/>
                          <w:sz w:val="24"/>
                          <w:szCs w:val="24"/>
                        </w:rPr>
                      </w:pPr>
                      <w:r w:rsidRPr="00AC3F5D">
                        <w:rPr>
                          <w:b/>
                          <w:bCs/>
                          <w:i w:val="0"/>
                          <w:iCs w:val="0"/>
                          <w:color w:val="auto"/>
                          <w:sz w:val="24"/>
                          <w:szCs w:val="24"/>
                        </w:rPr>
                        <w:t xml:space="preserve">Recuadro </w:t>
                      </w:r>
                      <w:r w:rsidRPr="00AC3F5D">
                        <w:rPr>
                          <w:b/>
                          <w:bCs/>
                          <w:i w:val="0"/>
                          <w:iCs w:val="0"/>
                          <w:color w:val="auto"/>
                          <w:sz w:val="24"/>
                          <w:szCs w:val="24"/>
                        </w:rPr>
                        <w:fldChar w:fldCharType="begin"/>
                      </w:r>
                      <w:r w:rsidRPr="00AC3F5D">
                        <w:rPr>
                          <w:b/>
                          <w:bCs/>
                          <w:i w:val="0"/>
                          <w:iCs w:val="0"/>
                          <w:color w:val="auto"/>
                          <w:sz w:val="24"/>
                          <w:szCs w:val="24"/>
                        </w:rPr>
                        <w:instrText xml:space="preserve"> SEQ Recuadro \* ARABIC </w:instrText>
                      </w:r>
                      <w:r w:rsidRPr="00AC3F5D">
                        <w:rPr>
                          <w:b/>
                          <w:bCs/>
                          <w:i w:val="0"/>
                          <w:iCs w:val="0"/>
                          <w:color w:val="auto"/>
                          <w:sz w:val="24"/>
                          <w:szCs w:val="24"/>
                        </w:rPr>
                        <w:fldChar w:fldCharType="separate"/>
                      </w:r>
                      <w:r w:rsidR="006622B2">
                        <w:rPr>
                          <w:b/>
                          <w:bCs/>
                          <w:i w:val="0"/>
                          <w:iCs w:val="0"/>
                          <w:noProof/>
                          <w:color w:val="auto"/>
                          <w:sz w:val="24"/>
                          <w:szCs w:val="24"/>
                        </w:rPr>
                        <w:t>4</w:t>
                      </w:r>
                      <w:r w:rsidRPr="00AC3F5D">
                        <w:rPr>
                          <w:b/>
                          <w:bCs/>
                          <w:i w:val="0"/>
                          <w:iCs w:val="0"/>
                          <w:color w:val="auto"/>
                          <w:sz w:val="24"/>
                          <w:szCs w:val="24"/>
                        </w:rPr>
                        <w:fldChar w:fldCharType="end"/>
                      </w:r>
                      <w:r w:rsidRPr="00AC3F5D">
                        <w:rPr>
                          <w:b/>
                          <w:bCs/>
                          <w:i w:val="0"/>
                          <w:iCs w:val="0"/>
                          <w:color w:val="auto"/>
                          <w:sz w:val="24"/>
                          <w:szCs w:val="24"/>
                        </w:rPr>
                        <w:t xml:space="preserve">.  </w:t>
                      </w:r>
                      <w:r w:rsidR="00AC3F5D" w:rsidRPr="00AC3F5D">
                        <w:rPr>
                          <w:b/>
                          <w:bCs/>
                          <w:i w:val="0"/>
                          <w:iCs w:val="0"/>
                          <w:color w:val="auto"/>
                          <w:sz w:val="24"/>
                          <w:szCs w:val="24"/>
                        </w:rPr>
                        <w:t>Decretos aprobados en concepto de apoyos temporales</w:t>
                      </w:r>
                    </w:p>
                    <w:p w14:paraId="514817C5" w14:textId="77777777" w:rsidR="00D0069E" w:rsidRPr="00CB0BEF" w:rsidRDefault="00D0069E" w:rsidP="00D0069E">
                      <w:pPr>
                        <w:jc w:val="both"/>
                        <w:rPr>
                          <w:sz w:val="20"/>
                          <w:szCs w:val="20"/>
                          <w:lang w:val="es-MX"/>
                        </w:rPr>
                      </w:pPr>
                      <w:r w:rsidRPr="00CB0BEF">
                        <w:rPr>
                          <w:sz w:val="20"/>
                          <w:szCs w:val="20"/>
                          <w:lang w:val="es-MX"/>
                        </w:rPr>
                        <w:t>Durante el 2022 se observaron una serie de factores externos que impulsaron los precios de los combustibles, entre estos destacan las tensiones geopolíticas por la guerra entre Rusia y Ucrania, la reducción de la producción por parte de la OPEP y las medidas de confinamiento contra el COVID-19 en Asia que crearon una disrupción en la cadena de suministros afectando el transporte marítimo de mercancías, entre ellas el petróleo.</w:t>
                      </w:r>
                    </w:p>
                    <w:p w14:paraId="55C4C232" w14:textId="77777777" w:rsidR="00D0069E" w:rsidRPr="00CB0BEF" w:rsidRDefault="00D0069E" w:rsidP="00D0069E">
                      <w:pPr>
                        <w:jc w:val="both"/>
                        <w:rPr>
                          <w:sz w:val="20"/>
                          <w:szCs w:val="20"/>
                          <w:lang w:val="es-MX"/>
                        </w:rPr>
                      </w:pPr>
                    </w:p>
                    <w:p w14:paraId="78F36E2A" w14:textId="1EA485B6" w:rsidR="00D0069E" w:rsidRPr="00CB0BEF" w:rsidRDefault="00D0069E" w:rsidP="00D0069E">
                      <w:pPr>
                        <w:jc w:val="both"/>
                        <w:rPr>
                          <w:sz w:val="20"/>
                          <w:szCs w:val="20"/>
                          <w:lang w:val="es-MX"/>
                        </w:rPr>
                      </w:pPr>
                      <w:r w:rsidRPr="00CB0BEF">
                        <w:rPr>
                          <w:sz w:val="20"/>
                          <w:szCs w:val="20"/>
                          <w:lang w:val="es-MX"/>
                        </w:rPr>
                        <w:t>En 2022 se implementaron diferentes medidas en concepto de apoyos temporales para la población guatemalteca, estando las intervenciones concentradas en el Ministerio de Energía y Minas para el subsidio al gas propano y combustibles, mientras que la ampliación a la tarifa social estuvo a cargo del Instituto Nacional de Electrificación (INDE), por medio del aporte que se le hizo desde las Obligaciones del Estado a Cargo del Tesoro.</w:t>
                      </w:r>
                    </w:p>
                    <w:p w14:paraId="28AA4F51" w14:textId="77777777" w:rsidR="00B77381" w:rsidRDefault="00B77381" w:rsidP="00D0069E">
                      <w:pPr>
                        <w:jc w:val="both"/>
                        <w:rPr>
                          <w:sz w:val="18"/>
                          <w:szCs w:val="18"/>
                          <w:lang w:val="es-MX"/>
                        </w:rPr>
                      </w:pPr>
                    </w:p>
                    <w:p w14:paraId="3D016055" w14:textId="77777777" w:rsidR="00B77381" w:rsidRPr="00B77381" w:rsidRDefault="00B77381" w:rsidP="00D0069E">
                      <w:pPr>
                        <w:jc w:val="both"/>
                        <w:rPr>
                          <w:sz w:val="10"/>
                          <w:szCs w:val="10"/>
                          <w:lang w:val="es-MX"/>
                        </w:rPr>
                      </w:pPr>
                    </w:p>
                    <w:p w14:paraId="454A5EAE" w14:textId="1609242E" w:rsidR="00D0069E" w:rsidRPr="00B77381" w:rsidRDefault="00D0069E" w:rsidP="00D0069E">
                      <w:pPr>
                        <w:jc w:val="both"/>
                        <w:rPr>
                          <w:lang w:val="es-MX"/>
                        </w:rPr>
                      </w:pPr>
                      <w:r w:rsidRPr="002C40AA">
                        <w:rPr>
                          <w:b/>
                          <w:noProof/>
                          <w:sz w:val="22"/>
                          <w:szCs w:val="22"/>
                          <w:lang w:val="es-MX" w:eastAsia="es-ES"/>
                        </w:rPr>
                        <w:drawing>
                          <wp:inline distT="0" distB="0" distL="0" distR="0" wp14:anchorId="4FA774D4" wp14:editId="2B4B168E">
                            <wp:extent cx="5332095" cy="2702204"/>
                            <wp:effectExtent l="38100" t="19050" r="20955" b="0"/>
                            <wp:docPr id="61" name="Diagrama 6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0" r:lo="rId106" r:qs="rId107" r:cs="rId108"/>
                              </a:graphicData>
                            </a:graphic>
                          </wp:inline>
                        </w:drawing>
                      </w:r>
                      <w:r w:rsidRPr="00CB0BEF">
                        <w:rPr>
                          <w:sz w:val="20"/>
                          <w:szCs w:val="20"/>
                          <w:lang w:val="es-MX"/>
                        </w:rPr>
                        <w:t>Cabe destacar que las medidas tuvieron un presupuesto de Q3,257.5 millones, incluyendo el decreto 15-2021 que fue aprobado en noviembre de 2021 y estuvo vigente en los primeros meses de 2022 y el decreto 55-2022 que estuvo vigente a finales de 2022 y lo estaría en parte del 2023. Merece especial atención el amplio espacio de intervención que tuvo el gobierno en 2022, derivado de un manejo prudente de las finanzas públicas en los años anteriores, especialmente durante la crisis económica y sanitaria ocasionada por el COVID-19, lo cual permitió que los apoyos temporales se financiaran en un 100% con recursos de caja y bancos, es decir, con ahorros que había generado el gobierno en períodos anteriores.</w:t>
                      </w:r>
                    </w:p>
                    <w:p w14:paraId="3ED59566" w14:textId="22D14E3C" w:rsidR="00DE52BD" w:rsidRDefault="00DE52BD" w:rsidP="00D0069E">
                      <w:pPr>
                        <w:jc w:val="both"/>
                        <w:rPr>
                          <w:sz w:val="20"/>
                          <w:szCs w:val="20"/>
                          <w:lang w:val="es-MX"/>
                        </w:rPr>
                      </w:pPr>
                    </w:p>
                    <w:p w14:paraId="52B32804" w14:textId="3E130196" w:rsidR="00DE52BD" w:rsidRDefault="00DE52BD" w:rsidP="00D0069E">
                      <w:pPr>
                        <w:jc w:val="both"/>
                        <w:rPr>
                          <w:sz w:val="20"/>
                          <w:szCs w:val="20"/>
                          <w:lang w:val="es-MX"/>
                        </w:rPr>
                      </w:pPr>
                    </w:p>
                    <w:p w14:paraId="7A30B30D" w14:textId="77777777" w:rsidR="00DE52BD" w:rsidRPr="00D0069E" w:rsidRDefault="00DE52BD" w:rsidP="00D0069E">
                      <w:pPr>
                        <w:jc w:val="both"/>
                        <w:rPr>
                          <w:sz w:val="20"/>
                          <w:szCs w:val="20"/>
                          <w:lang w:val="es-MX"/>
                        </w:rPr>
                      </w:pPr>
                    </w:p>
                  </w:txbxContent>
                </v:textbox>
                <w10:wrap type="square"/>
              </v:shape>
            </w:pict>
          </mc:Fallback>
        </mc:AlternateContent>
      </w:r>
      <w:r>
        <w:t>guatemaltecos durante el período de elevada inflación e incertidumbre.</w:t>
      </w:r>
    </w:p>
    <w:p w14:paraId="71FBD97D" w14:textId="77777777" w:rsidR="00B77381" w:rsidRDefault="00B77381" w:rsidP="00D0069E">
      <w:pPr>
        <w:jc w:val="both"/>
      </w:pPr>
    </w:p>
    <w:p w14:paraId="26B3CCD7" w14:textId="4CB174C5" w:rsidR="00D0069E" w:rsidRDefault="00D0069E" w:rsidP="00D0069E">
      <w:pPr>
        <w:jc w:val="both"/>
      </w:pPr>
      <w:r>
        <w:t xml:space="preserve">Por su parte, el resto de entidades se encuentra por debajo de la ejecución institucional total, tal el caso de las Obligaciones del Estado a Cargo del Tesoro (95.9%), Agricultura (95.3%), Secretarías (93.4%), Salud Pública (93.2%), Ambiente (93.1%), Comunicaciones (89.5%) y Cultura y Deportes (88.2%). </w:t>
      </w:r>
      <w:r w:rsidR="00B77381">
        <w:t xml:space="preserve">  </w:t>
      </w:r>
      <w:r>
        <w:t>En el caso del Ministerio de Comunicaciones, segunda entidad con menor nivel de ejecución (89.5%), es importante resaltar que tuvo una ampliación de su presupuesto por Q4,631.9 millones, la cual se explica en buena medida por el Decreto 21-2022</w:t>
      </w:r>
      <w:r w:rsidR="0078088C">
        <w:t>,</w:t>
      </w:r>
      <w:r>
        <w:t xml:space="preserve"> "Ley para Fortalecer el Mantenimiento y Construcción de Infraestructura Estratégica", que no pudo ser ejecutado como se preveía. En un principio las acciones previstas en este decreto le darían un impulso </w:t>
      </w:r>
      <w:r w:rsidR="0078088C">
        <w:t xml:space="preserve">a </w:t>
      </w:r>
      <w:r>
        <w:t>la inversión pública por medio de fortalecer el mantenimiento y construcción de infraestructura, así como la recuperación de la red vial. No obstante, derivado de un invierno más copioso y los desastres reportados en la gran mayoría del territorio guatemalteco, fue necesario reorientar recursos para el Fondo Emergente por medio de la declaratoria de Estados de Calamidad, lo cual permitiría mitigar los daños ocasionados por los fenómenos naturales que afectaron al país.</w:t>
      </w:r>
    </w:p>
    <w:p w14:paraId="5AC613A5" w14:textId="77777777" w:rsidR="00D0069E" w:rsidRDefault="00D0069E" w:rsidP="00D0069E">
      <w:pPr>
        <w:jc w:val="both"/>
      </w:pPr>
    </w:p>
    <w:p w14:paraId="0811E57A" w14:textId="77777777" w:rsidR="00953DE3" w:rsidRDefault="00D0069E" w:rsidP="00953DE3">
      <w:pPr>
        <w:jc w:val="both"/>
      </w:pPr>
      <w:r>
        <w:t xml:space="preserve">Al finalizar 2022, el grado de ejecución institucional es significativamente mayor al obtenido en 2021 (86.5%), aunque es importante resaltar que en 2021 fue un año atípico por la no aprobación del presupuesto por segundo año consecutivo y la adopción de un </w:t>
      </w:r>
      <w:r w:rsidRPr="00953DE3">
        <w:t>presupuesto operativo</w:t>
      </w:r>
      <w:r w:rsidR="00953DE3">
        <w:t xml:space="preserve"> de Q94,354.0 millones con el fin de eliminar virtualmente los recursos que no podían ser ejecutados en el año 2021 por carecer de financiamiento.</w:t>
      </w:r>
    </w:p>
    <w:p w14:paraId="26FDA959" w14:textId="77777777" w:rsidR="00953DE3" w:rsidRDefault="00953DE3" w:rsidP="00953DE3">
      <w:pPr>
        <w:jc w:val="both"/>
      </w:pPr>
    </w:p>
    <w:p w14:paraId="290CFAAC" w14:textId="053D9805" w:rsidR="00D0069E" w:rsidRDefault="00D0069E" w:rsidP="00953DE3">
      <w:pPr>
        <w:jc w:val="both"/>
      </w:pPr>
      <w:r>
        <w:t>Con ello se tiene una variación interanual del gasto total de 16.8% (equivalente a Q15,587.4 millones).</w:t>
      </w:r>
      <w:r w:rsidR="00B77381">
        <w:t xml:space="preserve">  </w:t>
      </w:r>
      <w:r>
        <w:t>Adicionalmente, mientras que en 2020 la dinámica del gasto estuvo fuertemente influenciada por la crisis sanitaria y económica del COVID-19, en 2022 el gasto público estuvo enfocado en subsidios de carácter temporal en intervenciones de apoyo a la población guatemalteca, la atención de emergencias por desastres naturales y el mantenimiento de la infraestructura, siendo estas la principal orientación de la política fiscal expansiva en ese año.</w:t>
      </w:r>
    </w:p>
    <w:p w14:paraId="2CD2686C" w14:textId="1EFCB20E" w:rsidR="00D0069E" w:rsidRDefault="00D0069E" w:rsidP="00D0069E">
      <w:pPr>
        <w:jc w:val="both"/>
      </w:pPr>
    </w:p>
    <w:p w14:paraId="5F478D1D" w14:textId="286810A8" w:rsidR="00D0069E" w:rsidRPr="008A39B4" w:rsidRDefault="008A39B4" w:rsidP="008A39B4">
      <w:pPr>
        <w:pStyle w:val="Descripcin"/>
        <w:keepNext/>
        <w:spacing w:after="0"/>
        <w:jc w:val="center"/>
        <w:rPr>
          <w:b/>
          <w:bCs/>
          <w:i w:val="0"/>
          <w:iCs w:val="0"/>
          <w:color w:val="auto"/>
          <w:sz w:val="24"/>
          <w:szCs w:val="24"/>
        </w:rPr>
      </w:pPr>
      <w:bookmarkStart w:id="133" w:name="_Toc143871216"/>
      <w:r w:rsidRPr="008A39B4">
        <w:rPr>
          <w:b/>
          <w:bCs/>
          <w:i w:val="0"/>
          <w:iCs w:val="0"/>
          <w:color w:val="auto"/>
          <w:sz w:val="24"/>
          <w:szCs w:val="24"/>
        </w:rPr>
        <w:t xml:space="preserve">Tabla </w:t>
      </w:r>
      <w:r w:rsidRPr="008A39B4">
        <w:rPr>
          <w:b/>
          <w:bCs/>
          <w:i w:val="0"/>
          <w:iCs w:val="0"/>
          <w:color w:val="auto"/>
          <w:sz w:val="24"/>
          <w:szCs w:val="24"/>
        </w:rPr>
        <w:fldChar w:fldCharType="begin"/>
      </w:r>
      <w:r w:rsidRPr="008A39B4">
        <w:rPr>
          <w:b/>
          <w:bCs/>
          <w:i w:val="0"/>
          <w:iCs w:val="0"/>
          <w:color w:val="auto"/>
          <w:sz w:val="24"/>
          <w:szCs w:val="24"/>
        </w:rPr>
        <w:instrText xml:space="preserve"> SEQ Tabla \* ARABIC </w:instrText>
      </w:r>
      <w:r w:rsidRPr="008A39B4">
        <w:rPr>
          <w:b/>
          <w:bCs/>
          <w:i w:val="0"/>
          <w:iCs w:val="0"/>
          <w:color w:val="auto"/>
          <w:sz w:val="24"/>
          <w:szCs w:val="24"/>
        </w:rPr>
        <w:fldChar w:fldCharType="separate"/>
      </w:r>
      <w:r w:rsidR="006622B2">
        <w:rPr>
          <w:b/>
          <w:bCs/>
          <w:i w:val="0"/>
          <w:iCs w:val="0"/>
          <w:noProof/>
          <w:color w:val="auto"/>
          <w:sz w:val="24"/>
          <w:szCs w:val="24"/>
        </w:rPr>
        <w:t>9</w:t>
      </w:r>
      <w:r w:rsidRPr="008A39B4">
        <w:rPr>
          <w:b/>
          <w:bCs/>
          <w:i w:val="0"/>
          <w:iCs w:val="0"/>
          <w:color w:val="auto"/>
          <w:sz w:val="24"/>
          <w:szCs w:val="24"/>
        </w:rPr>
        <w:fldChar w:fldCharType="end"/>
      </w:r>
      <w:r w:rsidRPr="008A39B4">
        <w:rPr>
          <w:b/>
          <w:bCs/>
          <w:i w:val="0"/>
          <w:iCs w:val="0"/>
          <w:color w:val="auto"/>
          <w:sz w:val="24"/>
          <w:szCs w:val="24"/>
        </w:rPr>
        <w:t xml:space="preserve">.  </w:t>
      </w:r>
      <w:r w:rsidR="00D0069E" w:rsidRPr="008A39B4">
        <w:rPr>
          <w:b/>
          <w:bCs/>
          <w:i w:val="0"/>
          <w:iCs w:val="0"/>
          <w:color w:val="auto"/>
          <w:sz w:val="24"/>
          <w:szCs w:val="24"/>
        </w:rPr>
        <w:t>Ejecución de programas de entidades seleccionadas</w:t>
      </w:r>
      <w:bookmarkEnd w:id="133"/>
    </w:p>
    <w:p w14:paraId="5067B5BB" w14:textId="53B1D2E1" w:rsidR="00D0069E" w:rsidRPr="00E60EFC" w:rsidRDefault="00D0069E" w:rsidP="006E7942">
      <w:pPr>
        <w:jc w:val="center"/>
        <w:rPr>
          <w:sz w:val="20"/>
          <w:szCs w:val="20"/>
        </w:rPr>
      </w:pPr>
      <w:r w:rsidRPr="00E60EFC">
        <w:rPr>
          <w:sz w:val="20"/>
          <w:szCs w:val="20"/>
        </w:rPr>
        <w:t>Al 31 de diciembre de 202</w:t>
      </w:r>
      <w:r w:rsidR="006C707E">
        <w:rPr>
          <w:sz w:val="20"/>
          <w:szCs w:val="20"/>
        </w:rPr>
        <w:t>1</w:t>
      </w:r>
      <w:r w:rsidRPr="00E60EFC">
        <w:rPr>
          <w:sz w:val="20"/>
          <w:szCs w:val="20"/>
        </w:rPr>
        <w:t xml:space="preserve"> y 202</w:t>
      </w:r>
      <w:r w:rsidR="006C707E">
        <w:rPr>
          <w:sz w:val="20"/>
          <w:szCs w:val="20"/>
        </w:rPr>
        <w:t>2</w:t>
      </w:r>
    </w:p>
    <w:p w14:paraId="759E7EB7" w14:textId="6541FDA5" w:rsidR="00D0069E" w:rsidRPr="00E60EFC" w:rsidRDefault="00D0069E" w:rsidP="00E60EFC">
      <w:pPr>
        <w:jc w:val="center"/>
        <w:rPr>
          <w:sz w:val="20"/>
          <w:szCs w:val="20"/>
        </w:rPr>
      </w:pPr>
      <w:r w:rsidRPr="00E60EFC">
        <w:rPr>
          <w:sz w:val="20"/>
          <w:szCs w:val="20"/>
        </w:rPr>
        <w:t>Millones de quetzales y porcentaje de ejecución</w:t>
      </w:r>
    </w:p>
    <w:tbl>
      <w:tblPr>
        <w:tblW w:w="9199" w:type="dxa"/>
        <w:jc w:val="center"/>
        <w:tblCellMar>
          <w:left w:w="70" w:type="dxa"/>
          <w:right w:w="70" w:type="dxa"/>
        </w:tblCellMar>
        <w:tblLook w:val="04A0" w:firstRow="1" w:lastRow="0" w:firstColumn="1" w:lastColumn="0" w:noHBand="0" w:noVBand="1"/>
      </w:tblPr>
      <w:tblGrid>
        <w:gridCol w:w="5812"/>
        <w:gridCol w:w="992"/>
        <w:gridCol w:w="851"/>
        <w:gridCol w:w="804"/>
        <w:gridCol w:w="740"/>
      </w:tblGrid>
      <w:tr w:rsidR="00D0069E" w:rsidRPr="00C14154" w14:paraId="27C6F260" w14:textId="77777777" w:rsidTr="00CA7052">
        <w:trPr>
          <w:trHeight w:val="275"/>
          <w:jc w:val="center"/>
        </w:trPr>
        <w:tc>
          <w:tcPr>
            <w:tcW w:w="5812" w:type="dxa"/>
            <w:vMerge w:val="restart"/>
            <w:tcBorders>
              <w:top w:val="single" w:sz="8" w:space="0" w:color="000000"/>
              <w:left w:val="single" w:sz="12" w:space="0" w:color="000000"/>
              <w:bottom w:val="single" w:sz="12" w:space="0" w:color="000000"/>
              <w:right w:val="single" w:sz="12" w:space="0" w:color="000000"/>
            </w:tcBorders>
            <w:shd w:val="clear" w:color="000000" w:fill="1F3763"/>
            <w:vAlign w:val="center"/>
            <w:hideMark/>
          </w:tcPr>
          <w:p w14:paraId="5C70280B" w14:textId="77777777" w:rsidR="00D0069E" w:rsidRPr="00CA7052" w:rsidRDefault="00D0069E" w:rsidP="00582CA7">
            <w:pPr>
              <w:jc w:val="center"/>
              <w:rPr>
                <w:b/>
                <w:bCs/>
                <w:color w:val="FFFFFF"/>
                <w:sz w:val="15"/>
                <w:szCs w:val="15"/>
              </w:rPr>
            </w:pPr>
            <w:r w:rsidRPr="00CA7052">
              <w:rPr>
                <w:b/>
                <w:bCs/>
                <w:color w:val="FFFFFF"/>
                <w:sz w:val="15"/>
                <w:szCs w:val="15"/>
              </w:rPr>
              <w:t>Entidad y Programa</w:t>
            </w:r>
          </w:p>
        </w:tc>
        <w:tc>
          <w:tcPr>
            <w:tcW w:w="992" w:type="dxa"/>
            <w:vMerge w:val="restart"/>
            <w:tcBorders>
              <w:top w:val="single" w:sz="8" w:space="0" w:color="000000"/>
              <w:left w:val="single" w:sz="12" w:space="0" w:color="000000"/>
              <w:bottom w:val="single" w:sz="12" w:space="0" w:color="000000"/>
              <w:right w:val="single" w:sz="8" w:space="0" w:color="000000"/>
            </w:tcBorders>
            <w:shd w:val="clear" w:color="000000" w:fill="1F3763"/>
            <w:vAlign w:val="center"/>
            <w:hideMark/>
          </w:tcPr>
          <w:p w14:paraId="55BD07AF" w14:textId="77777777" w:rsidR="00D0069E" w:rsidRPr="00CA7052" w:rsidRDefault="00D0069E" w:rsidP="00582CA7">
            <w:pPr>
              <w:jc w:val="center"/>
              <w:rPr>
                <w:b/>
                <w:bCs/>
                <w:color w:val="FFFFFF"/>
                <w:sz w:val="15"/>
                <w:szCs w:val="15"/>
              </w:rPr>
            </w:pPr>
            <w:r w:rsidRPr="00CA7052">
              <w:rPr>
                <w:b/>
                <w:bCs/>
                <w:color w:val="FFFFFF"/>
                <w:sz w:val="15"/>
                <w:szCs w:val="15"/>
              </w:rPr>
              <w:t>Ejecutado 2021</w:t>
            </w:r>
          </w:p>
        </w:tc>
        <w:tc>
          <w:tcPr>
            <w:tcW w:w="851" w:type="dxa"/>
            <w:vMerge w:val="restart"/>
            <w:tcBorders>
              <w:top w:val="single" w:sz="8" w:space="0" w:color="000000"/>
              <w:left w:val="single" w:sz="8" w:space="0" w:color="000000"/>
              <w:bottom w:val="single" w:sz="12" w:space="0" w:color="000000"/>
              <w:right w:val="single" w:sz="8" w:space="0" w:color="000000"/>
            </w:tcBorders>
            <w:shd w:val="clear" w:color="000000" w:fill="1F3763"/>
            <w:vAlign w:val="center"/>
            <w:hideMark/>
          </w:tcPr>
          <w:p w14:paraId="4FDCAEAC" w14:textId="77777777" w:rsidR="00D0069E" w:rsidRPr="00CA7052" w:rsidRDefault="00D0069E" w:rsidP="00582CA7">
            <w:pPr>
              <w:jc w:val="center"/>
              <w:rPr>
                <w:b/>
                <w:bCs/>
                <w:color w:val="FFFFFF"/>
                <w:sz w:val="15"/>
                <w:szCs w:val="15"/>
              </w:rPr>
            </w:pPr>
            <w:r w:rsidRPr="00CA7052">
              <w:rPr>
                <w:b/>
                <w:bCs/>
                <w:color w:val="FFFFFF"/>
                <w:sz w:val="15"/>
                <w:szCs w:val="15"/>
              </w:rPr>
              <w:t>Ejecutado 2022</w:t>
            </w:r>
          </w:p>
        </w:tc>
        <w:tc>
          <w:tcPr>
            <w:tcW w:w="1544" w:type="dxa"/>
            <w:gridSpan w:val="2"/>
            <w:tcBorders>
              <w:top w:val="single" w:sz="8" w:space="0" w:color="000000"/>
              <w:left w:val="nil"/>
              <w:bottom w:val="single" w:sz="8" w:space="0" w:color="000000"/>
              <w:right w:val="nil"/>
            </w:tcBorders>
            <w:shd w:val="clear" w:color="000000" w:fill="1F3763"/>
            <w:vAlign w:val="center"/>
            <w:hideMark/>
          </w:tcPr>
          <w:p w14:paraId="6025DE1D" w14:textId="77777777" w:rsidR="00D0069E" w:rsidRPr="00CA7052" w:rsidRDefault="00D0069E" w:rsidP="00582CA7">
            <w:pPr>
              <w:jc w:val="center"/>
              <w:rPr>
                <w:b/>
                <w:bCs/>
                <w:color w:val="FFFFFF"/>
                <w:sz w:val="15"/>
                <w:szCs w:val="15"/>
              </w:rPr>
            </w:pPr>
            <w:r w:rsidRPr="00CA7052">
              <w:rPr>
                <w:b/>
                <w:bCs/>
                <w:color w:val="FFFFFF"/>
                <w:sz w:val="15"/>
                <w:szCs w:val="15"/>
              </w:rPr>
              <w:t>Variación</w:t>
            </w:r>
          </w:p>
        </w:tc>
      </w:tr>
      <w:tr w:rsidR="00D0069E" w:rsidRPr="00C14154" w14:paraId="5D0C9F37" w14:textId="77777777" w:rsidTr="00CA7052">
        <w:trPr>
          <w:trHeight w:val="275"/>
          <w:jc w:val="center"/>
        </w:trPr>
        <w:tc>
          <w:tcPr>
            <w:tcW w:w="5812" w:type="dxa"/>
            <w:vMerge/>
            <w:tcBorders>
              <w:top w:val="single" w:sz="8" w:space="0" w:color="000000"/>
              <w:left w:val="single" w:sz="12" w:space="0" w:color="000000"/>
              <w:bottom w:val="single" w:sz="12" w:space="0" w:color="000000"/>
              <w:right w:val="single" w:sz="12" w:space="0" w:color="000000"/>
            </w:tcBorders>
            <w:vAlign w:val="center"/>
            <w:hideMark/>
          </w:tcPr>
          <w:p w14:paraId="164D1FAC" w14:textId="77777777" w:rsidR="00D0069E" w:rsidRPr="00CA7052" w:rsidRDefault="00D0069E" w:rsidP="00582CA7">
            <w:pPr>
              <w:jc w:val="center"/>
              <w:rPr>
                <w:b/>
                <w:bCs/>
                <w:color w:val="FFFFFF"/>
                <w:sz w:val="15"/>
                <w:szCs w:val="15"/>
              </w:rPr>
            </w:pPr>
          </w:p>
        </w:tc>
        <w:tc>
          <w:tcPr>
            <w:tcW w:w="992" w:type="dxa"/>
            <w:vMerge/>
            <w:tcBorders>
              <w:top w:val="single" w:sz="8" w:space="0" w:color="000000"/>
              <w:left w:val="single" w:sz="12" w:space="0" w:color="000000"/>
              <w:bottom w:val="single" w:sz="12" w:space="0" w:color="000000"/>
              <w:right w:val="single" w:sz="8" w:space="0" w:color="000000"/>
            </w:tcBorders>
            <w:vAlign w:val="center"/>
            <w:hideMark/>
          </w:tcPr>
          <w:p w14:paraId="27C4D850" w14:textId="77777777" w:rsidR="00D0069E" w:rsidRPr="00CA7052" w:rsidRDefault="00D0069E" w:rsidP="00582CA7">
            <w:pPr>
              <w:jc w:val="center"/>
              <w:rPr>
                <w:b/>
                <w:bCs/>
                <w:color w:val="FFFFFF"/>
                <w:sz w:val="15"/>
                <w:szCs w:val="15"/>
              </w:rPr>
            </w:pPr>
          </w:p>
        </w:tc>
        <w:tc>
          <w:tcPr>
            <w:tcW w:w="851" w:type="dxa"/>
            <w:vMerge/>
            <w:tcBorders>
              <w:top w:val="single" w:sz="8" w:space="0" w:color="000000"/>
              <w:left w:val="single" w:sz="8" w:space="0" w:color="000000"/>
              <w:bottom w:val="single" w:sz="12" w:space="0" w:color="000000"/>
              <w:right w:val="single" w:sz="8" w:space="0" w:color="000000"/>
            </w:tcBorders>
            <w:vAlign w:val="center"/>
            <w:hideMark/>
          </w:tcPr>
          <w:p w14:paraId="45AB2BD6" w14:textId="77777777" w:rsidR="00D0069E" w:rsidRPr="00CA7052" w:rsidRDefault="00D0069E" w:rsidP="00582CA7">
            <w:pPr>
              <w:jc w:val="center"/>
              <w:rPr>
                <w:b/>
                <w:bCs/>
                <w:color w:val="FFFFFF"/>
                <w:sz w:val="15"/>
                <w:szCs w:val="15"/>
              </w:rPr>
            </w:pPr>
          </w:p>
        </w:tc>
        <w:tc>
          <w:tcPr>
            <w:tcW w:w="804" w:type="dxa"/>
            <w:tcBorders>
              <w:top w:val="nil"/>
              <w:left w:val="nil"/>
              <w:bottom w:val="single" w:sz="12" w:space="0" w:color="000000"/>
              <w:right w:val="single" w:sz="8" w:space="0" w:color="000000"/>
            </w:tcBorders>
            <w:shd w:val="clear" w:color="000000" w:fill="1F3763"/>
            <w:vAlign w:val="center"/>
            <w:hideMark/>
          </w:tcPr>
          <w:p w14:paraId="52BD821D" w14:textId="77777777" w:rsidR="00D0069E" w:rsidRPr="00CA7052" w:rsidRDefault="00D0069E" w:rsidP="00582CA7">
            <w:pPr>
              <w:jc w:val="center"/>
              <w:rPr>
                <w:b/>
                <w:bCs/>
                <w:color w:val="FFFFFF"/>
                <w:sz w:val="15"/>
                <w:szCs w:val="15"/>
              </w:rPr>
            </w:pPr>
            <w:r w:rsidRPr="00CA7052">
              <w:rPr>
                <w:b/>
                <w:bCs/>
                <w:color w:val="FFFFFF"/>
                <w:sz w:val="15"/>
                <w:szCs w:val="15"/>
              </w:rPr>
              <w:t>Absoluta</w:t>
            </w:r>
          </w:p>
        </w:tc>
        <w:tc>
          <w:tcPr>
            <w:tcW w:w="740" w:type="dxa"/>
            <w:tcBorders>
              <w:top w:val="nil"/>
              <w:left w:val="nil"/>
              <w:bottom w:val="single" w:sz="12" w:space="0" w:color="000000"/>
              <w:right w:val="single" w:sz="12" w:space="0" w:color="000000"/>
            </w:tcBorders>
            <w:shd w:val="clear" w:color="000000" w:fill="1F3763"/>
            <w:vAlign w:val="center"/>
            <w:hideMark/>
          </w:tcPr>
          <w:p w14:paraId="4B35766A" w14:textId="77777777" w:rsidR="00D0069E" w:rsidRPr="00CA7052" w:rsidRDefault="00D0069E" w:rsidP="00582CA7">
            <w:pPr>
              <w:jc w:val="center"/>
              <w:rPr>
                <w:b/>
                <w:bCs/>
                <w:color w:val="FFFFFF"/>
                <w:sz w:val="15"/>
                <w:szCs w:val="15"/>
              </w:rPr>
            </w:pPr>
            <w:r w:rsidRPr="00CA7052">
              <w:rPr>
                <w:b/>
                <w:bCs/>
                <w:color w:val="FFFFFF"/>
                <w:sz w:val="15"/>
                <w:szCs w:val="15"/>
              </w:rPr>
              <w:t>Relativa</w:t>
            </w:r>
          </w:p>
        </w:tc>
      </w:tr>
      <w:tr w:rsidR="00B77381" w:rsidRPr="00C14154" w14:paraId="5BF834FA" w14:textId="77777777" w:rsidTr="00CA7052">
        <w:trPr>
          <w:trHeight w:val="211"/>
          <w:jc w:val="center"/>
        </w:trPr>
        <w:tc>
          <w:tcPr>
            <w:tcW w:w="5812" w:type="dxa"/>
            <w:tcBorders>
              <w:top w:val="nil"/>
              <w:left w:val="single" w:sz="12" w:space="0" w:color="000000"/>
              <w:bottom w:val="single" w:sz="8" w:space="0" w:color="000000"/>
              <w:right w:val="single" w:sz="12" w:space="0" w:color="000000"/>
            </w:tcBorders>
            <w:shd w:val="clear" w:color="000000" w:fill="B4C5E7"/>
            <w:vAlign w:val="center"/>
            <w:hideMark/>
          </w:tcPr>
          <w:p w14:paraId="4844F199" w14:textId="77777777" w:rsidR="00D0069E" w:rsidRPr="00C14154" w:rsidRDefault="00D0069E" w:rsidP="00582CA7">
            <w:pPr>
              <w:rPr>
                <w:b/>
                <w:bCs/>
                <w:color w:val="000000"/>
                <w:sz w:val="16"/>
                <w:szCs w:val="16"/>
              </w:rPr>
            </w:pPr>
            <w:r w:rsidRPr="00C14154">
              <w:rPr>
                <w:b/>
                <w:bCs/>
                <w:sz w:val="16"/>
              </w:rPr>
              <w:t>Ministerio de Salud Pública y Asistencia Social</w:t>
            </w:r>
          </w:p>
        </w:tc>
        <w:tc>
          <w:tcPr>
            <w:tcW w:w="992" w:type="dxa"/>
            <w:tcBorders>
              <w:top w:val="nil"/>
              <w:left w:val="nil"/>
              <w:bottom w:val="single" w:sz="8" w:space="0" w:color="000000"/>
              <w:right w:val="single" w:sz="8" w:space="0" w:color="000000"/>
            </w:tcBorders>
            <w:shd w:val="clear" w:color="000000" w:fill="B4C5E7"/>
            <w:vAlign w:val="center"/>
            <w:hideMark/>
          </w:tcPr>
          <w:p w14:paraId="17F554A6" w14:textId="77777777" w:rsidR="00D0069E" w:rsidRPr="00C14154" w:rsidRDefault="00D0069E" w:rsidP="00582CA7">
            <w:pPr>
              <w:jc w:val="center"/>
              <w:rPr>
                <w:b/>
                <w:bCs/>
                <w:color w:val="000000"/>
                <w:sz w:val="16"/>
                <w:szCs w:val="16"/>
              </w:rPr>
            </w:pPr>
            <w:r w:rsidRPr="00C14154">
              <w:rPr>
                <w:b/>
                <w:bCs/>
                <w:sz w:val="16"/>
              </w:rPr>
              <w:t>11,369.5</w:t>
            </w:r>
          </w:p>
        </w:tc>
        <w:tc>
          <w:tcPr>
            <w:tcW w:w="851" w:type="dxa"/>
            <w:tcBorders>
              <w:top w:val="nil"/>
              <w:left w:val="nil"/>
              <w:bottom w:val="single" w:sz="8" w:space="0" w:color="000000"/>
              <w:right w:val="single" w:sz="8" w:space="0" w:color="000000"/>
            </w:tcBorders>
            <w:shd w:val="clear" w:color="000000" w:fill="B4C5E7"/>
            <w:vAlign w:val="center"/>
            <w:hideMark/>
          </w:tcPr>
          <w:p w14:paraId="39BD2485" w14:textId="77777777" w:rsidR="00D0069E" w:rsidRPr="00C14154" w:rsidRDefault="00D0069E" w:rsidP="00582CA7">
            <w:pPr>
              <w:jc w:val="center"/>
              <w:rPr>
                <w:b/>
                <w:bCs/>
                <w:color w:val="000000"/>
                <w:sz w:val="16"/>
                <w:szCs w:val="16"/>
              </w:rPr>
            </w:pPr>
            <w:r w:rsidRPr="00C14154">
              <w:rPr>
                <w:b/>
                <w:bCs/>
                <w:sz w:val="16"/>
              </w:rPr>
              <w:t>10,858.1</w:t>
            </w:r>
          </w:p>
        </w:tc>
        <w:tc>
          <w:tcPr>
            <w:tcW w:w="804" w:type="dxa"/>
            <w:tcBorders>
              <w:top w:val="nil"/>
              <w:left w:val="nil"/>
              <w:bottom w:val="single" w:sz="8" w:space="0" w:color="000000"/>
              <w:right w:val="single" w:sz="8" w:space="0" w:color="000000"/>
            </w:tcBorders>
            <w:shd w:val="clear" w:color="000000" w:fill="B4C5E7"/>
            <w:vAlign w:val="center"/>
            <w:hideMark/>
          </w:tcPr>
          <w:p w14:paraId="282ECF58" w14:textId="77777777" w:rsidR="00D0069E" w:rsidRPr="00C14154" w:rsidRDefault="00D0069E" w:rsidP="00582CA7">
            <w:pPr>
              <w:jc w:val="center"/>
              <w:rPr>
                <w:b/>
                <w:bCs/>
                <w:color w:val="000000"/>
                <w:sz w:val="16"/>
                <w:szCs w:val="16"/>
              </w:rPr>
            </w:pPr>
            <w:r w:rsidRPr="00C14154">
              <w:rPr>
                <w:b/>
                <w:bCs/>
                <w:color w:val="000000"/>
                <w:sz w:val="16"/>
                <w:szCs w:val="16"/>
              </w:rPr>
              <w:t>-511.3</w:t>
            </w:r>
          </w:p>
        </w:tc>
        <w:tc>
          <w:tcPr>
            <w:tcW w:w="740" w:type="dxa"/>
            <w:tcBorders>
              <w:top w:val="nil"/>
              <w:left w:val="nil"/>
              <w:bottom w:val="single" w:sz="8" w:space="0" w:color="000000"/>
              <w:right w:val="single" w:sz="12" w:space="0" w:color="000000"/>
            </w:tcBorders>
            <w:shd w:val="clear" w:color="000000" w:fill="B4C5E7"/>
            <w:vAlign w:val="center"/>
            <w:hideMark/>
          </w:tcPr>
          <w:p w14:paraId="26D53252" w14:textId="77777777" w:rsidR="00D0069E" w:rsidRPr="00C14154" w:rsidRDefault="00D0069E" w:rsidP="00582CA7">
            <w:pPr>
              <w:jc w:val="center"/>
              <w:rPr>
                <w:b/>
                <w:bCs/>
                <w:color w:val="000000"/>
                <w:sz w:val="16"/>
                <w:szCs w:val="16"/>
              </w:rPr>
            </w:pPr>
            <w:r w:rsidRPr="00C14154">
              <w:rPr>
                <w:b/>
                <w:bCs/>
                <w:color w:val="000000"/>
                <w:sz w:val="16"/>
                <w:szCs w:val="16"/>
              </w:rPr>
              <w:t>-4.5%</w:t>
            </w:r>
          </w:p>
        </w:tc>
      </w:tr>
      <w:tr w:rsidR="00D0069E" w:rsidRPr="00C14154" w14:paraId="591F7A27" w14:textId="77777777" w:rsidTr="00CA7052">
        <w:trPr>
          <w:trHeight w:val="113"/>
          <w:jc w:val="center"/>
        </w:trPr>
        <w:tc>
          <w:tcPr>
            <w:tcW w:w="5812" w:type="dxa"/>
            <w:tcBorders>
              <w:top w:val="nil"/>
              <w:left w:val="single" w:sz="12" w:space="0" w:color="000000"/>
              <w:bottom w:val="nil"/>
              <w:right w:val="single" w:sz="12" w:space="0" w:color="000000"/>
            </w:tcBorders>
            <w:shd w:val="clear" w:color="auto" w:fill="auto"/>
            <w:vAlign w:val="center"/>
            <w:hideMark/>
          </w:tcPr>
          <w:p w14:paraId="5C1535B5" w14:textId="77777777" w:rsidR="00D0069E" w:rsidRPr="002259C8" w:rsidRDefault="00D0069E" w:rsidP="00582CA7">
            <w:pPr>
              <w:rPr>
                <w:color w:val="000000"/>
                <w:sz w:val="15"/>
                <w:szCs w:val="15"/>
              </w:rPr>
            </w:pPr>
            <w:r w:rsidRPr="002259C8">
              <w:rPr>
                <w:color w:val="000000"/>
                <w:sz w:val="15"/>
                <w:szCs w:val="15"/>
              </w:rPr>
              <w:t>Infraestructura en Salud</w:t>
            </w:r>
          </w:p>
        </w:tc>
        <w:tc>
          <w:tcPr>
            <w:tcW w:w="992" w:type="dxa"/>
            <w:tcBorders>
              <w:top w:val="nil"/>
              <w:left w:val="nil"/>
              <w:bottom w:val="nil"/>
              <w:right w:val="single" w:sz="8" w:space="0" w:color="000000"/>
            </w:tcBorders>
            <w:shd w:val="clear" w:color="auto" w:fill="auto"/>
            <w:vAlign w:val="center"/>
            <w:hideMark/>
          </w:tcPr>
          <w:p w14:paraId="34BA4742" w14:textId="77777777" w:rsidR="00D0069E" w:rsidRPr="002259C8" w:rsidRDefault="00D0069E" w:rsidP="00582CA7">
            <w:pPr>
              <w:jc w:val="center"/>
              <w:rPr>
                <w:color w:val="000000"/>
                <w:sz w:val="15"/>
                <w:szCs w:val="15"/>
              </w:rPr>
            </w:pPr>
            <w:r w:rsidRPr="002259C8">
              <w:rPr>
                <w:color w:val="000000"/>
                <w:sz w:val="15"/>
                <w:szCs w:val="15"/>
              </w:rPr>
              <w:t>10.8</w:t>
            </w:r>
          </w:p>
        </w:tc>
        <w:tc>
          <w:tcPr>
            <w:tcW w:w="851" w:type="dxa"/>
            <w:tcBorders>
              <w:top w:val="nil"/>
              <w:left w:val="nil"/>
              <w:bottom w:val="nil"/>
              <w:right w:val="single" w:sz="8" w:space="0" w:color="000000"/>
            </w:tcBorders>
            <w:shd w:val="clear" w:color="auto" w:fill="auto"/>
            <w:vAlign w:val="center"/>
            <w:hideMark/>
          </w:tcPr>
          <w:p w14:paraId="694C7508" w14:textId="77777777" w:rsidR="00D0069E" w:rsidRPr="002259C8" w:rsidRDefault="00D0069E" w:rsidP="00582CA7">
            <w:pPr>
              <w:jc w:val="center"/>
              <w:rPr>
                <w:color w:val="000000"/>
                <w:sz w:val="15"/>
                <w:szCs w:val="15"/>
              </w:rPr>
            </w:pPr>
            <w:r w:rsidRPr="002259C8">
              <w:rPr>
                <w:color w:val="000000"/>
                <w:sz w:val="15"/>
                <w:szCs w:val="15"/>
              </w:rPr>
              <w:t>79.6</w:t>
            </w:r>
          </w:p>
        </w:tc>
        <w:tc>
          <w:tcPr>
            <w:tcW w:w="804" w:type="dxa"/>
            <w:tcBorders>
              <w:top w:val="nil"/>
              <w:left w:val="nil"/>
              <w:bottom w:val="nil"/>
              <w:right w:val="single" w:sz="8" w:space="0" w:color="000000"/>
            </w:tcBorders>
            <w:shd w:val="clear" w:color="auto" w:fill="auto"/>
            <w:vAlign w:val="center"/>
            <w:hideMark/>
          </w:tcPr>
          <w:p w14:paraId="3532ADBE" w14:textId="77777777" w:rsidR="00D0069E" w:rsidRPr="002259C8" w:rsidRDefault="00D0069E" w:rsidP="00582CA7">
            <w:pPr>
              <w:jc w:val="center"/>
              <w:rPr>
                <w:color w:val="000000"/>
                <w:sz w:val="15"/>
                <w:szCs w:val="15"/>
              </w:rPr>
            </w:pPr>
            <w:r w:rsidRPr="002259C8">
              <w:rPr>
                <w:color w:val="000000"/>
                <w:sz w:val="15"/>
                <w:szCs w:val="15"/>
              </w:rPr>
              <w:t>68.7</w:t>
            </w:r>
          </w:p>
        </w:tc>
        <w:tc>
          <w:tcPr>
            <w:tcW w:w="740" w:type="dxa"/>
            <w:tcBorders>
              <w:top w:val="nil"/>
              <w:left w:val="nil"/>
              <w:bottom w:val="nil"/>
              <w:right w:val="single" w:sz="12" w:space="0" w:color="000000"/>
            </w:tcBorders>
            <w:shd w:val="clear" w:color="auto" w:fill="auto"/>
            <w:vAlign w:val="center"/>
            <w:hideMark/>
          </w:tcPr>
          <w:p w14:paraId="744012D5" w14:textId="77777777" w:rsidR="00D0069E" w:rsidRPr="002259C8" w:rsidRDefault="00D0069E" w:rsidP="00582CA7">
            <w:pPr>
              <w:jc w:val="center"/>
              <w:rPr>
                <w:color w:val="000000"/>
                <w:sz w:val="15"/>
                <w:szCs w:val="15"/>
              </w:rPr>
            </w:pPr>
            <w:r w:rsidRPr="002259C8">
              <w:rPr>
                <w:color w:val="000000"/>
                <w:sz w:val="15"/>
                <w:szCs w:val="15"/>
              </w:rPr>
              <w:t>634.7%</w:t>
            </w:r>
          </w:p>
        </w:tc>
      </w:tr>
      <w:tr w:rsidR="00D0069E" w:rsidRPr="00C14154" w14:paraId="040FC71D" w14:textId="77777777" w:rsidTr="00CA7052">
        <w:trPr>
          <w:trHeight w:val="175"/>
          <w:jc w:val="center"/>
        </w:trPr>
        <w:tc>
          <w:tcPr>
            <w:tcW w:w="5812" w:type="dxa"/>
            <w:tcBorders>
              <w:top w:val="nil"/>
              <w:left w:val="single" w:sz="12" w:space="0" w:color="000000"/>
              <w:bottom w:val="nil"/>
              <w:right w:val="single" w:sz="12" w:space="0" w:color="000000"/>
            </w:tcBorders>
            <w:shd w:val="clear" w:color="auto" w:fill="auto"/>
            <w:vAlign w:val="center"/>
            <w:hideMark/>
          </w:tcPr>
          <w:p w14:paraId="279DFEEA" w14:textId="77777777" w:rsidR="00D0069E" w:rsidRPr="002259C8" w:rsidRDefault="00D0069E" w:rsidP="00582CA7">
            <w:pPr>
              <w:rPr>
                <w:color w:val="000000"/>
                <w:sz w:val="15"/>
                <w:szCs w:val="15"/>
              </w:rPr>
            </w:pPr>
            <w:r w:rsidRPr="002259C8">
              <w:rPr>
                <w:color w:val="000000"/>
                <w:sz w:val="15"/>
                <w:szCs w:val="15"/>
              </w:rPr>
              <w:t>Servicio de Formación del Recurso Humano</w:t>
            </w:r>
          </w:p>
        </w:tc>
        <w:tc>
          <w:tcPr>
            <w:tcW w:w="992" w:type="dxa"/>
            <w:tcBorders>
              <w:top w:val="nil"/>
              <w:left w:val="nil"/>
              <w:bottom w:val="nil"/>
              <w:right w:val="single" w:sz="8" w:space="0" w:color="000000"/>
            </w:tcBorders>
            <w:shd w:val="clear" w:color="auto" w:fill="auto"/>
            <w:vAlign w:val="center"/>
            <w:hideMark/>
          </w:tcPr>
          <w:p w14:paraId="73491B31" w14:textId="77777777" w:rsidR="00D0069E" w:rsidRPr="002259C8" w:rsidRDefault="00D0069E" w:rsidP="00582CA7">
            <w:pPr>
              <w:jc w:val="center"/>
              <w:rPr>
                <w:color w:val="000000"/>
                <w:sz w:val="15"/>
                <w:szCs w:val="15"/>
              </w:rPr>
            </w:pPr>
            <w:r w:rsidRPr="002259C8">
              <w:rPr>
                <w:color w:val="000000"/>
                <w:sz w:val="15"/>
                <w:szCs w:val="15"/>
              </w:rPr>
              <w:t>407.4</w:t>
            </w:r>
          </w:p>
        </w:tc>
        <w:tc>
          <w:tcPr>
            <w:tcW w:w="851" w:type="dxa"/>
            <w:tcBorders>
              <w:top w:val="nil"/>
              <w:left w:val="nil"/>
              <w:bottom w:val="nil"/>
              <w:right w:val="single" w:sz="8" w:space="0" w:color="000000"/>
            </w:tcBorders>
            <w:shd w:val="clear" w:color="auto" w:fill="auto"/>
            <w:vAlign w:val="center"/>
            <w:hideMark/>
          </w:tcPr>
          <w:p w14:paraId="56A50BE1" w14:textId="77777777" w:rsidR="00D0069E" w:rsidRPr="002259C8" w:rsidRDefault="00D0069E" w:rsidP="00582CA7">
            <w:pPr>
              <w:jc w:val="center"/>
              <w:rPr>
                <w:color w:val="000000"/>
                <w:sz w:val="15"/>
                <w:szCs w:val="15"/>
              </w:rPr>
            </w:pPr>
            <w:r w:rsidRPr="002259C8">
              <w:rPr>
                <w:color w:val="000000"/>
                <w:sz w:val="15"/>
                <w:szCs w:val="15"/>
              </w:rPr>
              <w:t>402.6</w:t>
            </w:r>
          </w:p>
        </w:tc>
        <w:tc>
          <w:tcPr>
            <w:tcW w:w="804" w:type="dxa"/>
            <w:tcBorders>
              <w:top w:val="nil"/>
              <w:left w:val="nil"/>
              <w:bottom w:val="nil"/>
              <w:right w:val="single" w:sz="8" w:space="0" w:color="000000"/>
            </w:tcBorders>
            <w:shd w:val="clear" w:color="auto" w:fill="auto"/>
            <w:vAlign w:val="center"/>
            <w:hideMark/>
          </w:tcPr>
          <w:p w14:paraId="14C591EE" w14:textId="77777777" w:rsidR="00D0069E" w:rsidRPr="002259C8" w:rsidRDefault="00D0069E" w:rsidP="00582CA7">
            <w:pPr>
              <w:jc w:val="center"/>
              <w:rPr>
                <w:color w:val="000000"/>
                <w:sz w:val="15"/>
                <w:szCs w:val="15"/>
              </w:rPr>
            </w:pPr>
            <w:r w:rsidRPr="002259C8">
              <w:rPr>
                <w:color w:val="000000"/>
                <w:sz w:val="15"/>
                <w:szCs w:val="15"/>
              </w:rPr>
              <w:t>-4.9</w:t>
            </w:r>
          </w:p>
        </w:tc>
        <w:tc>
          <w:tcPr>
            <w:tcW w:w="740" w:type="dxa"/>
            <w:tcBorders>
              <w:top w:val="nil"/>
              <w:left w:val="nil"/>
              <w:bottom w:val="nil"/>
              <w:right w:val="single" w:sz="12" w:space="0" w:color="000000"/>
            </w:tcBorders>
            <w:shd w:val="clear" w:color="auto" w:fill="auto"/>
            <w:vAlign w:val="center"/>
            <w:hideMark/>
          </w:tcPr>
          <w:p w14:paraId="7A7C0D1B" w14:textId="77777777" w:rsidR="00D0069E" w:rsidRPr="002259C8" w:rsidRDefault="00D0069E" w:rsidP="00582CA7">
            <w:pPr>
              <w:jc w:val="center"/>
              <w:rPr>
                <w:color w:val="000000"/>
                <w:sz w:val="15"/>
                <w:szCs w:val="15"/>
              </w:rPr>
            </w:pPr>
            <w:r w:rsidRPr="002259C8">
              <w:rPr>
                <w:color w:val="000000"/>
                <w:sz w:val="15"/>
                <w:szCs w:val="15"/>
              </w:rPr>
              <w:t>-1.2%</w:t>
            </w:r>
          </w:p>
        </w:tc>
      </w:tr>
      <w:tr w:rsidR="00D0069E" w:rsidRPr="00C14154" w14:paraId="65429D40" w14:textId="77777777" w:rsidTr="00CA7052">
        <w:trPr>
          <w:trHeight w:val="61"/>
          <w:jc w:val="center"/>
        </w:trPr>
        <w:tc>
          <w:tcPr>
            <w:tcW w:w="5812" w:type="dxa"/>
            <w:tcBorders>
              <w:top w:val="nil"/>
              <w:left w:val="single" w:sz="12" w:space="0" w:color="000000"/>
              <w:bottom w:val="nil"/>
              <w:right w:val="single" w:sz="12" w:space="0" w:color="000000"/>
            </w:tcBorders>
            <w:shd w:val="clear" w:color="auto" w:fill="auto"/>
            <w:vAlign w:val="center"/>
            <w:hideMark/>
          </w:tcPr>
          <w:p w14:paraId="6C565237" w14:textId="77777777" w:rsidR="00D0069E" w:rsidRPr="002259C8" w:rsidRDefault="00D0069E" w:rsidP="00582CA7">
            <w:pPr>
              <w:rPr>
                <w:color w:val="000000"/>
                <w:sz w:val="15"/>
                <w:szCs w:val="15"/>
              </w:rPr>
            </w:pPr>
            <w:r w:rsidRPr="002259C8">
              <w:rPr>
                <w:color w:val="000000"/>
                <w:sz w:val="15"/>
                <w:szCs w:val="15"/>
              </w:rPr>
              <w:t>Fomento de la Salud y Medicina Preventiva</w:t>
            </w:r>
          </w:p>
        </w:tc>
        <w:tc>
          <w:tcPr>
            <w:tcW w:w="992" w:type="dxa"/>
            <w:tcBorders>
              <w:top w:val="nil"/>
              <w:left w:val="nil"/>
              <w:bottom w:val="nil"/>
              <w:right w:val="single" w:sz="8" w:space="0" w:color="000000"/>
            </w:tcBorders>
            <w:shd w:val="clear" w:color="auto" w:fill="auto"/>
            <w:vAlign w:val="center"/>
            <w:hideMark/>
          </w:tcPr>
          <w:p w14:paraId="469CE80A" w14:textId="77777777" w:rsidR="00D0069E" w:rsidRPr="002259C8" w:rsidRDefault="00D0069E" w:rsidP="00582CA7">
            <w:pPr>
              <w:jc w:val="center"/>
              <w:rPr>
                <w:color w:val="000000"/>
                <w:sz w:val="15"/>
                <w:szCs w:val="15"/>
              </w:rPr>
            </w:pPr>
            <w:r w:rsidRPr="002259C8">
              <w:rPr>
                <w:color w:val="000000"/>
                <w:sz w:val="15"/>
                <w:szCs w:val="15"/>
              </w:rPr>
              <w:t>1,461.0</w:t>
            </w:r>
          </w:p>
        </w:tc>
        <w:tc>
          <w:tcPr>
            <w:tcW w:w="851" w:type="dxa"/>
            <w:tcBorders>
              <w:top w:val="nil"/>
              <w:left w:val="nil"/>
              <w:bottom w:val="nil"/>
              <w:right w:val="single" w:sz="8" w:space="0" w:color="000000"/>
            </w:tcBorders>
            <w:shd w:val="clear" w:color="auto" w:fill="auto"/>
            <w:vAlign w:val="center"/>
            <w:hideMark/>
          </w:tcPr>
          <w:p w14:paraId="0C7E9C61" w14:textId="77777777" w:rsidR="00D0069E" w:rsidRPr="002259C8" w:rsidRDefault="00D0069E" w:rsidP="00582CA7">
            <w:pPr>
              <w:jc w:val="center"/>
              <w:rPr>
                <w:color w:val="000000"/>
                <w:sz w:val="15"/>
                <w:szCs w:val="15"/>
              </w:rPr>
            </w:pPr>
            <w:r w:rsidRPr="002259C8">
              <w:rPr>
                <w:color w:val="000000"/>
                <w:sz w:val="15"/>
                <w:szCs w:val="15"/>
              </w:rPr>
              <w:t>1,421.4</w:t>
            </w:r>
          </w:p>
        </w:tc>
        <w:tc>
          <w:tcPr>
            <w:tcW w:w="804" w:type="dxa"/>
            <w:tcBorders>
              <w:top w:val="nil"/>
              <w:left w:val="nil"/>
              <w:bottom w:val="nil"/>
              <w:right w:val="single" w:sz="8" w:space="0" w:color="000000"/>
            </w:tcBorders>
            <w:shd w:val="clear" w:color="auto" w:fill="auto"/>
            <w:vAlign w:val="center"/>
            <w:hideMark/>
          </w:tcPr>
          <w:p w14:paraId="7041F96C" w14:textId="77777777" w:rsidR="00D0069E" w:rsidRPr="002259C8" w:rsidRDefault="00D0069E" w:rsidP="00582CA7">
            <w:pPr>
              <w:jc w:val="center"/>
              <w:rPr>
                <w:color w:val="000000"/>
                <w:sz w:val="15"/>
                <w:szCs w:val="15"/>
              </w:rPr>
            </w:pPr>
            <w:r w:rsidRPr="002259C8">
              <w:rPr>
                <w:color w:val="000000"/>
                <w:sz w:val="15"/>
                <w:szCs w:val="15"/>
              </w:rPr>
              <w:t>-39.6</w:t>
            </w:r>
          </w:p>
        </w:tc>
        <w:tc>
          <w:tcPr>
            <w:tcW w:w="740" w:type="dxa"/>
            <w:tcBorders>
              <w:top w:val="nil"/>
              <w:left w:val="nil"/>
              <w:bottom w:val="nil"/>
              <w:right w:val="single" w:sz="12" w:space="0" w:color="000000"/>
            </w:tcBorders>
            <w:shd w:val="clear" w:color="auto" w:fill="auto"/>
            <w:vAlign w:val="center"/>
            <w:hideMark/>
          </w:tcPr>
          <w:p w14:paraId="2E0A8950" w14:textId="77777777" w:rsidR="00D0069E" w:rsidRPr="002259C8" w:rsidRDefault="00D0069E" w:rsidP="00582CA7">
            <w:pPr>
              <w:jc w:val="center"/>
              <w:rPr>
                <w:color w:val="000000"/>
                <w:sz w:val="15"/>
                <w:szCs w:val="15"/>
              </w:rPr>
            </w:pPr>
            <w:r w:rsidRPr="002259C8">
              <w:rPr>
                <w:color w:val="000000"/>
                <w:sz w:val="15"/>
                <w:szCs w:val="15"/>
              </w:rPr>
              <w:t>-2.7%</w:t>
            </w:r>
          </w:p>
        </w:tc>
      </w:tr>
      <w:tr w:rsidR="00D0069E" w:rsidRPr="00C14154" w14:paraId="68787495" w14:textId="77777777" w:rsidTr="00CA7052">
        <w:trPr>
          <w:trHeight w:val="92"/>
          <w:jc w:val="center"/>
        </w:trPr>
        <w:tc>
          <w:tcPr>
            <w:tcW w:w="5812" w:type="dxa"/>
            <w:tcBorders>
              <w:top w:val="nil"/>
              <w:left w:val="single" w:sz="12" w:space="0" w:color="000000"/>
              <w:bottom w:val="nil"/>
              <w:right w:val="single" w:sz="12" w:space="0" w:color="000000"/>
            </w:tcBorders>
            <w:shd w:val="clear" w:color="auto" w:fill="auto"/>
            <w:vAlign w:val="center"/>
            <w:hideMark/>
          </w:tcPr>
          <w:p w14:paraId="47977C43" w14:textId="77777777" w:rsidR="00D0069E" w:rsidRPr="002259C8" w:rsidRDefault="00D0069E" w:rsidP="00582CA7">
            <w:pPr>
              <w:rPr>
                <w:color w:val="000000"/>
                <w:sz w:val="15"/>
                <w:szCs w:val="15"/>
              </w:rPr>
            </w:pPr>
            <w:r w:rsidRPr="002259C8">
              <w:rPr>
                <w:color w:val="000000"/>
                <w:sz w:val="15"/>
                <w:szCs w:val="15"/>
              </w:rPr>
              <w:t>Recuperación de la Salud</w:t>
            </w:r>
          </w:p>
        </w:tc>
        <w:tc>
          <w:tcPr>
            <w:tcW w:w="992" w:type="dxa"/>
            <w:tcBorders>
              <w:top w:val="nil"/>
              <w:left w:val="nil"/>
              <w:bottom w:val="nil"/>
              <w:right w:val="single" w:sz="8" w:space="0" w:color="000000"/>
            </w:tcBorders>
            <w:shd w:val="clear" w:color="auto" w:fill="auto"/>
            <w:vAlign w:val="center"/>
            <w:hideMark/>
          </w:tcPr>
          <w:p w14:paraId="1986F248" w14:textId="77777777" w:rsidR="00D0069E" w:rsidRPr="002259C8" w:rsidRDefault="00D0069E" w:rsidP="00582CA7">
            <w:pPr>
              <w:jc w:val="center"/>
              <w:rPr>
                <w:color w:val="000000"/>
                <w:sz w:val="15"/>
                <w:szCs w:val="15"/>
              </w:rPr>
            </w:pPr>
            <w:r w:rsidRPr="002259C8">
              <w:rPr>
                <w:color w:val="000000"/>
                <w:sz w:val="15"/>
                <w:szCs w:val="15"/>
              </w:rPr>
              <w:t>4,006.3</w:t>
            </w:r>
          </w:p>
        </w:tc>
        <w:tc>
          <w:tcPr>
            <w:tcW w:w="851" w:type="dxa"/>
            <w:tcBorders>
              <w:top w:val="nil"/>
              <w:left w:val="nil"/>
              <w:bottom w:val="nil"/>
              <w:right w:val="single" w:sz="8" w:space="0" w:color="000000"/>
            </w:tcBorders>
            <w:shd w:val="clear" w:color="auto" w:fill="auto"/>
            <w:vAlign w:val="center"/>
            <w:hideMark/>
          </w:tcPr>
          <w:p w14:paraId="690962C2" w14:textId="77777777" w:rsidR="00D0069E" w:rsidRPr="002259C8" w:rsidRDefault="00D0069E" w:rsidP="00582CA7">
            <w:pPr>
              <w:jc w:val="center"/>
              <w:rPr>
                <w:color w:val="000000"/>
                <w:sz w:val="15"/>
                <w:szCs w:val="15"/>
              </w:rPr>
            </w:pPr>
            <w:r w:rsidRPr="002259C8">
              <w:rPr>
                <w:color w:val="000000"/>
                <w:sz w:val="15"/>
                <w:szCs w:val="15"/>
              </w:rPr>
              <w:t>4,526.3</w:t>
            </w:r>
          </w:p>
        </w:tc>
        <w:tc>
          <w:tcPr>
            <w:tcW w:w="804" w:type="dxa"/>
            <w:tcBorders>
              <w:top w:val="nil"/>
              <w:left w:val="nil"/>
              <w:bottom w:val="nil"/>
              <w:right w:val="single" w:sz="8" w:space="0" w:color="000000"/>
            </w:tcBorders>
            <w:shd w:val="clear" w:color="auto" w:fill="auto"/>
            <w:vAlign w:val="center"/>
            <w:hideMark/>
          </w:tcPr>
          <w:p w14:paraId="281EABEE" w14:textId="77777777" w:rsidR="00D0069E" w:rsidRPr="002259C8" w:rsidRDefault="00D0069E" w:rsidP="00582CA7">
            <w:pPr>
              <w:jc w:val="center"/>
              <w:rPr>
                <w:color w:val="000000"/>
                <w:sz w:val="15"/>
                <w:szCs w:val="15"/>
              </w:rPr>
            </w:pPr>
            <w:r w:rsidRPr="002259C8">
              <w:rPr>
                <w:color w:val="000000"/>
                <w:sz w:val="15"/>
                <w:szCs w:val="15"/>
              </w:rPr>
              <w:t>520.0</w:t>
            </w:r>
          </w:p>
        </w:tc>
        <w:tc>
          <w:tcPr>
            <w:tcW w:w="740" w:type="dxa"/>
            <w:tcBorders>
              <w:top w:val="nil"/>
              <w:left w:val="nil"/>
              <w:bottom w:val="nil"/>
              <w:right w:val="single" w:sz="12" w:space="0" w:color="000000"/>
            </w:tcBorders>
            <w:shd w:val="clear" w:color="auto" w:fill="auto"/>
            <w:vAlign w:val="center"/>
            <w:hideMark/>
          </w:tcPr>
          <w:p w14:paraId="3BB6A22D" w14:textId="77777777" w:rsidR="00D0069E" w:rsidRPr="002259C8" w:rsidRDefault="00D0069E" w:rsidP="00582CA7">
            <w:pPr>
              <w:jc w:val="center"/>
              <w:rPr>
                <w:color w:val="000000"/>
                <w:sz w:val="15"/>
                <w:szCs w:val="15"/>
              </w:rPr>
            </w:pPr>
            <w:r w:rsidRPr="002259C8">
              <w:rPr>
                <w:color w:val="000000"/>
                <w:sz w:val="15"/>
                <w:szCs w:val="15"/>
              </w:rPr>
              <w:t>13.0%</w:t>
            </w:r>
          </w:p>
        </w:tc>
      </w:tr>
      <w:tr w:rsidR="00D0069E" w:rsidRPr="00C14154" w14:paraId="35318414" w14:textId="77777777" w:rsidTr="00CA7052">
        <w:trPr>
          <w:trHeight w:val="182"/>
          <w:jc w:val="center"/>
        </w:trPr>
        <w:tc>
          <w:tcPr>
            <w:tcW w:w="5812" w:type="dxa"/>
            <w:tcBorders>
              <w:top w:val="nil"/>
              <w:left w:val="single" w:sz="12" w:space="0" w:color="000000"/>
              <w:bottom w:val="nil"/>
              <w:right w:val="single" w:sz="12" w:space="0" w:color="000000"/>
            </w:tcBorders>
            <w:shd w:val="clear" w:color="auto" w:fill="auto"/>
            <w:vAlign w:val="center"/>
            <w:hideMark/>
          </w:tcPr>
          <w:p w14:paraId="701D68F8" w14:textId="77777777" w:rsidR="00D0069E" w:rsidRPr="002259C8" w:rsidRDefault="00D0069E" w:rsidP="00582CA7">
            <w:pPr>
              <w:rPr>
                <w:color w:val="000000"/>
                <w:sz w:val="15"/>
                <w:szCs w:val="15"/>
              </w:rPr>
            </w:pPr>
            <w:r w:rsidRPr="002259C8">
              <w:rPr>
                <w:color w:val="000000"/>
                <w:sz w:val="15"/>
                <w:szCs w:val="15"/>
              </w:rPr>
              <w:t>Prevención de la mortalidad de la niñez y de la Desnutrición Crónica</w:t>
            </w:r>
          </w:p>
        </w:tc>
        <w:tc>
          <w:tcPr>
            <w:tcW w:w="992" w:type="dxa"/>
            <w:tcBorders>
              <w:top w:val="nil"/>
              <w:left w:val="nil"/>
              <w:bottom w:val="nil"/>
              <w:right w:val="single" w:sz="8" w:space="0" w:color="000000"/>
            </w:tcBorders>
            <w:shd w:val="clear" w:color="auto" w:fill="auto"/>
            <w:vAlign w:val="center"/>
            <w:hideMark/>
          </w:tcPr>
          <w:p w14:paraId="3350E110" w14:textId="77777777" w:rsidR="00D0069E" w:rsidRPr="002259C8" w:rsidRDefault="00D0069E" w:rsidP="00582CA7">
            <w:pPr>
              <w:jc w:val="center"/>
              <w:rPr>
                <w:color w:val="000000"/>
                <w:sz w:val="15"/>
                <w:szCs w:val="15"/>
              </w:rPr>
            </w:pPr>
            <w:r w:rsidRPr="002259C8">
              <w:rPr>
                <w:color w:val="000000"/>
                <w:sz w:val="15"/>
                <w:szCs w:val="15"/>
              </w:rPr>
              <w:t>827.4</w:t>
            </w:r>
          </w:p>
        </w:tc>
        <w:tc>
          <w:tcPr>
            <w:tcW w:w="851" w:type="dxa"/>
            <w:tcBorders>
              <w:top w:val="nil"/>
              <w:left w:val="nil"/>
              <w:bottom w:val="nil"/>
              <w:right w:val="single" w:sz="8" w:space="0" w:color="000000"/>
            </w:tcBorders>
            <w:shd w:val="clear" w:color="auto" w:fill="auto"/>
            <w:vAlign w:val="center"/>
            <w:hideMark/>
          </w:tcPr>
          <w:p w14:paraId="40D6FD1A" w14:textId="77777777" w:rsidR="00D0069E" w:rsidRPr="002259C8" w:rsidRDefault="00D0069E" w:rsidP="00582CA7">
            <w:pPr>
              <w:jc w:val="center"/>
              <w:rPr>
                <w:color w:val="000000"/>
                <w:sz w:val="15"/>
                <w:szCs w:val="15"/>
              </w:rPr>
            </w:pPr>
            <w:r w:rsidRPr="002259C8">
              <w:rPr>
                <w:color w:val="000000"/>
                <w:sz w:val="15"/>
                <w:szCs w:val="15"/>
              </w:rPr>
              <w:t>933.8</w:t>
            </w:r>
          </w:p>
        </w:tc>
        <w:tc>
          <w:tcPr>
            <w:tcW w:w="804" w:type="dxa"/>
            <w:tcBorders>
              <w:top w:val="nil"/>
              <w:left w:val="nil"/>
              <w:bottom w:val="nil"/>
              <w:right w:val="single" w:sz="8" w:space="0" w:color="000000"/>
            </w:tcBorders>
            <w:shd w:val="clear" w:color="auto" w:fill="auto"/>
            <w:vAlign w:val="center"/>
            <w:hideMark/>
          </w:tcPr>
          <w:p w14:paraId="12B8A391" w14:textId="77777777" w:rsidR="00D0069E" w:rsidRPr="002259C8" w:rsidRDefault="00D0069E" w:rsidP="00582CA7">
            <w:pPr>
              <w:jc w:val="center"/>
              <w:rPr>
                <w:color w:val="000000"/>
                <w:sz w:val="15"/>
                <w:szCs w:val="15"/>
              </w:rPr>
            </w:pPr>
            <w:r w:rsidRPr="002259C8">
              <w:rPr>
                <w:color w:val="000000"/>
                <w:sz w:val="15"/>
                <w:szCs w:val="15"/>
              </w:rPr>
              <w:t>106.4</w:t>
            </w:r>
          </w:p>
        </w:tc>
        <w:tc>
          <w:tcPr>
            <w:tcW w:w="740" w:type="dxa"/>
            <w:tcBorders>
              <w:top w:val="nil"/>
              <w:left w:val="nil"/>
              <w:bottom w:val="nil"/>
              <w:right w:val="single" w:sz="12" w:space="0" w:color="000000"/>
            </w:tcBorders>
            <w:shd w:val="clear" w:color="auto" w:fill="auto"/>
            <w:vAlign w:val="center"/>
            <w:hideMark/>
          </w:tcPr>
          <w:p w14:paraId="5067B257" w14:textId="77777777" w:rsidR="00D0069E" w:rsidRPr="002259C8" w:rsidRDefault="00D0069E" w:rsidP="00582CA7">
            <w:pPr>
              <w:jc w:val="center"/>
              <w:rPr>
                <w:color w:val="000000"/>
                <w:sz w:val="15"/>
                <w:szCs w:val="15"/>
              </w:rPr>
            </w:pPr>
            <w:r w:rsidRPr="002259C8">
              <w:rPr>
                <w:color w:val="000000"/>
                <w:sz w:val="15"/>
                <w:szCs w:val="15"/>
              </w:rPr>
              <w:t>12.9%</w:t>
            </w:r>
          </w:p>
        </w:tc>
      </w:tr>
      <w:tr w:rsidR="00D0069E" w:rsidRPr="00C14154" w14:paraId="5BAEA512" w14:textId="77777777" w:rsidTr="00CA7052">
        <w:trPr>
          <w:trHeight w:val="122"/>
          <w:jc w:val="center"/>
        </w:trPr>
        <w:tc>
          <w:tcPr>
            <w:tcW w:w="5812" w:type="dxa"/>
            <w:tcBorders>
              <w:top w:val="nil"/>
              <w:left w:val="single" w:sz="12" w:space="0" w:color="000000"/>
              <w:bottom w:val="nil"/>
              <w:right w:val="single" w:sz="12" w:space="0" w:color="000000"/>
            </w:tcBorders>
            <w:shd w:val="clear" w:color="auto" w:fill="auto"/>
            <w:vAlign w:val="center"/>
            <w:hideMark/>
          </w:tcPr>
          <w:p w14:paraId="47A4D040" w14:textId="77777777" w:rsidR="00D0069E" w:rsidRPr="002259C8" w:rsidRDefault="00D0069E" w:rsidP="00582CA7">
            <w:pPr>
              <w:rPr>
                <w:color w:val="000000"/>
                <w:sz w:val="15"/>
                <w:szCs w:val="15"/>
              </w:rPr>
            </w:pPr>
            <w:r w:rsidRPr="002259C8">
              <w:rPr>
                <w:color w:val="000000"/>
                <w:sz w:val="15"/>
                <w:szCs w:val="15"/>
              </w:rPr>
              <w:t>Prevención de la Mortalidad Materna y Neonatal</w:t>
            </w:r>
          </w:p>
        </w:tc>
        <w:tc>
          <w:tcPr>
            <w:tcW w:w="992" w:type="dxa"/>
            <w:tcBorders>
              <w:top w:val="nil"/>
              <w:left w:val="nil"/>
              <w:bottom w:val="nil"/>
              <w:right w:val="single" w:sz="8" w:space="0" w:color="000000"/>
            </w:tcBorders>
            <w:shd w:val="clear" w:color="auto" w:fill="auto"/>
            <w:vAlign w:val="center"/>
            <w:hideMark/>
          </w:tcPr>
          <w:p w14:paraId="18D6110D" w14:textId="77777777" w:rsidR="00D0069E" w:rsidRPr="002259C8" w:rsidRDefault="00D0069E" w:rsidP="00582CA7">
            <w:pPr>
              <w:jc w:val="center"/>
              <w:rPr>
                <w:color w:val="000000"/>
                <w:sz w:val="15"/>
                <w:szCs w:val="15"/>
              </w:rPr>
            </w:pPr>
            <w:r w:rsidRPr="002259C8">
              <w:rPr>
                <w:color w:val="000000"/>
                <w:sz w:val="15"/>
                <w:szCs w:val="15"/>
              </w:rPr>
              <w:t>438.3</w:t>
            </w:r>
          </w:p>
        </w:tc>
        <w:tc>
          <w:tcPr>
            <w:tcW w:w="851" w:type="dxa"/>
            <w:tcBorders>
              <w:top w:val="nil"/>
              <w:left w:val="nil"/>
              <w:bottom w:val="nil"/>
              <w:right w:val="single" w:sz="8" w:space="0" w:color="000000"/>
            </w:tcBorders>
            <w:shd w:val="clear" w:color="auto" w:fill="auto"/>
            <w:vAlign w:val="center"/>
            <w:hideMark/>
          </w:tcPr>
          <w:p w14:paraId="6758E57B" w14:textId="77777777" w:rsidR="00D0069E" w:rsidRPr="002259C8" w:rsidRDefault="00D0069E" w:rsidP="00582CA7">
            <w:pPr>
              <w:jc w:val="center"/>
              <w:rPr>
                <w:color w:val="000000"/>
                <w:sz w:val="15"/>
                <w:szCs w:val="15"/>
              </w:rPr>
            </w:pPr>
            <w:r w:rsidRPr="002259C8">
              <w:rPr>
                <w:color w:val="000000"/>
                <w:sz w:val="15"/>
                <w:szCs w:val="15"/>
              </w:rPr>
              <w:t>520.9</w:t>
            </w:r>
          </w:p>
        </w:tc>
        <w:tc>
          <w:tcPr>
            <w:tcW w:w="804" w:type="dxa"/>
            <w:tcBorders>
              <w:top w:val="nil"/>
              <w:left w:val="nil"/>
              <w:bottom w:val="nil"/>
              <w:right w:val="single" w:sz="8" w:space="0" w:color="000000"/>
            </w:tcBorders>
            <w:shd w:val="clear" w:color="auto" w:fill="auto"/>
            <w:vAlign w:val="center"/>
            <w:hideMark/>
          </w:tcPr>
          <w:p w14:paraId="58687DA4" w14:textId="77777777" w:rsidR="00D0069E" w:rsidRPr="002259C8" w:rsidRDefault="00D0069E" w:rsidP="00582CA7">
            <w:pPr>
              <w:jc w:val="center"/>
              <w:rPr>
                <w:color w:val="000000"/>
                <w:sz w:val="15"/>
                <w:szCs w:val="15"/>
              </w:rPr>
            </w:pPr>
            <w:r w:rsidRPr="002259C8">
              <w:rPr>
                <w:color w:val="000000"/>
                <w:sz w:val="15"/>
                <w:szCs w:val="15"/>
              </w:rPr>
              <w:t>82.7</w:t>
            </w:r>
          </w:p>
        </w:tc>
        <w:tc>
          <w:tcPr>
            <w:tcW w:w="740" w:type="dxa"/>
            <w:tcBorders>
              <w:top w:val="nil"/>
              <w:left w:val="nil"/>
              <w:bottom w:val="nil"/>
              <w:right w:val="single" w:sz="12" w:space="0" w:color="000000"/>
            </w:tcBorders>
            <w:shd w:val="clear" w:color="auto" w:fill="auto"/>
            <w:vAlign w:val="center"/>
            <w:hideMark/>
          </w:tcPr>
          <w:p w14:paraId="3BA8F43D" w14:textId="77777777" w:rsidR="00D0069E" w:rsidRPr="002259C8" w:rsidRDefault="00D0069E" w:rsidP="00582CA7">
            <w:pPr>
              <w:jc w:val="center"/>
              <w:rPr>
                <w:color w:val="000000"/>
                <w:sz w:val="15"/>
                <w:szCs w:val="15"/>
              </w:rPr>
            </w:pPr>
            <w:r w:rsidRPr="002259C8">
              <w:rPr>
                <w:color w:val="000000"/>
                <w:sz w:val="15"/>
                <w:szCs w:val="15"/>
              </w:rPr>
              <w:t>18.9%</w:t>
            </w:r>
          </w:p>
        </w:tc>
      </w:tr>
      <w:tr w:rsidR="00D0069E" w:rsidRPr="00C14154" w14:paraId="63D3A094" w14:textId="77777777" w:rsidTr="00CA7052">
        <w:trPr>
          <w:trHeight w:val="128"/>
          <w:jc w:val="center"/>
        </w:trPr>
        <w:tc>
          <w:tcPr>
            <w:tcW w:w="5812" w:type="dxa"/>
            <w:tcBorders>
              <w:top w:val="nil"/>
              <w:left w:val="single" w:sz="12" w:space="0" w:color="000000"/>
              <w:bottom w:val="nil"/>
              <w:right w:val="single" w:sz="12" w:space="0" w:color="000000"/>
            </w:tcBorders>
            <w:shd w:val="clear" w:color="auto" w:fill="auto"/>
            <w:vAlign w:val="center"/>
            <w:hideMark/>
          </w:tcPr>
          <w:p w14:paraId="55FF865E" w14:textId="77777777" w:rsidR="00D0069E" w:rsidRPr="002259C8" w:rsidRDefault="00D0069E" w:rsidP="00582CA7">
            <w:pPr>
              <w:rPr>
                <w:color w:val="000000"/>
                <w:sz w:val="15"/>
                <w:szCs w:val="15"/>
              </w:rPr>
            </w:pPr>
            <w:r w:rsidRPr="002259C8">
              <w:rPr>
                <w:color w:val="000000"/>
                <w:sz w:val="15"/>
                <w:szCs w:val="15"/>
              </w:rPr>
              <w:t>Prevención y Control de ITS, VIH/Sida</w:t>
            </w:r>
          </w:p>
        </w:tc>
        <w:tc>
          <w:tcPr>
            <w:tcW w:w="992" w:type="dxa"/>
            <w:tcBorders>
              <w:top w:val="nil"/>
              <w:left w:val="nil"/>
              <w:bottom w:val="nil"/>
              <w:right w:val="single" w:sz="8" w:space="0" w:color="000000"/>
            </w:tcBorders>
            <w:shd w:val="clear" w:color="auto" w:fill="auto"/>
            <w:vAlign w:val="center"/>
            <w:hideMark/>
          </w:tcPr>
          <w:p w14:paraId="46D2B464" w14:textId="77777777" w:rsidR="00D0069E" w:rsidRPr="002259C8" w:rsidRDefault="00D0069E" w:rsidP="00582CA7">
            <w:pPr>
              <w:jc w:val="center"/>
              <w:rPr>
                <w:color w:val="000000"/>
                <w:sz w:val="15"/>
                <w:szCs w:val="15"/>
              </w:rPr>
            </w:pPr>
            <w:r w:rsidRPr="002259C8">
              <w:rPr>
                <w:color w:val="000000"/>
                <w:sz w:val="15"/>
                <w:szCs w:val="15"/>
              </w:rPr>
              <w:t>63.7</w:t>
            </w:r>
          </w:p>
        </w:tc>
        <w:tc>
          <w:tcPr>
            <w:tcW w:w="851" w:type="dxa"/>
            <w:tcBorders>
              <w:top w:val="nil"/>
              <w:left w:val="nil"/>
              <w:bottom w:val="nil"/>
              <w:right w:val="single" w:sz="8" w:space="0" w:color="000000"/>
            </w:tcBorders>
            <w:shd w:val="clear" w:color="auto" w:fill="auto"/>
            <w:vAlign w:val="center"/>
            <w:hideMark/>
          </w:tcPr>
          <w:p w14:paraId="1C5F3DEB" w14:textId="77777777" w:rsidR="00D0069E" w:rsidRPr="002259C8" w:rsidRDefault="00D0069E" w:rsidP="00582CA7">
            <w:pPr>
              <w:jc w:val="center"/>
              <w:rPr>
                <w:color w:val="000000"/>
                <w:sz w:val="15"/>
                <w:szCs w:val="15"/>
              </w:rPr>
            </w:pPr>
            <w:r w:rsidRPr="002259C8">
              <w:rPr>
                <w:color w:val="000000"/>
                <w:sz w:val="15"/>
                <w:szCs w:val="15"/>
              </w:rPr>
              <w:t>98.3</w:t>
            </w:r>
          </w:p>
        </w:tc>
        <w:tc>
          <w:tcPr>
            <w:tcW w:w="804" w:type="dxa"/>
            <w:tcBorders>
              <w:top w:val="nil"/>
              <w:left w:val="nil"/>
              <w:bottom w:val="nil"/>
              <w:right w:val="single" w:sz="8" w:space="0" w:color="000000"/>
            </w:tcBorders>
            <w:shd w:val="clear" w:color="auto" w:fill="auto"/>
            <w:vAlign w:val="center"/>
            <w:hideMark/>
          </w:tcPr>
          <w:p w14:paraId="0CD70ED5" w14:textId="77777777" w:rsidR="00D0069E" w:rsidRPr="002259C8" w:rsidRDefault="00D0069E" w:rsidP="00582CA7">
            <w:pPr>
              <w:jc w:val="center"/>
              <w:rPr>
                <w:color w:val="000000"/>
                <w:sz w:val="15"/>
                <w:szCs w:val="15"/>
              </w:rPr>
            </w:pPr>
            <w:r w:rsidRPr="002259C8">
              <w:rPr>
                <w:color w:val="000000"/>
                <w:sz w:val="15"/>
                <w:szCs w:val="15"/>
              </w:rPr>
              <w:t>34.6</w:t>
            </w:r>
          </w:p>
        </w:tc>
        <w:tc>
          <w:tcPr>
            <w:tcW w:w="740" w:type="dxa"/>
            <w:tcBorders>
              <w:top w:val="nil"/>
              <w:left w:val="nil"/>
              <w:bottom w:val="nil"/>
              <w:right w:val="single" w:sz="12" w:space="0" w:color="000000"/>
            </w:tcBorders>
            <w:shd w:val="clear" w:color="auto" w:fill="auto"/>
            <w:vAlign w:val="center"/>
            <w:hideMark/>
          </w:tcPr>
          <w:p w14:paraId="3160A62B" w14:textId="77777777" w:rsidR="00D0069E" w:rsidRPr="002259C8" w:rsidRDefault="00D0069E" w:rsidP="00582CA7">
            <w:pPr>
              <w:jc w:val="center"/>
              <w:rPr>
                <w:color w:val="000000"/>
                <w:sz w:val="15"/>
                <w:szCs w:val="15"/>
              </w:rPr>
            </w:pPr>
            <w:r w:rsidRPr="002259C8">
              <w:rPr>
                <w:color w:val="000000"/>
                <w:sz w:val="15"/>
                <w:szCs w:val="15"/>
              </w:rPr>
              <w:t>54.3%</w:t>
            </w:r>
          </w:p>
        </w:tc>
      </w:tr>
      <w:tr w:rsidR="00D0069E" w:rsidRPr="00C14154" w14:paraId="472E3371" w14:textId="77777777" w:rsidTr="00CA7052">
        <w:trPr>
          <w:trHeight w:val="204"/>
          <w:jc w:val="center"/>
        </w:trPr>
        <w:tc>
          <w:tcPr>
            <w:tcW w:w="5812" w:type="dxa"/>
            <w:tcBorders>
              <w:top w:val="nil"/>
              <w:left w:val="single" w:sz="12" w:space="0" w:color="000000"/>
              <w:bottom w:val="nil"/>
              <w:right w:val="single" w:sz="12" w:space="0" w:color="000000"/>
            </w:tcBorders>
            <w:shd w:val="clear" w:color="auto" w:fill="auto"/>
            <w:vAlign w:val="center"/>
            <w:hideMark/>
          </w:tcPr>
          <w:p w14:paraId="48C42941" w14:textId="77777777" w:rsidR="00D0069E" w:rsidRPr="002259C8" w:rsidRDefault="00D0069E" w:rsidP="00582CA7">
            <w:pPr>
              <w:rPr>
                <w:color w:val="000000"/>
                <w:sz w:val="15"/>
                <w:szCs w:val="15"/>
              </w:rPr>
            </w:pPr>
            <w:r w:rsidRPr="002259C8">
              <w:rPr>
                <w:color w:val="000000"/>
                <w:sz w:val="15"/>
                <w:szCs w:val="15"/>
              </w:rPr>
              <w:t>Prevención y Control de la Tuberculosis</w:t>
            </w:r>
          </w:p>
        </w:tc>
        <w:tc>
          <w:tcPr>
            <w:tcW w:w="992" w:type="dxa"/>
            <w:tcBorders>
              <w:top w:val="nil"/>
              <w:left w:val="nil"/>
              <w:bottom w:val="nil"/>
              <w:right w:val="single" w:sz="8" w:space="0" w:color="000000"/>
            </w:tcBorders>
            <w:shd w:val="clear" w:color="auto" w:fill="auto"/>
            <w:vAlign w:val="center"/>
            <w:hideMark/>
          </w:tcPr>
          <w:p w14:paraId="286F7423" w14:textId="77777777" w:rsidR="00D0069E" w:rsidRPr="002259C8" w:rsidRDefault="00D0069E" w:rsidP="00582CA7">
            <w:pPr>
              <w:jc w:val="center"/>
              <w:rPr>
                <w:color w:val="000000"/>
                <w:sz w:val="15"/>
                <w:szCs w:val="15"/>
              </w:rPr>
            </w:pPr>
            <w:r w:rsidRPr="002259C8">
              <w:rPr>
                <w:color w:val="000000"/>
                <w:sz w:val="15"/>
                <w:szCs w:val="15"/>
              </w:rPr>
              <w:t>15.4</w:t>
            </w:r>
          </w:p>
        </w:tc>
        <w:tc>
          <w:tcPr>
            <w:tcW w:w="851" w:type="dxa"/>
            <w:tcBorders>
              <w:top w:val="nil"/>
              <w:left w:val="nil"/>
              <w:bottom w:val="nil"/>
              <w:right w:val="single" w:sz="8" w:space="0" w:color="000000"/>
            </w:tcBorders>
            <w:shd w:val="clear" w:color="auto" w:fill="auto"/>
            <w:vAlign w:val="center"/>
            <w:hideMark/>
          </w:tcPr>
          <w:p w14:paraId="56C72E2B" w14:textId="77777777" w:rsidR="00D0069E" w:rsidRPr="002259C8" w:rsidRDefault="00D0069E" w:rsidP="00582CA7">
            <w:pPr>
              <w:jc w:val="center"/>
              <w:rPr>
                <w:color w:val="000000"/>
                <w:sz w:val="15"/>
                <w:szCs w:val="15"/>
              </w:rPr>
            </w:pPr>
            <w:r w:rsidRPr="002259C8">
              <w:rPr>
                <w:color w:val="000000"/>
                <w:sz w:val="15"/>
                <w:szCs w:val="15"/>
              </w:rPr>
              <w:t>21.1</w:t>
            </w:r>
          </w:p>
        </w:tc>
        <w:tc>
          <w:tcPr>
            <w:tcW w:w="804" w:type="dxa"/>
            <w:tcBorders>
              <w:top w:val="nil"/>
              <w:left w:val="nil"/>
              <w:bottom w:val="nil"/>
              <w:right w:val="single" w:sz="8" w:space="0" w:color="000000"/>
            </w:tcBorders>
            <w:shd w:val="clear" w:color="auto" w:fill="auto"/>
            <w:vAlign w:val="center"/>
            <w:hideMark/>
          </w:tcPr>
          <w:p w14:paraId="3242FE17" w14:textId="77777777" w:rsidR="00D0069E" w:rsidRPr="002259C8" w:rsidRDefault="00D0069E" w:rsidP="00582CA7">
            <w:pPr>
              <w:jc w:val="center"/>
              <w:rPr>
                <w:color w:val="000000"/>
                <w:sz w:val="15"/>
                <w:szCs w:val="15"/>
              </w:rPr>
            </w:pPr>
            <w:r w:rsidRPr="002259C8">
              <w:rPr>
                <w:color w:val="000000"/>
                <w:sz w:val="15"/>
                <w:szCs w:val="15"/>
              </w:rPr>
              <w:t>5.7</w:t>
            </w:r>
          </w:p>
        </w:tc>
        <w:tc>
          <w:tcPr>
            <w:tcW w:w="740" w:type="dxa"/>
            <w:tcBorders>
              <w:top w:val="nil"/>
              <w:left w:val="nil"/>
              <w:bottom w:val="nil"/>
              <w:right w:val="single" w:sz="12" w:space="0" w:color="000000"/>
            </w:tcBorders>
            <w:shd w:val="clear" w:color="auto" w:fill="auto"/>
            <w:vAlign w:val="center"/>
            <w:hideMark/>
          </w:tcPr>
          <w:p w14:paraId="4F1A835C" w14:textId="77777777" w:rsidR="00D0069E" w:rsidRPr="002259C8" w:rsidRDefault="00D0069E" w:rsidP="00582CA7">
            <w:pPr>
              <w:jc w:val="center"/>
              <w:rPr>
                <w:color w:val="000000"/>
                <w:sz w:val="15"/>
                <w:szCs w:val="15"/>
              </w:rPr>
            </w:pPr>
            <w:r w:rsidRPr="002259C8">
              <w:rPr>
                <w:color w:val="000000"/>
                <w:sz w:val="15"/>
                <w:szCs w:val="15"/>
              </w:rPr>
              <w:t>37.2%</w:t>
            </w:r>
          </w:p>
        </w:tc>
      </w:tr>
      <w:tr w:rsidR="00D0069E" w:rsidRPr="00C14154" w14:paraId="056244A1" w14:textId="77777777" w:rsidTr="00CA7052">
        <w:trPr>
          <w:trHeight w:val="80"/>
          <w:jc w:val="center"/>
        </w:trPr>
        <w:tc>
          <w:tcPr>
            <w:tcW w:w="5812" w:type="dxa"/>
            <w:tcBorders>
              <w:top w:val="nil"/>
              <w:left w:val="single" w:sz="12" w:space="0" w:color="000000"/>
              <w:bottom w:val="nil"/>
              <w:right w:val="single" w:sz="12" w:space="0" w:color="000000"/>
            </w:tcBorders>
            <w:shd w:val="clear" w:color="auto" w:fill="auto"/>
            <w:vAlign w:val="center"/>
            <w:hideMark/>
          </w:tcPr>
          <w:p w14:paraId="527859C8" w14:textId="77777777" w:rsidR="00D0069E" w:rsidRPr="002259C8" w:rsidRDefault="00D0069E" w:rsidP="00582CA7">
            <w:pPr>
              <w:rPr>
                <w:color w:val="000000"/>
                <w:sz w:val="15"/>
                <w:szCs w:val="15"/>
              </w:rPr>
            </w:pPr>
            <w:r w:rsidRPr="002259C8">
              <w:rPr>
                <w:color w:val="000000"/>
                <w:sz w:val="15"/>
                <w:szCs w:val="15"/>
              </w:rPr>
              <w:t>Prevención y control de las Enfermedades Vectoriales y Zoonóticas</w:t>
            </w:r>
          </w:p>
        </w:tc>
        <w:tc>
          <w:tcPr>
            <w:tcW w:w="992" w:type="dxa"/>
            <w:tcBorders>
              <w:top w:val="nil"/>
              <w:left w:val="nil"/>
              <w:bottom w:val="nil"/>
              <w:right w:val="single" w:sz="8" w:space="0" w:color="000000"/>
            </w:tcBorders>
            <w:shd w:val="clear" w:color="auto" w:fill="auto"/>
            <w:vAlign w:val="center"/>
            <w:hideMark/>
          </w:tcPr>
          <w:p w14:paraId="6E191E6D" w14:textId="77777777" w:rsidR="00D0069E" w:rsidRPr="002259C8" w:rsidRDefault="00D0069E" w:rsidP="00582CA7">
            <w:pPr>
              <w:jc w:val="center"/>
              <w:rPr>
                <w:color w:val="000000"/>
                <w:sz w:val="15"/>
                <w:szCs w:val="15"/>
              </w:rPr>
            </w:pPr>
            <w:r w:rsidRPr="002259C8">
              <w:rPr>
                <w:color w:val="000000"/>
                <w:sz w:val="15"/>
                <w:szCs w:val="15"/>
              </w:rPr>
              <w:t>187.5</w:t>
            </w:r>
          </w:p>
        </w:tc>
        <w:tc>
          <w:tcPr>
            <w:tcW w:w="851" w:type="dxa"/>
            <w:tcBorders>
              <w:top w:val="nil"/>
              <w:left w:val="nil"/>
              <w:bottom w:val="nil"/>
              <w:right w:val="single" w:sz="8" w:space="0" w:color="000000"/>
            </w:tcBorders>
            <w:shd w:val="clear" w:color="auto" w:fill="auto"/>
            <w:vAlign w:val="center"/>
            <w:hideMark/>
          </w:tcPr>
          <w:p w14:paraId="54B13475" w14:textId="77777777" w:rsidR="00D0069E" w:rsidRPr="002259C8" w:rsidRDefault="00D0069E" w:rsidP="00582CA7">
            <w:pPr>
              <w:jc w:val="center"/>
              <w:rPr>
                <w:color w:val="000000"/>
                <w:sz w:val="15"/>
                <w:szCs w:val="15"/>
              </w:rPr>
            </w:pPr>
            <w:r w:rsidRPr="002259C8">
              <w:rPr>
                <w:color w:val="000000"/>
                <w:sz w:val="15"/>
                <w:szCs w:val="15"/>
              </w:rPr>
              <w:t>198.9</w:t>
            </w:r>
          </w:p>
        </w:tc>
        <w:tc>
          <w:tcPr>
            <w:tcW w:w="804" w:type="dxa"/>
            <w:tcBorders>
              <w:top w:val="nil"/>
              <w:left w:val="nil"/>
              <w:bottom w:val="nil"/>
              <w:right w:val="single" w:sz="8" w:space="0" w:color="000000"/>
            </w:tcBorders>
            <w:shd w:val="clear" w:color="auto" w:fill="auto"/>
            <w:vAlign w:val="center"/>
            <w:hideMark/>
          </w:tcPr>
          <w:p w14:paraId="2D3645E5" w14:textId="77777777" w:rsidR="00D0069E" w:rsidRPr="002259C8" w:rsidRDefault="00D0069E" w:rsidP="00582CA7">
            <w:pPr>
              <w:jc w:val="center"/>
              <w:rPr>
                <w:color w:val="000000"/>
                <w:sz w:val="15"/>
                <w:szCs w:val="15"/>
              </w:rPr>
            </w:pPr>
            <w:r w:rsidRPr="002259C8">
              <w:rPr>
                <w:color w:val="000000"/>
                <w:sz w:val="15"/>
                <w:szCs w:val="15"/>
              </w:rPr>
              <w:t>11.4</w:t>
            </w:r>
          </w:p>
        </w:tc>
        <w:tc>
          <w:tcPr>
            <w:tcW w:w="740" w:type="dxa"/>
            <w:tcBorders>
              <w:top w:val="nil"/>
              <w:left w:val="nil"/>
              <w:bottom w:val="nil"/>
              <w:right w:val="single" w:sz="12" w:space="0" w:color="000000"/>
            </w:tcBorders>
            <w:shd w:val="clear" w:color="auto" w:fill="auto"/>
            <w:vAlign w:val="center"/>
            <w:hideMark/>
          </w:tcPr>
          <w:p w14:paraId="1624306B" w14:textId="77777777" w:rsidR="00D0069E" w:rsidRPr="002259C8" w:rsidRDefault="00D0069E" w:rsidP="00582CA7">
            <w:pPr>
              <w:jc w:val="center"/>
              <w:rPr>
                <w:color w:val="000000"/>
                <w:sz w:val="15"/>
                <w:szCs w:val="15"/>
              </w:rPr>
            </w:pPr>
            <w:r w:rsidRPr="002259C8">
              <w:rPr>
                <w:color w:val="000000"/>
                <w:sz w:val="15"/>
                <w:szCs w:val="15"/>
              </w:rPr>
              <w:t>6.1%</w:t>
            </w:r>
          </w:p>
        </w:tc>
      </w:tr>
      <w:tr w:rsidR="00D0069E" w:rsidRPr="00C14154" w14:paraId="32F1DF22" w14:textId="77777777" w:rsidTr="00CA7052">
        <w:trPr>
          <w:trHeight w:val="182"/>
          <w:jc w:val="center"/>
        </w:trPr>
        <w:tc>
          <w:tcPr>
            <w:tcW w:w="5812" w:type="dxa"/>
            <w:tcBorders>
              <w:top w:val="nil"/>
              <w:left w:val="single" w:sz="12" w:space="0" w:color="000000"/>
              <w:bottom w:val="nil"/>
              <w:right w:val="single" w:sz="12" w:space="0" w:color="000000"/>
            </w:tcBorders>
            <w:shd w:val="clear" w:color="auto" w:fill="auto"/>
            <w:vAlign w:val="center"/>
            <w:hideMark/>
          </w:tcPr>
          <w:p w14:paraId="25EF7A1B" w14:textId="77777777" w:rsidR="00D0069E" w:rsidRPr="002259C8" w:rsidRDefault="00D0069E" w:rsidP="00582CA7">
            <w:pPr>
              <w:rPr>
                <w:color w:val="000000"/>
                <w:sz w:val="15"/>
                <w:szCs w:val="15"/>
              </w:rPr>
            </w:pPr>
            <w:r w:rsidRPr="002259C8">
              <w:rPr>
                <w:color w:val="000000"/>
                <w:sz w:val="15"/>
                <w:szCs w:val="15"/>
              </w:rPr>
              <w:t>Atención por Desastres Naturales y Calamidades Públicas</w:t>
            </w:r>
          </w:p>
        </w:tc>
        <w:tc>
          <w:tcPr>
            <w:tcW w:w="992" w:type="dxa"/>
            <w:tcBorders>
              <w:top w:val="nil"/>
              <w:left w:val="nil"/>
              <w:bottom w:val="nil"/>
              <w:right w:val="single" w:sz="8" w:space="0" w:color="000000"/>
            </w:tcBorders>
            <w:shd w:val="clear" w:color="auto" w:fill="auto"/>
            <w:vAlign w:val="center"/>
            <w:hideMark/>
          </w:tcPr>
          <w:p w14:paraId="6F2C1853" w14:textId="77777777" w:rsidR="00D0069E" w:rsidRPr="002259C8" w:rsidRDefault="00D0069E" w:rsidP="00582CA7">
            <w:pPr>
              <w:jc w:val="center"/>
              <w:rPr>
                <w:color w:val="000000"/>
                <w:sz w:val="15"/>
                <w:szCs w:val="15"/>
              </w:rPr>
            </w:pPr>
            <w:r w:rsidRPr="002259C8">
              <w:rPr>
                <w:color w:val="000000"/>
                <w:sz w:val="15"/>
                <w:szCs w:val="15"/>
              </w:rPr>
              <w:t>2,988.2</w:t>
            </w:r>
          </w:p>
        </w:tc>
        <w:tc>
          <w:tcPr>
            <w:tcW w:w="851" w:type="dxa"/>
            <w:tcBorders>
              <w:top w:val="nil"/>
              <w:left w:val="nil"/>
              <w:bottom w:val="nil"/>
              <w:right w:val="single" w:sz="8" w:space="0" w:color="000000"/>
            </w:tcBorders>
            <w:shd w:val="clear" w:color="auto" w:fill="auto"/>
            <w:vAlign w:val="center"/>
            <w:hideMark/>
          </w:tcPr>
          <w:p w14:paraId="09AE230A" w14:textId="77777777" w:rsidR="00D0069E" w:rsidRPr="002259C8" w:rsidRDefault="00D0069E" w:rsidP="00582CA7">
            <w:pPr>
              <w:jc w:val="center"/>
              <w:rPr>
                <w:color w:val="000000"/>
                <w:sz w:val="15"/>
                <w:szCs w:val="15"/>
              </w:rPr>
            </w:pPr>
            <w:r w:rsidRPr="002259C8">
              <w:rPr>
                <w:color w:val="000000"/>
                <w:sz w:val="15"/>
                <w:szCs w:val="15"/>
              </w:rPr>
              <w:t>1,408.2</w:t>
            </w:r>
          </w:p>
        </w:tc>
        <w:tc>
          <w:tcPr>
            <w:tcW w:w="804" w:type="dxa"/>
            <w:tcBorders>
              <w:top w:val="nil"/>
              <w:left w:val="nil"/>
              <w:bottom w:val="nil"/>
              <w:right w:val="single" w:sz="8" w:space="0" w:color="000000"/>
            </w:tcBorders>
            <w:shd w:val="clear" w:color="auto" w:fill="auto"/>
            <w:vAlign w:val="center"/>
            <w:hideMark/>
          </w:tcPr>
          <w:p w14:paraId="7882E5E9" w14:textId="77777777" w:rsidR="00D0069E" w:rsidRPr="002259C8" w:rsidRDefault="00D0069E" w:rsidP="00582CA7">
            <w:pPr>
              <w:jc w:val="center"/>
              <w:rPr>
                <w:color w:val="000000"/>
                <w:sz w:val="15"/>
                <w:szCs w:val="15"/>
              </w:rPr>
            </w:pPr>
            <w:r w:rsidRPr="002259C8">
              <w:rPr>
                <w:color w:val="000000"/>
                <w:sz w:val="15"/>
                <w:szCs w:val="15"/>
              </w:rPr>
              <w:t>-1,579.9</w:t>
            </w:r>
          </w:p>
        </w:tc>
        <w:tc>
          <w:tcPr>
            <w:tcW w:w="740" w:type="dxa"/>
            <w:tcBorders>
              <w:top w:val="nil"/>
              <w:left w:val="nil"/>
              <w:bottom w:val="nil"/>
              <w:right w:val="single" w:sz="12" w:space="0" w:color="000000"/>
            </w:tcBorders>
            <w:shd w:val="clear" w:color="auto" w:fill="auto"/>
            <w:vAlign w:val="center"/>
            <w:hideMark/>
          </w:tcPr>
          <w:p w14:paraId="50BB0D16" w14:textId="77777777" w:rsidR="00D0069E" w:rsidRPr="002259C8" w:rsidRDefault="00D0069E" w:rsidP="00582CA7">
            <w:pPr>
              <w:jc w:val="center"/>
              <w:rPr>
                <w:color w:val="000000"/>
                <w:sz w:val="15"/>
                <w:szCs w:val="15"/>
              </w:rPr>
            </w:pPr>
            <w:r w:rsidRPr="002259C8">
              <w:rPr>
                <w:color w:val="000000"/>
                <w:sz w:val="15"/>
                <w:szCs w:val="15"/>
              </w:rPr>
              <w:t>-52.9%</w:t>
            </w:r>
          </w:p>
        </w:tc>
      </w:tr>
      <w:tr w:rsidR="00D0069E" w:rsidRPr="00C14154" w14:paraId="177DBB8A" w14:textId="77777777" w:rsidTr="00CA7052">
        <w:trPr>
          <w:trHeight w:val="61"/>
          <w:jc w:val="center"/>
        </w:trPr>
        <w:tc>
          <w:tcPr>
            <w:tcW w:w="5812" w:type="dxa"/>
            <w:tcBorders>
              <w:top w:val="nil"/>
              <w:left w:val="single" w:sz="12" w:space="0" w:color="000000"/>
              <w:bottom w:val="single" w:sz="8" w:space="0" w:color="000000"/>
              <w:right w:val="single" w:sz="12" w:space="0" w:color="000000"/>
            </w:tcBorders>
            <w:shd w:val="clear" w:color="auto" w:fill="auto"/>
            <w:vAlign w:val="center"/>
            <w:hideMark/>
          </w:tcPr>
          <w:p w14:paraId="0409E28A" w14:textId="77777777" w:rsidR="00D0069E" w:rsidRPr="002259C8" w:rsidRDefault="00D0069E" w:rsidP="00582CA7">
            <w:pPr>
              <w:rPr>
                <w:color w:val="000000"/>
                <w:sz w:val="15"/>
                <w:szCs w:val="15"/>
              </w:rPr>
            </w:pPr>
            <w:r w:rsidRPr="002259C8">
              <w:rPr>
                <w:color w:val="000000"/>
                <w:sz w:val="15"/>
                <w:szCs w:val="15"/>
              </w:rPr>
              <w:t>Otros programas</w:t>
            </w:r>
          </w:p>
        </w:tc>
        <w:tc>
          <w:tcPr>
            <w:tcW w:w="992" w:type="dxa"/>
            <w:tcBorders>
              <w:top w:val="nil"/>
              <w:left w:val="nil"/>
              <w:bottom w:val="single" w:sz="8" w:space="0" w:color="000000"/>
              <w:right w:val="single" w:sz="8" w:space="0" w:color="000000"/>
            </w:tcBorders>
            <w:shd w:val="clear" w:color="auto" w:fill="auto"/>
            <w:vAlign w:val="center"/>
            <w:hideMark/>
          </w:tcPr>
          <w:p w14:paraId="0A446AAE" w14:textId="77777777" w:rsidR="00D0069E" w:rsidRPr="002259C8" w:rsidRDefault="00D0069E" w:rsidP="00582CA7">
            <w:pPr>
              <w:jc w:val="center"/>
              <w:rPr>
                <w:color w:val="000000"/>
                <w:sz w:val="15"/>
                <w:szCs w:val="15"/>
              </w:rPr>
            </w:pPr>
            <w:r w:rsidRPr="002259C8">
              <w:rPr>
                <w:color w:val="000000"/>
                <w:sz w:val="15"/>
                <w:szCs w:val="15"/>
              </w:rPr>
              <w:t>963.5</w:t>
            </w:r>
          </w:p>
        </w:tc>
        <w:tc>
          <w:tcPr>
            <w:tcW w:w="851" w:type="dxa"/>
            <w:tcBorders>
              <w:top w:val="nil"/>
              <w:left w:val="nil"/>
              <w:bottom w:val="single" w:sz="8" w:space="0" w:color="000000"/>
              <w:right w:val="single" w:sz="8" w:space="0" w:color="000000"/>
            </w:tcBorders>
            <w:shd w:val="clear" w:color="auto" w:fill="auto"/>
            <w:vAlign w:val="center"/>
            <w:hideMark/>
          </w:tcPr>
          <w:p w14:paraId="7DBD3E91" w14:textId="77777777" w:rsidR="00D0069E" w:rsidRPr="002259C8" w:rsidRDefault="00D0069E" w:rsidP="00582CA7">
            <w:pPr>
              <w:jc w:val="center"/>
              <w:rPr>
                <w:color w:val="000000"/>
                <w:sz w:val="15"/>
                <w:szCs w:val="15"/>
              </w:rPr>
            </w:pPr>
            <w:r w:rsidRPr="002259C8">
              <w:rPr>
                <w:color w:val="000000"/>
                <w:sz w:val="15"/>
                <w:szCs w:val="15"/>
              </w:rPr>
              <w:t>1,246.9</w:t>
            </w:r>
          </w:p>
        </w:tc>
        <w:tc>
          <w:tcPr>
            <w:tcW w:w="804" w:type="dxa"/>
            <w:tcBorders>
              <w:top w:val="nil"/>
              <w:left w:val="nil"/>
              <w:bottom w:val="single" w:sz="8" w:space="0" w:color="000000"/>
              <w:right w:val="single" w:sz="8" w:space="0" w:color="000000"/>
            </w:tcBorders>
            <w:shd w:val="clear" w:color="auto" w:fill="auto"/>
            <w:vAlign w:val="center"/>
            <w:hideMark/>
          </w:tcPr>
          <w:p w14:paraId="60164B11" w14:textId="77777777" w:rsidR="00D0069E" w:rsidRPr="002259C8" w:rsidRDefault="00D0069E" w:rsidP="00582CA7">
            <w:pPr>
              <w:jc w:val="center"/>
              <w:rPr>
                <w:color w:val="000000"/>
                <w:sz w:val="15"/>
                <w:szCs w:val="15"/>
              </w:rPr>
            </w:pPr>
            <w:r w:rsidRPr="002259C8">
              <w:rPr>
                <w:color w:val="000000"/>
                <w:sz w:val="15"/>
                <w:szCs w:val="15"/>
              </w:rPr>
              <w:t>283.4</w:t>
            </w:r>
          </w:p>
        </w:tc>
        <w:tc>
          <w:tcPr>
            <w:tcW w:w="740" w:type="dxa"/>
            <w:tcBorders>
              <w:top w:val="nil"/>
              <w:left w:val="nil"/>
              <w:bottom w:val="single" w:sz="8" w:space="0" w:color="000000"/>
              <w:right w:val="single" w:sz="12" w:space="0" w:color="000000"/>
            </w:tcBorders>
            <w:shd w:val="clear" w:color="auto" w:fill="auto"/>
            <w:vAlign w:val="center"/>
            <w:hideMark/>
          </w:tcPr>
          <w:p w14:paraId="524AB7E5" w14:textId="77777777" w:rsidR="00D0069E" w:rsidRPr="002259C8" w:rsidRDefault="00D0069E" w:rsidP="00582CA7">
            <w:pPr>
              <w:jc w:val="center"/>
              <w:rPr>
                <w:color w:val="000000"/>
                <w:sz w:val="15"/>
                <w:szCs w:val="15"/>
              </w:rPr>
            </w:pPr>
            <w:r w:rsidRPr="002259C8">
              <w:rPr>
                <w:color w:val="000000"/>
                <w:sz w:val="15"/>
                <w:szCs w:val="15"/>
              </w:rPr>
              <w:t>29.4%</w:t>
            </w:r>
          </w:p>
        </w:tc>
      </w:tr>
      <w:tr w:rsidR="00B77381" w:rsidRPr="00C14154" w14:paraId="2C6A2B5C" w14:textId="77777777" w:rsidTr="00CA7052">
        <w:trPr>
          <w:trHeight w:val="215"/>
          <w:jc w:val="center"/>
        </w:trPr>
        <w:tc>
          <w:tcPr>
            <w:tcW w:w="5812" w:type="dxa"/>
            <w:tcBorders>
              <w:top w:val="nil"/>
              <w:left w:val="single" w:sz="12" w:space="0" w:color="000000"/>
              <w:bottom w:val="single" w:sz="8" w:space="0" w:color="000000"/>
              <w:right w:val="single" w:sz="12" w:space="0" w:color="000000"/>
            </w:tcBorders>
            <w:shd w:val="clear" w:color="000000" w:fill="B4C5E7"/>
            <w:vAlign w:val="center"/>
            <w:hideMark/>
          </w:tcPr>
          <w:p w14:paraId="4D904D76" w14:textId="77777777" w:rsidR="00D0069E" w:rsidRPr="00C14154" w:rsidRDefault="00D0069E" w:rsidP="00582CA7">
            <w:pPr>
              <w:rPr>
                <w:b/>
                <w:bCs/>
                <w:color w:val="000000"/>
                <w:sz w:val="16"/>
                <w:szCs w:val="16"/>
              </w:rPr>
            </w:pPr>
            <w:r w:rsidRPr="00C14154">
              <w:rPr>
                <w:b/>
                <w:bCs/>
                <w:color w:val="000000"/>
                <w:sz w:val="16"/>
                <w:szCs w:val="16"/>
              </w:rPr>
              <w:t>Ministerio de Comunicaciones, Infraestructura y Vivienda</w:t>
            </w:r>
          </w:p>
        </w:tc>
        <w:tc>
          <w:tcPr>
            <w:tcW w:w="992" w:type="dxa"/>
            <w:tcBorders>
              <w:top w:val="nil"/>
              <w:left w:val="nil"/>
              <w:bottom w:val="single" w:sz="8" w:space="0" w:color="000000"/>
              <w:right w:val="single" w:sz="8" w:space="0" w:color="000000"/>
            </w:tcBorders>
            <w:shd w:val="clear" w:color="000000" w:fill="B4C5E7"/>
            <w:vAlign w:val="center"/>
            <w:hideMark/>
          </w:tcPr>
          <w:p w14:paraId="33F887C7" w14:textId="77777777" w:rsidR="00D0069E" w:rsidRPr="00C14154" w:rsidRDefault="00D0069E" w:rsidP="00582CA7">
            <w:pPr>
              <w:jc w:val="center"/>
              <w:rPr>
                <w:b/>
                <w:bCs/>
                <w:color w:val="000000"/>
                <w:sz w:val="16"/>
                <w:szCs w:val="16"/>
              </w:rPr>
            </w:pPr>
            <w:r w:rsidRPr="00C14154">
              <w:rPr>
                <w:b/>
                <w:bCs/>
                <w:color w:val="000000"/>
                <w:sz w:val="16"/>
                <w:szCs w:val="16"/>
              </w:rPr>
              <w:t>6,424.6</w:t>
            </w:r>
          </w:p>
        </w:tc>
        <w:tc>
          <w:tcPr>
            <w:tcW w:w="851" w:type="dxa"/>
            <w:tcBorders>
              <w:top w:val="nil"/>
              <w:left w:val="nil"/>
              <w:bottom w:val="single" w:sz="8" w:space="0" w:color="000000"/>
              <w:right w:val="single" w:sz="8" w:space="0" w:color="000000"/>
            </w:tcBorders>
            <w:shd w:val="clear" w:color="000000" w:fill="B4C5E7"/>
            <w:vAlign w:val="center"/>
            <w:hideMark/>
          </w:tcPr>
          <w:p w14:paraId="607DA3F3" w14:textId="77777777" w:rsidR="00D0069E" w:rsidRPr="00C14154" w:rsidRDefault="00D0069E" w:rsidP="00582CA7">
            <w:pPr>
              <w:jc w:val="center"/>
              <w:rPr>
                <w:b/>
                <w:bCs/>
                <w:color w:val="000000"/>
                <w:sz w:val="16"/>
                <w:szCs w:val="16"/>
              </w:rPr>
            </w:pPr>
            <w:r w:rsidRPr="00C14154">
              <w:rPr>
                <w:b/>
                <w:bCs/>
                <w:color w:val="000000"/>
                <w:sz w:val="16"/>
                <w:szCs w:val="16"/>
              </w:rPr>
              <w:t>8,983.7</w:t>
            </w:r>
          </w:p>
        </w:tc>
        <w:tc>
          <w:tcPr>
            <w:tcW w:w="804" w:type="dxa"/>
            <w:tcBorders>
              <w:top w:val="nil"/>
              <w:left w:val="nil"/>
              <w:bottom w:val="single" w:sz="8" w:space="0" w:color="000000"/>
              <w:right w:val="single" w:sz="8" w:space="0" w:color="000000"/>
            </w:tcBorders>
            <w:shd w:val="clear" w:color="000000" w:fill="B4C5E7"/>
            <w:vAlign w:val="center"/>
            <w:hideMark/>
          </w:tcPr>
          <w:p w14:paraId="4F078621" w14:textId="77777777" w:rsidR="00D0069E" w:rsidRPr="00C14154" w:rsidRDefault="00D0069E" w:rsidP="00582CA7">
            <w:pPr>
              <w:jc w:val="center"/>
              <w:rPr>
                <w:b/>
                <w:bCs/>
                <w:color w:val="000000"/>
                <w:sz w:val="16"/>
                <w:szCs w:val="16"/>
              </w:rPr>
            </w:pPr>
            <w:r w:rsidRPr="00C14154">
              <w:rPr>
                <w:b/>
                <w:bCs/>
                <w:color w:val="000000"/>
                <w:sz w:val="16"/>
                <w:szCs w:val="16"/>
              </w:rPr>
              <w:t>2,559.1</w:t>
            </w:r>
          </w:p>
        </w:tc>
        <w:tc>
          <w:tcPr>
            <w:tcW w:w="740" w:type="dxa"/>
            <w:tcBorders>
              <w:top w:val="nil"/>
              <w:left w:val="nil"/>
              <w:bottom w:val="single" w:sz="8" w:space="0" w:color="000000"/>
              <w:right w:val="single" w:sz="12" w:space="0" w:color="000000"/>
            </w:tcBorders>
            <w:shd w:val="clear" w:color="000000" w:fill="B4C5E7"/>
            <w:vAlign w:val="center"/>
            <w:hideMark/>
          </w:tcPr>
          <w:p w14:paraId="6EB18C8F" w14:textId="77777777" w:rsidR="00D0069E" w:rsidRPr="00C14154" w:rsidRDefault="00D0069E" w:rsidP="00582CA7">
            <w:pPr>
              <w:jc w:val="center"/>
              <w:rPr>
                <w:b/>
                <w:bCs/>
                <w:color w:val="000000"/>
                <w:sz w:val="16"/>
                <w:szCs w:val="16"/>
              </w:rPr>
            </w:pPr>
            <w:r w:rsidRPr="00C14154">
              <w:rPr>
                <w:b/>
                <w:bCs/>
                <w:color w:val="000000"/>
                <w:sz w:val="16"/>
                <w:szCs w:val="16"/>
              </w:rPr>
              <w:t>39.8%</w:t>
            </w:r>
          </w:p>
        </w:tc>
      </w:tr>
      <w:tr w:rsidR="00D0069E" w:rsidRPr="00C14154" w14:paraId="4475BEAD" w14:textId="77777777" w:rsidTr="00CA7052">
        <w:trPr>
          <w:trHeight w:val="43"/>
          <w:jc w:val="center"/>
        </w:trPr>
        <w:tc>
          <w:tcPr>
            <w:tcW w:w="5812" w:type="dxa"/>
            <w:tcBorders>
              <w:top w:val="nil"/>
              <w:left w:val="single" w:sz="12" w:space="0" w:color="000000"/>
              <w:bottom w:val="nil"/>
              <w:right w:val="single" w:sz="12" w:space="0" w:color="000000"/>
            </w:tcBorders>
            <w:shd w:val="clear" w:color="auto" w:fill="auto"/>
            <w:vAlign w:val="center"/>
            <w:hideMark/>
          </w:tcPr>
          <w:p w14:paraId="000E20FF" w14:textId="77777777" w:rsidR="00D0069E" w:rsidRPr="002259C8" w:rsidRDefault="00D0069E" w:rsidP="00582CA7">
            <w:pPr>
              <w:rPr>
                <w:color w:val="000000"/>
                <w:sz w:val="15"/>
                <w:szCs w:val="15"/>
              </w:rPr>
            </w:pPr>
            <w:r w:rsidRPr="002259C8">
              <w:rPr>
                <w:color w:val="000000"/>
                <w:sz w:val="15"/>
                <w:szCs w:val="15"/>
              </w:rPr>
              <w:t>Desarrollo de la Infraestructura Vial</w:t>
            </w:r>
          </w:p>
        </w:tc>
        <w:tc>
          <w:tcPr>
            <w:tcW w:w="992" w:type="dxa"/>
            <w:tcBorders>
              <w:top w:val="nil"/>
              <w:left w:val="nil"/>
              <w:bottom w:val="nil"/>
              <w:right w:val="single" w:sz="8" w:space="0" w:color="000000"/>
            </w:tcBorders>
            <w:shd w:val="clear" w:color="auto" w:fill="auto"/>
            <w:vAlign w:val="center"/>
            <w:hideMark/>
          </w:tcPr>
          <w:p w14:paraId="39148F6F" w14:textId="77777777" w:rsidR="00D0069E" w:rsidRPr="002259C8" w:rsidRDefault="00D0069E" w:rsidP="00582CA7">
            <w:pPr>
              <w:jc w:val="center"/>
              <w:rPr>
                <w:color w:val="000000"/>
                <w:sz w:val="15"/>
                <w:szCs w:val="15"/>
              </w:rPr>
            </w:pPr>
            <w:r w:rsidRPr="002259C8">
              <w:rPr>
                <w:color w:val="000000"/>
                <w:sz w:val="15"/>
                <w:szCs w:val="15"/>
              </w:rPr>
              <w:t>4,660.3</w:t>
            </w:r>
          </w:p>
        </w:tc>
        <w:tc>
          <w:tcPr>
            <w:tcW w:w="851" w:type="dxa"/>
            <w:tcBorders>
              <w:top w:val="nil"/>
              <w:left w:val="nil"/>
              <w:bottom w:val="nil"/>
              <w:right w:val="single" w:sz="8" w:space="0" w:color="000000"/>
            </w:tcBorders>
            <w:shd w:val="clear" w:color="auto" w:fill="auto"/>
            <w:vAlign w:val="center"/>
            <w:hideMark/>
          </w:tcPr>
          <w:p w14:paraId="64CF6306" w14:textId="77777777" w:rsidR="00D0069E" w:rsidRPr="002259C8" w:rsidRDefault="00D0069E" w:rsidP="00582CA7">
            <w:pPr>
              <w:jc w:val="center"/>
              <w:rPr>
                <w:color w:val="000000"/>
                <w:sz w:val="15"/>
                <w:szCs w:val="15"/>
              </w:rPr>
            </w:pPr>
            <w:r w:rsidRPr="002259C8">
              <w:rPr>
                <w:color w:val="000000"/>
                <w:sz w:val="15"/>
                <w:szCs w:val="15"/>
              </w:rPr>
              <w:t>5,608.5</w:t>
            </w:r>
          </w:p>
        </w:tc>
        <w:tc>
          <w:tcPr>
            <w:tcW w:w="804" w:type="dxa"/>
            <w:tcBorders>
              <w:top w:val="nil"/>
              <w:left w:val="nil"/>
              <w:bottom w:val="nil"/>
              <w:right w:val="single" w:sz="8" w:space="0" w:color="000000"/>
            </w:tcBorders>
            <w:shd w:val="clear" w:color="auto" w:fill="auto"/>
            <w:vAlign w:val="center"/>
            <w:hideMark/>
          </w:tcPr>
          <w:p w14:paraId="0316D285" w14:textId="77777777" w:rsidR="00D0069E" w:rsidRPr="002259C8" w:rsidRDefault="00D0069E" w:rsidP="00582CA7">
            <w:pPr>
              <w:jc w:val="center"/>
              <w:rPr>
                <w:color w:val="000000"/>
                <w:sz w:val="15"/>
                <w:szCs w:val="15"/>
              </w:rPr>
            </w:pPr>
            <w:r w:rsidRPr="002259C8">
              <w:rPr>
                <w:color w:val="000000"/>
                <w:sz w:val="15"/>
                <w:szCs w:val="15"/>
              </w:rPr>
              <w:t>948.3</w:t>
            </w:r>
          </w:p>
        </w:tc>
        <w:tc>
          <w:tcPr>
            <w:tcW w:w="740" w:type="dxa"/>
            <w:tcBorders>
              <w:top w:val="nil"/>
              <w:left w:val="nil"/>
              <w:bottom w:val="nil"/>
              <w:right w:val="single" w:sz="12" w:space="0" w:color="000000"/>
            </w:tcBorders>
            <w:shd w:val="clear" w:color="auto" w:fill="auto"/>
            <w:vAlign w:val="center"/>
            <w:hideMark/>
          </w:tcPr>
          <w:p w14:paraId="1D96FD07" w14:textId="77777777" w:rsidR="00D0069E" w:rsidRPr="002259C8" w:rsidRDefault="00D0069E" w:rsidP="00582CA7">
            <w:pPr>
              <w:jc w:val="center"/>
              <w:rPr>
                <w:color w:val="000000"/>
                <w:sz w:val="15"/>
                <w:szCs w:val="15"/>
              </w:rPr>
            </w:pPr>
            <w:r w:rsidRPr="002259C8">
              <w:rPr>
                <w:color w:val="000000"/>
                <w:sz w:val="15"/>
                <w:szCs w:val="15"/>
              </w:rPr>
              <w:t>20.3%</w:t>
            </w:r>
          </w:p>
        </w:tc>
      </w:tr>
      <w:tr w:rsidR="00D0069E" w:rsidRPr="00C14154" w14:paraId="089912DB" w14:textId="77777777" w:rsidTr="00CA7052">
        <w:trPr>
          <w:trHeight w:val="65"/>
          <w:jc w:val="center"/>
        </w:trPr>
        <w:tc>
          <w:tcPr>
            <w:tcW w:w="5812" w:type="dxa"/>
            <w:tcBorders>
              <w:top w:val="nil"/>
              <w:left w:val="single" w:sz="12" w:space="0" w:color="000000"/>
              <w:bottom w:val="nil"/>
              <w:right w:val="single" w:sz="12" w:space="0" w:color="000000"/>
            </w:tcBorders>
            <w:shd w:val="clear" w:color="auto" w:fill="auto"/>
            <w:vAlign w:val="center"/>
            <w:hideMark/>
          </w:tcPr>
          <w:p w14:paraId="7420C81D" w14:textId="77777777" w:rsidR="00D0069E" w:rsidRPr="002259C8" w:rsidRDefault="00D0069E" w:rsidP="00582CA7">
            <w:pPr>
              <w:rPr>
                <w:color w:val="000000"/>
                <w:sz w:val="15"/>
                <w:szCs w:val="15"/>
              </w:rPr>
            </w:pPr>
            <w:r w:rsidRPr="002259C8">
              <w:rPr>
                <w:color w:val="000000"/>
                <w:sz w:val="15"/>
                <w:szCs w:val="15"/>
              </w:rPr>
              <w:t>Servicios Aeronáuticos y Aeroportuarios</w:t>
            </w:r>
          </w:p>
        </w:tc>
        <w:tc>
          <w:tcPr>
            <w:tcW w:w="992" w:type="dxa"/>
            <w:tcBorders>
              <w:top w:val="nil"/>
              <w:left w:val="nil"/>
              <w:bottom w:val="nil"/>
              <w:right w:val="single" w:sz="8" w:space="0" w:color="000000"/>
            </w:tcBorders>
            <w:shd w:val="clear" w:color="auto" w:fill="auto"/>
            <w:vAlign w:val="center"/>
            <w:hideMark/>
          </w:tcPr>
          <w:p w14:paraId="28A9F580" w14:textId="77777777" w:rsidR="00D0069E" w:rsidRPr="002259C8" w:rsidRDefault="00D0069E" w:rsidP="00582CA7">
            <w:pPr>
              <w:jc w:val="center"/>
              <w:rPr>
                <w:color w:val="000000"/>
                <w:sz w:val="15"/>
                <w:szCs w:val="15"/>
              </w:rPr>
            </w:pPr>
            <w:r w:rsidRPr="002259C8">
              <w:rPr>
                <w:color w:val="000000"/>
                <w:sz w:val="15"/>
                <w:szCs w:val="15"/>
              </w:rPr>
              <w:t>203.2</w:t>
            </w:r>
          </w:p>
        </w:tc>
        <w:tc>
          <w:tcPr>
            <w:tcW w:w="851" w:type="dxa"/>
            <w:tcBorders>
              <w:top w:val="nil"/>
              <w:left w:val="nil"/>
              <w:bottom w:val="nil"/>
              <w:right w:val="single" w:sz="8" w:space="0" w:color="000000"/>
            </w:tcBorders>
            <w:shd w:val="clear" w:color="auto" w:fill="auto"/>
            <w:vAlign w:val="center"/>
            <w:hideMark/>
          </w:tcPr>
          <w:p w14:paraId="1B3BF7CF" w14:textId="77777777" w:rsidR="00D0069E" w:rsidRPr="002259C8" w:rsidRDefault="00D0069E" w:rsidP="00582CA7">
            <w:pPr>
              <w:jc w:val="center"/>
              <w:rPr>
                <w:color w:val="000000"/>
                <w:sz w:val="15"/>
                <w:szCs w:val="15"/>
              </w:rPr>
            </w:pPr>
            <w:r w:rsidRPr="002259C8">
              <w:rPr>
                <w:color w:val="000000"/>
                <w:sz w:val="15"/>
                <w:szCs w:val="15"/>
              </w:rPr>
              <w:t>330.1</w:t>
            </w:r>
          </w:p>
        </w:tc>
        <w:tc>
          <w:tcPr>
            <w:tcW w:w="804" w:type="dxa"/>
            <w:tcBorders>
              <w:top w:val="nil"/>
              <w:left w:val="nil"/>
              <w:bottom w:val="nil"/>
              <w:right w:val="single" w:sz="8" w:space="0" w:color="000000"/>
            </w:tcBorders>
            <w:shd w:val="clear" w:color="auto" w:fill="auto"/>
            <w:vAlign w:val="center"/>
            <w:hideMark/>
          </w:tcPr>
          <w:p w14:paraId="669E7E8A" w14:textId="77777777" w:rsidR="00D0069E" w:rsidRPr="002259C8" w:rsidRDefault="00D0069E" w:rsidP="00582CA7">
            <w:pPr>
              <w:jc w:val="center"/>
              <w:rPr>
                <w:color w:val="000000"/>
                <w:sz w:val="15"/>
                <w:szCs w:val="15"/>
              </w:rPr>
            </w:pPr>
            <w:r w:rsidRPr="002259C8">
              <w:rPr>
                <w:color w:val="000000"/>
                <w:sz w:val="15"/>
                <w:szCs w:val="15"/>
              </w:rPr>
              <w:t>126.9</w:t>
            </w:r>
          </w:p>
        </w:tc>
        <w:tc>
          <w:tcPr>
            <w:tcW w:w="740" w:type="dxa"/>
            <w:tcBorders>
              <w:top w:val="nil"/>
              <w:left w:val="nil"/>
              <w:bottom w:val="nil"/>
              <w:right w:val="single" w:sz="12" w:space="0" w:color="000000"/>
            </w:tcBorders>
            <w:shd w:val="clear" w:color="auto" w:fill="auto"/>
            <w:vAlign w:val="center"/>
            <w:hideMark/>
          </w:tcPr>
          <w:p w14:paraId="696952C4" w14:textId="77777777" w:rsidR="00D0069E" w:rsidRPr="002259C8" w:rsidRDefault="00D0069E" w:rsidP="00582CA7">
            <w:pPr>
              <w:jc w:val="center"/>
              <w:rPr>
                <w:color w:val="000000"/>
                <w:sz w:val="15"/>
                <w:szCs w:val="15"/>
              </w:rPr>
            </w:pPr>
            <w:r w:rsidRPr="002259C8">
              <w:rPr>
                <w:color w:val="000000"/>
                <w:sz w:val="15"/>
                <w:szCs w:val="15"/>
              </w:rPr>
              <w:t>62.5%</w:t>
            </w:r>
          </w:p>
        </w:tc>
      </w:tr>
      <w:tr w:rsidR="00D0069E" w:rsidRPr="00C14154" w14:paraId="0E550ECE" w14:textId="77777777" w:rsidTr="00CA7052">
        <w:trPr>
          <w:trHeight w:val="154"/>
          <w:jc w:val="center"/>
        </w:trPr>
        <w:tc>
          <w:tcPr>
            <w:tcW w:w="5812" w:type="dxa"/>
            <w:tcBorders>
              <w:top w:val="nil"/>
              <w:left w:val="single" w:sz="12" w:space="0" w:color="000000"/>
              <w:bottom w:val="nil"/>
              <w:right w:val="single" w:sz="12" w:space="0" w:color="000000"/>
            </w:tcBorders>
            <w:shd w:val="clear" w:color="auto" w:fill="auto"/>
            <w:vAlign w:val="center"/>
            <w:hideMark/>
          </w:tcPr>
          <w:p w14:paraId="73751361" w14:textId="77777777" w:rsidR="00D0069E" w:rsidRPr="002259C8" w:rsidRDefault="00D0069E" w:rsidP="00582CA7">
            <w:pPr>
              <w:rPr>
                <w:color w:val="000000"/>
                <w:sz w:val="15"/>
                <w:szCs w:val="15"/>
              </w:rPr>
            </w:pPr>
            <w:r w:rsidRPr="002259C8">
              <w:rPr>
                <w:color w:val="000000"/>
                <w:sz w:val="15"/>
                <w:szCs w:val="15"/>
              </w:rPr>
              <w:t>Construcción de Obra Publica</w:t>
            </w:r>
          </w:p>
        </w:tc>
        <w:tc>
          <w:tcPr>
            <w:tcW w:w="992" w:type="dxa"/>
            <w:tcBorders>
              <w:top w:val="nil"/>
              <w:left w:val="nil"/>
              <w:bottom w:val="nil"/>
              <w:right w:val="single" w:sz="8" w:space="0" w:color="000000"/>
            </w:tcBorders>
            <w:shd w:val="clear" w:color="auto" w:fill="auto"/>
            <w:vAlign w:val="center"/>
            <w:hideMark/>
          </w:tcPr>
          <w:p w14:paraId="6D755670" w14:textId="77777777" w:rsidR="00D0069E" w:rsidRPr="002259C8" w:rsidRDefault="00D0069E" w:rsidP="00582CA7">
            <w:pPr>
              <w:jc w:val="center"/>
              <w:rPr>
                <w:color w:val="000000"/>
                <w:sz w:val="15"/>
                <w:szCs w:val="15"/>
              </w:rPr>
            </w:pPr>
            <w:r w:rsidRPr="002259C8">
              <w:rPr>
                <w:color w:val="000000"/>
                <w:sz w:val="15"/>
                <w:szCs w:val="15"/>
              </w:rPr>
              <w:t>363.3</w:t>
            </w:r>
          </w:p>
        </w:tc>
        <w:tc>
          <w:tcPr>
            <w:tcW w:w="851" w:type="dxa"/>
            <w:tcBorders>
              <w:top w:val="nil"/>
              <w:left w:val="nil"/>
              <w:bottom w:val="nil"/>
              <w:right w:val="single" w:sz="8" w:space="0" w:color="000000"/>
            </w:tcBorders>
            <w:shd w:val="clear" w:color="auto" w:fill="auto"/>
            <w:vAlign w:val="center"/>
            <w:hideMark/>
          </w:tcPr>
          <w:p w14:paraId="4981FD99" w14:textId="77777777" w:rsidR="00D0069E" w:rsidRPr="002259C8" w:rsidRDefault="00D0069E" w:rsidP="00582CA7">
            <w:pPr>
              <w:jc w:val="center"/>
              <w:rPr>
                <w:color w:val="000000"/>
                <w:sz w:val="15"/>
                <w:szCs w:val="15"/>
              </w:rPr>
            </w:pPr>
            <w:r w:rsidRPr="002259C8">
              <w:rPr>
                <w:color w:val="000000"/>
                <w:sz w:val="15"/>
                <w:szCs w:val="15"/>
              </w:rPr>
              <w:t>580.5</w:t>
            </w:r>
          </w:p>
        </w:tc>
        <w:tc>
          <w:tcPr>
            <w:tcW w:w="804" w:type="dxa"/>
            <w:tcBorders>
              <w:top w:val="nil"/>
              <w:left w:val="nil"/>
              <w:bottom w:val="nil"/>
              <w:right w:val="single" w:sz="8" w:space="0" w:color="000000"/>
            </w:tcBorders>
            <w:shd w:val="clear" w:color="auto" w:fill="auto"/>
            <w:vAlign w:val="center"/>
            <w:hideMark/>
          </w:tcPr>
          <w:p w14:paraId="1AEABA9D" w14:textId="77777777" w:rsidR="00D0069E" w:rsidRPr="002259C8" w:rsidRDefault="00D0069E" w:rsidP="00582CA7">
            <w:pPr>
              <w:jc w:val="center"/>
              <w:rPr>
                <w:color w:val="000000"/>
                <w:sz w:val="15"/>
                <w:szCs w:val="15"/>
              </w:rPr>
            </w:pPr>
            <w:r w:rsidRPr="002259C8">
              <w:rPr>
                <w:color w:val="000000"/>
                <w:sz w:val="15"/>
                <w:szCs w:val="15"/>
              </w:rPr>
              <w:t>217.3</w:t>
            </w:r>
          </w:p>
        </w:tc>
        <w:tc>
          <w:tcPr>
            <w:tcW w:w="740" w:type="dxa"/>
            <w:tcBorders>
              <w:top w:val="nil"/>
              <w:left w:val="nil"/>
              <w:bottom w:val="nil"/>
              <w:right w:val="single" w:sz="12" w:space="0" w:color="000000"/>
            </w:tcBorders>
            <w:shd w:val="clear" w:color="auto" w:fill="auto"/>
            <w:vAlign w:val="center"/>
            <w:hideMark/>
          </w:tcPr>
          <w:p w14:paraId="3A05DF52" w14:textId="77777777" w:rsidR="00D0069E" w:rsidRPr="002259C8" w:rsidRDefault="00D0069E" w:rsidP="00582CA7">
            <w:pPr>
              <w:jc w:val="center"/>
              <w:rPr>
                <w:color w:val="000000"/>
                <w:sz w:val="15"/>
                <w:szCs w:val="15"/>
              </w:rPr>
            </w:pPr>
            <w:r w:rsidRPr="002259C8">
              <w:rPr>
                <w:color w:val="000000"/>
                <w:sz w:val="15"/>
                <w:szCs w:val="15"/>
              </w:rPr>
              <w:t>59.8%</w:t>
            </w:r>
          </w:p>
        </w:tc>
      </w:tr>
      <w:tr w:rsidR="00D0069E" w:rsidRPr="00C14154" w14:paraId="2CFA86D1" w14:textId="77777777" w:rsidTr="00CA7052">
        <w:trPr>
          <w:trHeight w:val="61"/>
          <w:jc w:val="center"/>
        </w:trPr>
        <w:tc>
          <w:tcPr>
            <w:tcW w:w="5812" w:type="dxa"/>
            <w:tcBorders>
              <w:top w:val="nil"/>
              <w:left w:val="single" w:sz="12" w:space="0" w:color="000000"/>
              <w:bottom w:val="nil"/>
              <w:right w:val="single" w:sz="12" w:space="0" w:color="000000"/>
            </w:tcBorders>
            <w:shd w:val="clear" w:color="auto" w:fill="auto"/>
            <w:vAlign w:val="center"/>
            <w:hideMark/>
          </w:tcPr>
          <w:p w14:paraId="7025A948" w14:textId="77777777" w:rsidR="00D0069E" w:rsidRPr="002259C8" w:rsidRDefault="00D0069E" w:rsidP="00582CA7">
            <w:pPr>
              <w:rPr>
                <w:color w:val="000000"/>
                <w:sz w:val="15"/>
                <w:szCs w:val="15"/>
              </w:rPr>
            </w:pPr>
            <w:r w:rsidRPr="002259C8">
              <w:rPr>
                <w:color w:val="000000"/>
                <w:sz w:val="15"/>
                <w:szCs w:val="15"/>
              </w:rPr>
              <w:t>Desarrollo de la Vivienda</w:t>
            </w:r>
          </w:p>
        </w:tc>
        <w:tc>
          <w:tcPr>
            <w:tcW w:w="992" w:type="dxa"/>
            <w:tcBorders>
              <w:top w:val="nil"/>
              <w:left w:val="nil"/>
              <w:bottom w:val="nil"/>
              <w:right w:val="single" w:sz="8" w:space="0" w:color="000000"/>
            </w:tcBorders>
            <w:shd w:val="clear" w:color="auto" w:fill="auto"/>
            <w:vAlign w:val="center"/>
            <w:hideMark/>
          </w:tcPr>
          <w:p w14:paraId="6FDC350D" w14:textId="77777777" w:rsidR="00D0069E" w:rsidRPr="002259C8" w:rsidRDefault="00D0069E" w:rsidP="00582CA7">
            <w:pPr>
              <w:jc w:val="center"/>
              <w:rPr>
                <w:color w:val="000000"/>
                <w:sz w:val="15"/>
                <w:szCs w:val="15"/>
              </w:rPr>
            </w:pPr>
            <w:r w:rsidRPr="002259C8">
              <w:rPr>
                <w:color w:val="000000"/>
                <w:sz w:val="15"/>
                <w:szCs w:val="15"/>
              </w:rPr>
              <w:t>373.2</w:t>
            </w:r>
          </w:p>
        </w:tc>
        <w:tc>
          <w:tcPr>
            <w:tcW w:w="851" w:type="dxa"/>
            <w:tcBorders>
              <w:top w:val="nil"/>
              <w:left w:val="nil"/>
              <w:bottom w:val="nil"/>
              <w:right w:val="single" w:sz="8" w:space="0" w:color="000000"/>
            </w:tcBorders>
            <w:shd w:val="clear" w:color="auto" w:fill="auto"/>
            <w:vAlign w:val="center"/>
            <w:hideMark/>
          </w:tcPr>
          <w:p w14:paraId="6DEC2456" w14:textId="77777777" w:rsidR="00D0069E" w:rsidRPr="002259C8" w:rsidRDefault="00D0069E" w:rsidP="00582CA7">
            <w:pPr>
              <w:jc w:val="center"/>
              <w:rPr>
                <w:color w:val="000000"/>
                <w:sz w:val="15"/>
                <w:szCs w:val="15"/>
              </w:rPr>
            </w:pPr>
            <w:r w:rsidRPr="002259C8">
              <w:rPr>
                <w:color w:val="000000"/>
                <w:sz w:val="15"/>
                <w:szCs w:val="15"/>
              </w:rPr>
              <w:t>303.5</w:t>
            </w:r>
          </w:p>
        </w:tc>
        <w:tc>
          <w:tcPr>
            <w:tcW w:w="804" w:type="dxa"/>
            <w:tcBorders>
              <w:top w:val="nil"/>
              <w:left w:val="nil"/>
              <w:bottom w:val="nil"/>
              <w:right w:val="single" w:sz="8" w:space="0" w:color="000000"/>
            </w:tcBorders>
            <w:shd w:val="clear" w:color="auto" w:fill="auto"/>
            <w:vAlign w:val="center"/>
            <w:hideMark/>
          </w:tcPr>
          <w:p w14:paraId="173AF7BF" w14:textId="77777777" w:rsidR="00D0069E" w:rsidRPr="002259C8" w:rsidRDefault="00D0069E" w:rsidP="00582CA7">
            <w:pPr>
              <w:jc w:val="center"/>
              <w:rPr>
                <w:color w:val="000000"/>
                <w:sz w:val="15"/>
                <w:szCs w:val="15"/>
              </w:rPr>
            </w:pPr>
            <w:r w:rsidRPr="002259C8">
              <w:rPr>
                <w:color w:val="000000"/>
                <w:sz w:val="15"/>
                <w:szCs w:val="15"/>
              </w:rPr>
              <w:t>-69.7</w:t>
            </w:r>
          </w:p>
        </w:tc>
        <w:tc>
          <w:tcPr>
            <w:tcW w:w="740" w:type="dxa"/>
            <w:tcBorders>
              <w:top w:val="nil"/>
              <w:left w:val="nil"/>
              <w:bottom w:val="nil"/>
              <w:right w:val="single" w:sz="12" w:space="0" w:color="000000"/>
            </w:tcBorders>
            <w:shd w:val="clear" w:color="auto" w:fill="auto"/>
            <w:vAlign w:val="center"/>
            <w:hideMark/>
          </w:tcPr>
          <w:p w14:paraId="4C3F21A5" w14:textId="77777777" w:rsidR="00D0069E" w:rsidRPr="002259C8" w:rsidRDefault="00D0069E" w:rsidP="00582CA7">
            <w:pPr>
              <w:jc w:val="center"/>
              <w:rPr>
                <w:color w:val="000000"/>
                <w:sz w:val="15"/>
                <w:szCs w:val="15"/>
              </w:rPr>
            </w:pPr>
            <w:r w:rsidRPr="002259C8">
              <w:rPr>
                <w:color w:val="000000"/>
                <w:sz w:val="15"/>
                <w:szCs w:val="15"/>
              </w:rPr>
              <w:t>-18.7%</w:t>
            </w:r>
          </w:p>
        </w:tc>
      </w:tr>
      <w:tr w:rsidR="00D0069E" w:rsidRPr="00C14154" w14:paraId="4C13970D" w14:textId="77777777" w:rsidTr="00CA7052">
        <w:trPr>
          <w:trHeight w:val="84"/>
          <w:jc w:val="center"/>
        </w:trPr>
        <w:tc>
          <w:tcPr>
            <w:tcW w:w="5812" w:type="dxa"/>
            <w:tcBorders>
              <w:top w:val="nil"/>
              <w:left w:val="single" w:sz="12" w:space="0" w:color="000000"/>
              <w:bottom w:val="nil"/>
              <w:right w:val="single" w:sz="12" w:space="0" w:color="000000"/>
            </w:tcBorders>
            <w:shd w:val="clear" w:color="auto" w:fill="auto"/>
            <w:vAlign w:val="center"/>
            <w:hideMark/>
          </w:tcPr>
          <w:p w14:paraId="2212CB88" w14:textId="77777777" w:rsidR="00D0069E" w:rsidRPr="002259C8" w:rsidRDefault="00D0069E" w:rsidP="00582CA7">
            <w:pPr>
              <w:rPr>
                <w:color w:val="000000"/>
                <w:sz w:val="15"/>
                <w:szCs w:val="15"/>
              </w:rPr>
            </w:pPr>
            <w:r w:rsidRPr="002259C8">
              <w:rPr>
                <w:color w:val="000000"/>
                <w:sz w:val="15"/>
                <w:szCs w:val="15"/>
              </w:rPr>
              <w:t>Servicios de Urbanización, Legalización, Construcción y Mejoramiento de Bienes Inmuebles</w:t>
            </w:r>
          </w:p>
        </w:tc>
        <w:tc>
          <w:tcPr>
            <w:tcW w:w="992" w:type="dxa"/>
            <w:tcBorders>
              <w:top w:val="nil"/>
              <w:left w:val="nil"/>
              <w:bottom w:val="nil"/>
              <w:right w:val="single" w:sz="8" w:space="0" w:color="000000"/>
            </w:tcBorders>
            <w:shd w:val="clear" w:color="auto" w:fill="auto"/>
            <w:vAlign w:val="center"/>
            <w:hideMark/>
          </w:tcPr>
          <w:p w14:paraId="4616DE72" w14:textId="77777777" w:rsidR="00D0069E" w:rsidRPr="002259C8" w:rsidRDefault="00D0069E" w:rsidP="00582CA7">
            <w:pPr>
              <w:jc w:val="center"/>
              <w:rPr>
                <w:color w:val="000000"/>
                <w:sz w:val="15"/>
                <w:szCs w:val="15"/>
              </w:rPr>
            </w:pPr>
            <w:r w:rsidRPr="002259C8">
              <w:rPr>
                <w:color w:val="000000"/>
                <w:sz w:val="15"/>
                <w:szCs w:val="15"/>
              </w:rPr>
              <w:t>61.6</w:t>
            </w:r>
          </w:p>
        </w:tc>
        <w:tc>
          <w:tcPr>
            <w:tcW w:w="851" w:type="dxa"/>
            <w:tcBorders>
              <w:top w:val="nil"/>
              <w:left w:val="nil"/>
              <w:bottom w:val="nil"/>
              <w:right w:val="single" w:sz="8" w:space="0" w:color="000000"/>
            </w:tcBorders>
            <w:shd w:val="clear" w:color="auto" w:fill="auto"/>
            <w:vAlign w:val="center"/>
            <w:hideMark/>
          </w:tcPr>
          <w:p w14:paraId="7660A489" w14:textId="77777777" w:rsidR="00D0069E" w:rsidRPr="002259C8" w:rsidRDefault="00D0069E" w:rsidP="00582CA7">
            <w:pPr>
              <w:jc w:val="center"/>
              <w:rPr>
                <w:color w:val="000000"/>
                <w:sz w:val="15"/>
                <w:szCs w:val="15"/>
              </w:rPr>
            </w:pPr>
            <w:r w:rsidRPr="002259C8">
              <w:rPr>
                <w:color w:val="000000"/>
                <w:sz w:val="15"/>
                <w:szCs w:val="15"/>
              </w:rPr>
              <w:t>47.0</w:t>
            </w:r>
          </w:p>
        </w:tc>
        <w:tc>
          <w:tcPr>
            <w:tcW w:w="804" w:type="dxa"/>
            <w:tcBorders>
              <w:top w:val="nil"/>
              <w:left w:val="nil"/>
              <w:bottom w:val="nil"/>
              <w:right w:val="single" w:sz="8" w:space="0" w:color="000000"/>
            </w:tcBorders>
            <w:shd w:val="clear" w:color="auto" w:fill="auto"/>
            <w:vAlign w:val="center"/>
            <w:hideMark/>
          </w:tcPr>
          <w:p w14:paraId="749515E6" w14:textId="77777777" w:rsidR="00D0069E" w:rsidRPr="002259C8" w:rsidRDefault="00D0069E" w:rsidP="00582CA7">
            <w:pPr>
              <w:jc w:val="center"/>
              <w:rPr>
                <w:color w:val="000000"/>
                <w:sz w:val="15"/>
                <w:szCs w:val="15"/>
              </w:rPr>
            </w:pPr>
            <w:r w:rsidRPr="002259C8">
              <w:rPr>
                <w:color w:val="000000"/>
                <w:sz w:val="15"/>
                <w:szCs w:val="15"/>
              </w:rPr>
              <w:t>-14.5</w:t>
            </w:r>
          </w:p>
        </w:tc>
        <w:tc>
          <w:tcPr>
            <w:tcW w:w="740" w:type="dxa"/>
            <w:tcBorders>
              <w:top w:val="nil"/>
              <w:left w:val="nil"/>
              <w:bottom w:val="nil"/>
              <w:right w:val="single" w:sz="12" w:space="0" w:color="000000"/>
            </w:tcBorders>
            <w:shd w:val="clear" w:color="auto" w:fill="auto"/>
            <w:vAlign w:val="center"/>
            <w:hideMark/>
          </w:tcPr>
          <w:p w14:paraId="16761BC2" w14:textId="77777777" w:rsidR="00D0069E" w:rsidRPr="002259C8" w:rsidRDefault="00D0069E" w:rsidP="00582CA7">
            <w:pPr>
              <w:jc w:val="center"/>
              <w:rPr>
                <w:color w:val="000000"/>
                <w:sz w:val="15"/>
                <w:szCs w:val="15"/>
              </w:rPr>
            </w:pPr>
            <w:r w:rsidRPr="002259C8">
              <w:rPr>
                <w:color w:val="000000"/>
                <w:sz w:val="15"/>
                <w:szCs w:val="15"/>
              </w:rPr>
              <w:t>-23.6%</w:t>
            </w:r>
          </w:p>
        </w:tc>
      </w:tr>
      <w:tr w:rsidR="00D0069E" w:rsidRPr="00C14154" w14:paraId="4BCBD866" w14:textId="77777777" w:rsidTr="00CA7052">
        <w:trPr>
          <w:trHeight w:val="57"/>
          <w:jc w:val="center"/>
        </w:trPr>
        <w:tc>
          <w:tcPr>
            <w:tcW w:w="5812" w:type="dxa"/>
            <w:tcBorders>
              <w:top w:val="nil"/>
              <w:left w:val="single" w:sz="12" w:space="0" w:color="000000"/>
              <w:bottom w:val="nil"/>
              <w:right w:val="single" w:sz="12" w:space="0" w:color="000000"/>
            </w:tcBorders>
            <w:shd w:val="clear" w:color="auto" w:fill="auto"/>
            <w:vAlign w:val="center"/>
            <w:hideMark/>
          </w:tcPr>
          <w:p w14:paraId="2696A2B1" w14:textId="77777777" w:rsidR="00D0069E" w:rsidRPr="002259C8" w:rsidRDefault="00D0069E" w:rsidP="00582CA7">
            <w:pPr>
              <w:rPr>
                <w:color w:val="000000"/>
                <w:sz w:val="15"/>
                <w:szCs w:val="15"/>
              </w:rPr>
            </w:pPr>
            <w:r w:rsidRPr="002259C8">
              <w:rPr>
                <w:color w:val="000000"/>
                <w:sz w:val="15"/>
                <w:szCs w:val="15"/>
              </w:rPr>
              <w:t>Atención por Desastres Naturales y Calamidades Públicas</w:t>
            </w:r>
          </w:p>
        </w:tc>
        <w:tc>
          <w:tcPr>
            <w:tcW w:w="992" w:type="dxa"/>
            <w:tcBorders>
              <w:top w:val="nil"/>
              <w:left w:val="nil"/>
              <w:bottom w:val="nil"/>
              <w:right w:val="single" w:sz="8" w:space="0" w:color="000000"/>
            </w:tcBorders>
            <w:shd w:val="clear" w:color="auto" w:fill="auto"/>
            <w:vAlign w:val="center"/>
            <w:hideMark/>
          </w:tcPr>
          <w:p w14:paraId="7BEC3963" w14:textId="77777777" w:rsidR="00D0069E" w:rsidRPr="002259C8" w:rsidRDefault="00D0069E" w:rsidP="00582CA7">
            <w:pPr>
              <w:jc w:val="center"/>
              <w:rPr>
                <w:color w:val="000000"/>
                <w:sz w:val="15"/>
                <w:szCs w:val="15"/>
              </w:rPr>
            </w:pPr>
            <w:r w:rsidRPr="002259C8">
              <w:rPr>
                <w:color w:val="000000"/>
                <w:sz w:val="15"/>
                <w:szCs w:val="15"/>
              </w:rPr>
              <w:t>521.2</w:t>
            </w:r>
          </w:p>
        </w:tc>
        <w:tc>
          <w:tcPr>
            <w:tcW w:w="851" w:type="dxa"/>
            <w:tcBorders>
              <w:top w:val="nil"/>
              <w:left w:val="nil"/>
              <w:bottom w:val="nil"/>
              <w:right w:val="single" w:sz="8" w:space="0" w:color="000000"/>
            </w:tcBorders>
            <w:shd w:val="clear" w:color="auto" w:fill="auto"/>
            <w:vAlign w:val="center"/>
            <w:hideMark/>
          </w:tcPr>
          <w:p w14:paraId="30628A0B" w14:textId="77777777" w:rsidR="00D0069E" w:rsidRPr="002259C8" w:rsidRDefault="00D0069E" w:rsidP="00582CA7">
            <w:pPr>
              <w:jc w:val="center"/>
              <w:rPr>
                <w:color w:val="000000"/>
                <w:sz w:val="15"/>
                <w:szCs w:val="15"/>
              </w:rPr>
            </w:pPr>
            <w:r w:rsidRPr="002259C8">
              <w:rPr>
                <w:color w:val="000000"/>
                <w:sz w:val="15"/>
                <w:szCs w:val="15"/>
              </w:rPr>
              <w:t>1,891.9</w:t>
            </w:r>
          </w:p>
        </w:tc>
        <w:tc>
          <w:tcPr>
            <w:tcW w:w="804" w:type="dxa"/>
            <w:tcBorders>
              <w:top w:val="nil"/>
              <w:left w:val="nil"/>
              <w:bottom w:val="nil"/>
              <w:right w:val="single" w:sz="8" w:space="0" w:color="000000"/>
            </w:tcBorders>
            <w:shd w:val="clear" w:color="auto" w:fill="auto"/>
            <w:vAlign w:val="center"/>
            <w:hideMark/>
          </w:tcPr>
          <w:p w14:paraId="4F56A43B" w14:textId="77777777" w:rsidR="00D0069E" w:rsidRPr="002259C8" w:rsidRDefault="00D0069E" w:rsidP="00582CA7">
            <w:pPr>
              <w:jc w:val="center"/>
              <w:rPr>
                <w:color w:val="000000"/>
                <w:sz w:val="15"/>
                <w:szCs w:val="15"/>
              </w:rPr>
            </w:pPr>
            <w:r w:rsidRPr="002259C8">
              <w:rPr>
                <w:color w:val="000000"/>
                <w:sz w:val="15"/>
                <w:szCs w:val="15"/>
              </w:rPr>
              <w:t>1,370.7</w:t>
            </w:r>
          </w:p>
        </w:tc>
        <w:tc>
          <w:tcPr>
            <w:tcW w:w="740" w:type="dxa"/>
            <w:tcBorders>
              <w:top w:val="nil"/>
              <w:left w:val="nil"/>
              <w:bottom w:val="nil"/>
              <w:right w:val="single" w:sz="12" w:space="0" w:color="000000"/>
            </w:tcBorders>
            <w:shd w:val="clear" w:color="auto" w:fill="auto"/>
            <w:vAlign w:val="center"/>
            <w:hideMark/>
          </w:tcPr>
          <w:p w14:paraId="49E75C46" w14:textId="77777777" w:rsidR="00D0069E" w:rsidRPr="002259C8" w:rsidRDefault="00D0069E" w:rsidP="00582CA7">
            <w:pPr>
              <w:jc w:val="center"/>
              <w:rPr>
                <w:color w:val="000000"/>
                <w:sz w:val="15"/>
                <w:szCs w:val="15"/>
              </w:rPr>
            </w:pPr>
            <w:r w:rsidRPr="002259C8">
              <w:rPr>
                <w:color w:val="000000"/>
                <w:sz w:val="15"/>
                <w:szCs w:val="15"/>
              </w:rPr>
              <w:t>263.0%</w:t>
            </w:r>
          </w:p>
        </w:tc>
      </w:tr>
      <w:tr w:rsidR="00D0069E" w:rsidRPr="00C14154" w14:paraId="2515D58B" w14:textId="77777777" w:rsidTr="00CA7052">
        <w:trPr>
          <w:trHeight w:val="61"/>
          <w:jc w:val="center"/>
        </w:trPr>
        <w:tc>
          <w:tcPr>
            <w:tcW w:w="5812" w:type="dxa"/>
            <w:tcBorders>
              <w:top w:val="nil"/>
              <w:left w:val="single" w:sz="12" w:space="0" w:color="000000"/>
              <w:bottom w:val="nil"/>
              <w:right w:val="single" w:sz="12" w:space="0" w:color="000000"/>
            </w:tcBorders>
            <w:shd w:val="clear" w:color="auto" w:fill="auto"/>
            <w:vAlign w:val="center"/>
            <w:hideMark/>
          </w:tcPr>
          <w:p w14:paraId="66399B44" w14:textId="77777777" w:rsidR="00D0069E" w:rsidRPr="002259C8" w:rsidRDefault="00D0069E" w:rsidP="00582CA7">
            <w:pPr>
              <w:rPr>
                <w:color w:val="000000"/>
                <w:sz w:val="15"/>
                <w:szCs w:val="15"/>
              </w:rPr>
            </w:pPr>
            <w:r w:rsidRPr="002259C8">
              <w:rPr>
                <w:color w:val="000000"/>
                <w:sz w:val="15"/>
                <w:szCs w:val="15"/>
              </w:rPr>
              <w:t>Otros programas</w:t>
            </w:r>
          </w:p>
        </w:tc>
        <w:tc>
          <w:tcPr>
            <w:tcW w:w="992" w:type="dxa"/>
            <w:tcBorders>
              <w:top w:val="nil"/>
              <w:left w:val="nil"/>
              <w:bottom w:val="nil"/>
              <w:right w:val="single" w:sz="8" w:space="0" w:color="000000"/>
            </w:tcBorders>
            <w:shd w:val="clear" w:color="auto" w:fill="auto"/>
            <w:vAlign w:val="center"/>
            <w:hideMark/>
          </w:tcPr>
          <w:p w14:paraId="4B067437" w14:textId="77777777" w:rsidR="00D0069E" w:rsidRPr="002259C8" w:rsidRDefault="00D0069E" w:rsidP="00582CA7">
            <w:pPr>
              <w:jc w:val="center"/>
              <w:rPr>
                <w:color w:val="000000"/>
                <w:sz w:val="15"/>
                <w:szCs w:val="15"/>
              </w:rPr>
            </w:pPr>
            <w:r w:rsidRPr="002259C8">
              <w:rPr>
                <w:color w:val="000000"/>
                <w:sz w:val="15"/>
                <w:szCs w:val="15"/>
              </w:rPr>
              <w:t>241.9</w:t>
            </w:r>
          </w:p>
        </w:tc>
        <w:tc>
          <w:tcPr>
            <w:tcW w:w="851" w:type="dxa"/>
            <w:tcBorders>
              <w:top w:val="nil"/>
              <w:left w:val="nil"/>
              <w:bottom w:val="nil"/>
              <w:right w:val="single" w:sz="8" w:space="0" w:color="000000"/>
            </w:tcBorders>
            <w:shd w:val="clear" w:color="auto" w:fill="auto"/>
            <w:vAlign w:val="center"/>
            <w:hideMark/>
          </w:tcPr>
          <w:p w14:paraId="51A54D21" w14:textId="77777777" w:rsidR="00D0069E" w:rsidRPr="002259C8" w:rsidRDefault="00D0069E" w:rsidP="00582CA7">
            <w:pPr>
              <w:jc w:val="center"/>
              <w:rPr>
                <w:color w:val="000000"/>
                <w:sz w:val="15"/>
                <w:szCs w:val="15"/>
              </w:rPr>
            </w:pPr>
            <w:r w:rsidRPr="002259C8">
              <w:rPr>
                <w:color w:val="000000"/>
                <w:sz w:val="15"/>
                <w:szCs w:val="15"/>
              </w:rPr>
              <w:t>222.0</w:t>
            </w:r>
          </w:p>
        </w:tc>
        <w:tc>
          <w:tcPr>
            <w:tcW w:w="804" w:type="dxa"/>
            <w:tcBorders>
              <w:top w:val="nil"/>
              <w:left w:val="nil"/>
              <w:bottom w:val="nil"/>
              <w:right w:val="single" w:sz="8" w:space="0" w:color="000000"/>
            </w:tcBorders>
            <w:shd w:val="clear" w:color="auto" w:fill="auto"/>
            <w:vAlign w:val="center"/>
            <w:hideMark/>
          </w:tcPr>
          <w:p w14:paraId="4D8CBB16" w14:textId="77777777" w:rsidR="00D0069E" w:rsidRPr="002259C8" w:rsidRDefault="00D0069E" w:rsidP="00582CA7">
            <w:pPr>
              <w:jc w:val="center"/>
              <w:rPr>
                <w:color w:val="000000"/>
                <w:sz w:val="15"/>
                <w:szCs w:val="15"/>
              </w:rPr>
            </w:pPr>
            <w:r w:rsidRPr="002259C8">
              <w:rPr>
                <w:color w:val="000000"/>
                <w:sz w:val="15"/>
                <w:szCs w:val="15"/>
              </w:rPr>
              <w:t>-19.9</w:t>
            </w:r>
          </w:p>
        </w:tc>
        <w:tc>
          <w:tcPr>
            <w:tcW w:w="740" w:type="dxa"/>
            <w:tcBorders>
              <w:top w:val="nil"/>
              <w:left w:val="nil"/>
              <w:bottom w:val="nil"/>
              <w:right w:val="single" w:sz="12" w:space="0" w:color="000000"/>
            </w:tcBorders>
            <w:shd w:val="clear" w:color="auto" w:fill="auto"/>
            <w:vAlign w:val="center"/>
            <w:hideMark/>
          </w:tcPr>
          <w:p w14:paraId="2AF21B80" w14:textId="77777777" w:rsidR="00D0069E" w:rsidRPr="002259C8" w:rsidRDefault="00D0069E" w:rsidP="00582CA7">
            <w:pPr>
              <w:jc w:val="center"/>
              <w:rPr>
                <w:color w:val="000000"/>
                <w:sz w:val="15"/>
                <w:szCs w:val="15"/>
              </w:rPr>
            </w:pPr>
            <w:r w:rsidRPr="002259C8">
              <w:rPr>
                <w:color w:val="000000"/>
                <w:sz w:val="15"/>
                <w:szCs w:val="15"/>
              </w:rPr>
              <w:t>-8.2%</w:t>
            </w:r>
          </w:p>
        </w:tc>
      </w:tr>
      <w:tr w:rsidR="00B77381" w:rsidRPr="00C14154" w14:paraId="342CBC09" w14:textId="77777777" w:rsidTr="00CA7052">
        <w:trPr>
          <w:trHeight w:val="110"/>
          <w:jc w:val="center"/>
        </w:trPr>
        <w:tc>
          <w:tcPr>
            <w:tcW w:w="5812" w:type="dxa"/>
            <w:tcBorders>
              <w:top w:val="single" w:sz="8" w:space="0" w:color="auto"/>
              <w:left w:val="single" w:sz="8" w:space="0" w:color="auto"/>
              <w:bottom w:val="single" w:sz="8" w:space="0" w:color="auto"/>
              <w:right w:val="single" w:sz="12" w:space="0" w:color="000000"/>
            </w:tcBorders>
            <w:shd w:val="clear" w:color="000000" w:fill="B4C5E7"/>
            <w:vAlign w:val="center"/>
            <w:hideMark/>
          </w:tcPr>
          <w:p w14:paraId="51ADF961" w14:textId="77777777" w:rsidR="00D0069E" w:rsidRPr="00C14154" w:rsidRDefault="00D0069E" w:rsidP="00582CA7">
            <w:pPr>
              <w:rPr>
                <w:b/>
                <w:bCs/>
                <w:color w:val="000000"/>
                <w:sz w:val="16"/>
                <w:szCs w:val="16"/>
              </w:rPr>
            </w:pPr>
            <w:r w:rsidRPr="00C14154">
              <w:rPr>
                <w:b/>
                <w:bCs/>
                <w:color w:val="000000"/>
                <w:sz w:val="16"/>
                <w:szCs w:val="16"/>
              </w:rPr>
              <w:t>Ministerio de Energía y Minas</w:t>
            </w:r>
          </w:p>
        </w:tc>
        <w:tc>
          <w:tcPr>
            <w:tcW w:w="992" w:type="dxa"/>
            <w:tcBorders>
              <w:top w:val="single" w:sz="8" w:space="0" w:color="auto"/>
              <w:left w:val="nil"/>
              <w:bottom w:val="single" w:sz="8" w:space="0" w:color="auto"/>
              <w:right w:val="single" w:sz="8" w:space="0" w:color="000000"/>
            </w:tcBorders>
            <w:shd w:val="clear" w:color="000000" w:fill="B4C5E7"/>
            <w:vAlign w:val="center"/>
            <w:hideMark/>
          </w:tcPr>
          <w:p w14:paraId="1A44EDCF" w14:textId="77777777" w:rsidR="00D0069E" w:rsidRPr="00C14154" w:rsidRDefault="00D0069E" w:rsidP="00582CA7">
            <w:pPr>
              <w:jc w:val="center"/>
              <w:rPr>
                <w:b/>
                <w:bCs/>
                <w:color w:val="000000"/>
                <w:sz w:val="16"/>
                <w:szCs w:val="16"/>
              </w:rPr>
            </w:pPr>
            <w:r w:rsidRPr="00C14154">
              <w:rPr>
                <w:b/>
                <w:bCs/>
                <w:color w:val="000000"/>
                <w:sz w:val="16"/>
                <w:szCs w:val="16"/>
              </w:rPr>
              <w:t>96.0</w:t>
            </w:r>
          </w:p>
        </w:tc>
        <w:tc>
          <w:tcPr>
            <w:tcW w:w="851" w:type="dxa"/>
            <w:tcBorders>
              <w:top w:val="single" w:sz="8" w:space="0" w:color="auto"/>
              <w:left w:val="nil"/>
              <w:bottom w:val="single" w:sz="8" w:space="0" w:color="auto"/>
              <w:right w:val="single" w:sz="8" w:space="0" w:color="000000"/>
            </w:tcBorders>
            <w:shd w:val="clear" w:color="000000" w:fill="B4C5E7"/>
            <w:vAlign w:val="center"/>
            <w:hideMark/>
          </w:tcPr>
          <w:p w14:paraId="6163E36E" w14:textId="77777777" w:rsidR="00D0069E" w:rsidRPr="00C14154" w:rsidRDefault="00D0069E" w:rsidP="00582CA7">
            <w:pPr>
              <w:jc w:val="center"/>
              <w:rPr>
                <w:b/>
                <w:bCs/>
                <w:color w:val="000000"/>
                <w:sz w:val="16"/>
                <w:szCs w:val="16"/>
              </w:rPr>
            </w:pPr>
            <w:r w:rsidRPr="00C14154">
              <w:rPr>
                <w:b/>
                <w:bCs/>
                <w:color w:val="000000"/>
                <w:sz w:val="16"/>
                <w:szCs w:val="16"/>
              </w:rPr>
              <w:t>2,864.7</w:t>
            </w:r>
          </w:p>
        </w:tc>
        <w:tc>
          <w:tcPr>
            <w:tcW w:w="804" w:type="dxa"/>
            <w:tcBorders>
              <w:top w:val="single" w:sz="8" w:space="0" w:color="auto"/>
              <w:left w:val="nil"/>
              <w:bottom w:val="single" w:sz="8" w:space="0" w:color="auto"/>
              <w:right w:val="single" w:sz="8" w:space="0" w:color="000000"/>
            </w:tcBorders>
            <w:shd w:val="clear" w:color="000000" w:fill="B4C5E7"/>
            <w:vAlign w:val="center"/>
            <w:hideMark/>
          </w:tcPr>
          <w:p w14:paraId="5018ECDE" w14:textId="77777777" w:rsidR="00D0069E" w:rsidRPr="00C14154" w:rsidRDefault="00D0069E" w:rsidP="00582CA7">
            <w:pPr>
              <w:jc w:val="center"/>
              <w:rPr>
                <w:b/>
                <w:bCs/>
                <w:color w:val="000000"/>
                <w:sz w:val="16"/>
                <w:szCs w:val="16"/>
              </w:rPr>
            </w:pPr>
            <w:r w:rsidRPr="00C14154">
              <w:rPr>
                <w:b/>
                <w:bCs/>
                <w:color w:val="000000"/>
                <w:sz w:val="16"/>
                <w:szCs w:val="16"/>
              </w:rPr>
              <w:t>2,768.7</w:t>
            </w:r>
          </w:p>
        </w:tc>
        <w:tc>
          <w:tcPr>
            <w:tcW w:w="740" w:type="dxa"/>
            <w:tcBorders>
              <w:top w:val="single" w:sz="8" w:space="0" w:color="auto"/>
              <w:left w:val="nil"/>
              <w:bottom w:val="single" w:sz="8" w:space="0" w:color="auto"/>
              <w:right w:val="single" w:sz="8" w:space="0" w:color="auto"/>
            </w:tcBorders>
            <w:shd w:val="clear" w:color="000000" w:fill="B4C5E7"/>
            <w:vAlign w:val="center"/>
            <w:hideMark/>
          </w:tcPr>
          <w:p w14:paraId="6743EECA" w14:textId="77777777" w:rsidR="00D0069E" w:rsidRPr="00C14154" w:rsidRDefault="00D0069E" w:rsidP="00582CA7">
            <w:pPr>
              <w:jc w:val="center"/>
              <w:rPr>
                <w:b/>
                <w:bCs/>
                <w:color w:val="000000"/>
                <w:sz w:val="16"/>
                <w:szCs w:val="16"/>
              </w:rPr>
            </w:pPr>
            <w:r w:rsidRPr="00C14154">
              <w:rPr>
                <w:b/>
                <w:bCs/>
                <w:color w:val="000000"/>
                <w:sz w:val="16"/>
                <w:szCs w:val="16"/>
              </w:rPr>
              <w:t>2883.7%</w:t>
            </w:r>
          </w:p>
        </w:tc>
      </w:tr>
      <w:tr w:rsidR="00D0069E" w:rsidRPr="00C14154" w14:paraId="7C05BAD1" w14:textId="77777777" w:rsidTr="00CA7052">
        <w:trPr>
          <w:trHeight w:val="43"/>
          <w:jc w:val="center"/>
        </w:trPr>
        <w:tc>
          <w:tcPr>
            <w:tcW w:w="5812" w:type="dxa"/>
            <w:tcBorders>
              <w:top w:val="nil"/>
              <w:left w:val="single" w:sz="12" w:space="0" w:color="000000"/>
              <w:bottom w:val="nil"/>
              <w:right w:val="single" w:sz="12" w:space="0" w:color="000000"/>
            </w:tcBorders>
            <w:shd w:val="clear" w:color="auto" w:fill="auto"/>
            <w:vAlign w:val="center"/>
            <w:hideMark/>
          </w:tcPr>
          <w:p w14:paraId="33367A64" w14:textId="77777777" w:rsidR="00D0069E" w:rsidRPr="002259C8" w:rsidRDefault="00D0069E" w:rsidP="00582CA7">
            <w:pPr>
              <w:rPr>
                <w:color w:val="000000"/>
                <w:sz w:val="15"/>
                <w:szCs w:val="15"/>
              </w:rPr>
            </w:pPr>
            <w:r w:rsidRPr="002259C8">
              <w:rPr>
                <w:color w:val="000000"/>
                <w:sz w:val="15"/>
                <w:szCs w:val="15"/>
              </w:rPr>
              <w:t>Actividades Centrales</w:t>
            </w:r>
          </w:p>
        </w:tc>
        <w:tc>
          <w:tcPr>
            <w:tcW w:w="992" w:type="dxa"/>
            <w:tcBorders>
              <w:top w:val="nil"/>
              <w:left w:val="nil"/>
              <w:bottom w:val="nil"/>
              <w:right w:val="single" w:sz="8" w:space="0" w:color="000000"/>
            </w:tcBorders>
            <w:shd w:val="clear" w:color="auto" w:fill="auto"/>
            <w:vAlign w:val="center"/>
            <w:hideMark/>
          </w:tcPr>
          <w:p w14:paraId="4C020EFE" w14:textId="77777777" w:rsidR="00D0069E" w:rsidRPr="002259C8" w:rsidRDefault="00D0069E" w:rsidP="00582CA7">
            <w:pPr>
              <w:jc w:val="center"/>
              <w:rPr>
                <w:color w:val="000000"/>
                <w:sz w:val="15"/>
                <w:szCs w:val="15"/>
              </w:rPr>
            </w:pPr>
            <w:r w:rsidRPr="002259C8">
              <w:rPr>
                <w:color w:val="000000"/>
                <w:sz w:val="15"/>
                <w:szCs w:val="15"/>
              </w:rPr>
              <w:t>30.7</w:t>
            </w:r>
          </w:p>
        </w:tc>
        <w:tc>
          <w:tcPr>
            <w:tcW w:w="851" w:type="dxa"/>
            <w:tcBorders>
              <w:top w:val="nil"/>
              <w:left w:val="nil"/>
              <w:bottom w:val="nil"/>
              <w:right w:val="single" w:sz="8" w:space="0" w:color="000000"/>
            </w:tcBorders>
            <w:shd w:val="clear" w:color="auto" w:fill="auto"/>
            <w:vAlign w:val="center"/>
            <w:hideMark/>
          </w:tcPr>
          <w:p w14:paraId="0605F6C0" w14:textId="77777777" w:rsidR="00D0069E" w:rsidRPr="002259C8" w:rsidRDefault="00D0069E" w:rsidP="00582CA7">
            <w:pPr>
              <w:jc w:val="center"/>
              <w:rPr>
                <w:color w:val="000000"/>
                <w:sz w:val="15"/>
                <w:szCs w:val="15"/>
              </w:rPr>
            </w:pPr>
            <w:r w:rsidRPr="002259C8">
              <w:rPr>
                <w:color w:val="000000"/>
                <w:sz w:val="15"/>
                <w:szCs w:val="15"/>
              </w:rPr>
              <w:t>33.0</w:t>
            </w:r>
          </w:p>
        </w:tc>
        <w:tc>
          <w:tcPr>
            <w:tcW w:w="804" w:type="dxa"/>
            <w:tcBorders>
              <w:top w:val="nil"/>
              <w:left w:val="nil"/>
              <w:bottom w:val="nil"/>
              <w:right w:val="single" w:sz="8" w:space="0" w:color="000000"/>
            </w:tcBorders>
            <w:shd w:val="clear" w:color="auto" w:fill="auto"/>
            <w:vAlign w:val="center"/>
            <w:hideMark/>
          </w:tcPr>
          <w:p w14:paraId="2DD7DA60" w14:textId="77777777" w:rsidR="00D0069E" w:rsidRPr="002259C8" w:rsidRDefault="00D0069E" w:rsidP="00582CA7">
            <w:pPr>
              <w:jc w:val="center"/>
              <w:rPr>
                <w:color w:val="000000"/>
                <w:sz w:val="15"/>
                <w:szCs w:val="15"/>
              </w:rPr>
            </w:pPr>
            <w:r w:rsidRPr="002259C8">
              <w:rPr>
                <w:color w:val="000000"/>
                <w:sz w:val="15"/>
                <w:szCs w:val="15"/>
              </w:rPr>
              <w:t>2.3</w:t>
            </w:r>
          </w:p>
        </w:tc>
        <w:tc>
          <w:tcPr>
            <w:tcW w:w="740" w:type="dxa"/>
            <w:tcBorders>
              <w:top w:val="nil"/>
              <w:left w:val="nil"/>
              <w:bottom w:val="nil"/>
              <w:right w:val="single" w:sz="12" w:space="0" w:color="000000"/>
            </w:tcBorders>
            <w:shd w:val="clear" w:color="auto" w:fill="auto"/>
            <w:vAlign w:val="center"/>
            <w:hideMark/>
          </w:tcPr>
          <w:p w14:paraId="4CE1584F" w14:textId="77777777" w:rsidR="00D0069E" w:rsidRPr="002259C8" w:rsidRDefault="00D0069E" w:rsidP="00582CA7">
            <w:pPr>
              <w:jc w:val="center"/>
              <w:rPr>
                <w:color w:val="000000"/>
                <w:sz w:val="15"/>
                <w:szCs w:val="15"/>
              </w:rPr>
            </w:pPr>
            <w:r w:rsidRPr="002259C8">
              <w:rPr>
                <w:color w:val="000000"/>
                <w:sz w:val="15"/>
                <w:szCs w:val="15"/>
              </w:rPr>
              <w:t>7.5%</w:t>
            </w:r>
          </w:p>
        </w:tc>
      </w:tr>
      <w:tr w:rsidR="00D0069E" w:rsidRPr="00C14154" w14:paraId="72C2D878" w14:textId="77777777" w:rsidTr="00CA7052">
        <w:trPr>
          <w:trHeight w:val="185"/>
          <w:jc w:val="center"/>
        </w:trPr>
        <w:tc>
          <w:tcPr>
            <w:tcW w:w="5812" w:type="dxa"/>
            <w:tcBorders>
              <w:top w:val="nil"/>
              <w:left w:val="single" w:sz="12" w:space="0" w:color="000000"/>
              <w:bottom w:val="nil"/>
              <w:right w:val="single" w:sz="12" w:space="0" w:color="000000"/>
            </w:tcBorders>
            <w:shd w:val="clear" w:color="auto" w:fill="auto"/>
            <w:vAlign w:val="center"/>
            <w:hideMark/>
          </w:tcPr>
          <w:p w14:paraId="02DCE841" w14:textId="77777777" w:rsidR="00D0069E" w:rsidRPr="002259C8" w:rsidRDefault="00D0069E" w:rsidP="00582CA7">
            <w:pPr>
              <w:rPr>
                <w:color w:val="000000"/>
                <w:sz w:val="15"/>
                <w:szCs w:val="15"/>
              </w:rPr>
            </w:pPr>
            <w:r w:rsidRPr="002259C8">
              <w:rPr>
                <w:color w:val="000000"/>
                <w:sz w:val="15"/>
                <w:szCs w:val="15"/>
              </w:rPr>
              <w:t>Fomento y Control en la Exploración, Explotación y Comercialización de Hidrocarburos</w:t>
            </w:r>
          </w:p>
        </w:tc>
        <w:tc>
          <w:tcPr>
            <w:tcW w:w="992" w:type="dxa"/>
            <w:tcBorders>
              <w:top w:val="nil"/>
              <w:left w:val="nil"/>
              <w:bottom w:val="nil"/>
              <w:right w:val="single" w:sz="8" w:space="0" w:color="000000"/>
            </w:tcBorders>
            <w:shd w:val="clear" w:color="auto" w:fill="auto"/>
            <w:vAlign w:val="center"/>
            <w:hideMark/>
          </w:tcPr>
          <w:p w14:paraId="6FC6B0B2" w14:textId="77777777" w:rsidR="00D0069E" w:rsidRPr="002259C8" w:rsidRDefault="00D0069E" w:rsidP="00582CA7">
            <w:pPr>
              <w:jc w:val="center"/>
              <w:rPr>
                <w:color w:val="000000"/>
                <w:sz w:val="15"/>
                <w:szCs w:val="15"/>
              </w:rPr>
            </w:pPr>
            <w:r w:rsidRPr="002259C8">
              <w:rPr>
                <w:color w:val="000000"/>
                <w:sz w:val="15"/>
                <w:szCs w:val="15"/>
              </w:rPr>
              <w:t>-</w:t>
            </w:r>
          </w:p>
        </w:tc>
        <w:tc>
          <w:tcPr>
            <w:tcW w:w="851" w:type="dxa"/>
            <w:tcBorders>
              <w:top w:val="nil"/>
              <w:left w:val="nil"/>
              <w:bottom w:val="nil"/>
              <w:right w:val="single" w:sz="8" w:space="0" w:color="000000"/>
            </w:tcBorders>
            <w:shd w:val="clear" w:color="auto" w:fill="auto"/>
            <w:vAlign w:val="center"/>
            <w:hideMark/>
          </w:tcPr>
          <w:p w14:paraId="34758784" w14:textId="77777777" w:rsidR="00D0069E" w:rsidRPr="002259C8" w:rsidRDefault="00D0069E" w:rsidP="00582CA7">
            <w:pPr>
              <w:jc w:val="center"/>
              <w:rPr>
                <w:color w:val="000000"/>
                <w:sz w:val="15"/>
                <w:szCs w:val="15"/>
              </w:rPr>
            </w:pPr>
            <w:r w:rsidRPr="002259C8">
              <w:rPr>
                <w:color w:val="000000"/>
                <w:sz w:val="15"/>
                <w:szCs w:val="15"/>
              </w:rPr>
              <w:t>2,798.9</w:t>
            </w:r>
          </w:p>
        </w:tc>
        <w:tc>
          <w:tcPr>
            <w:tcW w:w="804" w:type="dxa"/>
            <w:tcBorders>
              <w:top w:val="nil"/>
              <w:left w:val="nil"/>
              <w:bottom w:val="nil"/>
              <w:right w:val="single" w:sz="8" w:space="0" w:color="000000"/>
            </w:tcBorders>
            <w:shd w:val="clear" w:color="auto" w:fill="auto"/>
            <w:vAlign w:val="center"/>
            <w:hideMark/>
          </w:tcPr>
          <w:p w14:paraId="1BDC9E42" w14:textId="77777777" w:rsidR="00D0069E" w:rsidRPr="002259C8" w:rsidRDefault="00D0069E" w:rsidP="00582CA7">
            <w:pPr>
              <w:jc w:val="center"/>
              <w:rPr>
                <w:color w:val="000000"/>
                <w:sz w:val="15"/>
                <w:szCs w:val="15"/>
              </w:rPr>
            </w:pPr>
            <w:r w:rsidRPr="002259C8">
              <w:rPr>
                <w:color w:val="000000"/>
                <w:sz w:val="15"/>
                <w:szCs w:val="15"/>
              </w:rPr>
              <w:t>2,798.9</w:t>
            </w:r>
          </w:p>
        </w:tc>
        <w:tc>
          <w:tcPr>
            <w:tcW w:w="740" w:type="dxa"/>
            <w:tcBorders>
              <w:top w:val="nil"/>
              <w:left w:val="nil"/>
              <w:bottom w:val="nil"/>
              <w:right w:val="single" w:sz="12" w:space="0" w:color="000000"/>
            </w:tcBorders>
            <w:shd w:val="clear" w:color="auto" w:fill="auto"/>
            <w:vAlign w:val="center"/>
            <w:hideMark/>
          </w:tcPr>
          <w:p w14:paraId="79B01281" w14:textId="77777777" w:rsidR="00D0069E" w:rsidRPr="002259C8" w:rsidRDefault="00D0069E" w:rsidP="00582CA7">
            <w:pPr>
              <w:jc w:val="center"/>
              <w:rPr>
                <w:color w:val="000000"/>
                <w:sz w:val="15"/>
                <w:szCs w:val="15"/>
              </w:rPr>
            </w:pPr>
            <w:r w:rsidRPr="002259C8">
              <w:rPr>
                <w:color w:val="000000"/>
                <w:sz w:val="15"/>
                <w:szCs w:val="15"/>
              </w:rPr>
              <w:t>-</w:t>
            </w:r>
          </w:p>
        </w:tc>
      </w:tr>
      <w:tr w:rsidR="00D0069E" w:rsidRPr="00C14154" w14:paraId="25D2AD97" w14:textId="77777777" w:rsidTr="00CA7052">
        <w:trPr>
          <w:trHeight w:val="126"/>
          <w:jc w:val="center"/>
        </w:trPr>
        <w:tc>
          <w:tcPr>
            <w:tcW w:w="5812" w:type="dxa"/>
            <w:tcBorders>
              <w:top w:val="nil"/>
              <w:left w:val="single" w:sz="12" w:space="0" w:color="000000"/>
              <w:bottom w:val="nil"/>
              <w:right w:val="single" w:sz="12" w:space="0" w:color="000000"/>
            </w:tcBorders>
            <w:shd w:val="clear" w:color="auto" w:fill="auto"/>
            <w:vAlign w:val="center"/>
            <w:hideMark/>
          </w:tcPr>
          <w:p w14:paraId="37F76C4E" w14:textId="77777777" w:rsidR="00D0069E" w:rsidRPr="002259C8" w:rsidRDefault="00D0069E" w:rsidP="00582CA7">
            <w:pPr>
              <w:rPr>
                <w:color w:val="000000"/>
                <w:sz w:val="15"/>
                <w:szCs w:val="15"/>
              </w:rPr>
            </w:pPr>
            <w:r w:rsidRPr="002259C8">
              <w:rPr>
                <w:color w:val="000000"/>
                <w:sz w:val="15"/>
                <w:szCs w:val="15"/>
              </w:rPr>
              <w:t>Otros programas</w:t>
            </w:r>
          </w:p>
        </w:tc>
        <w:tc>
          <w:tcPr>
            <w:tcW w:w="992" w:type="dxa"/>
            <w:tcBorders>
              <w:top w:val="nil"/>
              <w:left w:val="nil"/>
              <w:bottom w:val="nil"/>
              <w:right w:val="single" w:sz="8" w:space="0" w:color="000000"/>
            </w:tcBorders>
            <w:shd w:val="clear" w:color="auto" w:fill="auto"/>
            <w:vAlign w:val="center"/>
            <w:hideMark/>
          </w:tcPr>
          <w:p w14:paraId="2A02B7CA" w14:textId="77777777" w:rsidR="00D0069E" w:rsidRPr="002259C8" w:rsidRDefault="00D0069E" w:rsidP="00582CA7">
            <w:pPr>
              <w:jc w:val="center"/>
              <w:rPr>
                <w:color w:val="000000"/>
                <w:sz w:val="15"/>
                <w:szCs w:val="15"/>
              </w:rPr>
            </w:pPr>
            <w:r w:rsidRPr="002259C8">
              <w:rPr>
                <w:color w:val="000000"/>
                <w:sz w:val="15"/>
                <w:szCs w:val="15"/>
              </w:rPr>
              <w:t>65.3</w:t>
            </w:r>
          </w:p>
        </w:tc>
        <w:tc>
          <w:tcPr>
            <w:tcW w:w="851" w:type="dxa"/>
            <w:tcBorders>
              <w:top w:val="nil"/>
              <w:left w:val="nil"/>
              <w:bottom w:val="nil"/>
              <w:right w:val="single" w:sz="8" w:space="0" w:color="000000"/>
            </w:tcBorders>
            <w:shd w:val="clear" w:color="auto" w:fill="auto"/>
            <w:vAlign w:val="center"/>
            <w:hideMark/>
          </w:tcPr>
          <w:p w14:paraId="455196DA" w14:textId="77777777" w:rsidR="00D0069E" w:rsidRPr="002259C8" w:rsidRDefault="00D0069E" w:rsidP="00582CA7">
            <w:pPr>
              <w:jc w:val="center"/>
              <w:rPr>
                <w:color w:val="000000"/>
                <w:sz w:val="15"/>
                <w:szCs w:val="15"/>
              </w:rPr>
            </w:pPr>
            <w:r w:rsidRPr="002259C8">
              <w:rPr>
                <w:color w:val="000000"/>
                <w:sz w:val="15"/>
                <w:szCs w:val="15"/>
              </w:rPr>
              <w:t>32.8</w:t>
            </w:r>
          </w:p>
        </w:tc>
        <w:tc>
          <w:tcPr>
            <w:tcW w:w="804" w:type="dxa"/>
            <w:tcBorders>
              <w:top w:val="nil"/>
              <w:left w:val="nil"/>
              <w:bottom w:val="nil"/>
              <w:right w:val="single" w:sz="8" w:space="0" w:color="000000"/>
            </w:tcBorders>
            <w:shd w:val="clear" w:color="auto" w:fill="auto"/>
            <w:vAlign w:val="center"/>
            <w:hideMark/>
          </w:tcPr>
          <w:p w14:paraId="6614F432" w14:textId="77777777" w:rsidR="00D0069E" w:rsidRPr="002259C8" w:rsidRDefault="00D0069E" w:rsidP="00582CA7">
            <w:pPr>
              <w:jc w:val="center"/>
              <w:rPr>
                <w:color w:val="000000"/>
                <w:sz w:val="15"/>
                <w:szCs w:val="15"/>
              </w:rPr>
            </w:pPr>
            <w:r w:rsidRPr="002259C8">
              <w:rPr>
                <w:color w:val="000000"/>
                <w:sz w:val="15"/>
                <w:szCs w:val="15"/>
              </w:rPr>
              <w:t>-32.4</w:t>
            </w:r>
          </w:p>
        </w:tc>
        <w:tc>
          <w:tcPr>
            <w:tcW w:w="740" w:type="dxa"/>
            <w:tcBorders>
              <w:top w:val="nil"/>
              <w:left w:val="nil"/>
              <w:bottom w:val="nil"/>
              <w:right w:val="single" w:sz="12" w:space="0" w:color="000000"/>
            </w:tcBorders>
            <w:shd w:val="clear" w:color="auto" w:fill="auto"/>
            <w:vAlign w:val="center"/>
            <w:hideMark/>
          </w:tcPr>
          <w:p w14:paraId="4CE91B8C" w14:textId="77777777" w:rsidR="00D0069E" w:rsidRPr="002259C8" w:rsidRDefault="00D0069E" w:rsidP="00582CA7">
            <w:pPr>
              <w:jc w:val="center"/>
              <w:rPr>
                <w:color w:val="000000"/>
                <w:sz w:val="15"/>
                <w:szCs w:val="15"/>
              </w:rPr>
            </w:pPr>
            <w:r w:rsidRPr="002259C8">
              <w:rPr>
                <w:color w:val="000000"/>
                <w:sz w:val="15"/>
                <w:szCs w:val="15"/>
              </w:rPr>
              <w:t>-49.7%</w:t>
            </w:r>
          </w:p>
        </w:tc>
      </w:tr>
      <w:tr w:rsidR="00B77381" w:rsidRPr="00C14154" w14:paraId="2918891E" w14:textId="77777777" w:rsidTr="00CA7052">
        <w:trPr>
          <w:trHeight w:val="43"/>
          <w:jc w:val="center"/>
        </w:trPr>
        <w:tc>
          <w:tcPr>
            <w:tcW w:w="5812" w:type="dxa"/>
            <w:tcBorders>
              <w:top w:val="single" w:sz="8" w:space="0" w:color="auto"/>
              <w:left w:val="single" w:sz="8" w:space="0" w:color="auto"/>
              <w:bottom w:val="single" w:sz="8" w:space="0" w:color="auto"/>
              <w:right w:val="single" w:sz="12" w:space="0" w:color="000000"/>
            </w:tcBorders>
            <w:shd w:val="clear" w:color="000000" w:fill="B4C5E7"/>
            <w:vAlign w:val="center"/>
            <w:hideMark/>
          </w:tcPr>
          <w:p w14:paraId="1E5A4AA1" w14:textId="77777777" w:rsidR="00D0069E" w:rsidRPr="00C14154" w:rsidRDefault="00D0069E" w:rsidP="00582CA7">
            <w:pPr>
              <w:rPr>
                <w:b/>
                <w:bCs/>
                <w:color w:val="000000"/>
                <w:sz w:val="16"/>
                <w:szCs w:val="16"/>
              </w:rPr>
            </w:pPr>
            <w:r w:rsidRPr="00C14154">
              <w:rPr>
                <w:b/>
                <w:bCs/>
                <w:color w:val="000000"/>
                <w:sz w:val="16"/>
                <w:szCs w:val="16"/>
              </w:rPr>
              <w:t>Ministerio de Desarrollo Social</w:t>
            </w:r>
          </w:p>
        </w:tc>
        <w:tc>
          <w:tcPr>
            <w:tcW w:w="992" w:type="dxa"/>
            <w:tcBorders>
              <w:top w:val="single" w:sz="8" w:space="0" w:color="auto"/>
              <w:left w:val="nil"/>
              <w:bottom w:val="single" w:sz="8" w:space="0" w:color="auto"/>
              <w:right w:val="single" w:sz="8" w:space="0" w:color="000000"/>
            </w:tcBorders>
            <w:shd w:val="clear" w:color="000000" w:fill="B4C5E7"/>
            <w:vAlign w:val="center"/>
            <w:hideMark/>
          </w:tcPr>
          <w:p w14:paraId="08EDD4FD" w14:textId="77777777" w:rsidR="00D0069E" w:rsidRPr="00C14154" w:rsidRDefault="00D0069E" w:rsidP="00582CA7">
            <w:pPr>
              <w:jc w:val="center"/>
              <w:rPr>
                <w:b/>
                <w:bCs/>
                <w:color w:val="000000"/>
                <w:sz w:val="16"/>
                <w:szCs w:val="16"/>
              </w:rPr>
            </w:pPr>
            <w:r w:rsidRPr="00C14154">
              <w:rPr>
                <w:b/>
                <w:bCs/>
                <w:color w:val="000000"/>
                <w:sz w:val="16"/>
                <w:szCs w:val="16"/>
              </w:rPr>
              <w:t>1,057.3</w:t>
            </w:r>
          </w:p>
        </w:tc>
        <w:tc>
          <w:tcPr>
            <w:tcW w:w="851" w:type="dxa"/>
            <w:tcBorders>
              <w:top w:val="single" w:sz="8" w:space="0" w:color="auto"/>
              <w:left w:val="nil"/>
              <w:bottom w:val="single" w:sz="8" w:space="0" w:color="auto"/>
              <w:right w:val="single" w:sz="8" w:space="0" w:color="000000"/>
            </w:tcBorders>
            <w:shd w:val="clear" w:color="000000" w:fill="B4C5E7"/>
            <w:vAlign w:val="center"/>
            <w:hideMark/>
          </w:tcPr>
          <w:p w14:paraId="2710A0DD" w14:textId="77777777" w:rsidR="00D0069E" w:rsidRPr="00C14154" w:rsidRDefault="00D0069E" w:rsidP="00582CA7">
            <w:pPr>
              <w:jc w:val="center"/>
              <w:rPr>
                <w:b/>
                <w:bCs/>
                <w:color w:val="000000"/>
                <w:sz w:val="16"/>
                <w:szCs w:val="16"/>
              </w:rPr>
            </w:pPr>
            <w:r w:rsidRPr="00C14154">
              <w:rPr>
                <w:b/>
                <w:bCs/>
                <w:color w:val="000000"/>
                <w:sz w:val="16"/>
                <w:szCs w:val="16"/>
              </w:rPr>
              <w:t>1,428.1</w:t>
            </w:r>
          </w:p>
        </w:tc>
        <w:tc>
          <w:tcPr>
            <w:tcW w:w="804" w:type="dxa"/>
            <w:tcBorders>
              <w:top w:val="single" w:sz="8" w:space="0" w:color="auto"/>
              <w:left w:val="nil"/>
              <w:bottom w:val="single" w:sz="8" w:space="0" w:color="auto"/>
              <w:right w:val="single" w:sz="8" w:space="0" w:color="000000"/>
            </w:tcBorders>
            <w:shd w:val="clear" w:color="000000" w:fill="B4C5E7"/>
            <w:vAlign w:val="center"/>
            <w:hideMark/>
          </w:tcPr>
          <w:p w14:paraId="43F8058B" w14:textId="77777777" w:rsidR="00D0069E" w:rsidRPr="00C14154" w:rsidRDefault="00D0069E" w:rsidP="00582CA7">
            <w:pPr>
              <w:jc w:val="center"/>
              <w:rPr>
                <w:b/>
                <w:bCs/>
                <w:color w:val="000000"/>
                <w:sz w:val="16"/>
                <w:szCs w:val="16"/>
              </w:rPr>
            </w:pPr>
            <w:r w:rsidRPr="00C14154">
              <w:rPr>
                <w:b/>
                <w:bCs/>
                <w:color w:val="000000"/>
                <w:sz w:val="16"/>
                <w:szCs w:val="16"/>
              </w:rPr>
              <w:t>370.8</w:t>
            </w:r>
          </w:p>
        </w:tc>
        <w:tc>
          <w:tcPr>
            <w:tcW w:w="740" w:type="dxa"/>
            <w:tcBorders>
              <w:top w:val="single" w:sz="8" w:space="0" w:color="auto"/>
              <w:left w:val="nil"/>
              <w:bottom w:val="single" w:sz="8" w:space="0" w:color="auto"/>
              <w:right w:val="single" w:sz="8" w:space="0" w:color="auto"/>
            </w:tcBorders>
            <w:shd w:val="clear" w:color="000000" w:fill="B4C5E7"/>
            <w:vAlign w:val="center"/>
            <w:hideMark/>
          </w:tcPr>
          <w:p w14:paraId="1CF9755F" w14:textId="77777777" w:rsidR="00D0069E" w:rsidRPr="00C14154" w:rsidRDefault="00D0069E" w:rsidP="00582CA7">
            <w:pPr>
              <w:jc w:val="center"/>
              <w:rPr>
                <w:b/>
                <w:bCs/>
                <w:color w:val="000000"/>
                <w:sz w:val="16"/>
                <w:szCs w:val="16"/>
              </w:rPr>
            </w:pPr>
            <w:r w:rsidRPr="00C14154">
              <w:rPr>
                <w:b/>
                <w:bCs/>
                <w:color w:val="000000"/>
                <w:sz w:val="16"/>
                <w:szCs w:val="16"/>
              </w:rPr>
              <w:t>35.1%</w:t>
            </w:r>
          </w:p>
        </w:tc>
      </w:tr>
      <w:tr w:rsidR="00D0069E" w:rsidRPr="00C14154" w14:paraId="2A8E52B0" w14:textId="77777777" w:rsidTr="00CA7052">
        <w:trPr>
          <w:trHeight w:val="43"/>
          <w:jc w:val="center"/>
        </w:trPr>
        <w:tc>
          <w:tcPr>
            <w:tcW w:w="5812" w:type="dxa"/>
            <w:tcBorders>
              <w:top w:val="nil"/>
              <w:left w:val="single" w:sz="12" w:space="0" w:color="000000"/>
              <w:bottom w:val="nil"/>
              <w:right w:val="single" w:sz="12" w:space="0" w:color="000000"/>
            </w:tcBorders>
            <w:shd w:val="clear" w:color="auto" w:fill="auto"/>
            <w:vAlign w:val="center"/>
            <w:hideMark/>
          </w:tcPr>
          <w:p w14:paraId="2D5101F1" w14:textId="77777777" w:rsidR="00D0069E" w:rsidRPr="002259C8" w:rsidRDefault="00D0069E" w:rsidP="00582CA7">
            <w:pPr>
              <w:rPr>
                <w:color w:val="000000"/>
                <w:sz w:val="15"/>
                <w:szCs w:val="15"/>
              </w:rPr>
            </w:pPr>
            <w:r w:rsidRPr="002259C8">
              <w:rPr>
                <w:color w:val="000000"/>
                <w:sz w:val="15"/>
                <w:szCs w:val="15"/>
              </w:rPr>
              <w:t>Administración Institucional</w:t>
            </w:r>
          </w:p>
        </w:tc>
        <w:tc>
          <w:tcPr>
            <w:tcW w:w="992" w:type="dxa"/>
            <w:tcBorders>
              <w:top w:val="nil"/>
              <w:left w:val="nil"/>
              <w:bottom w:val="nil"/>
              <w:right w:val="single" w:sz="8" w:space="0" w:color="000000"/>
            </w:tcBorders>
            <w:shd w:val="clear" w:color="auto" w:fill="auto"/>
            <w:vAlign w:val="center"/>
            <w:hideMark/>
          </w:tcPr>
          <w:p w14:paraId="17C43D51" w14:textId="77777777" w:rsidR="00D0069E" w:rsidRPr="002259C8" w:rsidRDefault="00D0069E" w:rsidP="00582CA7">
            <w:pPr>
              <w:jc w:val="center"/>
              <w:rPr>
                <w:color w:val="000000"/>
                <w:sz w:val="15"/>
                <w:szCs w:val="15"/>
              </w:rPr>
            </w:pPr>
            <w:r w:rsidRPr="002259C8">
              <w:rPr>
                <w:color w:val="000000"/>
                <w:sz w:val="15"/>
                <w:szCs w:val="15"/>
              </w:rPr>
              <w:t>75.2</w:t>
            </w:r>
          </w:p>
        </w:tc>
        <w:tc>
          <w:tcPr>
            <w:tcW w:w="851" w:type="dxa"/>
            <w:tcBorders>
              <w:top w:val="nil"/>
              <w:left w:val="nil"/>
              <w:bottom w:val="nil"/>
              <w:right w:val="single" w:sz="8" w:space="0" w:color="000000"/>
            </w:tcBorders>
            <w:shd w:val="clear" w:color="auto" w:fill="auto"/>
            <w:vAlign w:val="center"/>
            <w:hideMark/>
          </w:tcPr>
          <w:p w14:paraId="5E70F9D5" w14:textId="77777777" w:rsidR="00D0069E" w:rsidRPr="002259C8" w:rsidRDefault="00D0069E" w:rsidP="00582CA7">
            <w:pPr>
              <w:jc w:val="center"/>
              <w:rPr>
                <w:color w:val="000000"/>
                <w:sz w:val="15"/>
                <w:szCs w:val="15"/>
              </w:rPr>
            </w:pPr>
            <w:r w:rsidRPr="002259C8">
              <w:rPr>
                <w:color w:val="000000"/>
                <w:sz w:val="15"/>
                <w:szCs w:val="15"/>
              </w:rPr>
              <w:t>99.8</w:t>
            </w:r>
          </w:p>
        </w:tc>
        <w:tc>
          <w:tcPr>
            <w:tcW w:w="804" w:type="dxa"/>
            <w:tcBorders>
              <w:top w:val="nil"/>
              <w:left w:val="nil"/>
              <w:bottom w:val="nil"/>
              <w:right w:val="single" w:sz="8" w:space="0" w:color="000000"/>
            </w:tcBorders>
            <w:shd w:val="clear" w:color="auto" w:fill="auto"/>
            <w:vAlign w:val="center"/>
            <w:hideMark/>
          </w:tcPr>
          <w:p w14:paraId="2F2D3D11" w14:textId="77777777" w:rsidR="00D0069E" w:rsidRPr="002259C8" w:rsidRDefault="00D0069E" w:rsidP="00582CA7">
            <w:pPr>
              <w:jc w:val="center"/>
              <w:rPr>
                <w:color w:val="000000"/>
                <w:sz w:val="15"/>
                <w:szCs w:val="15"/>
              </w:rPr>
            </w:pPr>
            <w:r w:rsidRPr="002259C8">
              <w:rPr>
                <w:color w:val="000000"/>
                <w:sz w:val="15"/>
                <w:szCs w:val="15"/>
              </w:rPr>
              <w:t>24.7</w:t>
            </w:r>
          </w:p>
        </w:tc>
        <w:tc>
          <w:tcPr>
            <w:tcW w:w="740" w:type="dxa"/>
            <w:tcBorders>
              <w:top w:val="nil"/>
              <w:left w:val="nil"/>
              <w:bottom w:val="nil"/>
              <w:right w:val="single" w:sz="12" w:space="0" w:color="000000"/>
            </w:tcBorders>
            <w:shd w:val="clear" w:color="auto" w:fill="auto"/>
            <w:vAlign w:val="center"/>
            <w:hideMark/>
          </w:tcPr>
          <w:p w14:paraId="758C8319" w14:textId="77777777" w:rsidR="00D0069E" w:rsidRPr="002259C8" w:rsidRDefault="00D0069E" w:rsidP="00582CA7">
            <w:pPr>
              <w:jc w:val="center"/>
              <w:rPr>
                <w:color w:val="000000"/>
                <w:sz w:val="15"/>
                <w:szCs w:val="15"/>
              </w:rPr>
            </w:pPr>
            <w:r w:rsidRPr="002259C8">
              <w:rPr>
                <w:color w:val="000000"/>
                <w:sz w:val="15"/>
                <w:szCs w:val="15"/>
              </w:rPr>
              <w:t>32.8%</w:t>
            </w:r>
          </w:p>
        </w:tc>
      </w:tr>
      <w:tr w:rsidR="00D0069E" w:rsidRPr="00C14154" w14:paraId="1C8A6AC3" w14:textId="77777777" w:rsidTr="00CA7052">
        <w:trPr>
          <w:trHeight w:val="210"/>
          <w:jc w:val="center"/>
        </w:trPr>
        <w:tc>
          <w:tcPr>
            <w:tcW w:w="5812" w:type="dxa"/>
            <w:tcBorders>
              <w:top w:val="nil"/>
              <w:left w:val="single" w:sz="12" w:space="0" w:color="000000"/>
              <w:bottom w:val="nil"/>
              <w:right w:val="single" w:sz="12" w:space="0" w:color="000000"/>
            </w:tcBorders>
            <w:shd w:val="clear" w:color="auto" w:fill="auto"/>
            <w:vAlign w:val="center"/>
            <w:hideMark/>
          </w:tcPr>
          <w:p w14:paraId="3107067A" w14:textId="77777777" w:rsidR="00D0069E" w:rsidRPr="002259C8" w:rsidRDefault="00D0069E" w:rsidP="00582CA7">
            <w:pPr>
              <w:rPr>
                <w:color w:val="000000"/>
                <w:sz w:val="15"/>
                <w:szCs w:val="15"/>
              </w:rPr>
            </w:pPr>
            <w:r w:rsidRPr="002259C8">
              <w:rPr>
                <w:color w:val="000000"/>
                <w:sz w:val="15"/>
                <w:szCs w:val="15"/>
              </w:rPr>
              <w:t>Servicios de Apoyo a los Programas Sociales (actividad común a los programas 14, 15 y 21)</w:t>
            </w:r>
          </w:p>
        </w:tc>
        <w:tc>
          <w:tcPr>
            <w:tcW w:w="992" w:type="dxa"/>
            <w:tcBorders>
              <w:top w:val="nil"/>
              <w:left w:val="nil"/>
              <w:bottom w:val="nil"/>
              <w:right w:val="single" w:sz="8" w:space="0" w:color="000000"/>
            </w:tcBorders>
            <w:shd w:val="clear" w:color="auto" w:fill="auto"/>
            <w:vAlign w:val="center"/>
            <w:hideMark/>
          </w:tcPr>
          <w:p w14:paraId="7590364E" w14:textId="77777777" w:rsidR="00D0069E" w:rsidRPr="002259C8" w:rsidRDefault="00D0069E" w:rsidP="00582CA7">
            <w:pPr>
              <w:jc w:val="center"/>
              <w:rPr>
                <w:color w:val="000000"/>
                <w:sz w:val="15"/>
                <w:szCs w:val="15"/>
              </w:rPr>
            </w:pPr>
            <w:r w:rsidRPr="002259C8">
              <w:rPr>
                <w:color w:val="000000"/>
                <w:sz w:val="15"/>
                <w:szCs w:val="15"/>
              </w:rPr>
              <w:t>99.9</w:t>
            </w:r>
          </w:p>
        </w:tc>
        <w:tc>
          <w:tcPr>
            <w:tcW w:w="851" w:type="dxa"/>
            <w:tcBorders>
              <w:top w:val="nil"/>
              <w:left w:val="nil"/>
              <w:bottom w:val="nil"/>
              <w:right w:val="single" w:sz="8" w:space="0" w:color="000000"/>
            </w:tcBorders>
            <w:shd w:val="clear" w:color="auto" w:fill="auto"/>
            <w:vAlign w:val="center"/>
            <w:hideMark/>
          </w:tcPr>
          <w:p w14:paraId="3880532F" w14:textId="77777777" w:rsidR="00D0069E" w:rsidRPr="002259C8" w:rsidRDefault="00D0069E" w:rsidP="00582CA7">
            <w:pPr>
              <w:jc w:val="center"/>
              <w:rPr>
                <w:color w:val="000000"/>
                <w:sz w:val="15"/>
                <w:szCs w:val="15"/>
              </w:rPr>
            </w:pPr>
            <w:r w:rsidRPr="002259C8">
              <w:rPr>
                <w:color w:val="000000"/>
                <w:sz w:val="15"/>
                <w:szCs w:val="15"/>
              </w:rPr>
              <w:t>109.0</w:t>
            </w:r>
          </w:p>
        </w:tc>
        <w:tc>
          <w:tcPr>
            <w:tcW w:w="804" w:type="dxa"/>
            <w:tcBorders>
              <w:top w:val="nil"/>
              <w:left w:val="nil"/>
              <w:bottom w:val="nil"/>
              <w:right w:val="single" w:sz="8" w:space="0" w:color="000000"/>
            </w:tcBorders>
            <w:shd w:val="clear" w:color="auto" w:fill="auto"/>
            <w:vAlign w:val="center"/>
            <w:hideMark/>
          </w:tcPr>
          <w:p w14:paraId="2E040DDD" w14:textId="77777777" w:rsidR="00D0069E" w:rsidRPr="002259C8" w:rsidRDefault="00D0069E" w:rsidP="00582CA7">
            <w:pPr>
              <w:jc w:val="center"/>
              <w:rPr>
                <w:color w:val="000000"/>
                <w:sz w:val="15"/>
                <w:szCs w:val="15"/>
              </w:rPr>
            </w:pPr>
            <w:r w:rsidRPr="002259C8">
              <w:rPr>
                <w:color w:val="000000"/>
                <w:sz w:val="15"/>
                <w:szCs w:val="15"/>
              </w:rPr>
              <w:t>9.0</w:t>
            </w:r>
          </w:p>
        </w:tc>
        <w:tc>
          <w:tcPr>
            <w:tcW w:w="740" w:type="dxa"/>
            <w:tcBorders>
              <w:top w:val="nil"/>
              <w:left w:val="nil"/>
              <w:bottom w:val="nil"/>
              <w:right w:val="single" w:sz="12" w:space="0" w:color="000000"/>
            </w:tcBorders>
            <w:shd w:val="clear" w:color="auto" w:fill="auto"/>
            <w:vAlign w:val="center"/>
            <w:hideMark/>
          </w:tcPr>
          <w:p w14:paraId="6C949E51" w14:textId="77777777" w:rsidR="00D0069E" w:rsidRPr="002259C8" w:rsidRDefault="00D0069E" w:rsidP="00582CA7">
            <w:pPr>
              <w:jc w:val="center"/>
              <w:rPr>
                <w:color w:val="000000"/>
                <w:sz w:val="15"/>
                <w:szCs w:val="15"/>
              </w:rPr>
            </w:pPr>
            <w:r w:rsidRPr="002259C8">
              <w:rPr>
                <w:color w:val="000000"/>
                <w:sz w:val="15"/>
                <w:szCs w:val="15"/>
              </w:rPr>
              <w:t>9.0%</w:t>
            </w:r>
          </w:p>
        </w:tc>
      </w:tr>
      <w:tr w:rsidR="00D0069E" w:rsidRPr="00C14154" w14:paraId="04D34C3E" w14:textId="77777777" w:rsidTr="00CA7052">
        <w:trPr>
          <w:trHeight w:val="126"/>
          <w:jc w:val="center"/>
        </w:trPr>
        <w:tc>
          <w:tcPr>
            <w:tcW w:w="5812" w:type="dxa"/>
            <w:tcBorders>
              <w:top w:val="nil"/>
              <w:left w:val="single" w:sz="12" w:space="0" w:color="000000"/>
              <w:bottom w:val="nil"/>
              <w:right w:val="single" w:sz="12" w:space="0" w:color="000000"/>
            </w:tcBorders>
            <w:shd w:val="clear" w:color="auto" w:fill="auto"/>
            <w:vAlign w:val="center"/>
            <w:hideMark/>
          </w:tcPr>
          <w:p w14:paraId="052E6C85" w14:textId="77777777" w:rsidR="00D0069E" w:rsidRPr="002259C8" w:rsidRDefault="00D0069E" w:rsidP="00582CA7">
            <w:pPr>
              <w:rPr>
                <w:color w:val="000000"/>
                <w:sz w:val="15"/>
                <w:szCs w:val="15"/>
              </w:rPr>
            </w:pPr>
            <w:r w:rsidRPr="002259C8">
              <w:rPr>
                <w:color w:val="000000"/>
                <w:sz w:val="15"/>
                <w:szCs w:val="15"/>
              </w:rPr>
              <w:t>Apoyo para el Consumo Adecuado de Alimentos</w:t>
            </w:r>
          </w:p>
        </w:tc>
        <w:tc>
          <w:tcPr>
            <w:tcW w:w="992" w:type="dxa"/>
            <w:tcBorders>
              <w:top w:val="nil"/>
              <w:left w:val="nil"/>
              <w:bottom w:val="nil"/>
              <w:right w:val="single" w:sz="8" w:space="0" w:color="000000"/>
            </w:tcBorders>
            <w:shd w:val="clear" w:color="auto" w:fill="auto"/>
            <w:vAlign w:val="center"/>
            <w:hideMark/>
          </w:tcPr>
          <w:p w14:paraId="6105EE33" w14:textId="77777777" w:rsidR="00D0069E" w:rsidRPr="002259C8" w:rsidRDefault="00D0069E" w:rsidP="00582CA7">
            <w:pPr>
              <w:jc w:val="center"/>
              <w:rPr>
                <w:color w:val="000000"/>
                <w:sz w:val="15"/>
                <w:szCs w:val="15"/>
              </w:rPr>
            </w:pPr>
            <w:r w:rsidRPr="002259C8">
              <w:rPr>
                <w:color w:val="000000"/>
                <w:sz w:val="15"/>
                <w:szCs w:val="15"/>
              </w:rPr>
              <w:t>172.8</w:t>
            </w:r>
          </w:p>
        </w:tc>
        <w:tc>
          <w:tcPr>
            <w:tcW w:w="851" w:type="dxa"/>
            <w:tcBorders>
              <w:top w:val="nil"/>
              <w:left w:val="nil"/>
              <w:bottom w:val="nil"/>
              <w:right w:val="single" w:sz="8" w:space="0" w:color="000000"/>
            </w:tcBorders>
            <w:shd w:val="clear" w:color="auto" w:fill="auto"/>
            <w:vAlign w:val="center"/>
            <w:hideMark/>
          </w:tcPr>
          <w:p w14:paraId="3B900A19" w14:textId="77777777" w:rsidR="00D0069E" w:rsidRPr="002259C8" w:rsidRDefault="00D0069E" w:rsidP="00582CA7">
            <w:pPr>
              <w:jc w:val="center"/>
              <w:rPr>
                <w:color w:val="000000"/>
                <w:sz w:val="15"/>
                <w:szCs w:val="15"/>
              </w:rPr>
            </w:pPr>
            <w:r w:rsidRPr="002259C8">
              <w:rPr>
                <w:color w:val="000000"/>
                <w:sz w:val="15"/>
                <w:szCs w:val="15"/>
              </w:rPr>
              <w:t>273.0</w:t>
            </w:r>
          </w:p>
        </w:tc>
        <w:tc>
          <w:tcPr>
            <w:tcW w:w="804" w:type="dxa"/>
            <w:tcBorders>
              <w:top w:val="nil"/>
              <w:left w:val="nil"/>
              <w:bottom w:val="nil"/>
              <w:right w:val="single" w:sz="8" w:space="0" w:color="000000"/>
            </w:tcBorders>
            <w:shd w:val="clear" w:color="auto" w:fill="auto"/>
            <w:vAlign w:val="center"/>
            <w:hideMark/>
          </w:tcPr>
          <w:p w14:paraId="1FE02651" w14:textId="77777777" w:rsidR="00D0069E" w:rsidRPr="002259C8" w:rsidRDefault="00D0069E" w:rsidP="00582CA7">
            <w:pPr>
              <w:jc w:val="center"/>
              <w:rPr>
                <w:color w:val="000000"/>
                <w:sz w:val="15"/>
                <w:szCs w:val="15"/>
              </w:rPr>
            </w:pPr>
            <w:r w:rsidRPr="002259C8">
              <w:rPr>
                <w:color w:val="000000"/>
                <w:sz w:val="15"/>
                <w:szCs w:val="15"/>
              </w:rPr>
              <w:t>100.2</w:t>
            </w:r>
          </w:p>
        </w:tc>
        <w:tc>
          <w:tcPr>
            <w:tcW w:w="740" w:type="dxa"/>
            <w:tcBorders>
              <w:top w:val="nil"/>
              <w:left w:val="nil"/>
              <w:bottom w:val="nil"/>
              <w:right w:val="single" w:sz="12" w:space="0" w:color="000000"/>
            </w:tcBorders>
            <w:shd w:val="clear" w:color="auto" w:fill="auto"/>
            <w:vAlign w:val="center"/>
            <w:hideMark/>
          </w:tcPr>
          <w:p w14:paraId="752AC4F8" w14:textId="77777777" w:rsidR="00D0069E" w:rsidRPr="002259C8" w:rsidRDefault="00D0069E" w:rsidP="00582CA7">
            <w:pPr>
              <w:jc w:val="center"/>
              <w:rPr>
                <w:color w:val="000000"/>
                <w:sz w:val="15"/>
                <w:szCs w:val="15"/>
              </w:rPr>
            </w:pPr>
            <w:r w:rsidRPr="002259C8">
              <w:rPr>
                <w:color w:val="000000"/>
                <w:sz w:val="15"/>
                <w:szCs w:val="15"/>
              </w:rPr>
              <w:t>58.0%</w:t>
            </w:r>
          </w:p>
        </w:tc>
      </w:tr>
      <w:tr w:rsidR="00D0069E" w:rsidRPr="00C14154" w14:paraId="20D49E55" w14:textId="77777777" w:rsidTr="00CA7052">
        <w:trPr>
          <w:trHeight w:val="61"/>
          <w:jc w:val="center"/>
        </w:trPr>
        <w:tc>
          <w:tcPr>
            <w:tcW w:w="5812" w:type="dxa"/>
            <w:tcBorders>
              <w:top w:val="nil"/>
              <w:left w:val="single" w:sz="12" w:space="0" w:color="000000"/>
              <w:bottom w:val="nil"/>
              <w:right w:val="single" w:sz="12" w:space="0" w:color="000000"/>
            </w:tcBorders>
            <w:shd w:val="clear" w:color="auto" w:fill="auto"/>
            <w:vAlign w:val="center"/>
            <w:hideMark/>
          </w:tcPr>
          <w:p w14:paraId="39209A99" w14:textId="77777777" w:rsidR="00D0069E" w:rsidRPr="002259C8" w:rsidRDefault="00D0069E" w:rsidP="00582CA7">
            <w:pPr>
              <w:rPr>
                <w:color w:val="000000"/>
                <w:sz w:val="15"/>
                <w:szCs w:val="15"/>
              </w:rPr>
            </w:pPr>
            <w:r w:rsidRPr="002259C8">
              <w:rPr>
                <w:color w:val="000000"/>
                <w:sz w:val="15"/>
                <w:szCs w:val="15"/>
              </w:rPr>
              <w:t>Prevención de la Delincuencia en Adolescentes y Jóvenes</w:t>
            </w:r>
          </w:p>
        </w:tc>
        <w:tc>
          <w:tcPr>
            <w:tcW w:w="992" w:type="dxa"/>
            <w:tcBorders>
              <w:top w:val="nil"/>
              <w:left w:val="nil"/>
              <w:bottom w:val="nil"/>
              <w:right w:val="single" w:sz="8" w:space="0" w:color="000000"/>
            </w:tcBorders>
            <w:shd w:val="clear" w:color="auto" w:fill="auto"/>
            <w:vAlign w:val="center"/>
            <w:hideMark/>
          </w:tcPr>
          <w:p w14:paraId="32D7C2A3" w14:textId="77777777" w:rsidR="00D0069E" w:rsidRPr="002259C8" w:rsidRDefault="00D0069E" w:rsidP="00582CA7">
            <w:pPr>
              <w:jc w:val="center"/>
              <w:rPr>
                <w:color w:val="000000"/>
                <w:sz w:val="15"/>
                <w:szCs w:val="15"/>
              </w:rPr>
            </w:pPr>
            <w:r w:rsidRPr="002259C8">
              <w:rPr>
                <w:color w:val="000000"/>
                <w:sz w:val="15"/>
                <w:szCs w:val="15"/>
              </w:rPr>
              <w:t>31.7</w:t>
            </w:r>
          </w:p>
        </w:tc>
        <w:tc>
          <w:tcPr>
            <w:tcW w:w="851" w:type="dxa"/>
            <w:tcBorders>
              <w:top w:val="nil"/>
              <w:left w:val="nil"/>
              <w:bottom w:val="nil"/>
              <w:right w:val="single" w:sz="8" w:space="0" w:color="000000"/>
            </w:tcBorders>
            <w:shd w:val="clear" w:color="auto" w:fill="auto"/>
            <w:vAlign w:val="center"/>
            <w:hideMark/>
          </w:tcPr>
          <w:p w14:paraId="1A52C600" w14:textId="77777777" w:rsidR="00D0069E" w:rsidRPr="002259C8" w:rsidRDefault="00D0069E" w:rsidP="00582CA7">
            <w:pPr>
              <w:jc w:val="center"/>
              <w:rPr>
                <w:color w:val="000000"/>
                <w:sz w:val="15"/>
                <w:szCs w:val="15"/>
              </w:rPr>
            </w:pPr>
            <w:r w:rsidRPr="002259C8">
              <w:rPr>
                <w:color w:val="000000"/>
                <w:sz w:val="15"/>
                <w:szCs w:val="15"/>
              </w:rPr>
              <w:t>35.9</w:t>
            </w:r>
          </w:p>
        </w:tc>
        <w:tc>
          <w:tcPr>
            <w:tcW w:w="804" w:type="dxa"/>
            <w:tcBorders>
              <w:top w:val="nil"/>
              <w:left w:val="nil"/>
              <w:bottom w:val="nil"/>
              <w:right w:val="single" w:sz="8" w:space="0" w:color="000000"/>
            </w:tcBorders>
            <w:shd w:val="clear" w:color="auto" w:fill="auto"/>
            <w:vAlign w:val="center"/>
            <w:hideMark/>
          </w:tcPr>
          <w:p w14:paraId="7482BF38" w14:textId="77777777" w:rsidR="00D0069E" w:rsidRPr="002259C8" w:rsidRDefault="00D0069E" w:rsidP="00582CA7">
            <w:pPr>
              <w:jc w:val="center"/>
              <w:rPr>
                <w:color w:val="000000"/>
                <w:sz w:val="15"/>
                <w:szCs w:val="15"/>
              </w:rPr>
            </w:pPr>
            <w:r w:rsidRPr="002259C8">
              <w:rPr>
                <w:color w:val="000000"/>
                <w:sz w:val="15"/>
                <w:szCs w:val="15"/>
              </w:rPr>
              <w:t>4.2</w:t>
            </w:r>
          </w:p>
        </w:tc>
        <w:tc>
          <w:tcPr>
            <w:tcW w:w="740" w:type="dxa"/>
            <w:tcBorders>
              <w:top w:val="nil"/>
              <w:left w:val="nil"/>
              <w:bottom w:val="nil"/>
              <w:right w:val="single" w:sz="12" w:space="0" w:color="000000"/>
            </w:tcBorders>
            <w:shd w:val="clear" w:color="auto" w:fill="auto"/>
            <w:vAlign w:val="center"/>
            <w:hideMark/>
          </w:tcPr>
          <w:p w14:paraId="56EEC3A6" w14:textId="77777777" w:rsidR="00D0069E" w:rsidRPr="002259C8" w:rsidRDefault="00D0069E" w:rsidP="00582CA7">
            <w:pPr>
              <w:jc w:val="center"/>
              <w:rPr>
                <w:color w:val="000000"/>
                <w:sz w:val="15"/>
                <w:szCs w:val="15"/>
              </w:rPr>
            </w:pPr>
            <w:r w:rsidRPr="002259C8">
              <w:rPr>
                <w:color w:val="000000"/>
                <w:sz w:val="15"/>
                <w:szCs w:val="15"/>
              </w:rPr>
              <w:t>13.2%</w:t>
            </w:r>
          </w:p>
        </w:tc>
      </w:tr>
      <w:tr w:rsidR="00D0069E" w:rsidRPr="00C14154" w14:paraId="1900600C" w14:textId="77777777" w:rsidTr="00CA7052">
        <w:trPr>
          <w:trHeight w:val="94"/>
          <w:jc w:val="center"/>
        </w:trPr>
        <w:tc>
          <w:tcPr>
            <w:tcW w:w="5812" w:type="dxa"/>
            <w:tcBorders>
              <w:top w:val="nil"/>
              <w:left w:val="single" w:sz="12" w:space="0" w:color="000000"/>
              <w:bottom w:val="nil"/>
              <w:right w:val="single" w:sz="12" w:space="0" w:color="000000"/>
            </w:tcBorders>
            <w:shd w:val="clear" w:color="auto" w:fill="auto"/>
            <w:vAlign w:val="center"/>
            <w:hideMark/>
          </w:tcPr>
          <w:p w14:paraId="17CAF35B" w14:textId="77777777" w:rsidR="00D0069E" w:rsidRPr="002259C8" w:rsidRDefault="00D0069E" w:rsidP="00582CA7">
            <w:pPr>
              <w:rPr>
                <w:color w:val="000000"/>
                <w:sz w:val="15"/>
                <w:szCs w:val="15"/>
              </w:rPr>
            </w:pPr>
            <w:r w:rsidRPr="002259C8">
              <w:rPr>
                <w:color w:val="000000"/>
                <w:sz w:val="15"/>
                <w:szCs w:val="15"/>
              </w:rPr>
              <w:t>Dotaciones, Servicios e Infraestructura para el Desarrollo Social</w:t>
            </w:r>
          </w:p>
        </w:tc>
        <w:tc>
          <w:tcPr>
            <w:tcW w:w="992" w:type="dxa"/>
            <w:tcBorders>
              <w:top w:val="nil"/>
              <w:left w:val="nil"/>
              <w:bottom w:val="nil"/>
              <w:right w:val="single" w:sz="8" w:space="0" w:color="000000"/>
            </w:tcBorders>
            <w:shd w:val="clear" w:color="auto" w:fill="auto"/>
            <w:vAlign w:val="center"/>
            <w:hideMark/>
          </w:tcPr>
          <w:p w14:paraId="5FE6A0AE" w14:textId="77777777" w:rsidR="00D0069E" w:rsidRPr="002259C8" w:rsidRDefault="00D0069E" w:rsidP="00582CA7">
            <w:pPr>
              <w:jc w:val="center"/>
              <w:rPr>
                <w:color w:val="000000"/>
                <w:sz w:val="15"/>
                <w:szCs w:val="15"/>
              </w:rPr>
            </w:pPr>
            <w:r w:rsidRPr="002259C8">
              <w:rPr>
                <w:color w:val="000000"/>
                <w:sz w:val="15"/>
                <w:szCs w:val="15"/>
              </w:rPr>
              <w:t>195.3</w:t>
            </w:r>
          </w:p>
        </w:tc>
        <w:tc>
          <w:tcPr>
            <w:tcW w:w="851" w:type="dxa"/>
            <w:tcBorders>
              <w:top w:val="nil"/>
              <w:left w:val="nil"/>
              <w:bottom w:val="nil"/>
              <w:right w:val="single" w:sz="8" w:space="0" w:color="000000"/>
            </w:tcBorders>
            <w:shd w:val="clear" w:color="auto" w:fill="auto"/>
            <w:vAlign w:val="center"/>
            <w:hideMark/>
          </w:tcPr>
          <w:p w14:paraId="2DAF1D03" w14:textId="77777777" w:rsidR="00D0069E" w:rsidRPr="002259C8" w:rsidRDefault="00D0069E" w:rsidP="00582CA7">
            <w:pPr>
              <w:jc w:val="center"/>
              <w:rPr>
                <w:color w:val="000000"/>
                <w:sz w:val="15"/>
                <w:szCs w:val="15"/>
              </w:rPr>
            </w:pPr>
            <w:r w:rsidRPr="002259C8">
              <w:rPr>
                <w:color w:val="000000"/>
                <w:sz w:val="15"/>
                <w:szCs w:val="15"/>
              </w:rPr>
              <w:t>311.9</w:t>
            </w:r>
          </w:p>
        </w:tc>
        <w:tc>
          <w:tcPr>
            <w:tcW w:w="804" w:type="dxa"/>
            <w:tcBorders>
              <w:top w:val="nil"/>
              <w:left w:val="nil"/>
              <w:bottom w:val="nil"/>
              <w:right w:val="single" w:sz="8" w:space="0" w:color="000000"/>
            </w:tcBorders>
            <w:shd w:val="clear" w:color="auto" w:fill="auto"/>
            <w:vAlign w:val="center"/>
            <w:hideMark/>
          </w:tcPr>
          <w:p w14:paraId="31F8C1D9" w14:textId="77777777" w:rsidR="00D0069E" w:rsidRPr="002259C8" w:rsidRDefault="00D0069E" w:rsidP="00582CA7">
            <w:pPr>
              <w:jc w:val="center"/>
              <w:rPr>
                <w:color w:val="000000"/>
                <w:sz w:val="15"/>
                <w:szCs w:val="15"/>
              </w:rPr>
            </w:pPr>
            <w:r w:rsidRPr="002259C8">
              <w:rPr>
                <w:color w:val="000000"/>
                <w:sz w:val="15"/>
                <w:szCs w:val="15"/>
              </w:rPr>
              <w:t>116.6</w:t>
            </w:r>
          </w:p>
        </w:tc>
        <w:tc>
          <w:tcPr>
            <w:tcW w:w="740" w:type="dxa"/>
            <w:tcBorders>
              <w:top w:val="nil"/>
              <w:left w:val="nil"/>
              <w:bottom w:val="nil"/>
              <w:right w:val="single" w:sz="12" w:space="0" w:color="000000"/>
            </w:tcBorders>
            <w:shd w:val="clear" w:color="auto" w:fill="auto"/>
            <w:vAlign w:val="center"/>
            <w:hideMark/>
          </w:tcPr>
          <w:p w14:paraId="2F317FCB" w14:textId="77777777" w:rsidR="00D0069E" w:rsidRPr="002259C8" w:rsidRDefault="00D0069E" w:rsidP="00582CA7">
            <w:pPr>
              <w:jc w:val="center"/>
              <w:rPr>
                <w:color w:val="000000"/>
                <w:sz w:val="15"/>
                <w:szCs w:val="15"/>
              </w:rPr>
            </w:pPr>
            <w:r w:rsidRPr="002259C8">
              <w:rPr>
                <w:color w:val="000000"/>
                <w:sz w:val="15"/>
                <w:szCs w:val="15"/>
              </w:rPr>
              <w:t>59.7%</w:t>
            </w:r>
          </w:p>
        </w:tc>
      </w:tr>
      <w:tr w:rsidR="00D0069E" w:rsidRPr="00C14154" w14:paraId="00878D4A" w14:textId="77777777" w:rsidTr="00CA7052">
        <w:trPr>
          <w:trHeight w:val="171"/>
          <w:jc w:val="center"/>
        </w:trPr>
        <w:tc>
          <w:tcPr>
            <w:tcW w:w="5812" w:type="dxa"/>
            <w:tcBorders>
              <w:top w:val="nil"/>
              <w:left w:val="single" w:sz="12" w:space="0" w:color="000000"/>
              <w:bottom w:val="nil"/>
              <w:right w:val="single" w:sz="12" w:space="0" w:color="000000"/>
            </w:tcBorders>
            <w:shd w:val="clear" w:color="auto" w:fill="auto"/>
            <w:vAlign w:val="center"/>
            <w:hideMark/>
          </w:tcPr>
          <w:p w14:paraId="3E7162E8" w14:textId="77777777" w:rsidR="00D0069E" w:rsidRPr="002259C8" w:rsidRDefault="00D0069E" w:rsidP="00582CA7">
            <w:pPr>
              <w:rPr>
                <w:color w:val="000000"/>
                <w:sz w:val="15"/>
                <w:szCs w:val="15"/>
              </w:rPr>
            </w:pPr>
            <w:r w:rsidRPr="002259C8">
              <w:rPr>
                <w:color w:val="000000"/>
                <w:sz w:val="15"/>
                <w:szCs w:val="15"/>
              </w:rPr>
              <w:t>Transferencias Monetarias Condicionadas en Salud y Educación</w:t>
            </w:r>
          </w:p>
        </w:tc>
        <w:tc>
          <w:tcPr>
            <w:tcW w:w="992" w:type="dxa"/>
            <w:tcBorders>
              <w:top w:val="nil"/>
              <w:left w:val="nil"/>
              <w:bottom w:val="nil"/>
              <w:right w:val="single" w:sz="8" w:space="0" w:color="000000"/>
            </w:tcBorders>
            <w:shd w:val="clear" w:color="auto" w:fill="auto"/>
            <w:vAlign w:val="center"/>
            <w:hideMark/>
          </w:tcPr>
          <w:p w14:paraId="1EEC411D" w14:textId="77777777" w:rsidR="00D0069E" w:rsidRPr="002259C8" w:rsidRDefault="00D0069E" w:rsidP="00582CA7">
            <w:pPr>
              <w:jc w:val="center"/>
              <w:rPr>
                <w:color w:val="000000"/>
                <w:sz w:val="15"/>
                <w:szCs w:val="15"/>
              </w:rPr>
            </w:pPr>
            <w:r w:rsidRPr="002259C8">
              <w:rPr>
                <w:color w:val="000000"/>
                <w:sz w:val="15"/>
                <w:szCs w:val="15"/>
              </w:rPr>
              <w:t>349.6</w:t>
            </w:r>
          </w:p>
        </w:tc>
        <w:tc>
          <w:tcPr>
            <w:tcW w:w="851" w:type="dxa"/>
            <w:tcBorders>
              <w:top w:val="nil"/>
              <w:left w:val="nil"/>
              <w:bottom w:val="nil"/>
              <w:right w:val="single" w:sz="8" w:space="0" w:color="000000"/>
            </w:tcBorders>
            <w:shd w:val="clear" w:color="auto" w:fill="auto"/>
            <w:vAlign w:val="center"/>
            <w:hideMark/>
          </w:tcPr>
          <w:p w14:paraId="688ABF6A" w14:textId="77777777" w:rsidR="00D0069E" w:rsidRPr="002259C8" w:rsidRDefault="00D0069E" w:rsidP="00582CA7">
            <w:pPr>
              <w:jc w:val="center"/>
              <w:rPr>
                <w:color w:val="000000"/>
                <w:sz w:val="15"/>
                <w:szCs w:val="15"/>
              </w:rPr>
            </w:pPr>
            <w:r w:rsidRPr="002259C8">
              <w:rPr>
                <w:color w:val="000000"/>
                <w:sz w:val="15"/>
                <w:szCs w:val="15"/>
              </w:rPr>
              <w:t>472.2</w:t>
            </w:r>
          </w:p>
        </w:tc>
        <w:tc>
          <w:tcPr>
            <w:tcW w:w="804" w:type="dxa"/>
            <w:tcBorders>
              <w:top w:val="nil"/>
              <w:left w:val="nil"/>
              <w:bottom w:val="nil"/>
              <w:right w:val="single" w:sz="8" w:space="0" w:color="000000"/>
            </w:tcBorders>
            <w:shd w:val="clear" w:color="auto" w:fill="auto"/>
            <w:vAlign w:val="center"/>
            <w:hideMark/>
          </w:tcPr>
          <w:p w14:paraId="2DDE2318" w14:textId="77777777" w:rsidR="00D0069E" w:rsidRPr="002259C8" w:rsidRDefault="00D0069E" w:rsidP="00582CA7">
            <w:pPr>
              <w:jc w:val="center"/>
              <w:rPr>
                <w:color w:val="000000"/>
                <w:sz w:val="15"/>
                <w:szCs w:val="15"/>
              </w:rPr>
            </w:pPr>
            <w:r w:rsidRPr="002259C8">
              <w:rPr>
                <w:color w:val="000000"/>
                <w:sz w:val="15"/>
                <w:szCs w:val="15"/>
              </w:rPr>
              <w:t>122.7</w:t>
            </w:r>
          </w:p>
        </w:tc>
        <w:tc>
          <w:tcPr>
            <w:tcW w:w="740" w:type="dxa"/>
            <w:tcBorders>
              <w:top w:val="nil"/>
              <w:left w:val="nil"/>
              <w:bottom w:val="nil"/>
              <w:right w:val="single" w:sz="12" w:space="0" w:color="000000"/>
            </w:tcBorders>
            <w:shd w:val="clear" w:color="auto" w:fill="auto"/>
            <w:vAlign w:val="center"/>
            <w:hideMark/>
          </w:tcPr>
          <w:p w14:paraId="3DF5248A" w14:textId="77777777" w:rsidR="00D0069E" w:rsidRPr="002259C8" w:rsidRDefault="00D0069E" w:rsidP="00582CA7">
            <w:pPr>
              <w:jc w:val="center"/>
              <w:rPr>
                <w:color w:val="000000"/>
                <w:sz w:val="15"/>
                <w:szCs w:val="15"/>
              </w:rPr>
            </w:pPr>
            <w:r w:rsidRPr="002259C8">
              <w:rPr>
                <w:color w:val="000000"/>
                <w:sz w:val="15"/>
                <w:szCs w:val="15"/>
              </w:rPr>
              <w:t>35.1%</w:t>
            </w:r>
          </w:p>
        </w:tc>
      </w:tr>
      <w:tr w:rsidR="00D0069E" w:rsidRPr="00C14154" w14:paraId="1F7FC476" w14:textId="77777777" w:rsidTr="00CA7052">
        <w:trPr>
          <w:trHeight w:val="124"/>
          <w:jc w:val="center"/>
        </w:trPr>
        <w:tc>
          <w:tcPr>
            <w:tcW w:w="5812" w:type="dxa"/>
            <w:tcBorders>
              <w:top w:val="nil"/>
              <w:left w:val="single" w:sz="12" w:space="0" w:color="000000"/>
              <w:bottom w:val="nil"/>
              <w:right w:val="single" w:sz="12" w:space="0" w:color="000000"/>
            </w:tcBorders>
            <w:shd w:val="clear" w:color="auto" w:fill="auto"/>
            <w:vAlign w:val="center"/>
            <w:hideMark/>
          </w:tcPr>
          <w:p w14:paraId="6B440A79" w14:textId="77777777" w:rsidR="00D0069E" w:rsidRPr="002259C8" w:rsidRDefault="00D0069E" w:rsidP="00582CA7">
            <w:pPr>
              <w:rPr>
                <w:color w:val="000000"/>
                <w:sz w:val="15"/>
                <w:szCs w:val="15"/>
              </w:rPr>
            </w:pPr>
            <w:r w:rsidRPr="002259C8">
              <w:rPr>
                <w:color w:val="000000"/>
                <w:sz w:val="15"/>
                <w:szCs w:val="15"/>
              </w:rPr>
              <w:t>Atención por Desastres Naturales y Calamidades Públicas</w:t>
            </w:r>
          </w:p>
        </w:tc>
        <w:tc>
          <w:tcPr>
            <w:tcW w:w="992" w:type="dxa"/>
            <w:tcBorders>
              <w:top w:val="nil"/>
              <w:left w:val="nil"/>
              <w:bottom w:val="nil"/>
              <w:right w:val="single" w:sz="8" w:space="0" w:color="000000"/>
            </w:tcBorders>
            <w:shd w:val="clear" w:color="auto" w:fill="auto"/>
            <w:vAlign w:val="center"/>
            <w:hideMark/>
          </w:tcPr>
          <w:p w14:paraId="2C52C5CF" w14:textId="77777777" w:rsidR="00D0069E" w:rsidRPr="002259C8" w:rsidRDefault="00D0069E" w:rsidP="00582CA7">
            <w:pPr>
              <w:jc w:val="center"/>
              <w:rPr>
                <w:color w:val="000000"/>
                <w:sz w:val="15"/>
                <w:szCs w:val="15"/>
              </w:rPr>
            </w:pPr>
            <w:r w:rsidRPr="002259C8">
              <w:rPr>
                <w:color w:val="000000"/>
                <w:sz w:val="15"/>
                <w:szCs w:val="15"/>
              </w:rPr>
              <w:t>104.7</w:t>
            </w:r>
          </w:p>
        </w:tc>
        <w:tc>
          <w:tcPr>
            <w:tcW w:w="851" w:type="dxa"/>
            <w:tcBorders>
              <w:top w:val="nil"/>
              <w:left w:val="nil"/>
              <w:bottom w:val="nil"/>
              <w:right w:val="single" w:sz="8" w:space="0" w:color="000000"/>
            </w:tcBorders>
            <w:shd w:val="clear" w:color="auto" w:fill="auto"/>
            <w:vAlign w:val="center"/>
            <w:hideMark/>
          </w:tcPr>
          <w:p w14:paraId="7E7B7355" w14:textId="77777777" w:rsidR="00D0069E" w:rsidRPr="002259C8" w:rsidRDefault="00D0069E" w:rsidP="00582CA7">
            <w:pPr>
              <w:jc w:val="center"/>
              <w:rPr>
                <w:color w:val="000000"/>
                <w:sz w:val="15"/>
                <w:szCs w:val="15"/>
              </w:rPr>
            </w:pPr>
            <w:r w:rsidRPr="002259C8">
              <w:rPr>
                <w:color w:val="000000"/>
                <w:sz w:val="15"/>
                <w:szCs w:val="15"/>
              </w:rPr>
              <w:t>97.2</w:t>
            </w:r>
          </w:p>
        </w:tc>
        <w:tc>
          <w:tcPr>
            <w:tcW w:w="804" w:type="dxa"/>
            <w:tcBorders>
              <w:top w:val="nil"/>
              <w:left w:val="nil"/>
              <w:bottom w:val="nil"/>
              <w:right w:val="single" w:sz="8" w:space="0" w:color="000000"/>
            </w:tcBorders>
            <w:shd w:val="clear" w:color="auto" w:fill="auto"/>
            <w:vAlign w:val="center"/>
            <w:hideMark/>
          </w:tcPr>
          <w:p w14:paraId="61047B9D" w14:textId="77777777" w:rsidR="00D0069E" w:rsidRPr="002259C8" w:rsidRDefault="00D0069E" w:rsidP="00582CA7">
            <w:pPr>
              <w:jc w:val="center"/>
              <w:rPr>
                <w:color w:val="000000"/>
                <w:sz w:val="15"/>
                <w:szCs w:val="15"/>
              </w:rPr>
            </w:pPr>
            <w:r w:rsidRPr="002259C8">
              <w:rPr>
                <w:color w:val="000000"/>
                <w:sz w:val="15"/>
                <w:szCs w:val="15"/>
              </w:rPr>
              <w:t>-7.5</w:t>
            </w:r>
          </w:p>
        </w:tc>
        <w:tc>
          <w:tcPr>
            <w:tcW w:w="740" w:type="dxa"/>
            <w:tcBorders>
              <w:top w:val="nil"/>
              <w:left w:val="nil"/>
              <w:bottom w:val="nil"/>
              <w:right w:val="single" w:sz="12" w:space="0" w:color="000000"/>
            </w:tcBorders>
            <w:shd w:val="clear" w:color="auto" w:fill="auto"/>
            <w:vAlign w:val="center"/>
            <w:hideMark/>
          </w:tcPr>
          <w:p w14:paraId="04071A12" w14:textId="77777777" w:rsidR="00D0069E" w:rsidRPr="002259C8" w:rsidRDefault="00D0069E" w:rsidP="00582CA7">
            <w:pPr>
              <w:jc w:val="center"/>
              <w:rPr>
                <w:color w:val="000000"/>
                <w:sz w:val="15"/>
                <w:szCs w:val="15"/>
              </w:rPr>
            </w:pPr>
            <w:r w:rsidRPr="002259C8">
              <w:rPr>
                <w:color w:val="000000"/>
                <w:sz w:val="15"/>
                <w:szCs w:val="15"/>
              </w:rPr>
              <w:t>-7.2%</w:t>
            </w:r>
          </w:p>
        </w:tc>
      </w:tr>
      <w:tr w:rsidR="00D0069E" w:rsidRPr="00C14154" w14:paraId="0CBE7854" w14:textId="77777777" w:rsidTr="00CA7052">
        <w:trPr>
          <w:trHeight w:val="61"/>
          <w:jc w:val="center"/>
        </w:trPr>
        <w:tc>
          <w:tcPr>
            <w:tcW w:w="5812" w:type="dxa"/>
            <w:tcBorders>
              <w:top w:val="nil"/>
              <w:left w:val="single" w:sz="12" w:space="0" w:color="000000"/>
              <w:bottom w:val="single" w:sz="8" w:space="0" w:color="000000"/>
              <w:right w:val="single" w:sz="12" w:space="0" w:color="000000"/>
            </w:tcBorders>
            <w:shd w:val="clear" w:color="auto" w:fill="auto"/>
            <w:vAlign w:val="center"/>
            <w:hideMark/>
          </w:tcPr>
          <w:p w14:paraId="03A0A4E2" w14:textId="77777777" w:rsidR="00D0069E" w:rsidRPr="002259C8" w:rsidRDefault="00D0069E" w:rsidP="00582CA7">
            <w:pPr>
              <w:rPr>
                <w:color w:val="000000"/>
                <w:sz w:val="15"/>
                <w:szCs w:val="15"/>
              </w:rPr>
            </w:pPr>
            <w:r w:rsidRPr="002259C8">
              <w:rPr>
                <w:color w:val="000000"/>
                <w:sz w:val="15"/>
                <w:szCs w:val="15"/>
              </w:rPr>
              <w:t>Otros programas</w:t>
            </w:r>
          </w:p>
        </w:tc>
        <w:tc>
          <w:tcPr>
            <w:tcW w:w="992" w:type="dxa"/>
            <w:tcBorders>
              <w:top w:val="nil"/>
              <w:left w:val="nil"/>
              <w:bottom w:val="single" w:sz="8" w:space="0" w:color="000000"/>
              <w:right w:val="single" w:sz="8" w:space="0" w:color="000000"/>
            </w:tcBorders>
            <w:shd w:val="clear" w:color="auto" w:fill="auto"/>
            <w:vAlign w:val="center"/>
            <w:hideMark/>
          </w:tcPr>
          <w:p w14:paraId="44E2268D" w14:textId="77777777" w:rsidR="00D0069E" w:rsidRPr="002259C8" w:rsidRDefault="00D0069E" w:rsidP="00582CA7">
            <w:pPr>
              <w:jc w:val="center"/>
              <w:rPr>
                <w:color w:val="000000"/>
                <w:sz w:val="15"/>
                <w:szCs w:val="15"/>
              </w:rPr>
            </w:pPr>
            <w:r w:rsidRPr="002259C8">
              <w:rPr>
                <w:color w:val="000000"/>
                <w:sz w:val="15"/>
                <w:szCs w:val="15"/>
              </w:rPr>
              <w:t>28.2</w:t>
            </w:r>
          </w:p>
        </w:tc>
        <w:tc>
          <w:tcPr>
            <w:tcW w:w="851" w:type="dxa"/>
            <w:tcBorders>
              <w:top w:val="nil"/>
              <w:left w:val="nil"/>
              <w:bottom w:val="single" w:sz="8" w:space="0" w:color="000000"/>
              <w:right w:val="single" w:sz="8" w:space="0" w:color="000000"/>
            </w:tcBorders>
            <w:shd w:val="clear" w:color="auto" w:fill="auto"/>
            <w:vAlign w:val="center"/>
            <w:hideMark/>
          </w:tcPr>
          <w:p w14:paraId="32EDCEC2" w14:textId="77777777" w:rsidR="00D0069E" w:rsidRPr="002259C8" w:rsidRDefault="00D0069E" w:rsidP="00582CA7">
            <w:pPr>
              <w:jc w:val="center"/>
              <w:rPr>
                <w:color w:val="000000"/>
                <w:sz w:val="15"/>
                <w:szCs w:val="15"/>
              </w:rPr>
            </w:pPr>
            <w:r w:rsidRPr="002259C8">
              <w:rPr>
                <w:color w:val="000000"/>
                <w:sz w:val="15"/>
                <w:szCs w:val="15"/>
              </w:rPr>
              <w:t>29.2</w:t>
            </w:r>
          </w:p>
        </w:tc>
        <w:tc>
          <w:tcPr>
            <w:tcW w:w="804" w:type="dxa"/>
            <w:tcBorders>
              <w:top w:val="nil"/>
              <w:left w:val="nil"/>
              <w:bottom w:val="single" w:sz="8" w:space="0" w:color="000000"/>
              <w:right w:val="single" w:sz="8" w:space="0" w:color="000000"/>
            </w:tcBorders>
            <w:shd w:val="clear" w:color="auto" w:fill="auto"/>
            <w:vAlign w:val="center"/>
            <w:hideMark/>
          </w:tcPr>
          <w:p w14:paraId="6821B2A7" w14:textId="77777777" w:rsidR="00D0069E" w:rsidRPr="002259C8" w:rsidRDefault="00D0069E" w:rsidP="00582CA7">
            <w:pPr>
              <w:jc w:val="center"/>
              <w:rPr>
                <w:color w:val="000000"/>
                <w:sz w:val="15"/>
                <w:szCs w:val="15"/>
              </w:rPr>
            </w:pPr>
            <w:r w:rsidRPr="002259C8">
              <w:rPr>
                <w:color w:val="000000"/>
                <w:sz w:val="15"/>
                <w:szCs w:val="15"/>
              </w:rPr>
              <w:t>1.0</w:t>
            </w:r>
          </w:p>
        </w:tc>
        <w:tc>
          <w:tcPr>
            <w:tcW w:w="740" w:type="dxa"/>
            <w:tcBorders>
              <w:top w:val="nil"/>
              <w:left w:val="nil"/>
              <w:bottom w:val="single" w:sz="8" w:space="0" w:color="000000"/>
              <w:right w:val="single" w:sz="12" w:space="0" w:color="000000"/>
            </w:tcBorders>
            <w:shd w:val="clear" w:color="auto" w:fill="auto"/>
            <w:vAlign w:val="center"/>
            <w:hideMark/>
          </w:tcPr>
          <w:p w14:paraId="6FCFAA20" w14:textId="77777777" w:rsidR="00D0069E" w:rsidRPr="002259C8" w:rsidRDefault="00D0069E" w:rsidP="00582CA7">
            <w:pPr>
              <w:jc w:val="center"/>
              <w:rPr>
                <w:color w:val="000000"/>
                <w:sz w:val="15"/>
                <w:szCs w:val="15"/>
              </w:rPr>
            </w:pPr>
            <w:r w:rsidRPr="002259C8">
              <w:rPr>
                <w:color w:val="000000"/>
                <w:sz w:val="15"/>
                <w:szCs w:val="15"/>
              </w:rPr>
              <w:t>3.5%</w:t>
            </w:r>
          </w:p>
        </w:tc>
      </w:tr>
    </w:tbl>
    <w:p w14:paraId="7A1058F1" w14:textId="604913ED" w:rsidR="0078088C" w:rsidRPr="00CA7052" w:rsidRDefault="00D0069E" w:rsidP="00CA7052">
      <w:pPr>
        <w:spacing w:before="42"/>
        <w:ind w:left="643"/>
        <w:rPr>
          <w:sz w:val="16"/>
        </w:rPr>
      </w:pPr>
      <w:r>
        <w:rPr>
          <w:sz w:val="16"/>
        </w:rPr>
        <w:t>Fuente: Dirección de Análisis y Política Fiscal</w:t>
      </w:r>
    </w:p>
    <w:p w14:paraId="094A8025" w14:textId="7835EB4A" w:rsidR="006E7942" w:rsidRDefault="006E7942" w:rsidP="006E7942">
      <w:pPr>
        <w:jc w:val="both"/>
      </w:pPr>
      <w:r>
        <w:t>A nivel de cada entidad de gobierno, se evaluó el grado de ejecución presupuestaria con respecto al año previo</w:t>
      </w:r>
      <w:r w:rsidR="0078088C">
        <w:t>. E</w:t>
      </w:r>
      <w:r>
        <w:t xml:space="preserve">n 2021 tres entidades no superaron el 90% de ejecución, siendo Salud Pública y Asistencia Social (85.8%) por menores gastos relacionados a </w:t>
      </w:r>
      <w:r w:rsidRPr="00DC4EFB">
        <w:t>COVID-19,</w:t>
      </w:r>
      <w:r>
        <w:t xml:space="preserve"> Cultura y Deportes (85.5%) y Obligaciones del Estado (73.7%), dado que en esta entidad se registraron las partidas no ejecutables por la no aprobación del presupuesto en ese ejercicio.</w:t>
      </w:r>
    </w:p>
    <w:p w14:paraId="0A22D0E7" w14:textId="77777777" w:rsidR="006E7942" w:rsidRDefault="006E7942" w:rsidP="006E7942">
      <w:pPr>
        <w:jc w:val="both"/>
      </w:pPr>
    </w:p>
    <w:p w14:paraId="6D422408" w14:textId="5C683825" w:rsidR="006E7942" w:rsidRDefault="006E7942" w:rsidP="006E7942">
      <w:pPr>
        <w:jc w:val="both"/>
      </w:pPr>
      <w:r>
        <w:t>En el 2022, se tuvo un grado de ejecución alto (96.2%), la mayoría de entidades reportaron niveles de ejecución superiores al 90%, a excepción de Comunicaciones, Infraestructura y Vivienda (89.5%) y Cultura y Deportes (88.2%).</w:t>
      </w:r>
    </w:p>
    <w:p w14:paraId="253EBEEE" w14:textId="732F81FB" w:rsidR="006E7942" w:rsidRDefault="006E7942" w:rsidP="006E7942">
      <w:pPr>
        <w:jc w:val="both"/>
      </w:pPr>
    </w:p>
    <w:p w14:paraId="42457401" w14:textId="7633E210" w:rsidR="008A39B4" w:rsidRPr="008A39B4" w:rsidRDefault="008A39B4" w:rsidP="008A39B4">
      <w:pPr>
        <w:pStyle w:val="Descripcin"/>
        <w:spacing w:after="0"/>
        <w:jc w:val="center"/>
        <w:rPr>
          <w:b/>
          <w:bCs/>
          <w:i w:val="0"/>
          <w:iCs w:val="0"/>
          <w:color w:val="auto"/>
          <w:sz w:val="24"/>
          <w:szCs w:val="24"/>
        </w:rPr>
      </w:pPr>
      <w:bookmarkStart w:id="134" w:name="_Toc143870726"/>
      <w:r w:rsidRPr="008A39B4">
        <w:rPr>
          <w:b/>
          <w:bCs/>
          <w:i w:val="0"/>
          <w:iCs w:val="0"/>
          <w:color w:val="auto"/>
          <w:sz w:val="24"/>
          <w:szCs w:val="24"/>
        </w:rPr>
        <w:t xml:space="preserve">Gráfico </w:t>
      </w:r>
      <w:r w:rsidRPr="008A39B4">
        <w:rPr>
          <w:b/>
          <w:bCs/>
          <w:i w:val="0"/>
          <w:iCs w:val="0"/>
          <w:color w:val="auto"/>
          <w:sz w:val="24"/>
          <w:szCs w:val="24"/>
        </w:rPr>
        <w:fldChar w:fldCharType="begin"/>
      </w:r>
      <w:r w:rsidRPr="008A39B4">
        <w:rPr>
          <w:b/>
          <w:bCs/>
          <w:i w:val="0"/>
          <w:iCs w:val="0"/>
          <w:color w:val="auto"/>
          <w:sz w:val="24"/>
          <w:szCs w:val="24"/>
        </w:rPr>
        <w:instrText xml:space="preserve"> SEQ Gráfico \* ARABIC </w:instrText>
      </w:r>
      <w:r w:rsidRPr="008A39B4">
        <w:rPr>
          <w:b/>
          <w:bCs/>
          <w:i w:val="0"/>
          <w:iCs w:val="0"/>
          <w:color w:val="auto"/>
          <w:sz w:val="24"/>
          <w:szCs w:val="24"/>
        </w:rPr>
        <w:fldChar w:fldCharType="separate"/>
      </w:r>
      <w:r w:rsidR="006622B2">
        <w:rPr>
          <w:b/>
          <w:bCs/>
          <w:i w:val="0"/>
          <w:iCs w:val="0"/>
          <w:noProof/>
          <w:color w:val="auto"/>
          <w:sz w:val="24"/>
          <w:szCs w:val="24"/>
        </w:rPr>
        <w:t>59</w:t>
      </w:r>
      <w:r w:rsidRPr="008A39B4">
        <w:rPr>
          <w:b/>
          <w:bCs/>
          <w:i w:val="0"/>
          <w:iCs w:val="0"/>
          <w:color w:val="auto"/>
          <w:sz w:val="24"/>
          <w:szCs w:val="24"/>
        </w:rPr>
        <w:fldChar w:fldCharType="end"/>
      </w:r>
      <w:r w:rsidRPr="008A39B4">
        <w:rPr>
          <w:b/>
          <w:bCs/>
          <w:i w:val="0"/>
          <w:iCs w:val="0"/>
          <w:color w:val="auto"/>
          <w:sz w:val="24"/>
          <w:szCs w:val="24"/>
        </w:rPr>
        <w:t xml:space="preserve">. Grado de </w:t>
      </w:r>
      <w:r w:rsidR="00D31CC8">
        <w:rPr>
          <w:b/>
          <w:bCs/>
          <w:i w:val="0"/>
          <w:iCs w:val="0"/>
          <w:color w:val="auto"/>
          <w:sz w:val="24"/>
          <w:szCs w:val="24"/>
        </w:rPr>
        <w:t>e</w:t>
      </w:r>
      <w:r w:rsidRPr="008A39B4">
        <w:rPr>
          <w:b/>
          <w:bCs/>
          <w:i w:val="0"/>
          <w:iCs w:val="0"/>
          <w:color w:val="auto"/>
          <w:sz w:val="24"/>
          <w:szCs w:val="24"/>
        </w:rPr>
        <w:t xml:space="preserve">jecución </w:t>
      </w:r>
      <w:r w:rsidR="00D31CC8">
        <w:rPr>
          <w:b/>
          <w:bCs/>
          <w:i w:val="0"/>
          <w:iCs w:val="0"/>
          <w:color w:val="auto"/>
          <w:sz w:val="24"/>
          <w:szCs w:val="24"/>
        </w:rPr>
        <w:t>i</w:t>
      </w:r>
      <w:r w:rsidRPr="008A39B4">
        <w:rPr>
          <w:b/>
          <w:bCs/>
          <w:i w:val="0"/>
          <w:iCs w:val="0"/>
          <w:color w:val="auto"/>
          <w:sz w:val="24"/>
          <w:szCs w:val="24"/>
        </w:rPr>
        <w:t>nstitucional</w:t>
      </w:r>
      <w:bookmarkEnd w:id="134"/>
    </w:p>
    <w:p w14:paraId="0635AAEE" w14:textId="1956CDAC" w:rsidR="006E7942" w:rsidRPr="004C017C" w:rsidRDefault="006E7942" w:rsidP="006E7942">
      <w:pPr>
        <w:tabs>
          <w:tab w:val="left" w:pos="887"/>
        </w:tabs>
        <w:jc w:val="center"/>
        <w:rPr>
          <w:sz w:val="20"/>
          <w:szCs w:val="28"/>
        </w:rPr>
      </w:pPr>
      <w:r w:rsidRPr="004C017C">
        <w:rPr>
          <w:sz w:val="20"/>
          <w:szCs w:val="28"/>
        </w:rPr>
        <w:t>Ejecución 2022-2021</w:t>
      </w:r>
    </w:p>
    <w:p w14:paraId="2AA06825" w14:textId="77777777" w:rsidR="006E7942" w:rsidRDefault="006E7942" w:rsidP="006E7942">
      <w:pPr>
        <w:tabs>
          <w:tab w:val="left" w:pos="887"/>
        </w:tabs>
        <w:jc w:val="center"/>
        <w:rPr>
          <w:sz w:val="20"/>
          <w:szCs w:val="28"/>
        </w:rPr>
      </w:pPr>
      <w:r>
        <w:rPr>
          <w:noProof/>
        </w:rPr>
        <w:drawing>
          <wp:anchor distT="0" distB="0" distL="114300" distR="114300" simplePos="0" relativeHeight="251683840" behindDoc="0" locked="0" layoutInCell="1" allowOverlap="1" wp14:anchorId="2D5477F6" wp14:editId="7DFB4E74">
            <wp:simplePos x="0" y="0"/>
            <wp:positionH relativeFrom="column">
              <wp:posOffset>154940</wp:posOffset>
            </wp:positionH>
            <wp:positionV relativeFrom="paragraph">
              <wp:posOffset>182245</wp:posOffset>
            </wp:positionV>
            <wp:extent cx="5486400" cy="2763520"/>
            <wp:effectExtent l="0" t="0" r="0" b="0"/>
            <wp:wrapSquare wrapText="bothSides"/>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page">
              <wp14:pctWidth>0</wp14:pctWidth>
            </wp14:sizeRelH>
            <wp14:sizeRelV relativeFrom="page">
              <wp14:pctHeight>0</wp14:pctHeight>
            </wp14:sizeRelV>
          </wp:anchor>
        </w:drawing>
      </w:r>
      <w:r w:rsidRPr="004C017C">
        <w:rPr>
          <w:sz w:val="20"/>
          <w:szCs w:val="28"/>
        </w:rPr>
        <w:t>Cifras en porcentajes</w:t>
      </w:r>
    </w:p>
    <w:p w14:paraId="2E2A7197" w14:textId="7005D3EF" w:rsidR="006E7942" w:rsidRPr="006E7942" w:rsidRDefault="006E7942" w:rsidP="006E7942">
      <w:pPr>
        <w:tabs>
          <w:tab w:val="left" w:pos="887"/>
        </w:tabs>
        <w:rPr>
          <w:sz w:val="20"/>
          <w:szCs w:val="28"/>
        </w:rPr>
      </w:pPr>
      <w:r>
        <w:rPr>
          <w:sz w:val="16"/>
        </w:rPr>
        <w:t>Fuente: Dirección de Análisis y Política Fiscal</w:t>
      </w:r>
    </w:p>
    <w:p w14:paraId="009A6C01" w14:textId="77777777" w:rsidR="006E7942" w:rsidRDefault="006E7942" w:rsidP="006E7942">
      <w:pPr>
        <w:jc w:val="both"/>
      </w:pPr>
    </w:p>
    <w:p w14:paraId="6C545160" w14:textId="53A953CC" w:rsidR="00D0069E" w:rsidRDefault="00DE52BD" w:rsidP="00531A1B">
      <w:pPr>
        <w:pStyle w:val="Prrafodelista"/>
        <w:numPr>
          <w:ilvl w:val="2"/>
          <w:numId w:val="3"/>
        </w:numPr>
        <w:tabs>
          <w:tab w:val="left" w:pos="851"/>
        </w:tabs>
        <w:ind w:left="426" w:hanging="142"/>
        <w:jc w:val="both"/>
        <w:outlineLvl w:val="2"/>
        <w:rPr>
          <w:b/>
          <w:bCs/>
        </w:rPr>
      </w:pPr>
      <w:bookmarkStart w:id="135" w:name="_Toc143865825"/>
      <w:r w:rsidRPr="00DE52BD">
        <w:rPr>
          <w:b/>
          <w:bCs/>
        </w:rPr>
        <w:t>Ejecución del gasto público relacionado a Desastres Naturales y Calamidades Públicas</w:t>
      </w:r>
      <w:bookmarkEnd w:id="135"/>
    </w:p>
    <w:p w14:paraId="22009FC3" w14:textId="77777777" w:rsidR="00E60EFC" w:rsidRDefault="00E60EFC" w:rsidP="00E60EFC">
      <w:pPr>
        <w:pStyle w:val="Prrafodelista"/>
        <w:tabs>
          <w:tab w:val="left" w:pos="851"/>
        </w:tabs>
        <w:ind w:left="426"/>
        <w:jc w:val="both"/>
        <w:rPr>
          <w:b/>
          <w:bCs/>
        </w:rPr>
      </w:pPr>
    </w:p>
    <w:p w14:paraId="69B35285" w14:textId="1A24E1C4" w:rsidR="00DE52BD" w:rsidRDefault="00DE52BD" w:rsidP="00531A1B">
      <w:pPr>
        <w:pStyle w:val="Prrafodelista"/>
        <w:numPr>
          <w:ilvl w:val="3"/>
          <w:numId w:val="3"/>
        </w:numPr>
        <w:ind w:left="1276"/>
        <w:jc w:val="both"/>
        <w:outlineLvl w:val="2"/>
        <w:rPr>
          <w:b/>
          <w:bCs/>
        </w:rPr>
      </w:pPr>
      <w:bookmarkStart w:id="136" w:name="_Toc136269147"/>
      <w:bookmarkStart w:id="137" w:name="_Toc143865826"/>
      <w:r w:rsidRPr="00DE52BD">
        <w:rPr>
          <w:b/>
          <w:bCs/>
        </w:rPr>
        <w:t>Emergencia Sanitaria por COVID-19</w:t>
      </w:r>
      <w:bookmarkEnd w:id="136"/>
      <w:bookmarkEnd w:id="137"/>
    </w:p>
    <w:p w14:paraId="13F5ECFB" w14:textId="5E3E2BCE" w:rsidR="00DE52BD" w:rsidRPr="00DE52BD" w:rsidRDefault="00DE52BD" w:rsidP="00DE52BD">
      <w:pPr>
        <w:jc w:val="both"/>
      </w:pPr>
    </w:p>
    <w:p w14:paraId="7B6CCB55" w14:textId="0D176FD8" w:rsidR="00DE52BD" w:rsidRPr="00DE52BD" w:rsidRDefault="00DE52BD" w:rsidP="00DE52BD">
      <w:pPr>
        <w:jc w:val="both"/>
      </w:pPr>
      <w:r w:rsidRPr="00DE52BD">
        <w:t xml:space="preserve">Dentro del Decreto número 16-2021, Ley del Presupuesto General de Ingresos y Egresos del Estado para el Ejercicio Fiscal 2022 se establece en el artículo 23 una asignación de Q1,000 millones dentro del Ministerio de Salud Pública y Asistencia Social para la adquisición de vacunas contra el </w:t>
      </w:r>
      <w:r w:rsidRPr="00DC4EFB">
        <w:t>virus COVID-19</w:t>
      </w:r>
      <w:r w:rsidRPr="00DE52BD">
        <w:t xml:space="preserve"> y las que se requieran como consecuencia de la evolución del virus. Para ello el Ministerio de Salud Pública y Asistencia Social debería velar que las adquisiciones fueran a costos accesibles, de buena calidad, con plazos de expiración óptima y las condiciones más favorables para el Estado.  </w:t>
      </w:r>
    </w:p>
    <w:p w14:paraId="17C168C1" w14:textId="77777777" w:rsidR="00DE52BD" w:rsidRPr="00DE52BD" w:rsidRDefault="00DE52BD" w:rsidP="00DE52BD">
      <w:pPr>
        <w:jc w:val="both"/>
      </w:pPr>
    </w:p>
    <w:p w14:paraId="2D72A9F4" w14:textId="16A9040D" w:rsidR="00DE52BD" w:rsidRPr="00DE52BD" w:rsidRDefault="00DE52BD" w:rsidP="00DE52BD">
      <w:pPr>
        <w:jc w:val="both"/>
      </w:pPr>
      <w:r w:rsidRPr="00DE52BD">
        <w:t xml:space="preserve">En 2022 </w:t>
      </w:r>
      <w:r w:rsidRPr="00DC4EFB">
        <w:t>inició con un presupuesto de Q1,037.0 millones para la adquisición de la vacuna contra el COVID-19 y Q1,691.1 millones para servicios de prevención y tratamiento de COVID-19, siendo el presupuesto asignado para atender los efectos derivados de la pandemia de Q2,728.1 millones</w:t>
      </w:r>
      <w:r w:rsidRPr="00DE52BD">
        <w:t>.</w:t>
      </w:r>
      <w:r w:rsidR="00A9610D">
        <w:t xml:space="preserve"> </w:t>
      </w:r>
      <w:r w:rsidRPr="00DE52BD">
        <w:t>Sin embargo, en junio, por medio del Decreto 35-2022 se ratificó el Decreto gubernativo No. 03-2022</w:t>
      </w:r>
      <w:r w:rsidR="00A9610D">
        <w:t xml:space="preserve">, </w:t>
      </w:r>
      <w:r w:rsidR="00A9610D" w:rsidRPr="00DE52BD">
        <w:t>emitido por el Presidente de la República, en Consejo de Ministros</w:t>
      </w:r>
      <w:r w:rsidR="00A9610D">
        <w:t>,</w:t>
      </w:r>
      <w:r w:rsidRPr="00DE52BD">
        <w:t xml:space="preserve"> por medio del cual se declara Estado de Calamidad Pública en todo el territorio nacional por un plazo de 30 días como efecto de la época de lluvias, temporada ciclónica, sistemas de baja presión, entre otros. De esa cuenta, en el Decreto 36-2022, se decidió fortalecer el fondo emergente utilizando Q600 millones que estaban destinados para la compra de la </w:t>
      </w:r>
      <w:r w:rsidRPr="00DC4EFB">
        <w:t>vacuna COVID-19</w:t>
      </w:r>
      <w:r w:rsidR="00A9610D" w:rsidRPr="00DC4EFB">
        <w:t>,</w:t>
      </w:r>
      <w:r w:rsidR="00DC4EFB">
        <w:t xml:space="preserve"> </w:t>
      </w:r>
      <w:r w:rsidR="00A9610D">
        <w:t>p</w:t>
      </w:r>
      <w:r w:rsidRPr="00DE52BD">
        <w:t xml:space="preserve">or lo cual el presupuesto para la vacuna contra el </w:t>
      </w:r>
      <w:r w:rsidRPr="00DC4EFB">
        <w:t>COVID-19 experimentó una disminución. El Ministerio de Salud Pública y Asistencia Soc</w:t>
      </w:r>
      <w:r w:rsidRPr="00DE52BD">
        <w:t xml:space="preserve">ial es la única entidad que en 2022 mostró una variación interanual negativa, siendo de 4.5% (equivalente a Q511.3 millones), estando asociado justamente al programa 94 atención por desastres naturales y calamidades públicas, en el cual el ministerio reporta una ejecución menor en Q1,579.9 millones. </w:t>
      </w:r>
    </w:p>
    <w:p w14:paraId="22EED15B" w14:textId="77777777" w:rsidR="00DE52BD" w:rsidRPr="00DE52BD" w:rsidRDefault="00DE52BD" w:rsidP="00DE52BD">
      <w:pPr>
        <w:jc w:val="both"/>
      </w:pPr>
    </w:p>
    <w:p w14:paraId="12235A86" w14:textId="784B0CC8" w:rsidR="00DE52BD" w:rsidRDefault="00DE52BD" w:rsidP="00DE52BD">
      <w:pPr>
        <w:jc w:val="both"/>
      </w:pPr>
      <w:r w:rsidRPr="00DE52BD">
        <w:t xml:space="preserve">Es importante recordar que en 2021 las compras por la vacuna contra el </w:t>
      </w:r>
      <w:r w:rsidRPr="00DC4EFB">
        <w:t>COVID-19 fueron mayores, dado que fue el primer año que la población guatemalteca tuvo acceso a</w:t>
      </w:r>
      <w:r w:rsidRPr="00DE52BD">
        <w:t xml:space="preserve"> ellas, mientras que en 2022 las compras por este concepto disminuyeron a medida que la población vacunada contaba con las dosis de refuerzo y la demanda por una tercera o cuarta dosis fue menor.</w:t>
      </w:r>
    </w:p>
    <w:p w14:paraId="05BE32E8" w14:textId="77777777" w:rsidR="00E60EFC" w:rsidRDefault="00E60EFC" w:rsidP="00DE52BD">
      <w:pPr>
        <w:jc w:val="both"/>
      </w:pPr>
    </w:p>
    <w:p w14:paraId="4017BD42" w14:textId="00CC146A" w:rsidR="00DE52BD" w:rsidRPr="008A39B4" w:rsidRDefault="008A39B4" w:rsidP="008A39B4">
      <w:pPr>
        <w:pStyle w:val="Descripcin"/>
        <w:spacing w:after="0"/>
        <w:jc w:val="center"/>
        <w:rPr>
          <w:rFonts w:eastAsiaTheme="minorEastAsia"/>
          <w:b/>
          <w:bCs/>
          <w:i w:val="0"/>
          <w:iCs w:val="0"/>
          <w:color w:val="auto"/>
          <w:sz w:val="24"/>
          <w:szCs w:val="24"/>
          <w:lang w:eastAsia="en-US"/>
        </w:rPr>
      </w:pPr>
      <w:bookmarkStart w:id="138" w:name="_Toc143870727"/>
      <w:r w:rsidRPr="008A39B4">
        <w:rPr>
          <w:b/>
          <w:bCs/>
          <w:i w:val="0"/>
          <w:iCs w:val="0"/>
          <w:color w:val="auto"/>
          <w:sz w:val="24"/>
          <w:szCs w:val="24"/>
        </w:rPr>
        <w:t xml:space="preserve">Gráfico </w:t>
      </w:r>
      <w:r w:rsidRPr="008A39B4">
        <w:rPr>
          <w:b/>
          <w:bCs/>
          <w:i w:val="0"/>
          <w:iCs w:val="0"/>
          <w:color w:val="auto"/>
          <w:sz w:val="24"/>
          <w:szCs w:val="24"/>
        </w:rPr>
        <w:fldChar w:fldCharType="begin"/>
      </w:r>
      <w:r w:rsidRPr="008A39B4">
        <w:rPr>
          <w:b/>
          <w:bCs/>
          <w:i w:val="0"/>
          <w:iCs w:val="0"/>
          <w:color w:val="auto"/>
          <w:sz w:val="24"/>
          <w:szCs w:val="24"/>
        </w:rPr>
        <w:instrText xml:space="preserve"> SEQ Gráfico \* ARABIC </w:instrText>
      </w:r>
      <w:r w:rsidRPr="008A39B4">
        <w:rPr>
          <w:b/>
          <w:bCs/>
          <w:i w:val="0"/>
          <w:iCs w:val="0"/>
          <w:color w:val="auto"/>
          <w:sz w:val="24"/>
          <w:szCs w:val="24"/>
        </w:rPr>
        <w:fldChar w:fldCharType="separate"/>
      </w:r>
      <w:r w:rsidR="006622B2">
        <w:rPr>
          <w:b/>
          <w:bCs/>
          <w:i w:val="0"/>
          <w:iCs w:val="0"/>
          <w:noProof/>
          <w:color w:val="auto"/>
          <w:sz w:val="24"/>
          <w:szCs w:val="24"/>
        </w:rPr>
        <w:t>60</w:t>
      </w:r>
      <w:r w:rsidRPr="008A39B4">
        <w:rPr>
          <w:b/>
          <w:bCs/>
          <w:i w:val="0"/>
          <w:iCs w:val="0"/>
          <w:color w:val="auto"/>
          <w:sz w:val="24"/>
          <w:szCs w:val="24"/>
        </w:rPr>
        <w:fldChar w:fldCharType="end"/>
      </w:r>
      <w:r w:rsidRPr="008A39B4">
        <w:rPr>
          <w:b/>
          <w:bCs/>
          <w:i w:val="0"/>
          <w:iCs w:val="0"/>
          <w:color w:val="auto"/>
          <w:sz w:val="24"/>
          <w:szCs w:val="24"/>
        </w:rPr>
        <w:t xml:space="preserve">.  </w:t>
      </w:r>
      <w:r w:rsidRPr="008A39B4">
        <w:rPr>
          <w:rFonts w:eastAsiaTheme="minorEastAsia"/>
          <w:b/>
          <w:bCs/>
          <w:i w:val="0"/>
          <w:iCs w:val="0"/>
          <w:color w:val="auto"/>
          <w:sz w:val="24"/>
          <w:szCs w:val="24"/>
          <w:lang w:eastAsia="en-US"/>
        </w:rPr>
        <w:t>Presupuesto y ejecución de las intervenciones por COVID-19</w:t>
      </w:r>
      <w:bookmarkEnd w:id="138"/>
    </w:p>
    <w:p w14:paraId="40F56E83" w14:textId="62E301DF" w:rsidR="00DE52BD" w:rsidRPr="00E60EFC" w:rsidRDefault="00E60EFC" w:rsidP="00E60EFC">
      <w:pPr>
        <w:tabs>
          <w:tab w:val="left" w:pos="2127"/>
        </w:tabs>
        <w:spacing w:line="276" w:lineRule="auto"/>
        <w:contextualSpacing/>
        <w:jc w:val="center"/>
        <w:rPr>
          <w:rFonts w:eastAsiaTheme="minorEastAsia"/>
          <w:bCs/>
          <w:sz w:val="28"/>
          <w:lang w:eastAsia="en-US"/>
        </w:rPr>
      </w:pPr>
      <w:r>
        <w:rPr>
          <w:rFonts w:eastAsiaTheme="minorEastAsia"/>
          <w:bCs/>
          <w:noProof/>
          <w:lang w:eastAsia="en-US"/>
        </w:rPr>
        <w:drawing>
          <wp:anchor distT="0" distB="0" distL="114300" distR="114300" simplePos="0" relativeHeight="251685888" behindDoc="0" locked="0" layoutInCell="1" allowOverlap="1" wp14:anchorId="0DE45153" wp14:editId="12911518">
            <wp:simplePos x="0" y="0"/>
            <wp:positionH relativeFrom="column">
              <wp:posOffset>111760</wp:posOffset>
            </wp:positionH>
            <wp:positionV relativeFrom="paragraph">
              <wp:posOffset>222885</wp:posOffset>
            </wp:positionV>
            <wp:extent cx="5478780" cy="3200400"/>
            <wp:effectExtent l="0" t="0" r="7620" b="0"/>
            <wp:wrapSquare wrapText="bothSides"/>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page">
              <wp14:pctWidth>0</wp14:pctWidth>
            </wp14:sizeRelH>
            <wp14:sizeRelV relativeFrom="page">
              <wp14:pctHeight>0</wp14:pctHeight>
            </wp14:sizeRelV>
          </wp:anchor>
        </w:drawing>
      </w:r>
      <w:r w:rsidR="00DE52BD" w:rsidRPr="00FF3AE6">
        <w:rPr>
          <w:rFonts w:eastAsiaTheme="minorEastAsia"/>
          <w:bCs/>
          <w:lang w:eastAsia="en-US"/>
        </w:rPr>
        <w:t>Cifras en millones de quetzales</w:t>
      </w:r>
    </w:p>
    <w:p w14:paraId="229D76D3" w14:textId="77777777" w:rsidR="00DE52BD" w:rsidRPr="008C3120" w:rsidRDefault="00DE52BD" w:rsidP="00DE52BD">
      <w:pPr>
        <w:spacing w:line="276" w:lineRule="auto"/>
        <w:ind w:firstLine="720"/>
        <w:contextualSpacing/>
        <w:rPr>
          <w:sz w:val="18"/>
          <w:szCs w:val="18"/>
          <w:lang w:val="es-ES_tradnl" w:eastAsia="es-ES"/>
        </w:rPr>
      </w:pPr>
      <w:r w:rsidRPr="008C3120">
        <w:rPr>
          <w:sz w:val="18"/>
          <w:szCs w:val="18"/>
          <w:lang w:val="es-ES_tradnl" w:eastAsia="es-ES"/>
        </w:rPr>
        <w:t>Fuente: Dirección de Análisis y Política Fiscal</w:t>
      </w:r>
    </w:p>
    <w:p w14:paraId="6E54FD79" w14:textId="2FFE3876" w:rsidR="00DE52BD" w:rsidRDefault="00DE52BD" w:rsidP="00DE52BD">
      <w:pPr>
        <w:jc w:val="both"/>
        <w:rPr>
          <w:lang w:val="es-ES_tradnl"/>
        </w:rPr>
      </w:pPr>
    </w:p>
    <w:p w14:paraId="675E7EE1" w14:textId="19314DE5" w:rsidR="00DE52BD" w:rsidRDefault="00DE52BD" w:rsidP="00DE52BD">
      <w:pPr>
        <w:jc w:val="both"/>
        <w:rPr>
          <w:lang w:val="es-ES_tradnl"/>
        </w:rPr>
      </w:pPr>
      <w:r w:rsidRPr="00DE52BD">
        <w:rPr>
          <w:lang w:val="es-ES_tradnl"/>
        </w:rPr>
        <w:t xml:space="preserve">Durante el 2022, las intervenciones </w:t>
      </w:r>
      <w:r w:rsidRPr="00DC4EFB">
        <w:rPr>
          <w:lang w:val="es-ES_tradnl"/>
        </w:rPr>
        <w:t>por COVID-19 fueron</w:t>
      </w:r>
      <w:r w:rsidRPr="00DE52BD">
        <w:rPr>
          <w:lang w:val="es-ES_tradnl"/>
        </w:rPr>
        <w:t xml:space="preserve"> de Q1,404.9 millones, de las cuales Q1,401.5 millones corresponden al Ministerio de Salud Pública y Asistencia Social, mientras que el Ministerio de Desarrollo Social tuvo intervenciones por Q3.4 millones.</w:t>
      </w:r>
    </w:p>
    <w:p w14:paraId="13861187" w14:textId="195B1886" w:rsidR="00DE52BD" w:rsidRPr="00DE52BD" w:rsidRDefault="00DE52BD" w:rsidP="00DE52BD">
      <w:pPr>
        <w:jc w:val="both"/>
        <w:rPr>
          <w:b/>
          <w:bCs/>
          <w:lang w:val="es-ES_tradnl"/>
        </w:rPr>
      </w:pPr>
    </w:p>
    <w:p w14:paraId="56C89429" w14:textId="0230F23C" w:rsidR="00DE52BD" w:rsidRDefault="00DE52BD" w:rsidP="00531A1B">
      <w:pPr>
        <w:pStyle w:val="Prrafodelista"/>
        <w:numPr>
          <w:ilvl w:val="3"/>
          <w:numId w:val="3"/>
        </w:numPr>
        <w:ind w:left="1276"/>
        <w:jc w:val="both"/>
        <w:outlineLvl w:val="2"/>
        <w:rPr>
          <w:b/>
          <w:bCs/>
          <w:lang w:val="es-ES_tradnl"/>
        </w:rPr>
      </w:pPr>
      <w:bookmarkStart w:id="139" w:name="_Toc136269148"/>
      <w:bookmarkStart w:id="140" w:name="_Toc143865827"/>
      <w:r w:rsidRPr="00DE52BD">
        <w:rPr>
          <w:b/>
          <w:bCs/>
          <w:lang w:val="es-ES_tradnl"/>
        </w:rPr>
        <w:t>Intervenciones realizadas para la atención de los Estados de Calamidad Pública por lluvias</w:t>
      </w:r>
      <w:bookmarkEnd w:id="139"/>
      <w:bookmarkEnd w:id="140"/>
    </w:p>
    <w:p w14:paraId="2AC9A0E5" w14:textId="452E5C98" w:rsidR="00DE52BD" w:rsidRDefault="00DE52BD" w:rsidP="00DE52BD">
      <w:pPr>
        <w:rPr>
          <w:b/>
          <w:bCs/>
          <w:lang w:val="es-ES_tradnl"/>
        </w:rPr>
      </w:pPr>
    </w:p>
    <w:p w14:paraId="66A34953" w14:textId="77777777" w:rsidR="00DE52BD" w:rsidRPr="00DE52BD" w:rsidRDefault="00DE52BD" w:rsidP="00DE52BD">
      <w:pPr>
        <w:jc w:val="both"/>
        <w:rPr>
          <w:lang w:val="es-ES_tradnl"/>
        </w:rPr>
      </w:pPr>
      <w:r w:rsidRPr="00DE52BD">
        <w:rPr>
          <w:lang w:val="es-ES_tradnl"/>
        </w:rPr>
        <w:t xml:space="preserve">A finales de 2020, el país fue azotado por dos tormentas tropicales identificadas como ETA e IOTA, las cuales causaron significativos daños y pérdidas en el territorio nacional. </w:t>
      </w:r>
    </w:p>
    <w:p w14:paraId="2140DF07" w14:textId="77777777" w:rsidR="00DE52BD" w:rsidRPr="00DE52BD" w:rsidRDefault="00DE52BD" w:rsidP="00DE52BD">
      <w:pPr>
        <w:jc w:val="both"/>
        <w:rPr>
          <w:lang w:val="es-ES_tradnl"/>
        </w:rPr>
      </w:pPr>
    </w:p>
    <w:p w14:paraId="50B8DC45" w14:textId="77777777" w:rsidR="00DE52BD" w:rsidRPr="00DE52BD" w:rsidRDefault="00DE52BD" w:rsidP="00DE52BD">
      <w:pPr>
        <w:jc w:val="both"/>
        <w:rPr>
          <w:lang w:val="es-ES_tradnl"/>
        </w:rPr>
      </w:pPr>
      <w:r w:rsidRPr="00DE52BD">
        <w:rPr>
          <w:lang w:val="es-ES_tradnl"/>
        </w:rPr>
        <w:t xml:space="preserve">Derivado de ello, el gobierno creo el subprograma 11 “Estado de Calamidad Pública por Depresión Tropical ETA”, el cual lleva registro de las intervenciones realizadas para la atención de daños provocados por la depresión tropical, este se encuentra bajo el programa 94 “Atención por Desastres Naturales y Calamidades Públicas”. </w:t>
      </w:r>
    </w:p>
    <w:p w14:paraId="5EE71CE7" w14:textId="77777777" w:rsidR="00DE52BD" w:rsidRPr="00DE52BD" w:rsidRDefault="00DE52BD" w:rsidP="00DE52BD">
      <w:pPr>
        <w:jc w:val="both"/>
        <w:rPr>
          <w:lang w:val="es-ES_tradnl"/>
        </w:rPr>
      </w:pPr>
    </w:p>
    <w:p w14:paraId="634CC1F4" w14:textId="6D0D14E0" w:rsidR="00DE52BD" w:rsidRPr="00DE52BD" w:rsidRDefault="00DE52BD" w:rsidP="00DE52BD">
      <w:pPr>
        <w:jc w:val="both"/>
        <w:rPr>
          <w:lang w:val="es-ES_tradnl"/>
        </w:rPr>
      </w:pPr>
      <w:r w:rsidRPr="00DE52BD">
        <w:rPr>
          <w:lang w:val="es-ES_tradnl"/>
        </w:rPr>
        <w:t xml:space="preserve">Para 2022 se le asignó un presupuesto de Q565.0 millones, para la atención de la emergencia provocada por la depresión tropical, con una ejecución de Q550.6 millones al final del ejercicio, siendo equivalente a un grado de ejecución de 97.5%. El Ministerio de Comunicaciones, Infraestructura y Vivienda concentra todas las intervenciones de este subprograma, centradas en la atención de daños, el remozamiento de edificios públicos y familias beneficiadas con subsidios para la construcción de vivienda por atención a los daños ocasionados. </w:t>
      </w:r>
    </w:p>
    <w:p w14:paraId="12B98708" w14:textId="77777777" w:rsidR="00DE52BD" w:rsidRPr="00DE52BD" w:rsidRDefault="00DE52BD" w:rsidP="00DE52BD">
      <w:pPr>
        <w:jc w:val="both"/>
        <w:rPr>
          <w:lang w:val="es-ES_tradnl"/>
        </w:rPr>
      </w:pPr>
    </w:p>
    <w:p w14:paraId="727E0C21" w14:textId="16FB67C2" w:rsidR="00DE52BD" w:rsidRPr="00DE52BD" w:rsidRDefault="00DE52BD" w:rsidP="00DE52BD">
      <w:pPr>
        <w:jc w:val="both"/>
        <w:rPr>
          <w:lang w:val="es-ES_tradnl"/>
        </w:rPr>
      </w:pPr>
      <w:r w:rsidRPr="00DE52BD">
        <w:rPr>
          <w:lang w:val="es-ES_tradnl"/>
        </w:rPr>
        <w:t>A partir de junio, según información del INSIVUMEH</w:t>
      </w:r>
      <w:r w:rsidR="00A9610D">
        <w:rPr>
          <w:lang w:val="es-ES_tradnl"/>
        </w:rPr>
        <w:t>,</w:t>
      </w:r>
      <w:r w:rsidRPr="00DE52BD">
        <w:rPr>
          <w:lang w:val="es-ES_tradnl"/>
        </w:rPr>
        <w:t xml:space="preserve"> inició la </w:t>
      </w:r>
      <w:r w:rsidR="00A9610D">
        <w:rPr>
          <w:lang w:val="es-ES_tradnl"/>
        </w:rPr>
        <w:t>t</w:t>
      </w:r>
      <w:r w:rsidRPr="00DE52BD">
        <w:rPr>
          <w:lang w:val="es-ES_tradnl"/>
        </w:rPr>
        <w:t xml:space="preserve">emporada </w:t>
      </w:r>
      <w:r w:rsidR="00A9610D">
        <w:rPr>
          <w:lang w:val="es-ES_tradnl"/>
        </w:rPr>
        <w:t>c</w:t>
      </w:r>
      <w:r w:rsidRPr="00DE52BD">
        <w:rPr>
          <w:lang w:val="es-ES_tradnl"/>
        </w:rPr>
        <w:t>iclónica en el océano Atlántico, además continuó el fenómeno de La Niña, lo cual intensificó las lluvias en el territorio nacional. La tormenta tropical Blas fue el segundo ciclón de la temporada, provocando lluvias intensas sobre algunas regiones de Centroamérica, incluida Guatemala. Asimismo, en junio se registró la mayor precipitación fluvial en el año, lo que provocó incidentes a nivel nacional, entre los más relevantes reportados se puede</w:t>
      </w:r>
      <w:r w:rsidR="00A9610D">
        <w:rPr>
          <w:lang w:val="es-ES_tradnl"/>
        </w:rPr>
        <w:t>n</w:t>
      </w:r>
      <w:r w:rsidRPr="00DE52BD">
        <w:rPr>
          <w:lang w:val="es-ES_tradnl"/>
        </w:rPr>
        <w:t xml:space="preserve"> mencionar los daños provocados por deslizamientos y derrumbes, siendo uno de los más grandes en proporciones el derrumbe del kilómetro 24 de la ruta Interamericana. Además, se vieron afectados varios departamentos por inundaciones, colapsos estructurales y hundimientos en carreteras, siendo el hundimiento en la carretera kilómetro 15 en el Municipio de Villa Nueva el más representativo, derivado que es una de las principales arterias viales del país.</w:t>
      </w:r>
    </w:p>
    <w:p w14:paraId="68A4401A" w14:textId="77777777" w:rsidR="00DE52BD" w:rsidRPr="00DE52BD" w:rsidRDefault="00DE52BD" w:rsidP="00DE52BD">
      <w:pPr>
        <w:jc w:val="both"/>
        <w:rPr>
          <w:lang w:val="es-ES_tradnl"/>
        </w:rPr>
      </w:pPr>
    </w:p>
    <w:p w14:paraId="7F178E53" w14:textId="3E9504BC" w:rsidR="00DE52BD" w:rsidRPr="00DE52BD" w:rsidRDefault="00A9610D" w:rsidP="00DE52BD">
      <w:pPr>
        <w:jc w:val="both"/>
        <w:rPr>
          <w:lang w:val="es-ES_tradnl"/>
        </w:rPr>
      </w:pPr>
      <w:r>
        <w:rPr>
          <w:lang w:val="es-ES_tradnl"/>
        </w:rPr>
        <w:t>Por</w:t>
      </w:r>
      <w:r w:rsidR="00DE52BD" w:rsidRPr="00DE52BD">
        <w:rPr>
          <w:lang w:val="es-ES_tradnl"/>
        </w:rPr>
        <w:t xml:space="preserve"> lo anterior, </w:t>
      </w:r>
      <w:r>
        <w:rPr>
          <w:lang w:val="es-ES_tradnl"/>
        </w:rPr>
        <w:t xml:space="preserve">mediante </w:t>
      </w:r>
      <w:r w:rsidR="00DE52BD" w:rsidRPr="00DE52BD">
        <w:rPr>
          <w:lang w:val="es-ES_tradnl"/>
        </w:rPr>
        <w:t>el Decreto número 35-2022 se ratificó el decreto gubernativo 03-2022 por medio del cual se declara Estado de Calamidad Pública en todo el territorio nacional por un plazo de 30 días, emitido por el Presidente de la República en Consejo de Ministros.</w:t>
      </w:r>
      <w:r>
        <w:rPr>
          <w:lang w:val="es-ES_tradnl"/>
        </w:rPr>
        <w:t xml:space="preserve"> </w:t>
      </w:r>
      <w:r w:rsidR="00DE52BD" w:rsidRPr="00DE52BD">
        <w:rPr>
          <w:lang w:val="es-ES_tradnl"/>
        </w:rPr>
        <w:t>Seguidamente fue emitido el Decreto número 36-2022, el cual contiene reformas a la Ley de Presupuesto y al Decreto 21-2022</w:t>
      </w:r>
      <w:r>
        <w:rPr>
          <w:lang w:val="es-ES_tradnl"/>
        </w:rPr>
        <w:t>,</w:t>
      </w:r>
      <w:r w:rsidR="00DE52BD" w:rsidRPr="00DE52BD">
        <w:rPr>
          <w:lang w:val="es-ES_tradnl"/>
        </w:rPr>
        <w:t xml:space="preserve"> Ley para fortalecer el mantenimiento y construcción de Infraestructura Estratégica, buscando así fortalecer el fondo emergente con Q600 millones que el Ministerio de Salud Pública puso a disposición</w:t>
      </w:r>
      <w:r>
        <w:rPr>
          <w:lang w:val="es-ES_tradnl"/>
        </w:rPr>
        <w:t>,</w:t>
      </w:r>
      <w:r w:rsidRPr="00DE52BD">
        <w:rPr>
          <w:lang w:val="es-ES_tradnl"/>
        </w:rPr>
        <w:t xml:space="preserve"> </w:t>
      </w:r>
      <w:r w:rsidR="00DE52BD" w:rsidRPr="00DE52BD">
        <w:rPr>
          <w:lang w:val="es-ES_tradnl"/>
        </w:rPr>
        <w:t xml:space="preserve">correspondiente a la adquisición de vacunas contra el virus </w:t>
      </w:r>
      <w:r w:rsidR="00DE52BD" w:rsidRPr="00DC4EFB">
        <w:rPr>
          <w:lang w:val="es-ES_tradnl"/>
        </w:rPr>
        <w:t>COVID-19</w:t>
      </w:r>
      <w:r w:rsidR="00DC4EFB">
        <w:rPr>
          <w:lang w:val="es-ES_tradnl"/>
        </w:rPr>
        <w:t xml:space="preserve"> y Q400 millones que</w:t>
      </w:r>
      <w:r>
        <w:rPr>
          <w:lang w:val="es-ES_tradnl"/>
        </w:rPr>
        <w:t xml:space="preserve"> fueron puestos a disposición por parte del </w:t>
      </w:r>
      <w:r w:rsidR="00DE52BD" w:rsidRPr="00DE52BD">
        <w:rPr>
          <w:lang w:val="es-ES_tradnl"/>
        </w:rPr>
        <w:t xml:space="preserve">Ministerio de Comunicaciones, Infraestructura y Vivienda </w:t>
      </w:r>
      <w:r>
        <w:rPr>
          <w:lang w:val="es-ES_tradnl"/>
        </w:rPr>
        <w:t xml:space="preserve">y provenían del rubro de </w:t>
      </w:r>
      <w:r w:rsidR="00DE52BD" w:rsidRPr="00DE52BD">
        <w:rPr>
          <w:lang w:val="es-ES_tradnl"/>
        </w:rPr>
        <w:t xml:space="preserve">infraestructura estratégica. </w:t>
      </w:r>
    </w:p>
    <w:p w14:paraId="45BC10EB" w14:textId="77777777" w:rsidR="00DE52BD" w:rsidRPr="00DE52BD" w:rsidRDefault="00DE52BD" w:rsidP="00DE52BD">
      <w:pPr>
        <w:jc w:val="both"/>
        <w:rPr>
          <w:lang w:val="es-ES_tradnl"/>
        </w:rPr>
      </w:pPr>
    </w:p>
    <w:p w14:paraId="5AE1F07F" w14:textId="1A858AA9" w:rsidR="00DE52BD" w:rsidRPr="00DE52BD" w:rsidRDefault="00DE52BD" w:rsidP="00DE52BD">
      <w:pPr>
        <w:jc w:val="both"/>
        <w:rPr>
          <w:lang w:val="es-ES_tradnl"/>
        </w:rPr>
      </w:pPr>
      <w:r w:rsidRPr="00DE52BD">
        <w:rPr>
          <w:lang w:val="es-ES_tradnl"/>
        </w:rPr>
        <w:t>Se creó el subprograma 14 “Estado de Calamidad Pública por época lluviosa, temporada ciclónica y sistemas de baja presión” el cual cont</w:t>
      </w:r>
      <w:r w:rsidR="00A9610D">
        <w:rPr>
          <w:lang w:val="es-ES_tradnl"/>
        </w:rPr>
        <w:t>ó</w:t>
      </w:r>
      <w:r w:rsidRPr="00DE52BD">
        <w:rPr>
          <w:lang w:val="es-ES_tradnl"/>
        </w:rPr>
        <w:t xml:space="preserve"> con un presupuesto de Q960 millones</w:t>
      </w:r>
      <w:r w:rsidR="00A9610D">
        <w:rPr>
          <w:lang w:val="es-ES_tradnl"/>
        </w:rPr>
        <w:t>.  L</w:t>
      </w:r>
      <w:r w:rsidRPr="00DE52BD">
        <w:rPr>
          <w:lang w:val="es-ES_tradnl"/>
        </w:rPr>
        <w:t xml:space="preserve">a entidad que tuvo mayor asignación de recursos fue el Ministerio de Comunicaciones, Infraestructura y Vivienda con Q752.9 millones y una ejecución de Q716.5 millones, siendo destinados al mantenimiento y la reparación de infraestructura vial, mantenimiento y reparación de edificios, reposición de puentes, entre otras. </w:t>
      </w:r>
    </w:p>
    <w:p w14:paraId="28D40BE9" w14:textId="77777777" w:rsidR="00DE52BD" w:rsidRPr="00DE52BD" w:rsidRDefault="00DE52BD" w:rsidP="00DE52BD">
      <w:pPr>
        <w:jc w:val="both"/>
        <w:rPr>
          <w:lang w:val="es-ES_tradnl"/>
        </w:rPr>
      </w:pPr>
    </w:p>
    <w:p w14:paraId="69D99FF7" w14:textId="77777777" w:rsidR="00DE52BD" w:rsidRPr="00DE52BD" w:rsidRDefault="00DE52BD" w:rsidP="00DE52BD">
      <w:pPr>
        <w:jc w:val="both"/>
        <w:rPr>
          <w:lang w:val="es-ES_tradnl"/>
        </w:rPr>
      </w:pPr>
      <w:r w:rsidRPr="00DE52BD">
        <w:rPr>
          <w:lang w:val="es-ES_tradnl"/>
        </w:rPr>
        <w:t xml:space="preserve">Por su parte, al Ministerio de la Defensa Nacional se le asignaron Q139.3 millones, los cuales fueron ejecutados en su totalidad y responden a la adquisición de puentes de emergencias, los cuales cuentan con especificaciones militares, para la misión y desarrollo de las funciones del cuerpo de ingenieros del ejército. </w:t>
      </w:r>
    </w:p>
    <w:p w14:paraId="5CDABB05" w14:textId="77777777" w:rsidR="00DE52BD" w:rsidRPr="00DE52BD" w:rsidRDefault="00DE52BD" w:rsidP="00DE52BD">
      <w:pPr>
        <w:jc w:val="both"/>
        <w:rPr>
          <w:lang w:val="es-ES_tradnl"/>
        </w:rPr>
      </w:pPr>
    </w:p>
    <w:p w14:paraId="4E45850F" w14:textId="77777777" w:rsidR="00DE52BD" w:rsidRPr="00DE52BD" w:rsidRDefault="00DE52BD" w:rsidP="00DE52BD">
      <w:pPr>
        <w:jc w:val="both"/>
        <w:rPr>
          <w:lang w:val="es-ES_tradnl"/>
        </w:rPr>
      </w:pPr>
      <w:r w:rsidRPr="00DE52BD">
        <w:rPr>
          <w:lang w:val="es-ES_tradnl"/>
        </w:rPr>
        <w:t xml:space="preserve">Asimismo, el Ministerio de Desarrollo Social reportó una ejecución de Q54.7 millones, los cuales correspondieron a alimento para personas, estructuras metálicas y otros. El resto de entidades en su conjunto tuvieron intervenciones por Q13.0 millones. </w:t>
      </w:r>
    </w:p>
    <w:p w14:paraId="5C0E6CE9" w14:textId="77777777" w:rsidR="00DE52BD" w:rsidRPr="00DE52BD" w:rsidRDefault="00DE52BD" w:rsidP="00DE52BD">
      <w:pPr>
        <w:jc w:val="both"/>
        <w:rPr>
          <w:lang w:val="es-ES_tradnl"/>
        </w:rPr>
      </w:pPr>
    </w:p>
    <w:p w14:paraId="30750608" w14:textId="77777777" w:rsidR="00DE52BD" w:rsidRPr="00DE52BD" w:rsidRDefault="00DE52BD" w:rsidP="00DE52BD">
      <w:pPr>
        <w:jc w:val="both"/>
        <w:rPr>
          <w:lang w:val="es-ES_tradnl"/>
        </w:rPr>
      </w:pPr>
      <w:r w:rsidRPr="00DE52BD">
        <w:rPr>
          <w:lang w:val="es-ES_tradnl"/>
        </w:rPr>
        <w:t>En octubre, por medio del Decreto número 50-2022, se ratificó el Decreto Gubernativo número 5-2022, por medio del cual se declara Estado de Calamidad Pública en todo el territorio de la República de Guatemala por un plazo de 30 días, debido a que la época lluviosa y el ciclón tropical Julia provocaron muchas lluvias y saturación de suelos, ocasionando daños en toda la República, afectando a la población, sus viviendas, medios de comunicación, infraestructura vial, así como la salud y seguridad alimentaria.</w:t>
      </w:r>
    </w:p>
    <w:p w14:paraId="14751D27" w14:textId="77777777" w:rsidR="00DE52BD" w:rsidRPr="00DE52BD" w:rsidRDefault="00DE52BD" w:rsidP="00DE52BD">
      <w:pPr>
        <w:jc w:val="both"/>
        <w:rPr>
          <w:lang w:val="es-ES_tradnl"/>
        </w:rPr>
      </w:pPr>
    </w:p>
    <w:p w14:paraId="6BEC1624" w14:textId="77777777" w:rsidR="00DE52BD" w:rsidRPr="00DE52BD" w:rsidRDefault="00DE52BD" w:rsidP="00DE52BD">
      <w:pPr>
        <w:jc w:val="both"/>
        <w:rPr>
          <w:lang w:val="es-ES_tradnl"/>
        </w:rPr>
      </w:pPr>
      <w:r w:rsidRPr="00DE52BD">
        <w:rPr>
          <w:lang w:val="es-ES_tradnl"/>
        </w:rPr>
        <w:t xml:space="preserve">Con el objeto de fortalecer la conformación del Fondo Emergente, se pusieron a disposición del Fondo Emergente un monto de Q540 millones de los recursos asignados al Ministerio de Comunicaciones, Infraestructura y Vivienda correspondientes a fortalecer el mantenimiento y construcción de infraestructura estratégica. </w:t>
      </w:r>
    </w:p>
    <w:p w14:paraId="5B1A4D07" w14:textId="77777777" w:rsidR="00DE52BD" w:rsidRPr="00DE52BD" w:rsidRDefault="00DE52BD" w:rsidP="00DE52BD">
      <w:pPr>
        <w:jc w:val="both"/>
        <w:rPr>
          <w:lang w:val="es-ES_tradnl"/>
        </w:rPr>
      </w:pPr>
    </w:p>
    <w:p w14:paraId="1B09D964" w14:textId="77777777" w:rsidR="00DE52BD" w:rsidRPr="00DE52BD" w:rsidRDefault="00DE52BD" w:rsidP="00DE52BD">
      <w:pPr>
        <w:jc w:val="both"/>
        <w:rPr>
          <w:lang w:val="es-ES_tradnl"/>
        </w:rPr>
      </w:pPr>
      <w:r w:rsidRPr="00DE52BD">
        <w:rPr>
          <w:lang w:val="es-ES_tradnl"/>
        </w:rPr>
        <w:t xml:space="preserve">Asimismo, para el seguimiento de las intervenciones se creó el subprograma 15 “Estado de Calamidad Pública por los efectos de la época lluviosa y el ciclón tropical Julia”, con un presupuesto de Q779.5 millones y una ejecución de Q733.2 millones, siendo el Ministerio de Comunicaciones la entidad con mayor intervención, correspondiente al mantenimiento y reparación de carreteras, puentes, edificios, entre otros, con Q624.9 millones. </w:t>
      </w:r>
    </w:p>
    <w:p w14:paraId="63E58E9E" w14:textId="77777777" w:rsidR="00DE52BD" w:rsidRPr="00DE52BD" w:rsidRDefault="00DE52BD" w:rsidP="00DE52BD">
      <w:pPr>
        <w:jc w:val="both"/>
        <w:rPr>
          <w:lang w:val="es-ES_tradnl"/>
        </w:rPr>
      </w:pPr>
    </w:p>
    <w:p w14:paraId="789D3390" w14:textId="77777777" w:rsidR="00DE52BD" w:rsidRPr="00DE52BD" w:rsidRDefault="00DE52BD" w:rsidP="00DE52BD">
      <w:pPr>
        <w:jc w:val="both"/>
        <w:rPr>
          <w:lang w:val="es-ES_tradnl"/>
        </w:rPr>
      </w:pPr>
      <w:r w:rsidRPr="00DE52BD">
        <w:rPr>
          <w:lang w:val="es-ES_tradnl"/>
        </w:rPr>
        <w:t xml:space="preserve">Seguidamente, el Ministerio de Agricultura tuvo una ejecución de Q46.0 millones que corresponden a agricultores que fueron beneficiados con estipendios y capacitación para la restauración de suelos. Mientras que el Ministerio de Desarrollo Social reporto intervenciones por Q39.1 millones que correspondieron a alimentos para personas y estructuras metálicas acabadas. Por último, el resto de entidades, reportó una ejecución de Q23.3 millones. </w:t>
      </w:r>
    </w:p>
    <w:p w14:paraId="41D0184B" w14:textId="77777777" w:rsidR="00DE52BD" w:rsidRPr="00DE52BD" w:rsidRDefault="00DE52BD" w:rsidP="00DE52BD">
      <w:pPr>
        <w:jc w:val="both"/>
        <w:rPr>
          <w:lang w:val="es-ES_tradnl"/>
        </w:rPr>
      </w:pPr>
    </w:p>
    <w:p w14:paraId="1EA30126" w14:textId="02A2EA21" w:rsidR="00DE52BD" w:rsidRDefault="00DE52BD" w:rsidP="00DE52BD">
      <w:pPr>
        <w:jc w:val="both"/>
        <w:rPr>
          <w:lang w:val="es-ES_tradnl"/>
        </w:rPr>
      </w:pPr>
      <w:r w:rsidRPr="00DE52BD">
        <w:rPr>
          <w:lang w:val="es-ES_tradnl"/>
        </w:rPr>
        <w:t>Entre los tres subprogramas que fueron creados para la atención de los Estados de Calamidad por la depresión tropical ETA, ciclón tropical Julia y por la época lluviosa y sistemas de baja presión, se tuvo una ejecución de Q2,207.1 millones, con un nivel de 95.8%.</w:t>
      </w:r>
    </w:p>
    <w:p w14:paraId="3EFCB52D" w14:textId="6E8E5292" w:rsidR="007145AB" w:rsidRDefault="007145AB" w:rsidP="00DE52BD">
      <w:pPr>
        <w:jc w:val="both"/>
        <w:rPr>
          <w:lang w:val="es-ES_tradnl"/>
        </w:rPr>
      </w:pPr>
    </w:p>
    <w:p w14:paraId="6502A552" w14:textId="318D256A" w:rsidR="00CA7052" w:rsidRDefault="00CA7052" w:rsidP="00DE52BD">
      <w:pPr>
        <w:jc w:val="both"/>
        <w:rPr>
          <w:lang w:val="es-ES_tradnl"/>
        </w:rPr>
      </w:pPr>
    </w:p>
    <w:p w14:paraId="0EE11932" w14:textId="212B5FCC" w:rsidR="00CA7052" w:rsidRDefault="00CA7052" w:rsidP="00DE52BD">
      <w:pPr>
        <w:jc w:val="both"/>
        <w:rPr>
          <w:lang w:val="es-ES_tradnl"/>
        </w:rPr>
      </w:pPr>
    </w:p>
    <w:p w14:paraId="1806D52D" w14:textId="20BAF899" w:rsidR="00CA7052" w:rsidRDefault="00CA7052" w:rsidP="00DE52BD">
      <w:pPr>
        <w:jc w:val="both"/>
        <w:rPr>
          <w:lang w:val="es-ES_tradnl"/>
        </w:rPr>
      </w:pPr>
    </w:p>
    <w:p w14:paraId="3FDFC126" w14:textId="7DAE66CA" w:rsidR="00CA7052" w:rsidRDefault="00CA7052" w:rsidP="00DE52BD">
      <w:pPr>
        <w:jc w:val="both"/>
        <w:rPr>
          <w:lang w:val="es-ES_tradnl"/>
        </w:rPr>
      </w:pPr>
    </w:p>
    <w:p w14:paraId="26AA48CC" w14:textId="77777777" w:rsidR="00CA7052" w:rsidRDefault="00CA7052" w:rsidP="00DE52BD">
      <w:pPr>
        <w:jc w:val="both"/>
        <w:rPr>
          <w:lang w:val="es-ES_tradnl"/>
        </w:rPr>
      </w:pPr>
    </w:p>
    <w:p w14:paraId="4B0FF536" w14:textId="456D3990" w:rsidR="007145AB" w:rsidRPr="008A39B4" w:rsidRDefault="008A39B4" w:rsidP="008A39B4">
      <w:pPr>
        <w:pStyle w:val="Descripcin"/>
        <w:keepNext/>
        <w:spacing w:after="0"/>
        <w:jc w:val="center"/>
        <w:rPr>
          <w:b/>
          <w:bCs/>
          <w:i w:val="0"/>
          <w:iCs w:val="0"/>
          <w:color w:val="auto"/>
          <w:sz w:val="24"/>
          <w:szCs w:val="24"/>
        </w:rPr>
      </w:pPr>
      <w:bookmarkStart w:id="141" w:name="_Toc125534811"/>
      <w:bookmarkStart w:id="142" w:name="_Toc143871217"/>
      <w:r w:rsidRPr="008A39B4">
        <w:rPr>
          <w:b/>
          <w:bCs/>
          <w:i w:val="0"/>
          <w:iCs w:val="0"/>
          <w:color w:val="auto"/>
          <w:sz w:val="24"/>
          <w:szCs w:val="24"/>
        </w:rPr>
        <w:t xml:space="preserve">Tabla </w:t>
      </w:r>
      <w:r w:rsidRPr="008A39B4">
        <w:rPr>
          <w:b/>
          <w:bCs/>
          <w:i w:val="0"/>
          <w:iCs w:val="0"/>
          <w:color w:val="auto"/>
          <w:sz w:val="24"/>
          <w:szCs w:val="24"/>
        </w:rPr>
        <w:fldChar w:fldCharType="begin"/>
      </w:r>
      <w:r w:rsidRPr="008A39B4">
        <w:rPr>
          <w:b/>
          <w:bCs/>
          <w:i w:val="0"/>
          <w:iCs w:val="0"/>
          <w:color w:val="auto"/>
          <w:sz w:val="24"/>
          <w:szCs w:val="24"/>
        </w:rPr>
        <w:instrText xml:space="preserve"> SEQ Tabla \* ARABIC </w:instrText>
      </w:r>
      <w:r w:rsidRPr="008A39B4">
        <w:rPr>
          <w:b/>
          <w:bCs/>
          <w:i w:val="0"/>
          <w:iCs w:val="0"/>
          <w:color w:val="auto"/>
          <w:sz w:val="24"/>
          <w:szCs w:val="24"/>
        </w:rPr>
        <w:fldChar w:fldCharType="separate"/>
      </w:r>
      <w:r w:rsidR="006622B2">
        <w:rPr>
          <w:b/>
          <w:bCs/>
          <w:i w:val="0"/>
          <w:iCs w:val="0"/>
          <w:noProof/>
          <w:color w:val="auto"/>
          <w:sz w:val="24"/>
          <w:szCs w:val="24"/>
        </w:rPr>
        <w:t>10</w:t>
      </w:r>
      <w:r w:rsidRPr="008A39B4">
        <w:rPr>
          <w:b/>
          <w:bCs/>
          <w:i w:val="0"/>
          <w:iCs w:val="0"/>
          <w:color w:val="auto"/>
          <w:sz w:val="24"/>
          <w:szCs w:val="24"/>
        </w:rPr>
        <w:fldChar w:fldCharType="end"/>
      </w:r>
      <w:r w:rsidRPr="008A39B4">
        <w:rPr>
          <w:b/>
          <w:bCs/>
          <w:i w:val="0"/>
          <w:iCs w:val="0"/>
          <w:color w:val="auto"/>
          <w:sz w:val="24"/>
          <w:szCs w:val="24"/>
        </w:rPr>
        <w:t xml:space="preserve">.  </w:t>
      </w:r>
      <w:r w:rsidR="007145AB" w:rsidRPr="008A39B4">
        <w:rPr>
          <w:b/>
          <w:bCs/>
          <w:i w:val="0"/>
          <w:iCs w:val="0"/>
          <w:color w:val="auto"/>
          <w:sz w:val="24"/>
          <w:szCs w:val="24"/>
          <w:lang w:val="es-ES_tradnl" w:eastAsia="es-ES"/>
        </w:rPr>
        <w:t xml:space="preserve">Seguimiento de </w:t>
      </w:r>
      <w:r w:rsidR="00D31CC8">
        <w:rPr>
          <w:b/>
          <w:bCs/>
          <w:i w:val="0"/>
          <w:iCs w:val="0"/>
          <w:color w:val="auto"/>
          <w:sz w:val="24"/>
          <w:szCs w:val="24"/>
          <w:lang w:val="es-ES_tradnl" w:eastAsia="es-ES"/>
        </w:rPr>
        <w:t>p</w:t>
      </w:r>
      <w:r w:rsidR="007145AB" w:rsidRPr="008A39B4">
        <w:rPr>
          <w:b/>
          <w:bCs/>
          <w:i w:val="0"/>
          <w:iCs w:val="0"/>
          <w:color w:val="auto"/>
          <w:sz w:val="24"/>
          <w:szCs w:val="24"/>
          <w:lang w:val="es-ES_tradnl" w:eastAsia="es-ES"/>
        </w:rPr>
        <w:t xml:space="preserve">rogramas en atención a las declaratorias de </w:t>
      </w:r>
      <w:r w:rsidR="00D31CC8">
        <w:rPr>
          <w:b/>
          <w:bCs/>
          <w:i w:val="0"/>
          <w:iCs w:val="0"/>
          <w:color w:val="auto"/>
          <w:sz w:val="24"/>
          <w:szCs w:val="24"/>
          <w:lang w:val="es-ES_tradnl" w:eastAsia="es-ES"/>
        </w:rPr>
        <w:t>e</w:t>
      </w:r>
      <w:r w:rsidR="007145AB" w:rsidRPr="008A39B4">
        <w:rPr>
          <w:b/>
          <w:bCs/>
          <w:i w:val="0"/>
          <w:iCs w:val="0"/>
          <w:color w:val="auto"/>
          <w:sz w:val="24"/>
          <w:szCs w:val="24"/>
          <w:lang w:val="es-ES_tradnl" w:eastAsia="es-ES"/>
        </w:rPr>
        <w:t xml:space="preserve">stados de </w:t>
      </w:r>
      <w:r w:rsidR="00D31CC8">
        <w:rPr>
          <w:b/>
          <w:bCs/>
          <w:i w:val="0"/>
          <w:iCs w:val="0"/>
          <w:color w:val="auto"/>
          <w:sz w:val="24"/>
          <w:szCs w:val="24"/>
          <w:lang w:val="es-ES_tradnl" w:eastAsia="es-ES"/>
        </w:rPr>
        <w:t>c</w:t>
      </w:r>
      <w:r w:rsidR="007145AB" w:rsidRPr="008A39B4">
        <w:rPr>
          <w:b/>
          <w:bCs/>
          <w:i w:val="0"/>
          <w:iCs w:val="0"/>
          <w:color w:val="auto"/>
          <w:sz w:val="24"/>
          <w:szCs w:val="24"/>
          <w:lang w:val="es-ES_tradnl" w:eastAsia="es-ES"/>
        </w:rPr>
        <w:t>alamidad</w:t>
      </w:r>
      <w:bookmarkEnd w:id="141"/>
      <w:bookmarkEnd w:id="142"/>
    </w:p>
    <w:p w14:paraId="3E3EFD06" w14:textId="77777777" w:rsidR="007145AB" w:rsidRPr="004A66F0" w:rsidRDefault="007145AB" w:rsidP="007145AB">
      <w:pPr>
        <w:spacing w:line="276" w:lineRule="auto"/>
        <w:contextualSpacing/>
        <w:jc w:val="center"/>
        <w:rPr>
          <w:sz w:val="20"/>
          <w:lang w:val="es-ES_tradnl" w:eastAsia="es-ES"/>
        </w:rPr>
      </w:pPr>
      <w:r w:rsidRPr="004A66F0">
        <w:rPr>
          <w:sz w:val="20"/>
          <w:lang w:val="es-ES_tradnl" w:eastAsia="es-ES"/>
        </w:rPr>
        <w:t xml:space="preserve">Millones de quetzales y porcentajes </w:t>
      </w:r>
    </w:p>
    <w:tbl>
      <w:tblPr>
        <w:tblW w:w="8980" w:type="dxa"/>
        <w:tblInd w:w="-10" w:type="dxa"/>
        <w:tblCellMar>
          <w:left w:w="70" w:type="dxa"/>
          <w:right w:w="70" w:type="dxa"/>
        </w:tblCellMar>
        <w:tblLook w:val="04A0" w:firstRow="1" w:lastRow="0" w:firstColumn="1" w:lastColumn="0" w:noHBand="0" w:noVBand="1"/>
      </w:tblPr>
      <w:tblGrid>
        <w:gridCol w:w="5954"/>
        <w:gridCol w:w="1134"/>
        <w:gridCol w:w="992"/>
        <w:gridCol w:w="900"/>
      </w:tblGrid>
      <w:tr w:rsidR="007145AB" w:rsidRPr="004A66F0" w14:paraId="6CFBF23E" w14:textId="77777777" w:rsidTr="00E60EFC">
        <w:trPr>
          <w:trHeight w:val="229"/>
        </w:trPr>
        <w:tc>
          <w:tcPr>
            <w:tcW w:w="5954" w:type="dxa"/>
            <w:vMerge w:val="restart"/>
            <w:tcBorders>
              <w:top w:val="single" w:sz="8" w:space="0" w:color="auto"/>
              <w:left w:val="single" w:sz="8" w:space="0" w:color="auto"/>
              <w:bottom w:val="single" w:sz="8" w:space="0" w:color="000000"/>
              <w:right w:val="single" w:sz="8" w:space="0" w:color="auto"/>
            </w:tcBorders>
            <w:shd w:val="clear" w:color="000000" w:fill="1F4E78"/>
            <w:noWrap/>
            <w:vAlign w:val="center"/>
            <w:hideMark/>
          </w:tcPr>
          <w:p w14:paraId="117D91F2" w14:textId="77777777" w:rsidR="007145AB" w:rsidRPr="004A66F0" w:rsidRDefault="007145AB" w:rsidP="00582CA7">
            <w:pPr>
              <w:spacing w:line="276" w:lineRule="auto"/>
              <w:contextualSpacing/>
              <w:jc w:val="center"/>
              <w:rPr>
                <w:b/>
                <w:bCs/>
                <w:color w:val="FFFFFF"/>
                <w:sz w:val="18"/>
                <w:szCs w:val="18"/>
              </w:rPr>
            </w:pPr>
            <w:r w:rsidRPr="004A66F0">
              <w:rPr>
                <w:b/>
                <w:bCs/>
                <w:color w:val="FFFFFF"/>
                <w:sz w:val="18"/>
                <w:szCs w:val="18"/>
              </w:rPr>
              <w:t>Actividades</w:t>
            </w:r>
          </w:p>
        </w:tc>
        <w:tc>
          <w:tcPr>
            <w:tcW w:w="2126" w:type="dxa"/>
            <w:gridSpan w:val="2"/>
            <w:tcBorders>
              <w:top w:val="single" w:sz="8" w:space="0" w:color="auto"/>
              <w:left w:val="nil"/>
              <w:bottom w:val="single" w:sz="8" w:space="0" w:color="auto"/>
              <w:right w:val="single" w:sz="8" w:space="0" w:color="000000"/>
            </w:tcBorders>
            <w:shd w:val="clear" w:color="000000" w:fill="1F4E78"/>
            <w:noWrap/>
            <w:vAlign w:val="center"/>
            <w:hideMark/>
          </w:tcPr>
          <w:p w14:paraId="19549E53" w14:textId="77777777" w:rsidR="007145AB" w:rsidRPr="004A66F0" w:rsidRDefault="007145AB" w:rsidP="00582CA7">
            <w:pPr>
              <w:spacing w:line="276" w:lineRule="auto"/>
              <w:contextualSpacing/>
              <w:jc w:val="center"/>
              <w:rPr>
                <w:b/>
                <w:bCs/>
                <w:color w:val="FFFFFF"/>
                <w:sz w:val="18"/>
                <w:szCs w:val="18"/>
              </w:rPr>
            </w:pPr>
            <w:r w:rsidRPr="004A66F0">
              <w:rPr>
                <w:b/>
                <w:bCs/>
                <w:color w:val="FFFFFF"/>
                <w:sz w:val="18"/>
                <w:szCs w:val="18"/>
              </w:rPr>
              <w:t>2022</w:t>
            </w:r>
          </w:p>
        </w:tc>
        <w:tc>
          <w:tcPr>
            <w:tcW w:w="900" w:type="dxa"/>
            <w:vMerge w:val="restart"/>
            <w:tcBorders>
              <w:top w:val="single" w:sz="8" w:space="0" w:color="auto"/>
              <w:left w:val="nil"/>
              <w:bottom w:val="single" w:sz="8" w:space="0" w:color="000000"/>
              <w:right w:val="single" w:sz="8" w:space="0" w:color="auto"/>
            </w:tcBorders>
            <w:shd w:val="clear" w:color="000000" w:fill="1F4E78"/>
            <w:noWrap/>
            <w:vAlign w:val="center"/>
            <w:hideMark/>
          </w:tcPr>
          <w:p w14:paraId="5E4A8C79" w14:textId="77777777" w:rsidR="007145AB" w:rsidRPr="004A66F0" w:rsidRDefault="007145AB" w:rsidP="00582CA7">
            <w:pPr>
              <w:spacing w:line="276" w:lineRule="auto"/>
              <w:contextualSpacing/>
              <w:jc w:val="center"/>
              <w:rPr>
                <w:b/>
                <w:bCs/>
                <w:color w:val="FFFFFF"/>
                <w:sz w:val="18"/>
                <w:szCs w:val="18"/>
              </w:rPr>
            </w:pPr>
            <w:r w:rsidRPr="004A66F0">
              <w:rPr>
                <w:b/>
                <w:bCs/>
                <w:color w:val="FFFFFF"/>
                <w:sz w:val="18"/>
                <w:szCs w:val="18"/>
              </w:rPr>
              <w:t>% de Ejecución</w:t>
            </w:r>
          </w:p>
        </w:tc>
      </w:tr>
      <w:tr w:rsidR="007145AB" w:rsidRPr="004A66F0" w14:paraId="05F31F0B" w14:textId="77777777" w:rsidTr="00E60EFC">
        <w:trPr>
          <w:trHeight w:val="146"/>
        </w:trPr>
        <w:tc>
          <w:tcPr>
            <w:tcW w:w="5954" w:type="dxa"/>
            <w:vMerge/>
            <w:tcBorders>
              <w:top w:val="single" w:sz="8" w:space="0" w:color="auto"/>
              <w:left w:val="single" w:sz="8" w:space="0" w:color="auto"/>
              <w:bottom w:val="single" w:sz="8" w:space="0" w:color="000000"/>
              <w:right w:val="single" w:sz="8" w:space="0" w:color="auto"/>
            </w:tcBorders>
            <w:vAlign w:val="center"/>
            <w:hideMark/>
          </w:tcPr>
          <w:p w14:paraId="18893122" w14:textId="77777777" w:rsidR="007145AB" w:rsidRPr="004A66F0" w:rsidRDefault="007145AB" w:rsidP="00582CA7">
            <w:pPr>
              <w:spacing w:line="276" w:lineRule="auto"/>
              <w:contextualSpacing/>
              <w:rPr>
                <w:b/>
                <w:bCs/>
                <w:color w:val="FFFFFF"/>
                <w:sz w:val="18"/>
                <w:szCs w:val="18"/>
              </w:rPr>
            </w:pPr>
          </w:p>
        </w:tc>
        <w:tc>
          <w:tcPr>
            <w:tcW w:w="1134" w:type="dxa"/>
            <w:tcBorders>
              <w:top w:val="nil"/>
              <w:left w:val="nil"/>
              <w:bottom w:val="single" w:sz="8" w:space="0" w:color="auto"/>
              <w:right w:val="single" w:sz="8" w:space="0" w:color="auto"/>
            </w:tcBorders>
            <w:shd w:val="clear" w:color="000000" w:fill="1F4E78"/>
            <w:vAlign w:val="center"/>
            <w:hideMark/>
          </w:tcPr>
          <w:p w14:paraId="622E9B86" w14:textId="77777777" w:rsidR="007145AB" w:rsidRPr="004A66F0" w:rsidRDefault="007145AB" w:rsidP="00582CA7">
            <w:pPr>
              <w:spacing w:line="276" w:lineRule="auto"/>
              <w:contextualSpacing/>
              <w:jc w:val="center"/>
              <w:rPr>
                <w:b/>
                <w:bCs/>
                <w:color w:val="FFFFFF"/>
                <w:sz w:val="18"/>
                <w:szCs w:val="18"/>
              </w:rPr>
            </w:pPr>
            <w:r w:rsidRPr="004A66F0">
              <w:rPr>
                <w:b/>
                <w:bCs/>
                <w:color w:val="FFFFFF"/>
                <w:sz w:val="18"/>
                <w:szCs w:val="18"/>
              </w:rPr>
              <w:t>Presupuesto Vigente</w:t>
            </w:r>
          </w:p>
        </w:tc>
        <w:tc>
          <w:tcPr>
            <w:tcW w:w="992" w:type="dxa"/>
            <w:tcBorders>
              <w:top w:val="nil"/>
              <w:left w:val="nil"/>
              <w:bottom w:val="single" w:sz="8" w:space="0" w:color="auto"/>
              <w:right w:val="single" w:sz="8" w:space="0" w:color="auto"/>
            </w:tcBorders>
            <w:shd w:val="clear" w:color="000000" w:fill="1F4E78"/>
            <w:noWrap/>
            <w:vAlign w:val="center"/>
            <w:hideMark/>
          </w:tcPr>
          <w:p w14:paraId="31114A08" w14:textId="77777777" w:rsidR="007145AB" w:rsidRPr="004A66F0" w:rsidRDefault="007145AB" w:rsidP="00582CA7">
            <w:pPr>
              <w:spacing w:line="276" w:lineRule="auto"/>
              <w:contextualSpacing/>
              <w:jc w:val="center"/>
              <w:rPr>
                <w:b/>
                <w:bCs/>
                <w:color w:val="FFFFFF"/>
                <w:sz w:val="18"/>
                <w:szCs w:val="18"/>
              </w:rPr>
            </w:pPr>
            <w:r w:rsidRPr="004A66F0">
              <w:rPr>
                <w:b/>
                <w:bCs/>
                <w:color w:val="FFFFFF"/>
                <w:sz w:val="18"/>
                <w:szCs w:val="18"/>
              </w:rPr>
              <w:t>Ejecución</w:t>
            </w:r>
          </w:p>
        </w:tc>
        <w:tc>
          <w:tcPr>
            <w:tcW w:w="900" w:type="dxa"/>
            <w:vMerge/>
            <w:tcBorders>
              <w:top w:val="single" w:sz="8" w:space="0" w:color="auto"/>
              <w:left w:val="nil"/>
              <w:bottom w:val="single" w:sz="8" w:space="0" w:color="000000"/>
              <w:right w:val="single" w:sz="8" w:space="0" w:color="auto"/>
            </w:tcBorders>
            <w:vAlign w:val="center"/>
            <w:hideMark/>
          </w:tcPr>
          <w:p w14:paraId="7F51F363" w14:textId="77777777" w:rsidR="007145AB" w:rsidRPr="004A66F0" w:rsidRDefault="007145AB" w:rsidP="00582CA7">
            <w:pPr>
              <w:spacing w:line="276" w:lineRule="auto"/>
              <w:contextualSpacing/>
              <w:rPr>
                <w:b/>
                <w:bCs/>
                <w:color w:val="FFFFFF"/>
                <w:sz w:val="18"/>
                <w:szCs w:val="18"/>
              </w:rPr>
            </w:pPr>
          </w:p>
        </w:tc>
      </w:tr>
      <w:tr w:rsidR="007145AB" w:rsidRPr="004A66F0" w14:paraId="3910127A" w14:textId="77777777" w:rsidTr="00E60EFC">
        <w:trPr>
          <w:trHeight w:val="223"/>
        </w:trPr>
        <w:tc>
          <w:tcPr>
            <w:tcW w:w="5954" w:type="dxa"/>
            <w:tcBorders>
              <w:top w:val="nil"/>
              <w:left w:val="single" w:sz="8" w:space="0" w:color="auto"/>
              <w:bottom w:val="nil"/>
              <w:right w:val="nil"/>
            </w:tcBorders>
            <w:noWrap/>
            <w:vAlign w:val="center"/>
            <w:hideMark/>
          </w:tcPr>
          <w:p w14:paraId="5AFAA90F" w14:textId="77777777" w:rsidR="007145AB" w:rsidRPr="004A66F0" w:rsidRDefault="007145AB" w:rsidP="00582CA7">
            <w:pPr>
              <w:spacing w:line="276" w:lineRule="auto"/>
              <w:contextualSpacing/>
              <w:jc w:val="center"/>
              <w:rPr>
                <w:b/>
                <w:bCs/>
                <w:sz w:val="18"/>
                <w:szCs w:val="18"/>
              </w:rPr>
            </w:pPr>
            <w:r w:rsidRPr="004A66F0">
              <w:rPr>
                <w:b/>
                <w:bCs/>
                <w:sz w:val="18"/>
                <w:szCs w:val="18"/>
              </w:rPr>
              <w:t>Total</w:t>
            </w:r>
          </w:p>
        </w:tc>
        <w:tc>
          <w:tcPr>
            <w:tcW w:w="1134" w:type="dxa"/>
            <w:tcBorders>
              <w:top w:val="nil"/>
              <w:left w:val="single" w:sz="8" w:space="0" w:color="auto"/>
              <w:bottom w:val="nil"/>
              <w:right w:val="single" w:sz="8" w:space="0" w:color="auto"/>
            </w:tcBorders>
            <w:vAlign w:val="center"/>
            <w:hideMark/>
          </w:tcPr>
          <w:p w14:paraId="5D3489E7" w14:textId="77777777" w:rsidR="007145AB" w:rsidRPr="004A66F0" w:rsidRDefault="007145AB" w:rsidP="00582CA7">
            <w:pPr>
              <w:spacing w:line="276" w:lineRule="auto"/>
              <w:contextualSpacing/>
              <w:jc w:val="center"/>
              <w:rPr>
                <w:b/>
                <w:bCs/>
                <w:sz w:val="18"/>
                <w:szCs w:val="18"/>
              </w:rPr>
            </w:pPr>
            <w:r w:rsidRPr="004A66F0">
              <w:rPr>
                <w:b/>
                <w:bCs/>
                <w:sz w:val="18"/>
                <w:szCs w:val="18"/>
              </w:rPr>
              <w:t>2,304.4</w:t>
            </w:r>
          </w:p>
        </w:tc>
        <w:tc>
          <w:tcPr>
            <w:tcW w:w="992" w:type="dxa"/>
            <w:tcBorders>
              <w:top w:val="nil"/>
              <w:left w:val="nil"/>
              <w:bottom w:val="nil"/>
              <w:right w:val="single" w:sz="8" w:space="0" w:color="auto"/>
            </w:tcBorders>
            <w:vAlign w:val="center"/>
            <w:hideMark/>
          </w:tcPr>
          <w:p w14:paraId="439B3A82" w14:textId="77777777" w:rsidR="007145AB" w:rsidRPr="004A66F0" w:rsidRDefault="007145AB" w:rsidP="00582CA7">
            <w:pPr>
              <w:spacing w:line="276" w:lineRule="auto"/>
              <w:contextualSpacing/>
              <w:jc w:val="center"/>
              <w:rPr>
                <w:b/>
                <w:bCs/>
                <w:sz w:val="18"/>
                <w:szCs w:val="18"/>
              </w:rPr>
            </w:pPr>
            <w:r w:rsidRPr="004A66F0">
              <w:rPr>
                <w:b/>
                <w:bCs/>
                <w:sz w:val="18"/>
                <w:szCs w:val="18"/>
              </w:rPr>
              <w:t>2,207.1</w:t>
            </w:r>
          </w:p>
        </w:tc>
        <w:tc>
          <w:tcPr>
            <w:tcW w:w="900" w:type="dxa"/>
            <w:tcBorders>
              <w:top w:val="nil"/>
              <w:left w:val="nil"/>
              <w:bottom w:val="nil"/>
              <w:right w:val="single" w:sz="8" w:space="0" w:color="auto"/>
            </w:tcBorders>
            <w:noWrap/>
            <w:vAlign w:val="center"/>
            <w:hideMark/>
          </w:tcPr>
          <w:p w14:paraId="35207407" w14:textId="77777777" w:rsidR="007145AB" w:rsidRPr="004A66F0" w:rsidRDefault="007145AB" w:rsidP="00582CA7">
            <w:pPr>
              <w:spacing w:line="276" w:lineRule="auto"/>
              <w:contextualSpacing/>
              <w:jc w:val="center"/>
              <w:rPr>
                <w:b/>
                <w:bCs/>
                <w:sz w:val="18"/>
                <w:szCs w:val="18"/>
              </w:rPr>
            </w:pPr>
            <w:r w:rsidRPr="004A66F0">
              <w:rPr>
                <w:b/>
                <w:bCs/>
                <w:sz w:val="18"/>
                <w:szCs w:val="18"/>
              </w:rPr>
              <w:t>95.8</w:t>
            </w:r>
          </w:p>
        </w:tc>
      </w:tr>
      <w:tr w:rsidR="007145AB" w:rsidRPr="004A66F0" w14:paraId="7495C3A0" w14:textId="77777777" w:rsidTr="00E60EFC">
        <w:trPr>
          <w:trHeight w:val="240"/>
        </w:trPr>
        <w:tc>
          <w:tcPr>
            <w:tcW w:w="5954" w:type="dxa"/>
            <w:tcBorders>
              <w:top w:val="single" w:sz="8" w:space="0" w:color="auto"/>
              <w:left w:val="single" w:sz="8" w:space="0" w:color="auto"/>
              <w:bottom w:val="single" w:sz="8" w:space="0" w:color="auto"/>
              <w:right w:val="nil"/>
            </w:tcBorders>
            <w:shd w:val="clear" w:color="auto" w:fill="F2F2F2" w:themeFill="background1" w:themeFillShade="F2"/>
            <w:vAlign w:val="center"/>
            <w:hideMark/>
          </w:tcPr>
          <w:p w14:paraId="38A1954F" w14:textId="77777777" w:rsidR="007145AB" w:rsidRPr="004A66F0" w:rsidRDefault="007145AB" w:rsidP="00582CA7">
            <w:pPr>
              <w:spacing w:line="276" w:lineRule="auto"/>
              <w:contextualSpacing/>
              <w:jc w:val="center"/>
              <w:rPr>
                <w:b/>
                <w:bCs/>
                <w:sz w:val="18"/>
                <w:szCs w:val="18"/>
              </w:rPr>
            </w:pPr>
            <w:r w:rsidRPr="004A66F0">
              <w:rPr>
                <w:b/>
                <w:bCs/>
                <w:sz w:val="18"/>
                <w:szCs w:val="18"/>
              </w:rPr>
              <w:t>Subprograma 11 Estado de Calamidad Pública por Depresión Tropical ETA (DG 20-2020 y 21-2020)</w:t>
            </w:r>
          </w:p>
        </w:tc>
        <w:tc>
          <w:tcPr>
            <w:tcW w:w="1134"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hideMark/>
          </w:tcPr>
          <w:p w14:paraId="29E9BA03" w14:textId="77777777" w:rsidR="007145AB" w:rsidRPr="004A66F0" w:rsidRDefault="007145AB" w:rsidP="00582CA7">
            <w:pPr>
              <w:spacing w:line="276" w:lineRule="auto"/>
              <w:contextualSpacing/>
              <w:jc w:val="center"/>
              <w:rPr>
                <w:b/>
                <w:bCs/>
                <w:sz w:val="18"/>
                <w:szCs w:val="18"/>
              </w:rPr>
            </w:pPr>
            <w:r w:rsidRPr="004A66F0">
              <w:rPr>
                <w:b/>
                <w:bCs/>
                <w:sz w:val="18"/>
                <w:szCs w:val="18"/>
              </w:rPr>
              <w:t>565.0</w:t>
            </w:r>
          </w:p>
        </w:tc>
        <w:tc>
          <w:tcPr>
            <w:tcW w:w="992" w:type="dxa"/>
            <w:tcBorders>
              <w:top w:val="single" w:sz="8" w:space="0" w:color="auto"/>
              <w:left w:val="nil"/>
              <w:bottom w:val="single" w:sz="8" w:space="0" w:color="auto"/>
              <w:right w:val="single" w:sz="8" w:space="0" w:color="auto"/>
            </w:tcBorders>
            <w:shd w:val="clear" w:color="auto" w:fill="F2F2F2" w:themeFill="background1" w:themeFillShade="F2"/>
            <w:noWrap/>
            <w:vAlign w:val="center"/>
            <w:hideMark/>
          </w:tcPr>
          <w:p w14:paraId="0691D56B" w14:textId="77777777" w:rsidR="007145AB" w:rsidRPr="004A66F0" w:rsidRDefault="007145AB" w:rsidP="00582CA7">
            <w:pPr>
              <w:spacing w:line="276" w:lineRule="auto"/>
              <w:contextualSpacing/>
              <w:jc w:val="center"/>
              <w:rPr>
                <w:b/>
                <w:bCs/>
                <w:sz w:val="18"/>
                <w:szCs w:val="18"/>
              </w:rPr>
            </w:pPr>
            <w:r w:rsidRPr="004A66F0">
              <w:rPr>
                <w:b/>
                <w:bCs/>
                <w:sz w:val="18"/>
                <w:szCs w:val="18"/>
              </w:rPr>
              <w:t>550.6</w:t>
            </w:r>
          </w:p>
        </w:tc>
        <w:tc>
          <w:tcPr>
            <w:tcW w:w="900" w:type="dxa"/>
            <w:tcBorders>
              <w:top w:val="single" w:sz="8" w:space="0" w:color="auto"/>
              <w:left w:val="nil"/>
              <w:bottom w:val="single" w:sz="8" w:space="0" w:color="auto"/>
              <w:right w:val="single" w:sz="8" w:space="0" w:color="auto"/>
            </w:tcBorders>
            <w:shd w:val="clear" w:color="auto" w:fill="F2F2F2" w:themeFill="background1" w:themeFillShade="F2"/>
            <w:noWrap/>
            <w:vAlign w:val="center"/>
            <w:hideMark/>
          </w:tcPr>
          <w:p w14:paraId="23B5128F" w14:textId="77777777" w:rsidR="007145AB" w:rsidRPr="004A66F0" w:rsidRDefault="007145AB" w:rsidP="00582CA7">
            <w:pPr>
              <w:spacing w:line="276" w:lineRule="auto"/>
              <w:contextualSpacing/>
              <w:jc w:val="center"/>
              <w:rPr>
                <w:b/>
                <w:bCs/>
                <w:sz w:val="18"/>
                <w:szCs w:val="18"/>
              </w:rPr>
            </w:pPr>
            <w:r w:rsidRPr="004A66F0">
              <w:rPr>
                <w:b/>
                <w:bCs/>
                <w:sz w:val="18"/>
                <w:szCs w:val="18"/>
              </w:rPr>
              <w:t>97.5</w:t>
            </w:r>
          </w:p>
        </w:tc>
      </w:tr>
      <w:tr w:rsidR="007145AB" w:rsidRPr="004A66F0" w14:paraId="43386FE6" w14:textId="77777777" w:rsidTr="00E60EFC">
        <w:trPr>
          <w:trHeight w:val="318"/>
        </w:trPr>
        <w:tc>
          <w:tcPr>
            <w:tcW w:w="5954" w:type="dxa"/>
            <w:tcBorders>
              <w:top w:val="nil"/>
              <w:left w:val="single" w:sz="8" w:space="0" w:color="auto"/>
              <w:bottom w:val="nil"/>
              <w:right w:val="nil"/>
            </w:tcBorders>
            <w:vAlign w:val="center"/>
            <w:hideMark/>
          </w:tcPr>
          <w:p w14:paraId="307EBC80" w14:textId="3CDB98A2" w:rsidR="007145AB" w:rsidRPr="004A66F0" w:rsidRDefault="007145AB" w:rsidP="00582CA7">
            <w:pPr>
              <w:spacing w:line="276" w:lineRule="auto"/>
              <w:ind w:firstLineChars="200" w:firstLine="360"/>
              <w:contextualSpacing/>
              <w:rPr>
                <w:color w:val="000000"/>
                <w:sz w:val="18"/>
                <w:szCs w:val="18"/>
              </w:rPr>
            </w:pPr>
            <w:r w:rsidRPr="004A66F0">
              <w:rPr>
                <w:color w:val="000000"/>
                <w:sz w:val="18"/>
                <w:szCs w:val="18"/>
              </w:rPr>
              <w:t>Ministerio de Comunicaciones, Infraestructura y</w:t>
            </w:r>
            <w:r w:rsidR="006C707E">
              <w:rPr>
                <w:color w:val="000000"/>
                <w:sz w:val="18"/>
                <w:szCs w:val="18"/>
              </w:rPr>
              <w:t xml:space="preserve"> </w:t>
            </w:r>
            <w:r w:rsidRPr="004A66F0">
              <w:rPr>
                <w:color w:val="000000"/>
                <w:sz w:val="18"/>
                <w:szCs w:val="18"/>
              </w:rPr>
              <w:t>Vivienda</w:t>
            </w:r>
          </w:p>
        </w:tc>
        <w:tc>
          <w:tcPr>
            <w:tcW w:w="1134" w:type="dxa"/>
            <w:tcBorders>
              <w:top w:val="nil"/>
              <w:left w:val="single" w:sz="8" w:space="0" w:color="auto"/>
              <w:bottom w:val="nil"/>
              <w:right w:val="single" w:sz="8" w:space="0" w:color="auto"/>
            </w:tcBorders>
            <w:vAlign w:val="center"/>
            <w:hideMark/>
          </w:tcPr>
          <w:p w14:paraId="09123938" w14:textId="77777777" w:rsidR="007145AB" w:rsidRPr="004A66F0" w:rsidRDefault="007145AB" w:rsidP="00582CA7">
            <w:pPr>
              <w:spacing w:line="276" w:lineRule="auto"/>
              <w:contextualSpacing/>
              <w:jc w:val="center"/>
              <w:rPr>
                <w:color w:val="000000"/>
                <w:sz w:val="18"/>
                <w:szCs w:val="18"/>
              </w:rPr>
            </w:pPr>
            <w:r w:rsidRPr="004A66F0">
              <w:rPr>
                <w:color w:val="000000"/>
                <w:sz w:val="18"/>
                <w:szCs w:val="18"/>
              </w:rPr>
              <w:t>565.0</w:t>
            </w:r>
          </w:p>
        </w:tc>
        <w:tc>
          <w:tcPr>
            <w:tcW w:w="992" w:type="dxa"/>
            <w:tcBorders>
              <w:top w:val="nil"/>
              <w:left w:val="nil"/>
              <w:bottom w:val="nil"/>
              <w:right w:val="single" w:sz="8" w:space="0" w:color="auto"/>
            </w:tcBorders>
            <w:noWrap/>
            <w:vAlign w:val="center"/>
            <w:hideMark/>
          </w:tcPr>
          <w:p w14:paraId="1B29CE19" w14:textId="77777777" w:rsidR="007145AB" w:rsidRPr="004A66F0" w:rsidRDefault="007145AB" w:rsidP="00582CA7">
            <w:pPr>
              <w:spacing w:line="276" w:lineRule="auto"/>
              <w:contextualSpacing/>
              <w:jc w:val="center"/>
              <w:rPr>
                <w:color w:val="000000"/>
                <w:sz w:val="18"/>
                <w:szCs w:val="18"/>
              </w:rPr>
            </w:pPr>
            <w:r w:rsidRPr="004A66F0">
              <w:rPr>
                <w:color w:val="000000"/>
                <w:sz w:val="18"/>
                <w:szCs w:val="18"/>
              </w:rPr>
              <w:t>550.6</w:t>
            </w:r>
          </w:p>
        </w:tc>
        <w:tc>
          <w:tcPr>
            <w:tcW w:w="900" w:type="dxa"/>
            <w:tcBorders>
              <w:top w:val="nil"/>
              <w:left w:val="nil"/>
              <w:bottom w:val="nil"/>
              <w:right w:val="single" w:sz="8" w:space="0" w:color="auto"/>
            </w:tcBorders>
            <w:noWrap/>
            <w:vAlign w:val="center"/>
            <w:hideMark/>
          </w:tcPr>
          <w:p w14:paraId="2DD443C4" w14:textId="77777777" w:rsidR="007145AB" w:rsidRPr="004A66F0" w:rsidRDefault="007145AB" w:rsidP="00582CA7">
            <w:pPr>
              <w:spacing w:line="276" w:lineRule="auto"/>
              <w:contextualSpacing/>
              <w:jc w:val="center"/>
              <w:rPr>
                <w:color w:val="000000"/>
                <w:sz w:val="18"/>
                <w:szCs w:val="18"/>
              </w:rPr>
            </w:pPr>
            <w:r w:rsidRPr="004A66F0">
              <w:rPr>
                <w:color w:val="000000"/>
                <w:sz w:val="18"/>
                <w:szCs w:val="18"/>
              </w:rPr>
              <w:t>97.5</w:t>
            </w:r>
          </w:p>
        </w:tc>
      </w:tr>
      <w:tr w:rsidR="007145AB" w:rsidRPr="004A66F0" w14:paraId="019D4454" w14:textId="77777777" w:rsidTr="00E60EFC">
        <w:trPr>
          <w:trHeight w:val="266"/>
        </w:trPr>
        <w:tc>
          <w:tcPr>
            <w:tcW w:w="5954" w:type="dxa"/>
            <w:tcBorders>
              <w:top w:val="single" w:sz="8" w:space="0" w:color="auto"/>
              <w:left w:val="single" w:sz="8" w:space="0" w:color="auto"/>
              <w:bottom w:val="single" w:sz="8" w:space="0" w:color="auto"/>
              <w:right w:val="nil"/>
            </w:tcBorders>
            <w:shd w:val="clear" w:color="auto" w:fill="F2F2F2" w:themeFill="background1" w:themeFillShade="F2"/>
            <w:vAlign w:val="center"/>
            <w:hideMark/>
          </w:tcPr>
          <w:p w14:paraId="67299F26" w14:textId="77777777" w:rsidR="007145AB" w:rsidRPr="004A66F0" w:rsidRDefault="007145AB" w:rsidP="00582CA7">
            <w:pPr>
              <w:spacing w:line="276" w:lineRule="auto"/>
              <w:contextualSpacing/>
              <w:jc w:val="center"/>
              <w:rPr>
                <w:b/>
                <w:bCs/>
                <w:sz w:val="18"/>
                <w:szCs w:val="18"/>
              </w:rPr>
            </w:pPr>
            <w:r w:rsidRPr="004A66F0">
              <w:rPr>
                <w:b/>
                <w:bCs/>
                <w:sz w:val="18"/>
                <w:szCs w:val="18"/>
              </w:rPr>
              <w:t xml:space="preserve">Subprograma 14 Estado de Calamidad Pública por época lluviosa, temporada ciclónica y sistemas de baja presión </w:t>
            </w:r>
          </w:p>
        </w:tc>
        <w:tc>
          <w:tcPr>
            <w:tcW w:w="1134" w:type="dxa"/>
            <w:tcBorders>
              <w:top w:val="single" w:sz="8" w:space="0" w:color="auto"/>
              <w:left w:val="single" w:sz="8" w:space="0" w:color="auto"/>
              <w:bottom w:val="single" w:sz="8" w:space="0" w:color="auto"/>
              <w:right w:val="single" w:sz="8" w:space="0" w:color="auto"/>
            </w:tcBorders>
            <w:shd w:val="clear" w:color="auto" w:fill="F2F2F2" w:themeFill="background1" w:themeFillShade="F2"/>
            <w:noWrap/>
            <w:vAlign w:val="center"/>
            <w:hideMark/>
          </w:tcPr>
          <w:p w14:paraId="42CB516B" w14:textId="77777777" w:rsidR="007145AB" w:rsidRPr="004A66F0" w:rsidRDefault="007145AB" w:rsidP="00582CA7">
            <w:pPr>
              <w:spacing w:line="276" w:lineRule="auto"/>
              <w:contextualSpacing/>
              <w:jc w:val="center"/>
              <w:rPr>
                <w:b/>
                <w:bCs/>
                <w:sz w:val="18"/>
                <w:szCs w:val="18"/>
              </w:rPr>
            </w:pPr>
            <w:r w:rsidRPr="004A66F0">
              <w:rPr>
                <w:b/>
                <w:bCs/>
                <w:sz w:val="18"/>
                <w:szCs w:val="18"/>
              </w:rPr>
              <w:t>960.0</w:t>
            </w:r>
          </w:p>
        </w:tc>
        <w:tc>
          <w:tcPr>
            <w:tcW w:w="992" w:type="dxa"/>
            <w:tcBorders>
              <w:top w:val="single" w:sz="8" w:space="0" w:color="auto"/>
              <w:left w:val="nil"/>
              <w:bottom w:val="single" w:sz="8" w:space="0" w:color="auto"/>
              <w:right w:val="single" w:sz="8" w:space="0" w:color="auto"/>
            </w:tcBorders>
            <w:shd w:val="clear" w:color="auto" w:fill="F2F2F2" w:themeFill="background1" w:themeFillShade="F2"/>
            <w:noWrap/>
            <w:vAlign w:val="center"/>
            <w:hideMark/>
          </w:tcPr>
          <w:p w14:paraId="0CFF3CD5" w14:textId="77777777" w:rsidR="007145AB" w:rsidRPr="004A66F0" w:rsidRDefault="007145AB" w:rsidP="00582CA7">
            <w:pPr>
              <w:spacing w:line="276" w:lineRule="auto"/>
              <w:contextualSpacing/>
              <w:jc w:val="center"/>
              <w:rPr>
                <w:b/>
                <w:bCs/>
                <w:sz w:val="18"/>
                <w:szCs w:val="18"/>
              </w:rPr>
            </w:pPr>
            <w:r w:rsidRPr="004A66F0">
              <w:rPr>
                <w:b/>
                <w:bCs/>
                <w:sz w:val="18"/>
                <w:szCs w:val="18"/>
              </w:rPr>
              <w:t>923.3</w:t>
            </w:r>
          </w:p>
        </w:tc>
        <w:tc>
          <w:tcPr>
            <w:tcW w:w="900" w:type="dxa"/>
            <w:tcBorders>
              <w:top w:val="single" w:sz="8" w:space="0" w:color="auto"/>
              <w:left w:val="nil"/>
              <w:bottom w:val="single" w:sz="8" w:space="0" w:color="auto"/>
              <w:right w:val="single" w:sz="8" w:space="0" w:color="auto"/>
            </w:tcBorders>
            <w:shd w:val="clear" w:color="auto" w:fill="F2F2F2" w:themeFill="background1" w:themeFillShade="F2"/>
            <w:noWrap/>
            <w:vAlign w:val="center"/>
            <w:hideMark/>
          </w:tcPr>
          <w:p w14:paraId="36CD6B61" w14:textId="77777777" w:rsidR="007145AB" w:rsidRPr="004A66F0" w:rsidRDefault="007145AB" w:rsidP="00582CA7">
            <w:pPr>
              <w:spacing w:line="276" w:lineRule="auto"/>
              <w:contextualSpacing/>
              <w:jc w:val="center"/>
              <w:rPr>
                <w:b/>
                <w:bCs/>
                <w:sz w:val="18"/>
                <w:szCs w:val="18"/>
              </w:rPr>
            </w:pPr>
            <w:r w:rsidRPr="004A66F0">
              <w:rPr>
                <w:b/>
                <w:bCs/>
                <w:sz w:val="18"/>
                <w:szCs w:val="18"/>
              </w:rPr>
              <w:t>96.2</w:t>
            </w:r>
          </w:p>
        </w:tc>
      </w:tr>
      <w:tr w:rsidR="007145AB" w:rsidRPr="004A66F0" w14:paraId="7143B6FF" w14:textId="77777777" w:rsidTr="00E60EFC">
        <w:trPr>
          <w:trHeight w:val="202"/>
        </w:trPr>
        <w:tc>
          <w:tcPr>
            <w:tcW w:w="5954" w:type="dxa"/>
            <w:tcBorders>
              <w:top w:val="nil"/>
              <w:left w:val="single" w:sz="8" w:space="0" w:color="auto"/>
              <w:bottom w:val="nil"/>
              <w:right w:val="nil"/>
            </w:tcBorders>
            <w:vAlign w:val="center"/>
            <w:hideMark/>
          </w:tcPr>
          <w:p w14:paraId="09530710" w14:textId="77777777" w:rsidR="007145AB" w:rsidRPr="004A66F0" w:rsidRDefault="007145AB" w:rsidP="00582CA7">
            <w:pPr>
              <w:spacing w:line="276" w:lineRule="auto"/>
              <w:ind w:firstLineChars="200" w:firstLine="360"/>
              <w:contextualSpacing/>
              <w:rPr>
                <w:sz w:val="18"/>
                <w:szCs w:val="18"/>
              </w:rPr>
            </w:pPr>
            <w:r w:rsidRPr="004A66F0">
              <w:rPr>
                <w:sz w:val="18"/>
                <w:szCs w:val="18"/>
              </w:rPr>
              <w:t>Ministerio de la Defensa Nacional</w:t>
            </w:r>
          </w:p>
        </w:tc>
        <w:tc>
          <w:tcPr>
            <w:tcW w:w="1134" w:type="dxa"/>
            <w:tcBorders>
              <w:top w:val="nil"/>
              <w:left w:val="single" w:sz="8" w:space="0" w:color="auto"/>
              <w:bottom w:val="nil"/>
              <w:right w:val="single" w:sz="8" w:space="0" w:color="auto"/>
            </w:tcBorders>
            <w:noWrap/>
            <w:vAlign w:val="center"/>
            <w:hideMark/>
          </w:tcPr>
          <w:p w14:paraId="51429B4C" w14:textId="77777777" w:rsidR="007145AB" w:rsidRPr="004A66F0" w:rsidRDefault="007145AB" w:rsidP="00582CA7">
            <w:pPr>
              <w:spacing w:line="276" w:lineRule="auto"/>
              <w:contextualSpacing/>
              <w:jc w:val="center"/>
              <w:rPr>
                <w:sz w:val="18"/>
                <w:szCs w:val="18"/>
              </w:rPr>
            </w:pPr>
            <w:r w:rsidRPr="004A66F0">
              <w:rPr>
                <w:sz w:val="18"/>
                <w:szCs w:val="18"/>
              </w:rPr>
              <w:t>139.3</w:t>
            </w:r>
          </w:p>
        </w:tc>
        <w:tc>
          <w:tcPr>
            <w:tcW w:w="992" w:type="dxa"/>
            <w:tcBorders>
              <w:top w:val="nil"/>
              <w:left w:val="nil"/>
              <w:bottom w:val="nil"/>
              <w:right w:val="single" w:sz="8" w:space="0" w:color="auto"/>
            </w:tcBorders>
            <w:noWrap/>
            <w:vAlign w:val="center"/>
            <w:hideMark/>
          </w:tcPr>
          <w:p w14:paraId="034C9794" w14:textId="77777777" w:rsidR="007145AB" w:rsidRPr="004A66F0" w:rsidRDefault="007145AB" w:rsidP="00582CA7">
            <w:pPr>
              <w:spacing w:line="276" w:lineRule="auto"/>
              <w:contextualSpacing/>
              <w:jc w:val="center"/>
              <w:rPr>
                <w:sz w:val="18"/>
                <w:szCs w:val="18"/>
              </w:rPr>
            </w:pPr>
            <w:r w:rsidRPr="004A66F0">
              <w:rPr>
                <w:sz w:val="18"/>
                <w:szCs w:val="18"/>
              </w:rPr>
              <w:t>139.3</w:t>
            </w:r>
          </w:p>
        </w:tc>
        <w:tc>
          <w:tcPr>
            <w:tcW w:w="900" w:type="dxa"/>
            <w:tcBorders>
              <w:top w:val="nil"/>
              <w:left w:val="nil"/>
              <w:bottom w:val="nil"/>
              <w:right w:val="single" w:sz="8" w:space="0" w:color="auto"/>
            </w:tcBorders>
            <w:noWrap/>
            <w:vAlign w:val="center"/>
            <w:hideMark/>
          </w:tcPr>
          <w:p w14:paraId="2C5FC635" w14:textId="77777777" w:rsidR="007145AB" w:rsidRPr="004A66F0" w:rsidRDefault="007145AB" w:rsidP="00582CA7">
            <w:pPr>
              <w:spacing w:line="276" w:lineRule="auto"/>
              <w:contextualSpacing/>
              <w:jc w:val="center"/>
              <w:rPr>
                <w:sz w:val="18"/>
                <w:szCs w:val="18"/>
              </w:rPr>
            </w:pPr>
            <w:r w:rsidRPr="004A66F0">
              <w:rPr>
                <w:sz w:val="18"/>
                <w:szCs w:val="18"/>
              </w:rPr>
              <w:t>100.0</w:t>
            </w:r>
          </w:p>
        </w:tc>
      </w:tr>
      <w:tr w:rsidR="007145AB" w:rsidRPr="004A66F0" w14:paraId="664B3553" w14:textId="77777777" w:rsidTr="00E60EFC">
        <w:trPr>
          <w:trHeight w:val="240"/>
        </w:trPr>
        <w:tc>
          <w:tcPr>
            <w:tcW w:w="5954" w:type="dxa"/>
            <w:tcBorders>
              <w:top w:val="nil"/>
              <w:left w:val="single" w:sz="8" w:space="0" w:color="auto"/>
              <w:bottom w:val="nil"/>
              <w:right w:val="nil"/>
            </w:tcBorders>
            <w:vAlign w:val="center"/>
            <w:hideMark/>
          </w:tcPr>
          <w:p w14:paraId="4DD03A04" w14:textId="77777777" w:rsidR="007145AB" w:rsidRPr="004A66F0" w:rsidRDefault="007145AB" w:rsidP="00582CA7">
            <w:pPr>
              <w:spacing w:line="276" w:lineRule="auto"/>
              <w:ind w:firstLineChars="200" w:firstLine="360"/>
              <w:contextualSpacing/>
              <w:rPr>
                <w:sz w:val="18"/>
                <w:szCs w:val="18"/>
              </w:rPr>
            </w:pPr>
            <w:r w:rsidRPr="004A66F0">
              <w:rPr>
                <w:sz w:val="18"/>
                <w:szCs w:val="18"/>
              </w:rPr>
              <w:t>Ministerio de Educación</w:t>
            </w:r>
          </w:p>
        </w:tc>
        <w:tc>
          <w:tcPr>
            <w:tcW w:w="1134" w:type="dxa"/>
            <w:tcBorders>
              <w:top w:val="nil"/>
              <w:left w:val="single" w:sz="8" w:space="0" w:color="auto"/>
              <w:bottom w:val="nil"/>
              <w:right w:val="single" w:sz="8" w:space="0" w:color="auto"/>
            </w:tcBorders>
            <w:noWrap/>
            <w:vAlign w:val="center"/>
            <w:hideMark/>
          </w:tcPr>
          <w:p w14:paraId="484E7C27" w14:textId="77777777" w:rsidR="007145AB" w:rsidRPr="004A66F0" w:rsidRDefault="007145AB" w:rsidP="00582CA7">
            <w:pPr>
              <w:spacing w:line="276" w:lineRule="auto"/>
              <w:contextualSpacing/>
              <w:jc w:val="center"/>
              <w:rPr>
                <w:sz w:val="18"/>
                <w:szCs w:val="18"/>
              </w:rPr>
            </w:pPr>
            <w:r w:rsidRPr="004A66F0">
              <w:rPr>
                <w:sz w:val="18"/>
                <w:szCs w:val="18"/>
              </w:rPr>
              <w:t>9.2</w:t>
            </w:r>
          </w:p>
        </w:tc>
        <w:tc>
          <w:tcPr>
            <w:tcW w:w="992" w:type="dxa"/>
            <w:tcBorders>
              <w:top w:val="nil"/>
              <w:left w:val="nil"/>
              <w:bottom w:val="nil"/>
              <w:right w:val="single" w:sz="8" w:space="0" w:color="auto"/>
            </w:tcBorders>
            <w:noWrap/>
            <w:vAlign w:val="center"/>
            <w:hideMark/>
          </w:tcPr>
          <w:p w14:paraId="05FDAFB3" w14:textId="77777777" w:rsidR="007145AB" w:rsidRPr="004A66F0" w:rsidRDefault="007145AB" w:rsidP="00582CA7">
            <w:pPr>
              <w:spacing w:line="276" w:lineRule="auto"/>
              <w:contextualSpacing/>
              <w:jc w:val="center"/>
              <w:rPr>
                <w:sz w:val="18"/>
                <w:szCs w:val="18"/>
              </w:rPr>
            </w:pPr>
            <w:r w:rsidRPr="004A66F0">
              <w:rPr>
                <w:sz w:val="18"/>
                <w:szCs w:val="18"/>
              </w:rPr>
              <w:t>9.0</w:t>
            </w:r>
          </w:p>
        </w:tc>
        <w:tc>
          <w:tcPr>
            <w:tcW w:w="900" w:type="dxa"/>
            <w:tcBorders>
              <w:top w:val="nil"/>
              <w:left w:val="nil"/>
              <w:bottom w:val="nil"/>
              <w:right w:val="single" w:sz="8" w:space="0" w:color="auto"/>
            </w:tcBorders>
            <w:noWrap/>
            <w:vAlign w:val="center"/>
            <w:hideMark/>
          </w:tcPr>
          <w:p w14:paraId="704A1D19" w14:textId="77777777" w:rsidR="007145AB" w:rsidRPr="004A66F0" w:rsidRDefault="007145AB" w:rsidP="00582CA7">
            <w:pPr>
              <w:spacing w:line="276" w:lineRule="auto"/>
              <w:contextualSpacing/>
              <w:jc w:val="center"/>
              <w:rPr>
                <w:sz w:val="18"/>
                <w:szCs w:val="18"/>
              </w:rPr>
            </w:pPr>
            <w:r w:rsidRPr="004A66F0">
              <w:rPr>
                <w:sz w:val="18"/>
                <w:szCs w:val="18"/>
              </w:rPr>
              <w:t>98.0</w:t>
            </w:r>
          </w:p>
        </w:tc>
      </w:tr>
      <w:tr w:rsidR="007145AB" w:rsidRPr="004A66F0" w14:paraId="617FDFC6" w14:textId="77777777" w:rsidTr="00E60EFC">
        <w:trPr>
          <w:trHeight w:val="130"/>
        </w:trPr>
        <w:tc>
          <w:tcPr>
            <w:tcW w:w="5954" w:type="dxa"/>
            <w:tcBorders>
              <w:top w:val="nil"/>
              <w:left w:val="single" w:sz="8" w:space="0" w:color="auto"/>
              <w:bottom w:val="nil"/>
              <w:right w:val="nil"/>
            </w:tcBorders>
            <w:vAlign w:val="center"/>
            <w:hideMark/>
          </w:tcPr>
          <w:p w14:paraId="6E49AB0F" w14:textId="7257E724" w:rsidR="007145AB" w:rsidRPr="004A66F0" w:rsidRDefault="007145AB" w:rsidP="00582CA7">
            <w:pPr>
              <w:spacing w:line="276" w:lineRule="auto"/>
              <w:ind w:firstLineChars="200" w:firstLine="360"/>
              <w:contextualSpacing/>
              <w:rPr>
                <w:sz w:val="18"/>
                <w:szCs w:val="18"/>
              </w:rPr>
            </w:pPr>
            <w:r w:rsidRPr="004A66F0">
              <w:rPr>
                <w:sz w:val="18"/>
                <w:szCs w:val="18"/>
              </w:rPr>
              <w:t>Ministerio de Comunicaciones, Infraestructura y</w:t>
            </w:r>
            <w:r w:rsidR="006C707E">
              <w:rPr>
                <w:sz w:val="18"/>
                <w:szCs w:val="18"/>
              </w:rPr>
              <w:t xml:space="preserve"> Viv</w:t>
            </w:r>
            <w:r w:rsidRPr="004A66F0">
              <w:rPr>
                <w:sz w:val="18"/>
                <w:szCs w:val="18"/>
              </w:rPr>
              <w:t>ienda</w:t>
            </w:r>
          </w:p>
        </w:tc>
        <w:tc>
          <w:tcPr>
            <w:tcW w:w="1134" w:type="dxa"/>
            <w:tcBorders>
              <w:top w:val="nil"/>
              <w:left w:val="single" w:sz="8" w:space="0" w:color="auto"/>
              <w:bottom w:val="nil"/>
              <w:right w:val="single" w:sz="8" w:space="0" w:color="auto"/>
            </w:tcBorders>
            <w:noWrap/>
            <w:vAlign w:val="center"/>
            <w:hideMark/>
          </w:tcPr>
          <w:p w14:paraId="1B344C99" w14:textId="77777777" w:rsidR="007145AB" w:rsidRPr="004A66F0" w:rsidRDefault="007145AB" w:rsidP="00582CA7">
            <w:pPr>
              <w:spacing w:line="276" w:lineRule="auto"/>
              <w:contextualSpacing/>
              <w:jc w:val="center"/>
              <w:rPr>
                <w:sz w:val="18"/>
                <w:szCs w:val="18"/>
              </w:rPr>
            </w:pPr>
            <w:r w:rsidRPr="004A66F0">
              <w:rPr>
                <w:sz w:val="18"/>
                <w:szCs w:val="18"/>
              </w:rPr>
              <w:t>752.9</w:t>
            </w:r>
          </w:p>
        </w:tc>
        <w:tc>
          <w:tcPr>
            <w:tcW w:w="992" w:type="dxa"/>
            <w:tcBorders>
              <w:top w:val="nil"/>
              <w:left w:val="nil"/>
              <w:bottom w:val="nil"/>
              <w:right w:val="single" w:sz="8" w:space="0" w:color="auto"/>
            </w:tcBorders>
            <w:noWrap/>
            <w:vAlign w:val="center"/>
            <w:hideMark/>
          </w:tcPr>
          <w:p w14:paraId="406B3DA8" w14:textId="77777777" w:rsidR="007145AB" w:rsidRPr="004A66F0" w:rsidRDefault="007145AB" w:rsidP="00582CA7">
            <w:pPr>
              <w:spacing w:line="276" w:lineRule="auto"/>
              <w:contextualSpacing/>
              <w:jc w:val="center"/>
              <w:rPr>
                <w:sz w:val="18"/>
                <w:szCs w:val="18"/>
              </w:rPr>
            </w:pPr>
            <w:r w:rsidRPr="004A66F0">
              <w:rPr>
                <w:sz w:val="18"/>
                <w:szCs w:val="18"/>
              </w:rPr>
              <w:t>716.5</w:t>
            </w:r>
          </w:p>
        </w:tc>
        <w:tc>
          <w:tcPr>
            <w:tcW w:w="900" w:type="dxa"/>
            <w:tcBorders>
              <w:top w:val="nil"/>
              <w:left w:val="nil"/>
              <w:bottom w:val="nil"/>
              <w:right w:val="single" w:sz="8" w:space="0" w:color="auto"/>
            </w:tcBorders>
            <w:noWrap/>
            <w:vAlign w:val="center"/>
            <w:hideMark/>
          </w:tcPr>
          <w:p w14:paraId="6D293916" w14:textId="77777777" w:rsidR="007145AB" w:rsidRPr="004A66F0" w:rsidRDefault="007145AB" w:rsidP="00582CA7">
            <w:pPr>
              <w:spacing w:line="276" w:lineRule="auto"/>
              <w:contextualSpacing/>
              <w:jc w:val="center"/>
              <w:rPr>
                <w:sz w:val="18"/>
                <w:szCs w:val="18"/>
              </w:rPr>
            </w:pPr>
            <w:r w:rsidRPr="004A66F0">
              <w:rPr>
                <w:sz w:val="18"/>
                <w:szCs w:val="18"/>
              </w:rPr>
              <w:t>95.2</w:t>
            </w:r>
          </w:p>
        </w:tc>
      </w:tr>
      <w:tr w:rsidR="007145AB" w:rsidRPr="004A66F0" w14:paraId="0BA487B1" w14:textId="77777777" w:rsidTr="00E60EFC">
        <w:trPr>
          <w:trHeight w:val="190"/>
        </w:trPr>
        <w:tc>
          <w:tcPr>
            <w:tcW w:w="5954" w:type="dxa"/>
            <w:tcBorders>
              <w:top w:val="nil"/>
              <w:left w:val="single" w:sz="8" w:space="0" w:color="auto"/>
              <w:bottom w:val="nil"/>
              <w:right w:val="nil"/>
            </w:tcBorders>
            <w:vAlign w:val="center"/>
            <w:hideMark/>
          </w:tcPr>
          <w:p w14:paraId="01B8A698" w14:textId="77777777" w:rsidR="007145AB" w:rsidRPr="004A66F0" w:rsidRDefault="007145AB" w:rsidP="00582CA7">
            <w:pPr>
              <w:spacing w:line="276" w:lineRule="auto"/>
              <w:ind w:firstLineChars="200" w:firstLine="360"/>
              <w:contextualSpacing/>
              <w:rPr>
                <w:sz w:val="18"/>
                <w:szCs w:val="18"/>
              </w:rPr>
            </w:pPr>
            <w:r w:rsidRPr="004A66F0">
              <w:rPr>
                <w:sz w:val="18"/>
                <w:szCs w:val="18"/>
              </w:rPr>
              <w:t>Ministerio de Cultura y Deportes</w:t>
            </w:r>
          </w:p>
        </w:tc>
        <w:tc>
          <w:tcPr>
            <w:tcW w:w="1134" w:type="dxa"/>
            <w:tcBorders>
              <w:top w:val="nil"/>
              <w:left w:val="single" w:sz="8" w:space="0" w:color="auto"/>
              <w:bottom w:val="nil"/>
              <w:right w:val="single" w:sz="8" w:space="0" w:color="auto"/>
            </w:tcBorders>
            <w:noWrap/>
            <w:vAlign w:val="center"/>
            <w:hideMark/>
          </w:tcPr>
          <w:p w14:paraId="23DBCBC5" w14:textId="77777777" w:rsidR="007145AB" w:rsidRPr="004A66F0" w:rsidRDefault="007145AB" w:rsidP="00582CA7">
            <w:pPr>
              <w:spacing w:line="276" w:lineRule="auto"/>
              <w:contextualSpacing/>
              <w:jc w:val="center"/>
              <w:rPr>
                <w:sz w:val="18"/>
                <w:szCs w:val="18"/>
              </w:rPr>
            </w:pPr>
            <w:r w:rsidRPr="004A66F0">
              <w:rPr>
                <w:sz w:val="18"/>
                <w:szCs w:val="18"/>
              </w:rPr>
              <w:t>2.5</w:t>
            </w:r>
          </w:p>
        </w:tc>
        <w:tc>
          <w:tcPr>
            <w:tcW w:w="992" w:type="dxa"/>
            <w:tcBorders>
              <w:top w:val="nil"/>
              <w:left w:val="nil"/>
              <w:bottom w:val="nil"/>
              <w:right w:val="single" w:sz="8" w:space="0" w:color="auto"/>
            </w:tcBorders>
            <w:noWrap/>
            <w:vAlign w:val="center"/>
            <w:hideMark/>
          </w:tcPr>
          <w:p w14:paraId="42250109" w14:textId="77777777" w:rsidR="007145AB" w:rsidRPr="004A66F0" w:rsidRDefault="007145AB" w:rsidP="00582CA7">
            <w:pPr>
              <w:spacing w:line="276" w:lineRule="auto"/>
              <w:contextualSpacing/>
              <w:jc w:val="center"/>
              <w:rPr>
                <w:sz w:val="18"/>
                <w:szCs w:val="18"/>
              </w:rPr>
            </w:pPr>
            <w:r w:rsidRPr="004A66F0">
              <w:rPr>
                <w:sz w:val="18"/>
                <w:szCs w:val="18"/>
              </w:rPr>
              <w:t>2.5</w:t>
            </w:r>
          </w:p>
        </w:tc>
        <w:tc>
          <w:tcPr>
            <w:tcW w:w="900" w:type="dxa"/>
            <w:tcBorders>
              <w:top w:val="nil"/>
              <w:left w:val="nil"/>
              <w:bottom w:val="nil"/>
              <w:right w:val="single" w:sz="8" w:space="0" w:color="auto"/>
            </w:tcBorders>
            <w:noWrap/>
            <w:vAlign w:val="center"/>
            <w:hideMark/>
          </w:tcPr>
          <w:p w14:paraId="20A59727" w14:textId="77777777" w:rsidR="007145AB" w:rsidRPr="004A66F0" w:rsidRDefault="007145AB" w:rsidP="00582CA7">
            <w:pPr>
              <w:spacing w:line="276" w:lineRule="auto"/>
              <w:contextualSpacing/>
              <w:jc w:val="center"/>
              <w:rPr>
                <w:sz w:val="18"/>
                <w:szCs w:val="18"/>
              </w:rPr>
            </w:pPr>
            <w:r w:rsidRPr="004A66F0">
              <w:rPr>
                <w:sz w:val="18"/>
                <w:szCs w:val="18"/>
              </w:rPr>
              <w:t>99.6</w:t>
            </w:r>
          </w:p>
        </w:tc>
      </w:tr>
      <w:tr w:rsidR="007145AB" w:rsidRPr="004A66F0" w14:paraId="413F6980" w14:textId="77777777" w:rsidTr="00E60EFC">
        <w:trPr>
          <w:trHeight w:val="95"/>
        </w:trPr>
        <w:tc>
          <w:tcPr>
            <w:tcW w:w="5954" w:type="dxa"/>
            <w:tcBorders>
              <w:top w:val="nil"/>
              <w:left w:val="single" w:sz="8" w:space="0" w:color="auto"/>
              <w:bottom w:val="nil"/>
              <w:right w:val="nil"/>
            </w:tcBorders>
            <w:vAlign w:val="center"/>
            <w:hideMark/>
          </w:tcPr>
          <w:p w14:paraId="41F64095" w14:textId="77777777" w:rsidR="007145AB" w:rsidRPr="004A66F0" w:rsidRDefault="007145AB" w:rsidP="00582CA7">
            <w:pPr>
              <w:spacing w:line="276" w:lineRule="auto"/>
              <w:ind w:firstLineChars="200" w:firstLine="360"/>
              <w:contextualSpacing/>
              <w:rPr>
                <w:sz w:val="18"/>
                <w:szCs w:val="18"/>
              </w:rPr>
            </w:pPr>
            <w:r w:rsidRPr="004A66F0">
              <w:rPr>
                <w:sz w:val="18"/>
                <w:szCs w:val="18"/>
              </w:rPr>
              <w:t xml:space="preserve">Secretarías y Otras Dependencias del Ejecutivo </w:t>
            </w:r>
          </w:p>
        </w:tc>
        <w:tc>
          <w:tcPr>
            <w:tcW w:w="1134" w:type="dxa"/>
            <w:tcBorders>
              <w:top w:val="nil"/>
              <w:left w:val="single" w:sz="8" w:space="0" w:color="auto"/>
              <w:bottom w:val="nil"/>
              <w:right w:val="single" w:sz="8" w:space="0" w:color="auto"/>
            </w:tcBorders>
            <w:noWrap/>
            <w:vAlign w:val="center"/>
            <w:hideMark/>
          </w:tcPr>
          <w:p w14:paraId="1F185F36" w14:textId="77777777" w:rsidR="007145AB" w:rsidRPr="004A66F0" w:rsidRDefault="007145AB" w:rsidP="00582CA7">
            <w:pPr>
              <w:spacing w:line="276" w:lineRule="auto"/>
              <w:contextualSpacing/>
              <w:jc w:val="center"/>
              <w:rPr>
                <w:sz w:val="18"/>
                <w:szCs w:val="18"/>
              </w:rPr>
            </w:pPr>
            <w:r w:rsidRPr="004A66F0">
              <w:rPr>
                <w:sz w:val="18"/>
                <w:szCs w:val="18"/>
              </w:rPr>
              <w:t>1.5</w:t>
            </w:r>
          </w:p>
        </w:tc>
        <w:tc>
          <w:tcPr>
            <w:tcW w:w="992" w:type="dxa"/>
            <w:tcBorders>
              <w:top w:val="nil"/>
              <w:left w:val="nil"/>
              <w:bottom w:val="nil"/>
              <w:right w:val="single" w:sz="8" w:space="0" w:color="auto"/>
            </w:tcBorders>
            <w:noWrap/>
            <w:vAlign w:val="center"/>
            <w:hideMark/>
          </w:tcPr>
          <w:p w14:paraId="05094E3F" w14:textId="77777777" w:rsidR="007145AB" w:rsidRPr="004A66F0" w:rsidRDefault="007145AB" w:rsidP="00582CA7">
            <w:pPr>
              <w:spacing w:line="276" w:lineRule="auto"/>
              <w:contextualSpacing/>
              <w:jc w:val="center"/>
              <w:rPr>
                <w:sz w:val="18"/>
                <w:szCs w:val="18"/>
              </w:rPr>
            </w:pPr>
            <w:r w:rsidRPr="004A66F0">
              <w:rPr>
                <w:sz w:val="18"/>
                <w:szCs w:val="18"/>
              </w:rPr>
              <w:t>1.5</w:t>
            </w:r>
          </w:p>
        </w:tc>
        <w:tc>
          <w:tcPr>
            <w:tcW w:w="900" w:type="dxa"/>
            <w:tcBorders>
              <w:top w:val="nil"/>
              <w:left w:val="nil"/>
              <w:bottom w:val="nil"/>
              <w:right w:val="single" w:sz="8" w:space="0" w:color="auto"/>
            </w:tcBorders>
            <w:noWrap/>
            <w:vAlign w:val="center"/>
            <w:hideMark/>
          </w:tcPr>
          <w:p w14:paraId="510B8022" w14:textId="77777777" w:rsidR="007145AB" w:rsidRPr="004A66F0" w:rsidRDefault="007145AB" w:rsidP="00582CA7">
            <w:pPr>
              <w:spacing w:line="276" w:lineRule="auto"/>
              <w:contextualSpacing/>
              <w:jc w:val="center"/>
              <w:rPr>
                <w:sz w:val="18"/>
                <w:szCs w:val="18"/>
              </w:rPr>
            </w:pPr>
            <w:r w:rsidRPr="004A66F0">
              <w:rPr>
                <w:sz w:val="18"/>
                <w:szCs w:val="18"/>
              </w:rPr>
              <w:t>100.0</w:t>
            </w:r>
          </w:p>
        </w:tc>
      </w:tr>
      <w:tr w:rsidR="007145AB" w:rsidRPr="004A66F0" w14:paraId="1CEC5739" w14:textId="77777777" w:rsidTr="00E60EFC">
        <w:trPr>
          <w:trHeight w:val="126"/>
        </w:trPr>
        <w:tc>
          <w:tcPr>
            <w:tcW w:w="5954" w:type="dxa"/>
            <w:tcBorders>
              <w:top w:val="nil"/>
              <w:left w:val="single" w:sz="8" w:space="0" w:color="auto"/>
              <w:bottom w:val="nil"/>
              <w:right w:val="nil"/>
            </w:tcBorders>
            <w:vAlign w:val="center"/>
            <w:hideMark/>
          </w:tcPr>
          <w:p w14:paraId="38BF227A" w14:textId="77777777" w:rsidR="007145AB" w:rsidRPr="004A66F0" w:rsidRDefault="007145AB" w:rsidP="00582CA7">
            <w:pPr>
              <w:spacing w:line="276" w:lineRule="auto"/>
              <w:ind w:firstLineChars="200" w:firstLine="360"/>
              <w:contextualSpacing/>
              <w:rPr>
                <w:sz w:val="18"/>
                <w:szCs w:val="18"/>
              </w:rPr>
            </w:pPr>
            <w:r w:rsidRPr="004A66F0">
              <w:rPr>
                <w:sz w:val="18"/>
                <w:szCs w:val="18"/>
              </w:rPr>
              <w:t>Ministerio de Desarrollo Social</w:t>
            </w:r>
          </w:p>
        </w:tc>
        <w:tc>
          <w:tcPr>
            <w:tcW w:w="1134" w:type="dxa"/>
            <w:tcBorders>
              <w:top w:val="nil"/>
              <w:left w:val="single" w:sz="8" w:space="0" w:color="auto"/>
              <w:bottom w:val="nil"/>
              <w:right w:val="single" w:sz="8" w:space="0" w:color="auto"/>
            </w:tcBorders>
            <w:noWrap/>
            <w:vAlign w:val="center"/>
            <w:hideMark/>
          </w:tcPr>
          <w:p w14:paraId="179A6708" w14:textId="77777777" w:rsidR="007145AB" w:rsidRPr="004A66F0" w:rsidRDefault="007145AB" w:rsidP="00582CA7">
            <w:pPr>
              <w:spacing w:line="276" w:lineRule="auto"/>
              <w:contextualSpacing/>
              <w:jc w:val="center"/>
              <w:rPr>
                <w:sz w:val="18"/>
                <w:szCs w:val="18"/>
              </w:rPr>
            </w:pPr>
            <w:r w:rsidRPr="004A66F0">
              <w:rPr>
                <w:sz w:val="18"/>
                <w:szCs w:val="18"/>
              </w:rPr>
              <w:t>54.7</w:t>
            </w:r>
          </w:p>
        </w:tc>
        <w:tc>
          <w:tcPr>
            <w:tcW w:w="992" w:type="dxa"/>
            <w:tcBorders>
              <w:top w:val="nil"/>
              <w:left w:val="nil"/>
              <w:bottom w:val="nil"/>
              <w:right w:val="single" w:sz="8" w:space="0" w:color="auto"/>
            </w:tcBorders>
            <w:noWrap/>
            <w:vAlign w:val="center"/>
            <w:hideMark/>
          </w:tcPr>
          <w:p w14:paraId="196F670A" w14:textId="77777777" w:rsidR="007145AB" w:rsidRPr="004A66F0" w:rsidRDefault="007145AB" w:rsidP="00582CA7">
            <w:pPr>
              <w:spacing w:line="276" w:lineRule="auto"/>
              <w:contextualSpacing/>
              <w:jc w:val="center"/>
              <w:rPr>
                <w:sz w:val="18"/>
                <w:szCs w:val="18"/>
              </w:rPr>
            </w:pPr>
            <w:r w:rsidRPr="004A66F0">
              <w:rPr>
                <w:sz w:val="18"/>
                <w:szCs w:val="18"/>
              </w:rPr>
              <w:t>54.7</w:t>
            </w:r>
          </w:p>
        </w:tc>
        <w:tc>
          <w:tcPr>
            <w:tcW w:w="900" w:type="dxa"/>
            <w:tcBorders>
              <w:top w:val="nil"/>
              <w:left w:val="nil"/>
              <w:bottom w:val="nil"/>
              <w:right w:val="single" w:sz="8" w:space="0" w:color="auto"/>
            </w:tcBorders>
            <w:noWrap/>
            <w:vAlign w:val="center"/>
            <w:hideMark/>
          </w:tcPr>
          <w:p w14:paraId="61D0A8E6" w14:textId="77777777" w:rsidR="007145AB" w:rsidRPr="004A66F0" w:rsidRDefault="007145AB" w:rsidP="00582CA7">
            <w:pPr>
              <w:spacing w:line="276" w:lineRule="auto"/>
              <w:contextualSpacing/>
              <w:jc w:val="center"/>
              <w:rPr>
                <w:sz w:val="18"/>
                <w:szCs w:val="18"/>
              </w:rPr>
            </w:pPr>
            <w:r w:rsidRPr="004A66F0">
              <w:rPr>
                <w:sz w:val="18"/>
                <w:szCs w:val="18"/>
              </w:rPr>
              <w:t>100.0</w:t>
            </w:r>
          </w:p>
        </w:tc>
      </w:tr>
      <w:tr w:rsidR="007145AB" w:rsidRPr="004A66F0" w14:paraId="69E14F38" w14:textId="77777777" w:rsidTr="00E60EFC">
        <w:trPr>
          <w:trHeight w:val="446"/>
        </w:trPr>
        <w:tc>
          <w:tcPr>
            <w:tcW w:w="5954"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hideMark/>
          </w:tcPr>
          <w:p w14:paraId="31DAED1D" w14:textId="77777777" w:rsidR="007145AB" w:rsidRPr="004A66F0" w:rsidRDefault="007145AB" w:rsidP="00582CA7">
            <w:pPr>
              <w:spacing w:line="276" w:lineRule="auto"/>
              <w:contextualSpacing/>
              <w:jc w:val="center"/>
              <w:rPr>
                <w:b/>
                <w:bCs/>
                <w:sz w:val="18"/>
                <w:szCs w:val="18"/>
              </w:rPr>
            </w:pPr>
            <w:r w:rsidRPr="004A66F0">
              <w:rPr>
                <w:b/>
                <w:bCs/>
                <w:sz w:val="18"/>
                <w:szCs w:val="18"/>
              </w:rPr>
              <w:t>Subprograma 15 Estado de Calamidad Pública por los efectos de la época lluviosa y el ciclón tropical Julia</w:t>
            </w:r>
          </w:p>
        </w:tc>
        <w:tc>
          <w:tcPr>
            <w:tcW w:w="1134" w:type="dxa"/>
            <w:tcBorders>
              <w:top w:val="single" w:sz="8" w:space="0" w:color="auto"/>
              <w:left w:val="nil"/>
              <w:bottom w:val="single" w:sz="8" w:space="0" w:color="auto"/>
              <w:right w:val="single" w:sz="8" w:space="0" w:color="auto"/>
            </w:tcBorders>
            <w:shd w:val="clear" w:color="auto" w:fill="F2F2F2" w:themeFill="background1" w:themeFillShade="F2"/>
            <w:noWrap/>
            <w:vAlign w:val="center"/>
            <w:hideMark/>
          </w:tcPr>
          <w:p w14:paraId="36C74F59" w14:textId="77777777" w:rsidR="007145AB" w:rsidRPr="004A66F0" w:rsidRDefault="007145AB" w:rsidP="00582CA7">
            <w:pPr>
              <w:spacing w:line="276" w:lineRule="auto"/>
              <w:contextualSpacing/>
              <w:jc w:val="center"/>
              <w:rPr>
                <w:b/>
                <w:bCs/>
                <w:sz w:val="18"/>
                <w:szCs w:val="18"/>
              </w:rPr>
            </w:pPr>
            <w:r w:rsidRPr="004A66F0">
              <w:rPr>
                <w:b/>
                <w:bCs/>
                <w:sz w:val="18"/>
                <w:szCs w:val="18"/>
              </w:rPr>
              <w:t>779.5</w:t>
            </w:r>
          </w:p>
        </w:tc>
        <w:tc>
          <w:tcPr>
            <w:tcW w:w="992" w:type="dxa"/>
            <w:tcBorders>
              <w:top w:val="single" w:sz="8" w:space="0" w:color="auto"/>
              <w:left w:val="nil"/>
              <w:bottom w:val="single" w:sz="8" w:space="0" w:color="auto"/>
              <w:right w:val="single" w:sz="8" w:space="0" w:color="auto"/>
            </w:tcBorders>
            <w:shd w:val="clear" w:color="auto" w:fill="F2F2F2" w:themeFill="background1" w:themeFillShade="F2"/>
            <w:noWrap/>
            <w:vAlign w:val="center"/>
            <w:hideMark/>
          </w:tcPr>
          <w:p w14:paraId="173BCCB2" w14:textId="77777777" w:rsidR="007145AB" w:rsidRPr="004A66F0" w:rsidRDefault="007145AB" w:rsidP="00582CA7">
            <w:pPr>
              <w:spacing w:line="276" w:lineRule="auto"/>
              <w:contextualSpacing/>
              <w:jc w:val="center"/>
              <w:rPr>
                <w:b/>
                <w:bCs/>
                <w:sz w:val="18"/>
                <w:szCs w:val="18"/>
              </w:rPr>
            </w:pPr>
            <w:r w:rsidRPr="004A66F0">
              <w:rPr>
                <w:b/>
                <w:bCs/>
                <w:sz w:val="18"/>
                <w:szCs w:val="18"/>
              </w:rPr>
              <w:t>733.2</w:t>
            </w:r>
          </w:p>
        </w:tc>
        <w:tc>
          <w:tcPr>
            <w:tcW w:w="900" w:type="dxa"/>
            <w:tcBorders>
              <w:top w:val="single" w:sz="8" w:space="0" w:color="auto"/>
              <w:left w:val="nil"/>
              <w:bottom w:val="single" w:sz="8" w:space="0" w:color="auto"/>
              <w:right w:val="single" w:sz="8" w:space="0" w:color="auto"/>
            </w:tcBorders>
            <w:shd w:val="clear" w:color="auto" w:fill="F2F2F2" w:themeFill="background1" w:themeFillShade="F2"/>
            <w:noWrap/>
            <w:vAlign w:val="center"/>
            <w:hideMark/>
          </w:tcPr>
          <w:p w14:paraId="6C288774" w14:textId="77777777" w:rsidR="007145AB" w:rsidRPr="004A66F0" w:rsidRDefault="007145AB" w:rsidP="00582CA7">
            <w:pPr>
              <w:spacing w:line="276" w:lineRule="auto"/>
              <w:contextualSpacing/>
              <w:jc w:val="center"/>
              <w:rPr>
                <w:b/>
                <w:bCs/>
                <w:sz w:val="18"/>
                <w:szCs w:val="18"/>
              </w:rPr>
            </w:pPr>
            <w:r w:rsidRPr="004A66F0">
              <w:rPr>
                <w:b/>
                <w:bCs/>
                <w:sz w:val="18"/>
                <w:szCs w:val="18"/>
              </w:rPr>
              <w:t>94.1</w:t>
            </w:r>
          </w:p>
        </w:tc>
      </w:tr>
      <w:tr w:rsidR="007145AB" w:rsidRPr="004A66F0" w14:paraId="6F369673" w14:textId="77777777" w:rsidTr="00E60EFC">
        <w:trPr>
          <w:trHeight w:val="88"/>
        </w:trPr>
        <w:tc>
          <w:tcPr>
            <w:tcW w:w="5954" w:type="dxa"/>
            <w:tcBorders>
              <w:top w:val="nil"/>
              <w:left w:val="single" w:sz="8" w:space="0" w:color="auto"/>
              <w:bottom w:val="nil"/>
              <w:right w:val="single" w:sz="8" w:space="0" w:color="auto"/>
            </w:tcBorders>
            <w:vAlign w:val="center"/>
            <w:hideMark/>
          </w:tcPr>
          <w:p w14:paraId="03A90EB5" w14:textId="77777777" w:rsidR="007145AB" w:rsidRPr="004A66F0" w:rsidRDefault="007145AB" w:rsidP="00582CA7">
            <w:pPr>
              <w:spacing w:line="276" w:lineRule="auto"/>
              <w:ind w:firstLineChars="200" w:firstLine="360"/>
              <w:contextualSpacing/>
              <w:rPr>
                <w:sz w:val="18"/>
                <w:szCs w:val="18"/>
              </w:rPr>
            </w:pPr>
            <w:r w:rsidRPr="004A66F0">
              <w:rPr>
                <w:sz w:val="18"/>
                <w:szCs w:val="18"/>
              </w:rPr>
              <w:t>Ministerio de la Defensa Nacional</w:t>
            </w:r>
          </w:p>
        </w:tc>
        <w:tc>
          <w:tcPr>
            <w:tcW w:w="1134" w:type="dxa"/>
            <w:tcBorders>
              <w:top w:val="nil"/>
              <w:left w:val="nil"/>
              <w:bottom w:val="nil"/>
              <w:right w:val="single" w:sz="8" w:space="0" w:color="auto"/>
            </w:tcBorders>
            <w:noWrap/>
            <w:vAlign w:val="center"/>
            <w:hideMark/>
          </w:tcPr>
          <w:p w14:paraId="07A5F6CC" w14:textId="77777777" w:rsidR="007145AB" w:rsidRPr="004A66F0" w:rsidRDefault="007145AB" w:rsidP="00582CA7">
            <w:pPr>
              <w:spacing w:line="276" w:lineRule="auto"/>
              <w:contextualSpacing/>
              <w:jc w:val="center"/>
              <w:rPr>
                <w:sz w:val="18"/>
                <w:szCs w:val="18"/>
              </w:rPr>
            </w:pPr>
            <w:r w:rsidRPr="004A66F0">
              <w:rPr>
                <w:sz w:val="18"/>
                <w:szCs w:val="18"/>
              </w:rPr>
              <w:t>2.9</w:t>
            </w:r>
          </w:p>
        </w:tc>
        <w:tc>
          <w:tcPr>
            <w:tcW w:w="992" w:type="dxa"/>
            <w:tcBorders>
              <w:top w:val="nil"/>
              <w:left w:val="nil"/>
              <w:bottom w:val="nil"/>
              <w:right w:val="single" w:sz="8" w:space="0" w:color="auto"/>
            </w:tcBorders>
            <w:noWrap/>
            <w:vAlign w:val="center"/>
            <w:hideMark/>
          </w:tcPr>
          <w:p w14:paraId="04F996B4" w14:textId="77777777" w:rsidR="007145AB" w:rsidRPr="004A66F0" w:rsidRDefault="007145AB" w:rsidP="00582CA7">
            <w:pPr>
              <w:spacing w:line="276" w:lineRule="auto"/>
              <w:contextualSpacing/>
              <w:jc w:val="center"/>
              <w:rPr>
                <w:sz w:val="18"/>
                <w:szCs w:val="18"/>
              </w:rPr>
            </w:pPr>
            <w:r w:rsidRPr="004A66F0">
              <w:rPr>
                <w:sz w:val="18"/>
                <w:szCs w:val="18"/>
              </w:rPr>
              <w:t>2.9</w:t>
            </w:r>
          </w:p>
        </w:tc>
        <w:tc>
          <w:tcPr>
            <w:tcW w:w="900" w:type="dxa"/>
            <w:tcBorders>
              <w:top w:val="nil"/>
              <w:left w:val="nil"/>
              <w:bottom w:val="nil"/>
              <w:right w:val="single" w:sz="8" w:space="0" w:color="auto"/>
            </w:tcBorders>
            <w:noWrap/>
            <w:vAlign w:val="center"/>
            <w:hideMark/>
          </w:tcPr>
          <w:p w14:paraId="76171968" w14:textId="77777777" w:rsidR="007145AB" w:rsidRPr="004A66F0" w:rsidRDefault="007145AB" w:rsidP="00582CA7">
            <w:pPr>
              <w:spacing w:line="276" w:lineRule="auto"/>
              <w:contextualSpacing/>
              <w:jc w:val="center"/>
              <w:rPr>
                <w:sz w:val="18"/>
                <w:szCs w:val="18"/>
              </w:rPr>
            </w:pPr>
            <w:r w:rsidRPr="004A66F0">
              <w:rPr>
                <w:sz w:val="18"/>
                <w:szCs w:val="18"/>
              </w:rPr>
              <w:t>100.0</w:t>
            </w:r>
          </w:p>
        </w:tc>
      </w:tr>
      <w:tr w:rsidR="007145AB" w:rsidRPr="004A66F0" w14:paraId="384ADB82" w14:textId="77777777" w:rsidTr="00E60EFC">
        <w:trPr>
          <w:trHeight w:val="126"/>
        </w:trPr>
        <w:tc>
          <w:tcPr>
            <w:tcW w:w="5954" w:type="dxa"/>
            <w:tcBorders>
              <w:top w:val="nil"/>
              <w:left w:val="single" w:sz="8" w:space="0" w:color="auto"/>
              <w:bottom w:val="nil"/>
              <w:right w:val="single" w:sz="8" w:space="0" w:color="auto"/>
            </w:tcBorders>
            <w:vAlign w:val="center"/>
            <w:hideMark/>
          </w:tcPr>
          <w:p w14:paraId="1C36BABB" w14:textId="77777777" w:rsidR="007145AB" w:rsidRPr="004A66F0" w:rsidRDefault="007145AB" w:rsidP="00582CA7">
            <w:pPr>
              <w:spacing w:line="276" w:lineRule="auto"/>
              <w:ind w:firstLineChars="200" w:firstLine="360"/>
              <w:contextualSpacing/>
              <w:rPr>
                <w:sz w:val="18"/>
                <w:szCs w:val="18"/>
              </w:rPr>
            </w:pPr>
            <w:r w:rsidRPr="004A66F0">
              <w:rPr>
                <w:sz w:val="18"/>
                <w:szCs w:val="18"/>
              </w:rPr>
              <w:t>Ministerio de Educación</w:t>
            </w:r>
          </w:p>
        </w:tc>
        <w:tc>
          <w:tcPr>
            <w:tcW w:w="1134" w:type="dxa"/>
            <w:tcBorders>
              <w:top w:val="nil"/>
              <w:left w:val="nil"/>
              <w:bottom w:val="nil"/>
              <w:right w:val="single" w:sz="8" w:space="0" w:color="auto"/>
            </w:tcBorders>
            <w:noWrap/>
            <w:vAlign w:val="center"/>
            <w:hideMark/>
          </w:tcPr>
          <w:p w14:paraId="7AA662A2" w14:textId="77777777" w:rsidR="007145AB" w:rsidRPr="004A66F0" w:rsidRDefault="007145AB" w:rsidP="00582CA7">
            <w:pPr>
              <w:spacing w:line="276" w:lineRule="auto"/>
              <w:contextualSpacing/>
              <w:jc w:val="center"/>
              <w:rPr>
                <w:sz w:val="18"/>
                <w:szCs w:val="18"/>
              </w:rPr>
            </w:pPr>
            <w:r w:rsidRPr="004A66F0">
              <w:rPr>
                <w:sz w:val="18"/>
                <w:szCs w:val="18"/>
              </w:rPr>
              <w:t>13.9</w:t>
            </w:r>
          </w:p>
        </w:tc>
        <w:tc>
          <w:tcPr>
            <w:tcW w:w="992" w:type="dxa"/>
            <w:tcBorders>
              <w:top w:val="nil"/>
              <w:left w:val="nil"/>
              <w:bottom w:val="nil"/>
              <w:right w:val="single" w:sz="8" w:space="0" w:color="auto"/>
            </w:tcBorders>
            <w:noWrap/>
            <w:vAlign w:val="center"/>
            <w:hideMark/>
          </w:tcPr>
          <w:p w14:paraId="5C22E4B9" w14:textId="77777777" w:rsidR="007145AB" w:rsidRPr="004A66F0" w:rsidRDefault="007145AB" w:rsidP="00582CA7">
            <w:pPr>
              <w:spacing w:line="276" w:lineRule="auto"/>
              <w:contextualSpacing/>
              <w:jc w:val="center"/>
              <w:rPr>
                <w:sz w:val="18"/>
                <w:szCs w:val="18"/>
              </w:rPr>
            </w:pPr>
            <w:r w:rsidRPr="004A66F0">
              <w:rPr>
                <w:sz w:val="18"/>
                <w:szCs w:val="18"/>
              </w:rPr>
              <w:t>13.6</w:t>
            </w:r>
          </w:p>
        </w:tc>
        <w:tc>
          <w:tcPr>
            <w:tcW w:w="900" w:type="dxa"/>
            <w:tcBorders>
              <w:top w:val="nil"/>
              <w:left w:val="nil"/>
              <w:bottom w:val="nil"/>
              <w:right w:val="single" w:sz="8" w:space="0" w:color="auto"/>
            </w:tcBorders>
            <w:noWrap/>
            <w:vAlign w:val="center"/>
            <w:hideMark/>
          </w:tcPr>
          <w:p w14:paraId="41AD816C" w14:textId="77777777" w:rsidR="007145AB" w:rsidRPr="004A66F0" w:rsidRDefault="007145AB" w:rsidP="00582CA7">
            <w:pPr>
              <w:spacing w:line="276" w:lineRule="auto"/>
              <w:contextualSpacing/>
              <w:jc w:val="center"/>
              <w:rPr>
                <w:sz w:val="18"/>
                <w:szCs w:val="18"/>
              </w:rPr>
            </w:pPr>
            <w:r w:rsidRPr="004A66F0">
              <w:rPr>
                <w:sz w:val="18"/>
                <w:szCs w:val="18"/>
              </w:rPr>
              <w:t>98.1</w:t>
            </w:r>
          </w:p>
        </w:tc>
      </w:tr>
      <w:tr w:rsidR="007145AB" w:rsidRPr="004A66F0" w14:paraId="4F400EC9" w14:textId="77777777" w:rsidTr="00E60EFC">
        <w:trPr>
          <w:trHeight w:val="186"/>
        </w:trPr>
        <w:tc>
          <w:tcPr>
            <w:tcW w:w="5954" w:type="dxa"/>
            <w:tcBorders>
              <w:top w:val="nil"/>
              <w:left w:val="single" w:sz="8" w:space="0" w:color="auto"/>
              <w:bottom w:val="nil"/>
              <w:right w:val="single" w:sz="8" w:space="0" w:color="auto"/>
            </w:tcBorders>
            <w:vAlign w:val="center"/>
            <w:hideMark/>
          </w:tcPr>
          <w:p w14:paraId="2AD3EAD0" w14:textId="77777777" w:rsidR="007145AB" w:rsidRPr="004A66F0" w:rsidRDefault="007145AB" w:rsidP="00582CA7">
            <w:pPr>
              <w:spacing w:line="276" w:lineRule="auto"/>
              <w:ind w:firstLineChars="200" w:firstLine="360"/>
              <w:contextualSpacing/>
              <w:rPr>
                <w:sz w:val="18"/>
                <w:szCs w:val="18"/>
              </w:rPr>
            </w:pPr>
            <w:r w:rsidRPr="004A66F0">
              <w:rPr>
                <w:sz w:val="18"/>
                <w:szCs w:val="18"/>
              </w:rPr>
              <w:t>Ministerio de Salud Pública y Asistencia Social</w:t>
            </w:r>
          </w:p>
        </w:tc>
        <w:tc>
          <w:tcPr>
            <w:tcW w:w="1134" w:type="dxa"/>
            <w:tcBorders>
              <w:top w:val="nil"/>
              <w:left w:val="nil"/>
              <w:bottom w:val="nil"/>
              <w:right w:val="single" w:sz="8" w:space="0" w:color="auto"/>
            </w:tcBorders>
            <w:noWrap/>
            <w:vAlign w:val="center"/>
            <w:hideMark/>
          </w:tcPr>
          <w:p w14:paraId="1EE3E636" w14:textId="77777777" w:rsidR="007145AB" w:rsidRPr="004A66F0" w:rsidRDefault="007145AB" w:rsidP="00582CA7">
            <w:pPr>
              <w:spacing w:line="276" w:lineRule="auto"/>
              <w:contextualSpacing/>
              <w:jc w:val="center"/>
              <w:rPr>
                <w:sz w:val="18"/>
                <w:szCs w:val="18"/>
              </w:rPr>
            </w:pPr>
            <w:r w:rsidRPr="004A66F0">
              <w:rPr>
                <w:sz w:val="18"/>
                <w:szCs w:val="18"/>
              </w:rPr>
              <w:t>9.4</w:t>
            </w:r>
          </w:p>
        </w:tc>
        <w:tc>
          <w:tcPr>
            <w:tcW w:w="992" w:type="dxa"/>
            <w:tcBorders>
              <w:top w:val="nil"/>
              <w:left w:val="nil"/>
              <w:bottom w:val="nil"/>
              <w:right w:val="single" w:sz="8" w:space="0" w:color="auto"/>
            </w:tcBorders>
            <w:noWrap/>
            <w:vAlign w:val="center"/>
            <w:hideMark/>
          </w:tcPr>
          <w:p w14:paraId="28036562" w14:textId="77777777" w:rsidR="007145AB" w:rsidRPr="004A66F0" w:rsidRDefault="007145AB" w:rsidP="00582CA7">
            <w:pPr>
              <w:spacing w:line="276" w:lineRule="auto"/>
              <w:contextualSpacing/>
              <w:jc w:val="center"/>
              <w:rPr>
                <w:sz w:val="18"/>
                <w:szCs w:val="18"/>
              </w:rPr>
            </w:pPr>
            <w:r w:rsidRPr="004A66F0">
              <w:rPr>
                <w:sz w:val="18"/>
                <w:szCs w:val="18"/>
              </w:rPr>
              <w:t>6.8</w:t>
            </w:r>
          </w:p>
        </w:tc>
        <w:tc>
          <w:tcPr>
            <w:tcW w:w="900" w:type="dxa"/>
            <w:tcBorders>
              <w:top w:val="nil"/>
              <w:left w:val="nil"/>
              <w:bottom w:val="nil"/>
              <w:right w:val="single" w:sz="8" w:space="0" w:color="auto"/>
            </w:tcBorders>
            <w:noWrap/>
            <w:vAlign w:val="center"/>
            <w:hideMark/>
          </w:tcPr>
          <w:p w14:paraId="25552A2F" w14:textId="77777777" w:rsidR="007145AB" w:rsidRPr="004A66F0" w:rsidRDefault="007145AB" w:rsidP="00582CA7">
            <w:pPr>
              <w:spacing w:line="276" w:lineRule="auto"/>
              <w:contextualSpacing/>
              <w:jc w:val="center"/>
              <w:rPr>
                <w:sz w:val="18"/>
                <w:szCs w:val="18"/>
              </w:rPr>
            </w:pPr>
            <w:r w:rsidRPr="004A66F0">
              <w:rPr>
                <w:sz w:val="18"/>
                <w:szCs w:val="18"/>
              </w:rPr>
              <w:t>71.5</w:t>
            </w:r>
          </w:p>
        </w:tc>
      </w:tr>
      <w:tr w:rsidR="007145AB" w:rsidRPr="004A66F0" w14:paraId="24BFABC4" w14:textId="77777777" w:rsidTr="00E60EFC">
        <w:trPr>
          <w:trHeight w:val="91"/>
        </w:trPr>
        <w:tc>
          <w:tcPr>
            <w:tcW w:w="5954" w:type="dxa"/>
            <w:tcBorders>
              <w:top w:val="nil"/>
              <w:left w:val="single" w:sz="8" w:space="0" w:color="auto"/>
              <w:bottom w:val="nil"/>
              <w:right w:val="single" w:sz="8" w:space="0" w:color="auto"/>
            </w:tcBorders>
            <w:vAlign w:val="center"/>
            <w:hideMark/>
          </w:tcPr>
          <w:p w14:paraId="67841A52" w14:textId="77777777" w:rsidR="007145AB" w:rsidRPr="004A66F0" w:rsidRDefault="007145AB" w:rsidP="00582CA7">
            <w:pPr>
              <w:spacing w:line="276" w:lineRule="auto"/>
              <w:ind w:firstLineChars="200" w:firstLine="360"/>
              <w:contextualSpacing/>
              <w:rPr>
                <w:sz w:val="18"/>
                <w:szCs w:val="18"/>
              </w:rPr>
            </w:pPr>
            <w:r w:rsidRPr="004A66F0">
              <w:rPr>
                <w:sz w:val="18"/>
                <w:szCs w:val="18"/>
              </w:rPr>
              <w:t>Ministerio de Agricultura, Ganadería y Alimentación</w:t>
            </w:r>
          </w:p>
        </w:tc>
        <w:tc>
          <w:tcPr>
            <w:tcW w:w="1134" w:type="dxa"/>
            <w:tcBorders>
              <w:top w:val="nil"/>
              <w:left w:val="nil"/>
              <w:bottom w:val="nil"/>
              <w:right w:val="single" w:sz="8" w:space="0" w:color="auto"/>
            </w:tcBorders>
            <w:noWrap/>
            <w:vAlign w:val="center"/>
            <w:hideMark/>
          </w:tcPr>
          <w:p w14:paraId="51F2ABCE" w14:textId="77777777" w:rsidR="007145AB" w:rsidRPr="004A66F0" w:rsidRDefault="007145AB" w:rsidP="00582CA7">
            <w:pPr>
              <w:spacing w:line="276" w:lineRule="auto"/>
              <w:contextualSpacing/>
              <w:jc w:val="center"/>
              <w:rPr>
                <w:sz w:val="18"/>
                <w:szCs w:val="18"/>
              </w:rPr>
            </w:pPr>
            <w:r w:rsidRPr="004A66F0">
              <w:rPr>
                <w:sz w:val="18"/>
                <w:szCs w:val="18"/>
              </w:rPr>
              <w:t>78.7</w:t>
            </w:r>
          </w:p>
        </w:tc>
        <w:tc>
          <w:tcPr>
            <w:tcW w:w="992" w:type="dxa"/>
            <w:tcBorders>
              <w:top w:val="nil"/>
              <w:left w:val="nil"/>
              <w:bottom w:val="nil"/>
              <w:right w:val="single" w:sz="8" w:space="0" w:color="auto"/>
            </w:tcBorders>
            <w:noWrap/>
            <w:vAlign w:val="center"/>
            <w:hideMark/>
          </w:tcPr>
          <w:p w14:paraId="65B5ECE1" w14:textId="77777777" w:rsidR="007145AB" w:rsidRPr="004A66F0" w:rsidRDefault="007145AB" w:rsidP="00582CA7">
            <w:pPr>
              <w:spacing w:line="276" w:lineRule="auto"/>
              <w:contextualSpacing/>
              <w:jc w:val="center"/>
              <w:rPr>
                <w:sz w:val="18"/>
                <w:szCs w:val="18"/>
              </w:rPr>
            </w:pPr>
            <w:r w:rsidRPr="004A66F0">
              <w:rPr>
                <w:sz w:val="18"/>
                <w:szCs w:val="18"/>
              </w:rPr>
              <w:t>46.0</w:t>
            </w:r>
          </w:p>
        </w:tc>
        <w:tc>
          <w:tcPr>
            <w:tcW w:w="900" w:type="dxa"/>
            <w:tcBorders>
              <w:top w:val="nil"/>
              <w:left w:val="nil"/>
              <w:bottom w:val="nil"/>
              <w:right w:val="single" w:sz="8" w:space="0" w:color="auto"/>
            </w:tcBorders>
            <w:noWrap/>
            <w:vAlign w:val="center"/>
            <w:hideMark/>
          </w:tcPr>
          <w:p w14:paraId="0F4D54EC" w14:textId="77777777" w:rsidR="007145AB" w:rsidRPr="004A66F0" w:rsidRDefault="007145AB" w:rsidP="00582CA7">
            <w:pPr>
              <w:spacing w:line="276" w:lineRule="auto"/>
              <w:contextualSpacing/>
              <w:jc w:val="center"/>
              <w:rPr>
                <w:sz w:val="18"/>
                <w:szCs w:val="18"/>
              </w:rPr>
            </w:pPr>
            <w:r w:rsidRPr="004A66F0">
              <w:rPr>
                <w:sz w:val="18"/>
                <w:szCs w:val="18"/>
              </w:rPr>
              <w:t>58.4</w:t>
            </w:r>
          </w:p>
        </w:tc>
      </w:tr>
      <w:tr w:rsidR="007145AB" w:rsidRPr="004A66F0" w14:paraId="553D6AD6" w14:textId="77777777" w:rsidTr="00E60EFC">
        <w:trPr>
          <w:trHeight w:val="122"/>
        </w:trPr>
        <w:tc>
          <w:tcPr>
            <w:tcW w:w="5954" w:type="dxa"/>
            <w:tcBorders>
              <w:top w:val="nil"/>
              <w:left w:val="single" w:sz="8" w:space="0" w:color="auto"/>
              <w:bottom w:val="nil"/>
              <w:right w:val="single" w:sz="8" w:space="0" w:color="auto"/>
            </w:tcBorders>
            <w:vAlign w:val="center"/>
            <w:hideMark/>
          </w:tcPr>
          <w:p w14:paraId="682D435C" w14:textId="021845BD" w:rsidR="007145AB" w:rsidRPr="004A66F0" w:rsidRDefault="007145AB" w:rsidP="00582CA7">
            <w:pPr>
              <w:spacing w:line="276" w:lineRule="auto"/>
              <w:ind w:firstLineChars="200" w:firstLine="360"/>
              <w:contextualSpacing/>
              <w:rPr>
                <w:sz w:val="18"/>
                <w:szCs w:val="18"/>
              </w:rPr>
            </w:pPr>
            <w:r w:rsidRPr="004A66F0">
              <w:rPr>
                <w:sz w:val="18"/>
                <w:szCs w:val="18"/>
              </w:rPr>
              <w:t xml:space="preserve">Ministerio de Comunicaciones, Infraestructura </w:t>
            </w:r>
            <w:r w:rsidR="006C707E">
              <w:rPr>
                <w:sz w:val="18"/>
                <w:szCs w:val="18"/>
              </w:rPr>
              <w:t xml:space="preserve">y </w:t>
            </w:r>
            <w:r w:rsidRPr="004A66F0">
              <w:rPr>
                <w:sz w:val="18"/>
                <w:szCs w:val="18"/>
              </w:rPr>
              <w:t>Vivienda</w:t>
            </w:r>
          </w:p>
        </w:tc>
        <w:tc>
          <w:tcPr>
            <w:tcW w:w="1134" w:type="dxa"/>
            <w:tcBorders>
              <w:top w:val="nil"/>
              <w:left w:val="nil"/>
              <w:bottom w:val="nil"/>
              <w:right w:val="single" w:sz="8" w:space="0" w:color="auto"/>
            </w:tcBorders>
            <w:noWrap/>
            <w:vAlign w:val="center"/>
            <w:hideMark/>
          </w:tcPr>
          <w:p w14:paraId="2B7E135D" w14:textId="77777777" w:rsidR="007145AB" w:rsidRPr="004A66F0" w:rsidRDefault="007145AB" w:rsidP="00582CA7">
            <w:pPr>
              <w:spacing w:line="276" w:lineRule="auto"/>
              <w:contextualSpacing/>
              <w:jc w:val="center"/>
              <w:rPr>
                <w:sz w:val="18"/>
                <w:szCs w:val="18"/>
              </w:rPr>
            </w:pPr>
            <w:r w:rsidRPr="004A66F0">
              <w:rPr>
                <w:sz w:val="18"/>
                <w:szCs w:val="18"/>
              </w:rPr>
              <w:t>635.4</w:t>
            </w:r>
          </w:p>
        </w:tc>
        <w:tc>
          <w:tcPr>
            <w:tcW w:w="992" w:type="dxa"/>
            <w:tcBorders>
              <w:top w:val="nil"/>
              <w:left w:val="nil"/>
              <w:bottom w:val="nil"/>
              <w:right w:val="single" w:sz="8" w:space="0" w:color="auto"/>
            </w:tcBorders>
            <w:noWrap/>
            <w:vAlign w:val="center"/>
            <w:hideMark/>
          </w:tcPr>
          <w:p w14:paraId="1EB9A2B1" w14:textId="77777777" w:rsidR="007145AB" w:rsidRPr="004A66F0" w:rsidRDefault="007145AB" w:rsidP="00582CA7">
            <w:pPr>
              <w:spacing w:line="276" w:lineRule="auto"/>
              <w:contextualSpacing/>
              <w:jc w:val="center"/>
              <w:rPr>
                <w:sz w:val="18"/>
                <w:szCs w:val="18"/>
              </w:rPr>
            </w:pPr>
            <w:r w:rsidRPr="004A66F0">
              <w:rPr>
                <w:sz w:val="18"/>
                <w:szCs w:val="18"/>
              </w:rPr>
              <w:t>624.9</w:t>
            </w:r>
          </w:p>
        </w:tc>
        <w:tc>
          <w:tcPr>
            <w:tcW w:w="900" w:type="dxa"/>
            <w:tcBorders>
              <w:top w:val="nil"/>
              <w:left w:val="nil"/>
              <w:bottom w:val="nil"/>
              <w:right w:val="single" w:sz="8" w:space="0" w:color="auto"/>
            </w:tcBorders>
            <w:noWrap/>
            <w:vAlign w:val="center"/>
            <w:hideMark/>
          </w:tcPr>
          <w:p w14:paraId="52A313DA" w14:textId="77777777" w:rsidR="007145AB" w:rsidRPr="004A66F0" w:rsidRDefault="007145AB" w:rsidP="00582CA7">
            <w:pPr>
              <w:spacing w:line="276" w:lineRule="auto"/>
              <w:contextualSpacing/>
              <w:jc w:val="center"/>
              <w:rPr>
                <w:sz w:val="18"/>
                <w:szCs w:val="18"/>
              </w:rPr>
            </w:pPr>
            <w:r w:rsidRPr="004A66F0">
              <w:rPr>
                <w:sz w:val="18"/>
                <w:szCs w:val="18"/>
              </w:rPr>
              <w:t>98.3</w:t>
            </w:r>
          </w:p>
        </w:tc>
      </w:tr>
      <w:tr w:rsidR="007145AB" w:rsidRPr="004A66F0" w14:paraId="134966D6" w14:textId="77777777" w:rsidTr="00E60EFC">
        <w:trPr>
          <w:trHeight w:val="182"/>
        </w:trPr>
        <w:tc>
          <w:tcPr>
            <w:tcW w:w="5954" w:type="dxa"/>
            <w:tcBorders>
              <w:top w:val="nil"/>
              <w:left w:val="single" w:sz="8" w:space="0" w:color="auto"/>
              <w:bottom w:val="single" w:sz="8" w:space="0" w:color="auto"/>
              <w:right w:val="single" w:sz="8" w:space="0" w:color="auto"/>
            </w:tcBorders>
            <w:vAlign w:val="center"/>
            <w:hideMark/>
          </w:tcPr>
          <w:p w14:paraId="30386903" w14:textId="77777777" w:rsidR="007145AB" w:rsidRPr="004A66F0" w:rsidRDefault="007145AB" w:rsidP="00582CA7">
            <w:pPr>
              <w:spacing w:line="276" w:lineRule="auto"/>
              <w:ind w:firstLineChars="200" w:firstLine="360"/>
              <w:contextualSpacing/>
              <w:rPr>
                <w:sz w:val="18"/>
                <w:szCs w:val="18"/>
              </w:rPr>
            </w:pPr>
            <w:r w:rsidRPr="004A66F0">
              <w:rPr>
                <w:sz w:val="18"/>
                <w:szCs w:val="18"/>
              </w:rPr>
              <w:t>Ministerio de Desarrollo Social</w:t>
            </w:r>
          </w:p>
        </w:tc>
        <w:tc>
          <w:tcPr>
            <w:tcW w:w="1134" w:type="dxa"/>
            <w:tcBorders>
              <w:top w:val="nil"/>
              <w:left w:val="nil"/>
              <w:bottom w:val="single" w:sz="8" w:space="0" w:color="auto"/>
              <w:right w:val="single" w:sz="8" w:space="0" w:color="auto"/>
            </w:tcBorders>
            <w:noWrap/>
            <w:vAlign w:val="center"/>
            <w:hideMark/>
          </w:tcPr>
          <w:p w14:paraId="7F2166B0" w14:textId="77777777" w:rsidR="007145AB" w:rsidRPr="004A66F0" w:rsidRDefault="007145AB" w:rsidP="00582CA7">
            <w:pPr>
              <w:spacing w:line="276" w:lineRule="auto"/>
              <w:contextualSpacing/>
              <w:jc w:val="center"/>
              <w:rPr>
                <w:sz w:val="18"/>
                <w:szCs w:val="18"/>
              </w:rPr>
            </w:pPr>
            <w:r w:rsidRPr="004A66F0">
              <w:rPr>
                <w:sz w:val="18"/>
                <w:szCs w:val="18"/>
              </w:rPr>
              <w:t>39.1</w:t>
            </w:r>
          </w:p>
        </w:tc>
        <w:tc>
          <w:tcPr>
            <w:tcW w:w="992" w:type="dxa"/>
            <w:tcBorders>
              <w:top w:val="nil"/>
              <w:left w:val="nil"/>
              <w:bottom w:val="single" w:sz="8" w:space="0" w:color="auto"/>
              <w:right w:val="single" w:sz="8" w:space="0" w:color="auto"/>
            </w:tcBorders>
            <w:noWrap/>
            <w:vAlign w:val="center"/>
            <w:hideMark/>
          </w:tcPr>
          <w:p w14:paraId="3F6D5C88" w14:textId="77777777" w:rsidR="007145AB" w:rsidRPr="004A66F0" w:rsidRDefault="007145AB" w:rsidP="00582CA7">
            <w:pPr>
              <w:spacing w:line="276" w:lineRule="auto"/>
              <w:contextualSpacing/>
              <w:jc w:val="center"/>
              <w:rPr>
                <w:sz w:val="18"/>
                <w:szCs w:val="18"/>
              </w:rPr>
            </w:pPr>
            <w:r w:rsidRPr="004A66F0">
              <w:rPr>
                <w:sz w:val="18"/>
                <w:szCs w:val="18"/>
              </w:rPr>
              <w:t>39.1</w:t>
            </w:r>
          </w:p>
        </w:tc>
        <w:tc>
          <w:tcPr>
            <w:tcW w:w="900" w:type="dxa"/>
            <w:tcBorders>
              <w:top w:val="nil"/>
              <w:left w:val="nil"/>
              <w:bottom w:val="single" w:sz="8" w:space="0" w:color="auto"/>
              <w:right w:val="single" w:sz="8" w:space="0" w:color="auto"/>
            </w:tcBorders>
            <w:noWrap/>
            <w:vAlign w:val="center"/>
            <w:hideMark/>
          </w:tcPr>
          <w:p w14:paraId="6183AB24" w14:textId="77777777" w:rsidR="007145AB" w:rsidRPr="004A66F0" w:rsidRDefault="007145AB" w:rsidP="00582CA7">
            <w:pPr>
              <w:spacing w:line="276" w:lineRule="auto"/>
              <w:contextualSpacing/>
              <w:jc w:val="center"/>
              <w:rPr>
                <w:sz w:val="18"/>
                <w:szCs w:val="18"/>
              </w:rPr>
            </w:pPr>
            <w:r w:rsidRPr="004A66F0">
              <w:rPr>
                <w:sz w:val="18"/>
                <w:szCs w:val="18"/>
              </w:rPr>
              <w:t>100.0</w:t>
            </w:r>
          </w:p>
        </w:tc>
      </w:tr>
    </w:tbl>
    <w:p w14:paraId="6AF5AD4D" w14:textId="57A8FB99" w:rsidR="007145AB" w:rsidRDefault="007145AB" w:rsidP="00DE52BD">
      <w:pPr>
        <w:jc w:val="both"/>
        <w:rPr>
          <w:sz w:val="18"/>
          <w:szCs w:val="18"/>
          <w:lang w:val="es-MX" w:eastAsia="es-ES"/>
        </w:rPr>
      </w:pPr>
      <w:r w:rsidRPr="004A66F0">
        <w:rPr>
          <w:sz w:val="18"/>
          <w:szCs w:val="18"/>
          <w:lang w:val="es-MX" w:eastAsia="es-ES"/>
        </w:rPr>
        <w:t xml:space="preserve">           Fuente: </w:t>
      </w:r>
      <w:r w:rsidR="00320E19">
        <w:rPr>
          <w:sz w:val="18"/>
          <w:szCs w:val="18"/>
          <w:lang w:val="es-MX" w:eastAsia="es-ES"/>
        </w:rPr>
        <w:t xml:space="preserve">Dirección de Análisis y Política Fiscal con información disponible en </w:t>
      </w:r>
      <w:r w:rsidRPr="004A66F0">
        <w:rPr>
          <w:sz w:val="18"/>
          <w:szCs w:val="18"/>
          <w:lang w:val="es-MX" w:eastAsia="es-ES"/>
        </w:rPr>
        <w:t>SICOI</w:t>
      </w:r>
      <w:r>
        <w:rPr>
          <w:sz w:val="18"/>
          <w:szCs w:val="18"/>
          <w:lang w:val="es-MX" w:eastAsia="es-ES"/>
        </w:rPr>
        <w:t>N</w:t>
      </w:r>
      <w:r w:rsidR="00E60EFC">
        <w:rPr>
          <w:sz w:val="18"/>
          <w:szCs w:val="18"/>
          <w:lang w:val="es-MX" w:eastAsia="es-ES"/>
        </w:rPr>
        <w:t>.</w:t>
      </w:r>
    </w:p>
    <w:p w14:paraId="44F60DCD" w14:textId="2E7C52E1" w:rsidR="007145AB" w:rsidRDefault="007145AB" w:rsidP="00DE52BD">
      <w:pPr>
        <w:jc w:val="both"/>
        <w:rPr>
          <w:sz w:val="18"/>
          <w:szCs w:val="18"/>
          <w:lang w:val="es-MX" w:eastAsia="es-ES"/>
        </w:rPr>
      </w:pPr>
    </w:p>
    <w:p w14:paraId="728460AB" w14:textId="0A300CA9" w:rsidR="007145AB" w:rsidRDefault="007145AB" w:rsidP="00531A1B">
      <w:pPr>
        <w:pStyle w:val="Prrafodelista"/>
        <w:numPr>
          <w:ilvl w:val="1"/>
          <w:numId w:val="3"/>
        </w:numPr>
        <w:ind w:left="567" w:hanging="425"/>
        <w:jc w:val="both"/>
        <w:outlineLvl w:val="1"/>
        <w:rPr>
          <w:b/>
          <w:bCs/>
          <w:lang w:val="es-ES_tradnl"/>
        </w:rPr>
      </w:pPr>
      <w:bookmarkStart w:id="143" w:name="_Toc143865828"/>
      <w:r w:rsidRPr="007145AB">
        <w:rPr>
          <w:b/>
          <w:bCs/>
          <w:lang w:val="es-ES_tradnl"/>
        </w:rPr>
        <w:t>Déficit Fiscal y su financiamiento</w:t>
      </w:r>
      <w:bookmarkEnd w:id="143"/>
    </w:p>
    <w:p w14:paraId="7062735A" w14:textId="7AB5B0BD" w:rsidR="007145AB" w:rsidRDefault="007145AB" w:rsidP="007145AB">
      <w:pPr>
        <w:rPr>
          <w:b/>
          <w:bCs/>
          <w:lang w:val="es-ES_tradnl"/>
        </w:rPr>
      </w:pPr>
    </w:p>
    <w:p w14:paraId="545C5645" w14:textId="7EC43BEA" w:rsidR="007145AB" w:rsidRPr="007145AB" w:rsidRDefault="007145AB" w:rsidP="007145AB">
      <w:pPr>
        <w:jc w:val="both"/>
        <w:rPr>
          <w:lang w:val="es-ES_tradnl"/>
        </w:rPr>
      </w:pPr>
      <w:r w:rsidRPr="007145AB">
        <w:rPr>
          <w:lang w:val="es-ES_tradnl"/>
        </w:rPr>
        <w:t>Desde finales del 2021 y a lo largo de 2022, se observó la necesidad de una mayor intervención del Estado, como resultado del comportamiento volátil en los precios de los commodities en el mercado internacional</w:t>
      </w:r>
      <w:r w:rsidR="00320E19">
        <w:rPr>
          <w:lang w:val="es-ES_tradnl"/>
        </w:rPr>
        <w:t>. P</w:t>
      </w:r>
      <w:r w:rsidRPr="007145AB">
        <w:rPr>
          <w:lang w:val="es-ES_tradnl"/>
        </w:rPr>
        <w:t xml:space="preserve">or ello se adoptaron subsidios de carácter temporal para apoyar a la población ante el incremento de los precios. </w:t>
      </w:r>
    </w:p>
    <w:p w14:paraId="75667725" w14:textId="77777777" w:rsidR="007145AB" w:rsidRPr="007145AB" w:rsidRDefault="007145AB" w:rsidP="007145AB">
      <w:pPr>
        <w:jc w:val="both"/>
        <w:rPr>
          <w:lang w:val="es-ES_tradnl"/>
        </w:rPr>
      </w:pPr>
    </w:p>
    <w:p w14:paraId="76F5BDB9" w14:textId="493B7D07" w:rsidR="007145AB" w:rsidRPr="007145AB" w:rsidRDefault="007145AB" w:rsidP="007145AB">
      <w:pPr>
        <w:jc w:val="both"/>
        <w:rPr>
          <w:lang w:val="es-ES_tradnl"/>
        </w:rPr>
      </w:pPr>
      <w:r w:rsidRPr="007145AB">
        <w:rPr>
          <w:lang w:val="es-ES_tradnl"/>
        </w:rPr>
        <w:t>Por su parte, del lado de la recaudación tributaria se observó un comportamiento acelerado</w:t>
      </w:r>
      <w:r w:rsidR="00320E19">
        <w:rPr>
          <w:lang w:val="es-ES_tradnl"/>
        </w:rPr>
        <w:t>.</w:t>
      </w:r>
      <w:r w:rsidRPr="007145AB">
        <w:rPr>
          <w:lang w:val="es-ES_tradnl"/>
        </w:rPr>
        <w:t xml:space="preserve"> </w:t>
      </w:r>
      <w:r w:rsidR="00320E19">
        <w:rPr>
          <w:lang w:val="es-ES_tradnl"/>
        </w:rPr>
        <w:t>D</w:t>
      </w:r>
      <w:r w:rsidR="00320E19" w:rsidRPr="007145AB">
        <w:rPr>
          <w:lang w:val="es-ES_tradnl"/>
        </w:rPr>
        <w:t xml:space="preserve">urante </w:t>
      </w:r>
      <w:r w:rsidRPr="007145AB">
        <w:rPr>
          <w:lang w:val="es-ES_tradnl"/>
        </w:rPr>
        <w:t>los 12 meses del año</w:t>
      </w:r>
      <w:r w:rsidR="00320E19">
        <w:rPr>
          <w:lang w:val="es-ES_tradnl"/>
        </w:rPr>
        <w:t>,</w:t>
      </w:r>
      <w:r w:rsidRPr="007145AB">
        <w:rPr>
          <w:lang w:val="es-ES_tradnl"/>
        </w:rPr>
        <w:t xml:space="preserve"> la brecha respecto a la meta fue positiva y mes a mes fue ampliándose, debido a la influencia que ejerció el comportamiento volátil en los precios de los commodities en el mercado internacional y las medidas administrativas adoptadas por la SAT que apuntalaron el nivel de recaudación, permitiendo que los impuestos con mejor desempeño fueran el IVA importaciones, el ISR y el IVA doméstico.</w:t>
      </w:r>
    </w:p>
    <w:p w14:paraId="4C7C6901" w14:textId="77777777" w:rsidR="007145AB" w:rsidRPr="007145AB" w:rsidRDefault="007145AB" w:rsidP="007145AB">
      <w:pPr>
        <w:jc w:val="both"/>
        <w:rPr>
          <w:lang w:val="es-ES_tradnl"/>
        </w:rPr>
      </w:pPr>
    </w:p>
    <w:p w14:paraId="274A3B99" w14:textId="7EE14F9F" w:rsidR="007145AB" w:rsidRPr="007145AB" w:rsidRDefault="007145AB" w:rsidP="007145AB">
      <w:pPr>
        <w:jc w:val="both"/>
        <w:rPr>
          <w:lang w:val="es-ES_tradnl"/>
        </w:rPr>
      </w:pPr>
      <w:r w:rsidRPr="007145AB">
        <w:rPr>
          <w:lang w:val="es-ES_tradnl"/>
        </w:rPr>
        <w:t>De esa cuenta, a pesar del alto dinamismo del gasto público, con el mayor nivel de ejecución de los últimos 10 años, el déficit fiscal se ubicó en Q12,561.9 millones, equivalente a 1.7% del PIB.</w:t>
      </w:r>
      <w:r w:rsidR="00320E19">
        <w:rPr>
          <w:lang w:val="es-ES_tradnl"/>
        </w:rPr>
        <w:t xml:space="preserve"> </w:t>
      </w:r>
      <w:r w:rsidRPr="007145AB">
        <w:rPr>
          <w:lang w:val="es-ES_tradnl"/>
        </w:rPr>
        <w:t xml:space="preserve">Este déficit fiscal si bien es cinco </w:t>
      </w:r>
      <w:r w:rsidR="00CB0BEF" w:rsidRPr="007145AB">
        <w:rPr>
          <w:lang w:val="es-ES_tradnl"/>
        </w:rPr>
        <w:t>décimas superiores</w:t>
      </w:r>
      <w:r w:rsidRPr="007145AB">
        <w:rPr>
          <w:lang w:val="es-ES_tradnl"/>
        </w:rPr>
        <w:t xml:space="preserve"> al cierre de 2021 (1.2%), se considera que se mantiene en niveles sostenibles y es significativamente menor al considerado en el presupuesto vigente (3.9%), dado que en este no se consideraba una recaudación como la observada. Con esto se continúa con el proceso de consolidación fiscal que inició en 2021, luego de la crisis </w:t>
      </w:r>
      <w:r w:rsidRPr="009C0D05">
        <w:rPr>
          <w:lang w:val="es-ES_tradnl"/>
        </w:rPr>
        <w:t>del COVID-19</w:t>
      </w:r>
      <w:r w:rsidRPr="007145AB">
        <w:rPr>
          <w:lang w:val="es-ES_tradnl"/>
        </w:rPr>
        <w:t xml:space="preserve"> de 2020, lo cual coadyuvó a preservar el espacio fiscal para afrontar el shock externo ocasionado por la subida de los precios y la incertidumbre en torno a la economía.</w:t>
      </w:r>
    </w:p>
    <w:p w14:paraId="6DBAD5BD" w14:textId="22DC5163" w:rsidR="007145AB" w:rsidRDefault="007145AB" w:rsidP="007145AB">
      <w:pPr>
        <w:rPr>
          <w:b/>
          <w:bCs/>
          <w:lang w:val="es-ES_tradnl"/>
        </w:rPr>
      </w:pPr>
    </w:p>
    <w:p w14:paraId="6B8B40BD" w14:textId="7B3B483F" w:rsidR="007145AB" w:rsidRPr="008A39B4" w:rsidRDefault="008A39B4" w:rsidP="002259C8">
      <w:pPr>
        <w:pStyle w:val="Descripcin"/>
        <w:spacing w:after="0"/>
        <w:jc w:val="center"/>
        <w:rPr>
          <w:b/>
          <w:bCs/>
          <w:i w:val="0"/>
          <w:iCs w:val="0"/>
          <w:color w:val="auto"/>
          <w:sz w:val="24"/>
          <w:szCs w:val="24"/>
        </w:rPr>
      </w:pPr>
      <w:bookmarkStart w:id="144" w:name="_Toc143870728"/>
      <w:r w:rsidRPr="008A39B4">
        <w:rPr>
          <w:b/>
          <w:bCs/>
          <w:i w:val="0"/>
          <w:iCs w:val="0"/>
          <w:color w:val="auto"/>
          <w:sz w:val="24"/>
          <w:szCs w:val="24"/>
        </w:rPr>
        <w:t xml:space="preserve">Gráfico </w:t>
      </w:r>
      <w:r w:rsidRPr="008A39B4">
        <w:rPr>
          <w:b/>
          <w:bCs/>
          <w:i w:val="0"/>
          <w:iCs w:val="0"/>
          <w:color w:val="auto"/>
          <w:sz w:val="24"/>
          <w:szCs w:val="24"/>
        </w:rPr>
        <w:fldChar w:fldCharType="begin"/>
      </w:r>
      <w:r w:rsidRPr="008A39B4">
        <w:rPr>
          <w:b/>
          <w:bCs/>
          <w:i w:val="0"/>
          <w:iCs w:val="0"/>
          <w:color w:val="auto"/>
          <w:sz w:val="24"/>
          <w:szCs w:val="24"/>
        </w:rPr>
        <w:instrText xml:space="preserve"> SEQ Gráfico \* ARABIC </w:instrText>
      </w:r>
      <w:r w:rsidRPr="008A39B4">
        <w:rPr>
          <w:b/>
          <w:bCs/>
          <w:i w:val="0"/>
          <w:iCs w:val="0"/>
          <w:color w:val="auto"/>
          <w:sz w:val="24"/>
          <w:szCs w:val="24"/>
        </w:rPr>
        <w:fldChar w:fldCharType="separate"/>
      </w:r>
      <w:r w:rsidR="006622B2">
        <w:rPr>
          <w:b/>
          <w:bCs/>
          <w:i w:val="0"/>
          <w:iCs w:val="0"/>
          <w:noProof/>
          <w:color w:val="auto"/>
          <w:sz w:val="24"/>
          <w:szCs w:val="24"/>
        </w:rPr>
        <w:t>61</w:t>
      </w:r>
      <w:r w:rsidRPr="008A39B4">
        <w:rPr>
          <w:b/>
          <w:bCs/>
          <w:i w:val="0"/>
          <w:iCs w:val="0"/>
          <w:color w:val="auto"/>
          <w:sz w:val="24"/>
          <w:szCs w:val="24"/>
        </w:rPr>
        <w:fldChar w:fldCharType="end"/>
      </w:r>
      <w:r w:rsidRPr="008A39B4">
        <w:rPr>
          <w:b/>
          <w:bCs/>
          <w:i w:val="0"/>
          <w:iCs w:val="0"/>
          <w:color w:val="auto"/>
          <w:sz w:val="24"/>
          <w:szCs w:val="24"/>
        </w:rPr>
        <w:t>.  Resultado fiscal</w:t>
      </w:r>
      <w:bookmarkEnd w:id="144"/>
    </w:p>
    <w:p w14:paraId="583F7317" w14:textId="71A40DF8" w:rsidR="007145AB" w:rsidRPr="00E60EFC" w:rsidRDefault="008A39B4" w:rsidP="002259C8">
      <w:pPr>
        <w:ind w:left="1395" w:right="2532"/>
        <w:jc w:val="center"/>
        <w:rPr>
          <w:sz w:val="20"/>
          <w:szCs w:val="28"/>
        </w:rPr>
      </w:pPr>
      <w:r>
        <w:rPr>
          <w:sz w:val="20"/>
          <w:szCs w:val="28"/>
        </w:rPr>
        <w:t xml:space="preserve">                  </w:t>
      </w:r>
      <w:r w:rsidR="007145AB" w:rsidRPr="00E60EFC">
        <w:rPr>
          <w:sz w:val="20"/>
          <w:szCs w:val="28"/>
        </w:rPr>
        <w:t>2010 – 2022</w:t>
      </w:r>
    </w:p>
    <w:p w14:paraId="152F30DE" w14:textId="18E4ABE3" w:rsidR="007145AB" w:rsidRPr="00E60EFC" w:rsidRDefault="008A39B4" w:rsidP="002259C8">
      <w:pPr>
        <w:ind w:left="1395" w:right="2528"/>
        <w:jc w:val="center"/>
        <w:rPr>
          <w:sz w:val="20"/>
          <w:szCs w:val="28"/>
        </w:rPr>
      </w:pPr>
      <w:r>
        <w:rPr>
          <w:sz w:val="20"/>
          <w:szCs w:val="28"/>
        </w:rPr>
        <w:t xml:space="preserve">              </w:t>
      </w:r>
      <w:r w:rsidR="007145AB" w:rsidRPr="00E60EFC">
        <w:rPr>
          <w:sz w:val="20"/>
          <w:szCs w:val="28"/>
        </w:rPr>
        <w:t>-Porcentajes del PIB-</w:t>
      </w:r>
    </w:p>
    <w:p w14:paraId="4E72839F" w14:textId="77777777" w:rsidR="007145AB" w:rsidRPr="00CF2D04" w:rsidRDefault="007145AB" w:rsidP="00E60EFC">
      <w:pPr>
        <w:spacing w:line="276" w:lineRule="auto"/>
        <w:ind w:right="49"/>
        <w:jc w:val="both"/>
        <w:rPr>
          <w:spacing w:val="-4"/>
        </w:rPr>
      </w:pPr>
      <w:r w:rsidRPr="003F45C0">
        <w:rPr>
          <w:noProof/>
          <w:sz w:val="44"/>
          <w:szCs w:val="44"/>
        </w:rPr>
        <w:drawing>
          <wp:inline distT="0" distB="0" distL="0" distR="0" wp14:anchorId="4B59BBDF" wp14:editId="518006A2">
            <wp:extent cx="5486400" cy="2128723"/>
            <wp:effectExtent l="0" t="0" r="0" b="508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1A3055D6" w14:textId="77777777" w:rsidR="007145AB" w:rsidRDefault="007145AB" w:rsidP="007145AB">
      <w:pPr>
        <w:spacing w:before="1"/>
        <w:ind w:left="1128"/>
        <w:rPr>
          <w:sz w:val="16"/>
        </w:rPr>
      </w:pPr>
      <w:r>
        <w:rPr>
          <w:sz w:val="16"/>
        </w:rPr>
        <w:t>Fuente: Dirección de Análisis y Política Fiscal</w:t>
      </w:r>
    </w:p>
    <w:p w14:paraId="3536B996" w14:textId="77777777" w:rsidR="00E60EFC" w:rsidRDefault="00E60EFC" w:rsidP="00D16EA3">
      <w:pPr>
        <w:jc w:val="both"/>
      </w:pPr>
    </w:p>
    <w:p w14:paraId="6A16851A" w14:textId="0D0C8AD5" w:rsidR="00D16EA3" w:rsidRPr="00D16EA3" w:rsidRDefault="00D16EA3" w:rsidP="00D16EA3">
      <w:pPr>
        <w:jc w:val="both"/>
      </w:pPr>
      <w:r w:rsidRPr="00D16EA3">
        <w:t>El financiamiento del déficit fiscal recayó en la emisión y colocación de Bonos del Tesoro para el ejercicio fiscal 2022, de la cual se realizó en un 69.9% en el mercado interno y el 30.1% en el mercado internacional de capitales mediante la colocación de un Eurobono.</w:t>
      </w:r>
    </w:p>
    <w:p w14:paraId="7CFD17A0" w14:textId="77777777" w:rsidR="00D16EA3" w:rsidRPr="00D16EA3" w:rsidRDefault="00D16EA3" w:rsidP="00D16EA3">
      <w:pPr>
        <w:jc w:val="both"/>
      </w:pPr>
    </w:p>
    <w:p w14:paraId="14804585" w14:textId="3B447687" w:rsidR="00D16EA3" w:rsidRPr="00D16EA3" w:rsidRDefault="00D16EA3" w:rsidP="00D16EA3">
      <w:pPr>
        <w:jc w:val="both"/>
      </w:pPr>
      <w:r w:rsidRPr="00D16EA3">
        <w:t>Respecto a las colocaciones internas, es importante indicar que no se colocaron Q5,149.4 millones, que corresponden al 28.6% de la disponibilidad aprobada mediante el Decreto número 16-2021</w:t>
      </w:r>
      <w:r w:rsidR="00EA4ADD">
        <w:t>,</w:t>
      </w:r>
      <w:r w:rsidRPr="00D16EA3">
        <w:t xml:space="preserve"> Ley de Presupuesto de Ingresos y Egresos del Estado para el 2022</w:t>
      </w:r>
      <w:r w:rsidR="00EA4ADD">
        <w:t>,</w:t>
      </w:r>
      <w:r w:rsidRPr="00D16EA3">
        <w:t xml:space="preserve"> debido a que durante el año se tuvo bastante disponibilidad de recursos y se hizo uso de saldos de caja, constituyendo por tanto el primer año en que no se recolocó todo el endeudamiento aprobado por parte del Congreso de la República.</w:t>
      </w:r>
    </w:p>
    <w:p w14:paraId="17F7C47A" w14:textId="77777777" w:rsidR="00D16EA3" w:rsidRPr="00D16EA3" w:rsidRDefault="00D16EA3" w:rsidP="00D16EA3">
      <w:pPr>
        <w:jc w:val="both"/>
      </w:pPr>
    </w:p>
    <w:p w14:paraId="173948E6" w14:textId="77777777" w:rsidR="00D16EA3" w:rsidRPr="00D16EA3" w:rsidRDefault="00D16EA3" w:rsidP="00D16EA3">
      <w:pPr>
        <w:jc w:val="both"/>
      </w:pPr>
      <w:r w:rsidRPr="00D16EA3">
        <w:t xml:space="preserve">La adjudicación en el mercado nacional con moneda nacional tuvo un rendimiento promedio ponderado de 6.0% y un plazo promedio de colocación de 17.3 años. Es decir, la preferencia de los inversionistas y del gobierno fue colocar a plazos largos, mayormente a 15 y 20 años. </w:t>
      </w:r>
    </w:p>
    <w:p w14:paraId="0BAE6B76" w14:textId="77777777" w:rsidR="00D16EA3" w:rsidRPr="00D16EA3" w:rsidRDefault="00D16EA3" w:rsidP="00D16EA3">
      <w:pPr>
        <w:jc w:val="both"/>
      </w:pPr>
    </w:p>
    <w:p w14:paraId="3D5D416B" w14:textId="77777777" w:rsidR="00D16EA3" w:rsidRPr="00D16EA3" w:rsidRDefault="00D16EA3" w:rsidP="00D16EA3">
      <w:pPr>
        <w:jc w:val="both"/>
      </w:pPr>
      <w:r w:rsidRPr="00D16EA3">
        <w:t>Respecto a los pequeños inversionistas, el cupo establecido en el presupuesto para este grupo no se agotó (Q500 millones).  El monto colocado asciende a Q150.8 millones y este mecanismo continúa siendo una estrategia para incentivar la democratización de la deuda pública, fomenta el ahorro y la inversión en pequeños inversionistas dado que las inversiones van desde un mínimo de Q10,000 hasta un máximo de Q500,000.</w:t>
      </w:r>
    </w:p>
    <w:p w14:paraId="3DA37E83" w14:textId="77777777" w:rsidR="00D16EA3" w:rsidRPr="00D16EA3" w:rsidRDefault="00D16EA3" w:rsidP="00D16EA3">
      <w:pPr>
        <w:jc w:val="both"/>
      </w:pPr>
    </w:p>
    <w:p w14:paraId="62E09285" w14:textId="28C95A60" w:rsidR="00D16EA3" w:rsidRPr="00D16EA3" w:rsidRDefault="00D16EA3" w:rsidP="00D16EA3">
      <w:pPr>
        <w:jc w:val="both"/>
      </w:pPr>
      <w:r w:rsidRPr="00D16EA3">
        <w:t xml:space="preserve">Respecto a la colocación del Eurobono, se adjudicaron US$500 millones en el mercado internacional de capitales, a 7 años plazo, con una tasa de 5.25% y una demanda de US$1,200.0 millones. Si bien la tasa aumentó respecto a años anteriores, esto responde al aumento de tasa de interés a nivel internacional. No obstante, se considera que se logró una colocación favorable respecto a plazos y tasas conseguidas por países con características similares a las de Guatemala. </w:t>
      </w:r>
    </w:p>
    <w:p w14:paraId="5C61E6E9" w14:textId="77777777" w:rsidR="00D16EA3" w:rsidRPr="00D16EA3" w:rsidRDefault="00D16EA3" w:rsidP="00D16EA3">
      <w:pPr>
        <w:jc w:val="both"/>
      </w:pPr>
      <w:r w:rsidRPr="00D16EA3">
        <w:t>Guatemala es considerado un país que honra sus compromisos con los tenedores de títulos de deuda contando con una alta credibilidad, lo cual le permite continuar con las condiciones favorables obtenidas en las colocaciones externas e internas, a pesar de la incertidumbre por el devenir de la guerra entre Rusia y Ucrania, la volatilidad de los precios de los commodities, la alta inflación y la decisión de aumentar las tasas de interés líder por parte de los Bancos Centrales, escenario que afectó durante 2022.</w:t>
      </w:r>
    </w:p>
    <w:p w14:paraId="32E45662" w14:textId="77777777" w:rsidR="00D16EA3" w:rsidRPr="00D16EA3" w:rsidRDefault="00D16EA3" w:rsidP="00D16EA3">
      <w:pPr>
        <w:jc w:val="both"/>
      </w:pPr>
    </w:p>
    <w:p w14:paraId="7CD2A9FE" w14:textId="77777777" w:rsidR="00D16EA3" w:rsidRPr="00D16EA3" w:rsidRDefault="00D16EA3" w:rsidP="00D16EA3">
      <w:pPr>
        <w:jc w:val="both"/>
      </w:pPr>
      <w:r w:rsidRPr="00D16EA3">
        <w:t xml:space="preserve">Es importante resaltar que durante el año hubo un vencimiento de eurobono por US$700 millones (equivalente a Q5,480.6 millones), mientras la colocación fue por US$500 millones (equivalente a Q3,866.2 millones), siendo la negociación neta de eurobonos negativa. </w:t>
      </w:r>
    </w:p>
    <w:p w14:paraId="38D05E8C" w14:textId="77777777" w:rsidR="00D16EA3" w:rsidRPr="00D16EA3" w:rsidRDefault="00D16EA3" w:rsidP="00D16EA3">
      <w:pPr>
        <w:jc w:val="both"/>
      </w:pPr>
    </w:p>
    <w:p w14:paraId="2CC802A4" w14:textId="77777777" w:rsidR="00D16EA3" w:rsidRPr="00D16EA3" w:rsidRDefault="00D16EA3" w:rsidP="00D16EA3">
      <w:pPr>
        <w:jc w:val="both"/>
      </w:pPr>
      <w:r w:rsidRPr="00D16EA3">
        <w:t>En mayo se aprobó el Decreto número 29-2022 Ley que aprueba el Convenio de Préstamo número 9194-GT, celebrado entre la República de Guatemala y el Banco Internacional de Reconstrucción y Fomento -BIRF-, denominado "Préstamo para Políticas de Desarrollo de Respuesta y Recuperación ante la Crisis en Guatemala".</w:t>
      </w:r>
    </w:p>
    <w:p w14:paraId="101A28FE" w14:textId="77777777" w:rsidR="00D16EA3" w:rsidRPr="00D16EA3" w:rsidRDefault="00D16EA3" w:rsidP="00D16EA3">
      <w:pPr>
        <w:jc w:val="both"/>
      </w:pPr>
    </w:p>
    <w:p w14:paraId="792AF52A" w14:textId="0E918F04" w:rsidR="007145AB" w:rsidRDefault="00D16EA3" w:rsidP="00D16EA3">
      <w:pPr>
        <w:jc w:val="both"/>
      </w:pPr>
      <w:r w:rsidRPr="00D16EA3">
        <w:t xml:space="preserve">Por ello, quedó facultado el Ministerio de Finanzas Públicas para que durante el ejercicio se incorporara al Presupuesto el equivalente </w:t>
      </w:r>
      <w:r w:rsidR="00EA4ADD" w:rsidRPr="00D16EA3">
        <w:t xml:space="preserve">de US$500.0 millones </w:t>
      </w:r>
      <w:r w:rsidR="00EA4ADD">
        <w:t>provenientes del</w:t>
      </w:r>
      <w:r w:rsidR="00EA4ADD" w:rsidRPr="00D16EA3">
        <w:t xml:space="preserve"> </w:t>
      </w:r>
      <w:r w:rsidRPr="00D16EA3">
        <w:t>préstamo, por medio de una sustitución de fuente de financiamiento, liberando recursos de la colocación de bonos del tesoro, todo ello sin incrementar el Presupuesto General de Egresos para el 2022, porque ello no represent</w:t>
      </w:r>
      <w:r w:rsidR="00EA4ADD">
        <w:t>ó</w:t>
      </w:r>
      <w:r w:rsidRPr="00D16EA3">
        <w:t xml:space="preserve"> ingresos </w:t>
      </w:r>
      <w:r w:rsidR="00EA4ADD">
        <w:t>ni</w:t>
      </w:r>
      <w:r w:rsidRPr="00D16EA3">
        <w:t xml:space="preserve"> gastos adicionales.</w:t>
      </w:r>
    </w:p>
    <w:p w14:paraId="738CC335" w14:textId="7A29CFF2" w:rsidR="00D16EA3" w:rsidRDefault="00D16EA3" w:rsidP="00D16EA3">
      <w:pPr>
        <w:jc w:val="both"/>
      </w:pPr>
    </w:p>
    <w:p w14:paraId="48F422C3" w14:textId="67ABD608" w:rsidR="00D16EA3" w:rsidRPr="008A39B4" w:rsidRDefault="008A39B4" w:rsidP="008A39B4">
      <w:pPr>
        <w:pStyle w:val="Descripcin"/>
        <w:keepNext/>
        <w:spacing w:after="0"/>
        <w:jc w:val="center"/>
        <w:rPr>
          <w:b/>
          <w:bCs/>
          <w:i w:val="0"/>
          <w:iCs w:val="0"/>
          <w:sz w:val="24"/>
          <w:szCs w:val="24"/>
        </w:rPr>
      </w:pPr>
      <w:bookmarkStart w:id="145" w:name="_Toc143871218"/>
      <w:r w:rsidRPr="008A39B4">
        <w:rPr>
          <w:b/>
          <w:bCs/>
          <w:i w:val="0"/>
          <w:iCs w:val="0"/>
          <w:color w:val="auto"/>
          <w:sz w:val="24"/>
          <w:szCs w:val="24"/>
        </w:rPr>
        <w:t xml:space="preserve">Tabla </w:t>
      </w:r>
      <w:r w:rsidRPr="008A39B4">
        <w:rPr>
          <w:b/>
          <w:bCs/>
          <w:i w:val="0"/>
          <w:iCs w:val="0"/>
          <w:color w:val="auto"/>
          <w:sz w:val="24"/>
          <w:szCs w:val="24"/>
        </w:rPr>
        <w:fldChar w:fldCharType="begin"/>
      </w:r>
      <w:r w:rsidRPr="008A39B4">
        <w:rPr>
          <w:b/>
          <w:bCs/>
          <w:i w:val="0"/>
          <w:iCs w:val="0"/>
          <w:color w:val="auto"/>
          <w:sz w:val="24"/>
          <w:szCs w:val="24"/>
        </w:rPr>
        <w:instrText xml:space="preserve"> SEQ Tabla \* ARABIC </w:instrText>
      </w:r>
      <w:r w:rsidRPr="008A39B4">
        <w:rPr>
          <w:b/>
          <w:bCs/>
          <w:i w:val="0"/>
          <w:iCs w:val="0"/>
          <w:color w:val="auto"/>
          <w:sz w:val="24"/>
          <w:szCs w:val="24"/>
        </w:rPr>
        <w:fldChar w:fldCharType="separate"/>
      </w:r>
      <w:r w:rsidR="006622B2">
        <w:rPr>
          <w:b/>
          <w:bCs/>
          <w:i w:val="0"/>
          <w:iCs w:val="0"/>
          <w:noProof/>
          <w:color w:val="auto"/>
          <w:sz w:val="24"/>
          <w:szCs w:val="24"/>
        </w:rPr>
        <w:t>11</w:t>
      </w:r>
      <w:r w:rsidRPr="008A39B4">
        <w:rPr>
          <w:b/>
          <w:bCs/>
          <w:i w:val="0"/>
          <w:iCs w:val="0"/>
          <w:color w:val="auto"/>
          <w:sz w:val="24"/>
          <w:szCs w:val="24"/>
        </w:rPr>
        <w:fldChar w:fldCharType="end"/>
      </w:r>
      <w:r w:rsidRPr="008A39B4">
        <w:rPr>
          <w:b/>
          <w:bCs/>
          <w:i w:val="0"/>
          <w:iCs w:val="0"/>
          <w:color w:val="auto"/>
          <w:sz w:val="24"/>
          <w:szCs w:val="24"/>
        </w:rPr>
        <w:t xml:space="preserve">.  </w:t>
      </w:r>
      <w:r w:rsidR="00D16EA3" w:rsidRPr="008A39B4">
        <w:rPr>
          <w:b/>
          <w:bCs/>
          <w:i w:val="0"/>
          <w:iCs w:val="0"/>
          <w:color w:val="auto"/>
          <w:sz w:val="24"/>
          <w:szCs w:val="24"/>
        </w:rPr>
        <w:t xml:space="preserve">Desembolsos de </w:t>
      </w:r>
      <w:r w:rsidR="00D31CC8">
        <w:rPr>
          <w:b/>
          <w:bCs/>
          <w:i w:val="0"/>
          <w:iCs w:val="0"/>
          <w:color w:val="auto"/>
          <w:sz w:val="24"/>
          <w:szCs w:val="24"/>
        </w:rPr>
        <w:t>p</w:t>
      </w:r>
      <w:r w:rsidR="00D16EA3" w:rsidRPr="008A39B4">
        <w:rPr>
          <w:b/>
          <w:bCs/>
          <w:i w:val="0"/>
          <w:iCs w:val="0"/>
          <w:color w:val="auto"/>
          <w:sz w:val="24"/>
          <w:szCs w:val="24"/>
        </w:rPr>
        <w:t xml:space="preserve">réstamos por </w:t>
      </w:r>
      <w:r w:rsidR="00D31CC8">
        <w:rPr>
          <w:b/>
          <w:bCs/>
          <w:i w:val="0"/>
          <w:iCs w:val="0"/>
          <w:color w:val="auto"/>
          <w:sz w:val="24"/>
          <w:szCs w:val="24"/>
        </w:rPr>
        <w:t>o</w:t>
      </w:r>
      <w:r w:rsidR="00D16EA3" w:rsidRPr="008A39B4">
        <w:rPr>
          <w:b/>
          <w:bCs/>
          <w:i w:val="0"/>
          <w:iCs w:val="0"/>
          <w:color w:val="auto"/>
          <w:sz w:val="24"/>
          <w:szCs w:val="24"/>
        </w:rPr>
        <w:t xml:space="preserve">rganismo y </w:t>
      </w:r>
      <w:r w:rsidR="00D31CC8">
        <w:rPr>
          <w:b/>
          <w:bCs/>
          <w:i w:val="0"/>
          <w:iCs w:val="0"/>
          <w:color w:val="auto"/>
          <w:sz w:val="24"/>
          <w:szCs w:val="24"/>
        </w:rPr>
        <w:t>d</w:t>
      </w:r>
      <w:r w:rsidR="00D16EA3" w:rsidRPr="008A39B4">
        <w:rPr>
          <w:b/>
          <w:bCs/>
          <w:i w:val="0"/>
          <w:iCs w:val="0"/>
          <w:color w:val="auto"/>
          <w:sz w:val="24"/>
          <w:szCs w:val="24"/>
        </w:rPr>
        <w:t>estino 2022</w:t>
      </w:r>
      <w:bookmarkEnd w:id="145"/>
    </w:p>
    <w:p w14:paraId="58E66363" w14:textId="77777777" w:rsidR="00D16EA3" w:rsidRPr="00E60EFC" w:rsidRDefault="00D16EA3" w:rsidP="00D16EA3">
      <w:pPr>
        <w:spacing w:line="276" w:lineRule="auto"/>
        <w:contextualSpacing/>
        <w:jc w:val="center"/>
        <w:rPr>
          <w:sz w:val="20"/>
          <w:szCs w:val="20"/>
        </w:rPr>
      </w:pPr>
      <w:r w:rsidRPr="00E60EFC">
        <w:rPr>
          <w:sz w:val="20"/>
          <w:szCs w:val="20"/>
        </w:rPr>
        <w:t xml:space="preserve">Cifras en millones de quetzales </w:t>
      </w:r>
    </w:p>
    <w:tbl>
      <w:tblPr>
        <w:tblW w:w="8717" w:type="dxa"/>
        <w:jc w:val="center"/>
        <w:tblCellMar>
          <w:left w:w="70" w:type="dxa"/>
          <w:right w:w="70" w:type="dxa"/>
        </w:tblCellMar>
        <w:tblLook w:val="04A0" w:firstRow="1" w:lastRow="0" w:firstColumn="1" w:lastColumn="0" w:noHBand="0" w:noVBand="1"/>
      </w:tblPr>
      <w:tblGrid>
        <w:gridCol w:w="7632"/>
        <w:gridCol w:w="1085"/>
      </w:tblGrid>
      <w:tr w:rsidR="00D16EA3" w:rsidRPr="004A66F0" w14:paraId="3A0871DB" w14:textId="77777777" w:rsidTr="00E60EFC">
        <w:trPr>
          <w:trHeight w:val="311"/>
          <w:jc w:val="center"/>
        </w:trPr>
        <w:tc>
          <w:tcPr>
            <w:tcW w:w="7632" w:type="dxa"/>
            <w:tcBorders>
              <w:top w:val="single" w:sz="8" w:space="0" w:color="auto"/>
              <w:left w:val="single" w:sz="8" w:space="0" w:color="auto"/>
              <w:bottom w:val="single" w:sz="8" w:space="0" w:color="auto"/>
              <w:right w:val="single" w:sz="8" w:space="0" w:color="auto"/>
            </w:tcBorders>
            <w:shd w:val="clear" w:color="000000" w:fill="333F4F"/>
            <w:noWrap/>
            <w:vAlign w:val="center"/>
            <w:hideMark/>
          </w:tcPr>
          <w:p w14:paraId="197FB0EC" w14:textId="77777777" w:rsidR="00D16EA3" w:rsidRPr="004A66F0" w:rsidRDefault="00D16EA3" w:rsidP="00582CA7">
            <w:pPr>
              <w:spacing w:line="276" w:lineRule="auto"/>
              <w:contextualSpacing/>
              <w:jc w:val="center"/>
              <w:rPr>
                <w:b/>
                <w:bCs/>
                <w:color w:val="FFFFFF"/>
                <w:sz w:val="20"/>
                <w:szCs w:val="20"/>
              </w:rPr>
            </w:pPr>
            <w:r w:rsidRPr="004A66F0">
              <w:rPr>
                <w:b/>
                <w:bCs/>
                <w:color w:val="FFFFFF"/>
                <w:sz w:val="20"/>
                <w:szCs w:val="20"/>
              </w:rPr>
              <w:t>Organismo y Destino</w:t>
            </w:r>
          </w:p>
        </w:tc>
        <w:tc>
          <w:tcPr>
            <w:tcW w:w="1085" w:type="dxa"/>
            <w:tcBorders>
              <w:top w:val="single" w:sz="8" w:space="0" w:color="auto"/>
              <w:left w:val="nil"/>
              <w:bottom w:val="single" w:sz="8" w:space="0" w:color="auto"/>
              <w:right w:val="single" w:sz="8" w:space="0" w:color="auto"/>
            </w:tcBorders>
            <w:shd w:val="clear" w:color="000000" w:fill="333F4F"/>
            <w:vAlign w:val="center"/>
            <w:hideMark/>
          </w:tcPr>
          <w:p w14:paraId="52B30D0C" w14:textId="77777777" w:rsidR="00D16EA3" w:rsidRPr="004A66F0" w:rsidRDefault="00D16EA3" w:rsidP="00582CA7">
            <w:pPr>
              <w:spacing w:line="276" w:lineRule="auto"/>
              <w:contextualSpacing/>
              <w:jc w:val="center"/>
              <w:rPr>
                <w:b/>
                <w:bCs/>
                <w:color w:val="FFFFFF"/>
                <w:sz w:val="20"/>
                <w:szCs w:val="20"/>
              </w:rPr>
            </w:pPr>
            <w:r w:rsidRPr="004A66F0">
              <w:rPr>
                <w:b/>
                <w:bCs/>
                <w:color w:val="FFFFFF"/>
                <w:sz w:val="20"/>
                <w:szCs w:val="20"/>
              </w:rPr>
              <w:t>Devengado en Millones</w:t>
            </w:r>
          </w:p>
        </w:tc>
      </w:tr>
      <w:tr w:rsidR="00D16EA3" w:rsidRPr="004A66F0" w14:paraId="12F9F23D" w14:textId="77777777" w:rsidTr="00E60EFC">
        <w:trPr>
          <w:trHeight w:val="148"/>
          <w:jc w:val="center"/>
        </w:trPr>
        <w:tc>
          <w:tcPr>
            <w:tcW w:w="7632" w:type="dxa"/>
            <w:tcBorders>
              <w:top w:val="nil"/>
              <w:left w:val="single" w:sz="8" w:space="0" w:color="auto"/>
              <w:bottom w:val="dotted" w:sz="4" w:space="0" w:color="auto"/>
              <w:right w:val="single" w:sz="8" w:space="0" w:color="auto"/>
            </w:tcBorders>
            <w:shd w:val="clear" w:color="000000" w:fill="FFFFFF"/>
            <w:noWrap/>
            <w:vAlign w:val="center"/>
            <w:hideMark/>
          </w:tcPr>
          <w:p w14:paraId="7104B8FF" w14:textId="77777777" w:rsidR="00D16EA3" w:rsidRPr="002259C8" w:rsidRDefault="00D16EA3" w:rsidP="00582CA7">
            <w:pPr>
              <w:spacing w:line="276" w:lineRule="auto"/>
              <w:contextualSpacing/>
              <w:jc w:val="center"/>
              <w:rPr>
                <w:b/>
                <w:bCs/>
                <w:color w:val="000000"/>
                <w:sz w:val="16"/>
                <w:szCs w:val="16"/>
              </w:rPr>
            </w:pPr>
            <w:r w:rsidRPr="002259C8">
              <w:rPr>
                <w:b/>
                <w:bCs/>
                <w:color w:val="000000"/>
                <w:sz w:val="16"/>
                <w:szCs w:val="16"/>
              </w:rPr>
              <w:t>TOTAL</w:t>
            </w:r>
          </w:p>
        </w:tc>
        <w:tc>
          <w:tcPr>
            <w:tcW w:w="1085" w:type="dxa"/>
            <w:tcBorders>
              <w:top w:val="nil"/>
              <w:left w:val="nil"/>
              <w:bottom w:val="dotted" w:sz="4" w:space="0" w:color="auto"/>
              <w:right w:val="single" w:sz="8" w:space="0" w:color="auto"/>
            </w:tcBorders>
            <w:shd w:val="clear" w:color="000000" w:fill="FFFFFF"/>
            <w:noWrap/>
            <w:vAlign w:val="center"/>
            <w:hideMark/>
          </w:tcPr>
          <w:p w14:paraId="5D39F1B1" w14:textId="77777777" w:rsidR="00D16EA3" w:rsidRPr="002259C8" w:rsidRDefault="00D16EA3" w:rsidP="00582CA7">
            <w:pPr>
              <w:spacing w:line="276" w:lineRule="auto"/>
              <w:contextualSpacing/>
              <w:jc w:val="center"/>
              <w:rPr>
                <w:b/>
                <w:bCs/>
                <w:color w:val="000000"/>
                <w:sz w:val="16"/>
                <w:szCs w:val="16"/>
              </w:rPr>
            </w:pPr>
            <w:r w:rsidRPr="002259C8">
              <w:rPr>
                <w:b/>
                <w:bCs/>
                <w:color w:val="000000"/>
                <w:sz w:val="16"/>
                <w:szCs w:val="16"/>
              </w:rPr>
              <w:t>4,591.3</w:t>
            </w:r>
          </w:p>
        </w:tc>
      </w:tr>
      <w:tr w:rsidR="00D16EA3" w:rsidRPr="004A66F0" w14:paraId="7B444B17" w14:textId="77777777" w:rsidTr="00E60EFC">
        <w:trPr>
          <w:trHeight w:val="176"/>
          <w:jc w:val="center"/>
        </w:trPr>
        <w:tc>
          <w:tcPr>
            <w:tcW w:w="7632" w:type="dxa"/>
            <w:tcBorders>
              <w:top w:val="nil"/>
              <w:left w:val="single" w:sz="8" w:space="0" w:color="auto"/>
              <w:bottom w:val="dotted" w:sz="4" w:space="0" w:color="auto"/>
              <w:right w:val="single" w:sz="8" w:space="0" w:color="auto"/>
            </w:tcBorders>
            <w:shd w:val="clear" w:color="auto" w:fill="D9D9D9" w:themeFill="background1" w:themeFillShade="D9"/>
            <w:noWrap/>
            <w:vAlign w:val="center"/>
            <w:hideMark/>
          </w:tcPr>
          <w:p w14:paraId="19CEC6F5" w14:textId="77777777" w:rsidR="00D16EA3" w:rsidRPr="002259C8" w:rsidRDefault="00D16EA3" w:rsidP="00582CA7">
            <w:pPr>
              <w:spacing w:line="276" w:lineRule="auto"/>
              <w:contextualSpacing/>
              <w:rPr>
                <w:b/>
                <w:bCs/>
                <w:color w:val="000000"/>
                <w:sz w:val="16"/>
                <w:szCs w:val="16"/>
              </w:rPr>
            </w:pPr>
            <w:r w:rsidRPr="002259C8">
              <w:rPr>
                <w:b/>
                <w:bCs/>
                <w:color w:val="000000"/>
                <w:sz w:val="16"/>
                <w:szCs w:val="16"/>
              </w:rPr>
              <w:t>Banco Centroamericano de Integración Económica (BCIE)</w:t>
            </w:r>
          </w:p>
        </w:tc>
        <w:tc>
          <w:tcPr>
            <w:tcW w:w="1085" w:type="dxa"/>
            <w:tcBorders>
              <w:top w:val="nil"/>
              <w:left w:val="nil"/>
              <w:bottom w:val="dotted" w:sz="4" w:space="0" w:color="auto"/>
              <w:right w:val="single" w:sz="8" w:space="0" w:color="auto"/>
            </w:tcBorders>
            <w:shd w:val="clear" w:color="auto" w:fill="D9D9D9" w:themeFill="background1" w:themeFillShade="D9"/>
            <w:noWrap/>
            <w:vAlign w:val="center"/>
            <w:hideMark/>
          </w:tcPr>
          <w:p w14:paraId="2CB372B5" w14:textId="77777777" w:rsidR="00D16EA3" w:rsidRPr="002259C8" w:rsidRDefault="00D16EA3" w:rsidP="00582CA7">
            <w:pPr>
              <w:spacing w:line="276" w:lineRule="auto"/>
              <w:contextualSpacing/>
              <w:jc w:val="center"/>
              <w:rPr>
                <w:b/>
                <w:bCs/>
                <w:color w:val="000000"/>
                <w:sz w:val="16"/>
                <w:szCs w:val="16"/>
              </w:rPr>
            </w:pPr>
            <w:r w:rsidRPr="002259C8">
              <w:rPr>
                <w:b/>
                <w:bCs/>
                <w:color w:val="000000"/>
                <w:sz w:val="16"/>
                <w:szCs w:val="16"/>
              </w:rPr>
              <w:t>20.5</w:t>
            </w:r>
          </w:p>
        </w:tc>
      </w:tr>
      <w:tr w:rsidR="00D16EA3" w:rsidRPr="004A66F0" w14:paraId="2C225B23" w14:textId="77777777" w:rsidTr="00E60EFC">
        <w:trPr>
          <w:trHeight w:val="180"/>
          <w:jc w:val="center"/>
        </w:trPr>
        <w:tc>
          <w:tcPr>
            <w:tcW w:w="7632" w:type="dxa"/>
            <w:tcBorders>
              <w:top w:val="nil"/>
              <w:left w:val="single" w:sz="8" w:space="0" w:color="auto"/>
              <w:bottom w:val="dotted" w:sz="4" w:space="0" w:color="auto"/>
              <w:right w:val="single" w:sz="8" w:space="0" w:color="auto"/>
            </w:tcBorders>
            <w:shd w:val="clear" w:color="000000" w:fill="FFFFFF"/>
            <w:vAlign w:val="center"/>
            <w:hideMark/>
          </w:tcPr>
          <w:p w14:paraId="06019A2F" w14:textId="77777777" w:rsidR="00D16EA3" w:rsidRPr="002259C8" w:rsidRDefault="00D16EA3" w:rsidP="00582CA7">
            <w:pPr>
              <w:spacing w:line="276" w:lineRule="auto"/>
              <w:contextualSpacing/>
              <w:rPr>
                <w:color w:val="000000"/>
                <w:sz w:val="16"/>
                <w:szCs w:val="16"/>
              </w:rPr>
            </w:pPr>
            <w:r w:rsidRPr="002259C8">
              <w:rPr>
                <w:color w:val="000000"/>
                <w:sz w:val="16"/>
                <w:szCs w:val="16"/>
              </w:rPr>
              <w:t>Programa de inversión y modernización para el sector justicia</w:t>
            </w:r>
          </w:p>
        </w:tc>
        <w:tc>
          <w:tcPr>
            <w:tcW w:w="1085" w:type="dxa"/>
            <w:tcBorders>
              <w:top w:val="nil"/>
              <w:left w:val="nil"/>
              <w:bottom w:val="dotted" w:sz="4" w:space="0" w:color="auto"/>
              <w:right w:val="single" w:sz="8" w:space="0" w:color="auto"/>
            </w:tcBorders>
            <w:shd w:val="clear" w:color="000000" w:fill="FFFFFF"/>
            <w:noWrap/>
            <w:vAlign w:val="center"/>
            <w:hideMark/>
          </w:tcPr>
          <w:p w14:paraId="0684B50D" w14:textId="77777777" w:rsidR="00D16EA3" w:rsidRPr="002259C8" w:rsidRDefault="00D16EA3" w:rsidP="00582CA7">
            <w:pPr>
              <w:spacing w:line="276" w:lineRule="auto"/>
              <w:contextualSpacing/>
              <w:jc w:val="center"/>
              <w:rPr>
                <w:color w:val="000000"/>
                <w:sz w:val="16"/>
                <w:szCs w:val="16"/>
              </w:rPr>
            </w:pPr>
            <w:r w:rsidRPr="002259C8">
              <w:rPr>
                <w:color w:val="000000"/>
                <w:sz w:val="16"/>
                <w:szCs w:val="16"/>
              </w:rPr>
              <w:t>10.8</w:t>
            </w:r>
          </w:p>
        </w:tc>
      </w:tr>
      <w:tr w:rsidR="00D16EA3" w:rsidRPr="004A66F0" w14:paraId="7383A6F3" w14:textId="77777777" w:rsidTr="00E60EFC">
        <w:trPr>
          <w:trHeight w:val="184"/>
          <w:jc w:val="center"/>
        </w:trPr>
        <w:tc>
          <w:tcPr>
            <w:tcW w:w="7632" w:type="dxa"/>
            <w:tcBorders>
              <w:top w:val="nil"/>
              <w:left w:val="single" w:sz="8" w:space="0" w:color="auto"/>
              <w:bottom w:val="dotted" w:sz="4" w:space="0" w:color="auto"/>
              <w:right w:val="single" w:sz="8" w:space="0" w:color="auto"/>
            </w:tcBorders>
            <w:shd w:val="clear" w:color="000000" w:fill="FFFFFF"/>
            <w:vAlign w:val="center"/>
            <w:hideMark/>
          </w:tcPr>
          <w:p w14:paraId="3D0F1605" w14:textId="77777777" w:rsidR="00D16EA3" w:rsidRPr="002259C8" w:rsidRDefault="00D16EA3" w:rsidP="00582CA7">
            <w:pPr>
              <w:spacing w:line="276" w:lineRule="auto"/>
              <w:contextualSpacing/>
              <w:rPr>
                <w:color w:val="000000"/>
                <w:sz w:val="16"/>
                <w:szCs w:val="16"/>
              </w:rPr>
            </w:pPr>
            <w:r w:rsidRPr="002259C8">
              <w:rPr>
                <w:color w:val="000000"/>
                <w:sz w:val="16"/>
                <w:szCs w:val="16"/>
              </w:rPr>
              <w:t xml:space="preserve">Proyecto Vial Franja Transversal del Norte </w:t>
            </w:r>
          </w:p>
        </w:tc>
        <w:tc>
          <w:tcPr>
            <w:tcW w:w="1085" w:type="dxa"/>
            <w:tcBorders>
              <w:top w:val="nil"/>
              <w:left w:val="nil"/>
              <w:bottom w:val="dotted" w:sz="4" w:space="0" w:color="auto"/>
              <w:right w:val="single" w:sz="8" w:space="0" w:color="auto"/>
            </w:tcBorders>
            <w:shd w:val="clear" w:color="000000" w:fill="FFFFFF"/>
            <w:noWrap/>
            <w:vAlign w:val="center"/>
            <w:hideMark/>
          </w:tcPr>
          <w:p w14:paraId="06CCA286" w14:textId="77777777" w:rsidR="00D16EA3" w:rsidRPr="002259C8" w:rsidRDefault="00D16EA3" w:rsidP="00582CA7">
            <w:pPr>
              <w:spacing w:line="276" w:lineRule="auto"/>
              <w:contextualSpacing/>
              <w:jc w:val="center"/>
              <w:rPr>
                <w:color w:val="000000"/>
                <w:sz w:val="16"/>
                <w:szCs w:val="16"/>
              </w:rPr>
            </w:pPr>
            <w:r w:rsidRPr="002259C8">
              <w:rPr>
                <w:color w:val="000000"/>
                <w:sz w:val="16"/>
                <w:szCs w:val="16"/>
              </w:rPr>
              <w:t>9.8</w:t>
            </w:r>
          </w:p>
        </w:tc>
      </w:tr>
      <w:tr w:rsidR="00D16EA3" w:rsidRPr="004A66F0" w14:paraId="48807319" w14:textId="77777777" w:rsidTr="00E60EFC">
        <w:trPr>
          <w:trHeight w:val="151"/>
          <w:jc w:val="center"/>
        </w:trPr>
        <w:tc>
          <w:tcPr>
            <w:tcW w:w="7632" w:type="dxa"/>
            <w:tcBorders>
              <w:top w:val="nil"/>
              <w:left w:val="single" w:sz="8" w:space="0" w:color="auto"/>
              <w:bottom w:val="dotted" w:sz="4" w:space="0" w:color="auto"/>
              <w:right w:val="single" w:sz="8" w:space="0" w:color="auto"/>
            </w:tcBorders>
            <w:shd w:val="clear" w:color="auto" w:fill="D9D9D9" w:themeFill="background1" w:themeFillShade="D9"/>
            <w:noWrap/>
            <w:vAlign w:val="center"/>
            <w:hideMark/>
          </w:tcPr>
          <w:p w14:paraId="1CA8A1EE" w14:textId="77777777" w:rsidR="00D16EA3" w:rsidRPr="002259C8" w:rsidRDefault="00D16EA3" w:rsidP="00582CA7">
            <w:pPr>
              <w:spacing w:line="276" w:lineRule="auto"/>
              <w:contextualSpacing/>
              <w:rPr>
                <w:b/>
                <w:bCs/>
                <w:color w:val="000000"/>
                <w:sz w:val="16"/>
                <w:szCs w:val="16"/>
              </w:rPr>
            </w:pPr>
            <w:r w:rsidRPr="002259C8">
              <w:rPr>
                <w:b/>
                <w:bCs/>
                <w:color w:val="000000"/>
                <w:sz w:val="16"/>
                <w:szCs w:val="16"/>
              </w:rPr>
              <w:t>Banco Interamericano de Desarrollo (BID)</w:t>
            </w:r>
          </w:p>
        </w:tc>
        <w:tc>
          <w:tcPr>
            <w:tcW w:w="1085" w:type="dxa"/>
            <w:tcBorders>
              <w:top w:val="nil"/>
              <w:left w:val="nil"/>
              <w:bottom w:val="dotted" w:sz="4" w:space="0" w:color="auto"/>
              <w:right w:val="single" w:sz="8" w:space="0" w:color="auto"/>
            </w:tcBorders>
            <w:shd w:val="clear" w:color="auto" w:fill="D9D9D9" w:themeFill="background1" w:themeFillShade="D9"/>
            <w:noWrap/>
            <w:vAlign w:val="center"/>
            <w:hideMark/>
          </w:tcPr>
          <w:p w14:paraId="0C58DF70" w14:textId="77777777" w:rsidR="00D16EA3" w:rsidRPr="002259C8" w:rsidRDefault="00D16EA3" w:rsidP="00582CA7">
            <w:pPr>
              <w:spacing w:line="276" w:lineRule="auto"/>
              <w:contextualSpacing/>
              <w:jc w:val="center"/>
              <w:rPr>
                <w:b/>
                <w:bCs/>
                <w:color w:val="000000"/>
                <w:sz w:val="16"/>
                <w:szCs w:val="16"/>
              </w:rPr>
            </w:pPr>
            <w:r w:rsidRPr="002259C8">
              <w:rPr>
                <w:b/>
                <w:bCs/>
                <w:color w:val="000000"/>
                <w:sz w:val="16"/>
                <w:szCs w:val="16"/>
              </w:rPr>
              <w:t>613.4</w:t>
            </w:r>
          </w:p>
        </w:tc>
      </w:tr>
      <w:tr w:rsidR="00D16EA3" w:rsidRPr="004A66F0" w14:paraId="58A816C7" w14:textId="77777777" w:rsidTr="00E60EFC">
        <w:trPr>
          <w:trHeight w:val="302"/>
          <w:jc w:val="center"/>
        </w:trPr>
        <w:tc>
          <w:tcPr>
            <w:tcW w:w="7632" w:type="dxa"/>
            <w:tcBorders>
              <w:top w:val="nil"/>
              <w:left w:val="single" w:sz="8" w:space="0" w:color="auto"/>
              <w:bottom w:val="dotted" w:sz="4" w:space="0" w:color="auto"/>
              <w:right w:val="single" w:sz="8" w:space="0" w:color="auto"/>
            </w:tcBorders>
            <w:shd w:val="clear" w:color="000000" w:fill="FFFFFF"/>
            <w:vAlign w:val="center"/>
            <w:hideMark/>
          </w:tcPr>
          <w:p w14:paraId="02CC74C1" w14:textId="77777777" w:rsidR="00D16EA3" w:rsidRPr="002259C8" w:rsidRDefault="00D16EA3" w:rsidP="00582CA7">
            <w:pPr>
              <w:spacing w:line="276" w:lineRule="auto"/>
              <w:contextualSpacing/>
              <w:rPr>
                <w:color w:val="000000"/>
                <w:sz w:val="16"/>
                <w:szCs w:val="16"/>
              </w:rPr>
            </w:pPr>
            <w:r w:rsidRPr="002259C8">
              <w:rPr>
                <w:color w:val="000000"/>
                <w:sz w:val="16"/>
                <w:szCs w:val="16"/>
              </w:rPr>
              <w:t>Programa de agua potable y saneamiento para el desarrollo humano (fase I)</w:t>
            </w:r>
          </w:p>
        </w:tc>
        <w:tc>
          <w:tcPr>
            <w:tcW w:w="1085" w:type="dxa"/>
            <w:tcBorders>
              <w:top w:val="nil"/>
              <w:left w:val="nil"/>
              <w:bottom w:val="dotted" w:sz="4" w:space="0" w:color="auto"/>
              <w:right w:val="single" w:sz="8" w:space="0" w:color="auto"/>
            </w:tcBorders>
            <w:noWrap/>
            <w:vAlign w:val="center"/>
            <w:hideMark/>
          </w:tcPr>
          <w:p w14:paraId="78A7CE73" w14:textId="77777777" w:rsidR="00D16EA3" w:rsidRPr="002259C8" w:rsidRDefault="00D16EA3" w:rsidP="00582CA7">
            <w:pPr>
              <w:spacing w:line="276" w:lineRule="auto"/>
              <w:contextualSpacing/>
              <w:jc w:val="center"/>
              <w:rPr>
                <w:color w:val="000000"/>
                <w:sz w:val="16"/>
                <w:szCs w:val="16"/>
              </w:rPr>
            </w:pPr>
            <w:r w:rsidRPr="002259C8">
              <w:rPr>
                <w:color w:val="000000"/>
                <w:sz w:val="16"/>
                <w:szCs w:val="16"/>
              </w:rPr>
              <w:t>47.9</w:t>
            </w:r>
          </w:p>
        </w:tc>
      </w:tr>
      <w:tr w:rsidR="00D16EA3" w:rsidRPr="004A66F0" w14:paraId="06E7B6EB" w14:textId="77777777" w:rsidTr="00E60EFC">
        <w:trPr>
          <w:trHeight w:val="168"/>
          <w:jc w:val="center"/>
        </w:trPr>
        <w:tc>
          <w:tcPr>
            <w:tcW w:w="7632" w:type="dxa"/>
            <w:tcBorders>
              <w:top w:val="nil"/>
              <w:left w:val="single" w:sz="8" w:space="0" w:color="auto"/>
              <w:bottom w:val="dotted" w:sz="4" w:space="0" w:color="auto"/>
              <w:right w:val="single" w:sz="8" w:space="0" w:color="auto"/>
            </w:tcBorders>
            <w:shd w:val="clear" w:color="000000" w:fill="FFFFFF"/>
            <w:vAlign w:val="center"/>
            <w:hideMark/>
          </w:tcPr>
          <w:p w14:paraId="437EAA95" w14:textId="77777777" w:rsidR="00D16EA3" w:rsidRPr="002259C8" w:rsidRDefault="00D16EA3" w:rsidP="00582CA7">
            <w:pPr>
              <w:spacing w:line="276" w:lineRule="auto"/>
              <w:contextualSpacing/>
              <w:rPr>
                <w:color w:val="000000"/>
                <w:sz w:val="16"/>
                <w:szCs w:val="16"/>
              </w:rPr>
            </w:pPr>
            <w:r w:rsidRPr="002259C8">
              <w:rPr>
                <w:color w:val="000000"/>
                <w:sz w:val="16"/>
                <w:szCs w:val="16"/>
              </w:rPr>
              <w:t xml:space="preserve">Programa de Desarrollo de la Infraestructura Vial </w:t>
            </w:r>
          </w:p>
        </w:tc>
        <w:tc>
          <w:tcPr>
            <w:tcW w:w="1085" w:type="dxa"/>
            <w:tcBorders>
              <w:top w:val="nil"/>
              <w:left w:val="nil"/>
              <w:bottom w:val="dotted" w:sz="4" w:space="0" w:color="auto"/>
              <w:right w:val="single" w:sz="8" w:space="0" w:color="auto"/>
            </w:tcBorders>
            <w:noWrap/>
            <w:vAlign w:val="center"/>
            <w:hideMark/>
          </w:tcPr>
          <w:p w14:paraId="6D62EB3F" w14:textId="77777777" w:rsidR="00D16EA3" w:rsidRPr="002259C8" w:rsidRDefault="00D16EA3" w:rsidP="00582CA7">
            <w:pPr>
              <w:spacing w:line="276" w:lineRule="auto"/>
              <w:contextualSpacing/>
              <w:jc w:val="center"/>
              <w:rPr>
                <w:color w:val="000000"/>
                <w:sz w:val="16"/>
                <w:szCs w:val="16"/>
              </w:rPr>
            </w:pPr>
            <w:r w:rsidRPr="002259C8">
              <w:rPr>
                <w:color w:val="000000"/>
                <w:sz w:val="16"/>
                <w:szCs w:val="16"/>
              </w:rPr>
              <w:t>214.7</w:t>
            </w:r>
          </w:p>
        </w:tc>
      </w:tr>
      <w:tr w:rsidR="00D16EA3" w:rsidRPr="004A66F0" w14:paraId="445869D0" w14:textId="77777777" w:rsidTr="00E60EFC">
        <w:trPr>
          <w:trHeight w:val="302"/>
          <w:jc w:val="center"/>
        </w:trPr>
        <w:tc>
          <w:tcPr>
            <w:tcW w:w="7632" w:type="dxa"/>
            <w:tcBorders>
              <w:top w:val="nil"/>
              <w:left w:val="single" w:sz="8" w:space="0" w:color="auto"/>
              <w:bottom w:val="dotted" w:sz="4" w:space="0" w:color="auto"/>
              <w:right w:val="single" w:sz="8" w:space="0" w:color="auto"/>
            </w:tcBorders>
            <w:shd w:val="clear" w:color="000000" w:fill="FFFFFF"/>
            <w:vAlign w:val="center"/>
            <w:hideMark/>
          </w:tcPr>
          <w:p w14:paraId="0260FF8F" w14:textId="77777777" w:rsidR="00D16EA3" w:rsidRPr="002259C8" w:rsidRDefault="00D16EA3" w:rsidP="00582CA7">
            <w:pPr>
              <w:spacing w:line="276" w:lineRule="auto"/>
              <w:contextualSpacing/>
              <w:rPr>
                <w:color w:val="000000"/>
                <w:sz w:val="16"/>
                <w:szCs w:val="16"/>
              </w:rPr>
            </w:pPr>
            <w:r w:rsidRPr="002259C8">
              <w:rPr>
                <w:color w:val="000000"/>
                <w:sz w:val="16"/>
                <w:szCs w:val="16"/>
              </w:rPr>
              <w:t>Programa de Fortalecimiento de la Red Institucional de Servicios de Salud (PRORISS)</w:t>
            </w:r>
          </w:p>
        </w:tc>
        <w:tc>
          <w:tcPr>
            <w:tcW w:w="1085" w:type="dxa"/>
            <w:tcBorders>
              <w:top w:val="nil"/>
              <w:left w:val="nil"/>
              <w:bottom w:val="dotted" w:sz="4" w:space="0" w:color="auto"/>
              <w:right w:val="single" w:sz="8" w:space="0" w:color="auto"/>
            </w:tcBorders>
            <w:noWrap/>
            <w:vAlign w:val="center"/>
            <w:hideMark/>
          </w:tcPr>
          <w:p w14:paraId="5E38CE8A" w14:textId="77777777" w:rsidR="00D16EA3" w:rsidRPr="002259C8" w:rsidRDefault="00D16EA3" w:rsidP="00582CA7">
            <w:pPr>
              <w:spacing w:line="276" w:lineRule="auto"/>
              <w:contextualSpacing/>
              <w:jc w:val="center"/>
              <w:rPr>
                <w:color w:val="000000"/>
                <w:sz w:val="16"/>
                <w:szCs w:val="16"/>
              </w:rPr>
            </w:pPr>
            <w:r w:rsidRPr="002259C8">
              <w:rPr>
                <w:color w:val="000000"/>
                <w:sz w:val="16"/>
                <w:szCs w:val="16"/>
              </w:rPr>
              <w:t>31.8</w:t>
            </w:r>
          </w:p>
        </w:tc>
      </w:tr>
      <w:tr w:rsidR="00D16EA3" w:rsidRPr="004A66F0" w14:paraId="1D1715F0" w14:textId="77777777" w:rsidTr="00E60EFC">
        <w:trPr>
          <w:trHeight w:val="222"/>
          <w:jc w:val="center"/>
        </w:trPr>
        <w:tc>
          <w:tcPr>
            <w:tcW w:w="7632" w:type="dxa"/>
            <w:tcBorders>
              <w:top w:val="nil"/>
              <w:left w:val="single" w:sz="8" w:space="0" w:color="auto"/>
              <w:bottom w:val="dotted" w:sz="4" w:space="0" w:color="auto"/>
              <w:right w:val="single" w:sz="8" w:space="0" w:color="auto"/>
            </w:tcBorders>
            <w:shd w:val="clear" w:color="000000" w:fill="FFFFFF"/>
            <w:vAlign w:val="center"/>
            <w:hideMark/>
          </w:tcPr>
          <w:p w14:paraId="0EE02DB4" w14:textId="77777777" w:rsidR="00D16EA3" w:rsidRPr="002259C8" w:rsidRDefault="00D16EA3" w:rsidP="00582CA7">
            <w:pPr>
              <w:spacing w:line="276" w:lineRule="auto"/>
              <w:contextualSpacing/>
              <w:rPr>
                <w:color w:val="000000"/>
                <w:sz w:val="16"/>
                <w:szCs w:val="16"/>
              </w:rPr>
            </w:pPr>
            <w:r w:rsidRPr="002259C8">
              <w:rPr>
                <w:color w:val="000000"/>
                <w:sz w:val="16"/>
                <w:szCs w:val="16"/>
              </w:rPr>
              <w:t xml:space="preserve">Programa de Fortalecimiento y Modernización del Ministerio Público </w:t>
            </w:r>
          </w:p>
        </w:tc>
        <w:tc>
          <w:tcPr>
            <w:tcW w:w="1085" w:type="dxa"/>
            <w:tcBorders>
              <w:top w:val="nil"/>
              <w:left w:val="nil"/>
              <w:bottom w:val="dotted" w:sz="4" w:space="0" w:color="auto"/>
              <w:right w:val="single" w:sz="8" w:space="0" w:color="auto"/>
            </w:tcBorders>
            <w:noWrap/>
            <w:vAlign w:val="center"/>
            <w:hideMark/>
          </w:tcPr>
          <w:p w14:paraId="4945FD66" w14:textId="77777777" w:rsidR="00D16EA3" w:rsidRPr="002259C8" w:rsidRDefault="00D16EA3" w:rsidP="00582CA7">
            <w:pPr>
              <w:spacing w:line="276" w:lineRule="auto"/>
              <w:contextualSpacing/>
              <w:jc w:val="center"/>
              <w:rPr>
                <w:color w:val="000000"/>
                <w:sz w:val="16"/>
                <w:szCs w:val="16"/>
              </w:rPr>
            </w:pPr>
            <w:r w:rsidRPr="002259C8">
              <w:rPr>
                <w:color w:val="000000"/>
                <w:sz w:val="16"/>
                <w:szCs w:val="16"/>
              </w:rPr>
              <w:t>39.8</w:t>
            </w:r>
          </w:p>
        </w:tc>
      </w:tr>
      <w:tr w:rsidR="00D16EA3" w:rsidRPr="004A66F0" w14:paraId="2C9C5A3F" w14:textId="77777777" w:rsidTr="00E60EFC">
        <w:trPr>
          <w:trHeight w:val="84"/>
          <w:jc w:val="center"/>
        </w:trPr>
        <w:tc>
          <w:tcPr>
            <w:tcW w:w="7632" w:type="dxa"/>
            <w:tcBorders>
              <w:top w:val="nil"/>
              <w:left w:val="single" w:sz="8" w:space="0" w:color="auto"/>
              <w:bottom w:val="dotted" w:sz="4" w:space="0" w:color="auto"/>
              <w:right w:val="single" w:sz="8" w:space="0" w:color="auto"/>
            </w:tcBorders>
            <w:shd w:val="clear" w:color="000000" w:fill="FFFFFF"/>
            <w:vAlign w:val="center"/>
            <w:hideMark/>
          </w:tcPr>
          <w:p w14:paraId="19B15089" w14:textId="77777777" w:rsidR="00D16EA3" w:rsidRPr="002259C8" w:rsidRDefault="00D16EA3" w:rsidP="00582CA7">
            <w:pPr>
              <w:spacing w:line="276" w:lineRule="auto"/>
              <w:contextualSpacing/>
              <w:rPr>
                <w:color w:val="000000"/>
                <w:sz w:val="16"/>
                <w:szCs w:val="16"/>
              </w:rPr>
            </w:pPr>
            <w:r w:rsidRPr="002259C8">
              <w:rPr>
                <w:color w:val="000000"/>
                <w:sz w:val="16"/>
                <w:szCs w:val="16"/>
              </w:rPr>
              <w:t xml:space="preserve">Programa para el mejoramiento de la cobertura y calidad educativa </w:t>
            </w:r>
          </w:p>
        </w:tc>
        <w:tc>
          <w:tcPr>
            <w:tcW w:w="1085" w:type="dxa"/>
            <w:tcBorders>
              <w:top w:val="nil"/>
              <w:left w:val="nil"/>
              <w:bottom w:val="dotted" w:sz="4" w:space="0" w:color="auto"/>
              <w:right w:val="single" w:sz="8" w:space="0" w:color="auto"/>
            </w:tcBorders>
            <w:noWrap/>
            <w:vAlign w:val="center"/>
            <w:hideMark/>
          </w:tcPr>
          <w:p w14:paraId="426B6206" w14:textId="77777777" w:rsidR="00D16EA3" w:rsidRPr="002259C8" w:rsidRDefault="00D16EA3" w:rsidP="00582CA7">
            <w:pPr>
              <w:spacing w:line="276" w:lineRule="auto"/>
              <w:contextualSpacing/>
              <w:jc w:val="center"/>
              <w:rPr>
                <w:color w:val="000000"/>
                <w:sz w:val="16"/>
                <w:szCs w:val="16"/>
              </w:rPr>
            </w:pPr>
            <w:r w:rsidRPr="002259C8">
              <w:rPr>
                <w:color w:val="000000"/>
                <w:sz w:val="16"/>
                <w:szCs w:val="16"/>
              </w:rPr>
              <w:t>279.3</w:t>
            </w:r>
          </w:p>
        </w:tc>
      </w:tr>
      <w:tr w:rsidR="00D16EA3" w:rsidRPr="004A66F0" w14:paraId="5392D64E" w14:textId="77777777" w:rsidTr="00E60EFC">
        <w:trPr>
          <w:trHeight w:val="88"/>
          <w:jc w:val="center"/>
        </w:trPr>
        <w:tc>
          <w:tcPr>
            <w:tcW w:w="7632" w:type="dxa"/>
            <w:tcBorders>
              <w:top w:val="nil"/>
              <w:left w:val="single" w:sz="8" w:space="0" w:color="auto"/>
              <w:bottom w:val="dotted" w:sz="4" w:space="0" w:color="auto"/>
              <w:right w:val="single" w:sz="8" w:space="0" w:color="auto"/>
            </w:tcBorders>
            <w:shd w:val="clear" w:color="auto" w:fill="D9D9D9" w:themeFill="background1" w:themeFillShade="D9"/>
            <w:noWrap/>
            <w:vAlign w:val="center"/>
            <w:hideMark/>
          </w:tcPr>
          <w:p w14:paraId="053EE31B" w14:textId="77777777" w:rsidR="00D16EA3" w:rsidRPr="002259C8" w:rsidRDefault="00D16EA3" w:rsidP="00582CA7">
            <w:pPr>
              <w:spacing w:line="276" w:lineRule="auto"/>
              <w:contextualSpacing/>
              <w:rPr>
                <w:b/>
                <w:bCs/>
                <w:color w:val="000000"/>
                <w:sz w:val="16"/>
                <w:szCs w:val="16"/>
              </w:rPr>
            </w:pPr>
            <w:r w:rsidRPr="002259C8">
              <w:rPr>
                <w:b/>
                <w:bCs/>
                <w:color w:val="000000"/>
                <w:sz w:val="16"/>
                <w:szCs w:val="16"/>
              </w:rPr>
              <w:t>Banco Internacional de Reconstrucción y Fomento (BIRF)</w:t>
            </w:r>
          </w:p>
        </w:tc>
        <w:tc>
          <w:tcPr>
            <w:tcW w:w="1085" w:type="dxa"/>
            <w:tcBorders>
              <w:top w:val="nil"/>
              <w:left w:val="nil"/>
              <w:bottom w:val="dotted" w:sz="4" w:space="0" w:color="auto"/>
              <w:right w:val="single" w:sz="8" w:space="0" w:color="auto"/>
            </w:tcBorders>
            <w:shd w:val="clear" w:color="auto" w:fill="D9D9D9" w:themeFill="background1" w:themeFillShade="D9"/>
            <w:noWrap/>
            <w:vAlign w:val="center"/>
            <w:hideMark/>
          </w:tcPr>
          <w:p w14:paraId="589B2978" w14:textId="77777777" w:rsidR="00D16EA3" w:rsidRPr="002259C8" w:rsidRDefault="00D16EA3" w:rsidP="00582CA7">
            <w:pPr>
              <w:spacing w:line="276" w:lineRule="auto"/>
              <w:contextualSpacing/>
              <w:jc w:val="center"/>
              <w:rPr>
                <w:b/>
                <w:bCs/>
                <w:color w:val="000000"/>
                <w:sz w:val="16"/>
                <w:szCs w:val="16"/>
              </w:rPr>
            </w:pPr>
            <w:r w:rsidRPr="002259C8">
              <w:rPr>
                <w:b/>
                <w:bCs/>
                <w:color w:val="000000"/>
                <w:sz w:val="16"/>
                <w:szCs w:val="16"/>
              </w:rPr>
              <w:t>3,912.3</w:t>
            </w:r>
          </w:p>
        </w:tc>
      </w:tr>
      <w:tr w:rsidR="00D16EA3" w:rsidRPr="004A66F0" w14:paraId="42132333" w14:textId="77777777" w:rsidTr="00E60EFC">
        <w:trPr>
          <w:trHeight w:val="234"/>
          <w:jc w:val="center"/>
        </w:trPr>
        <w:tc>
          <w:tcPr>
            <w:tcW w:w="7632" w:type="dxa"/>
            <w:tcBorders>
              <w:top w:val="nil"/>
              <w:left w:val="single" w:sz="8" w:space="0" w:color="auto"/>
              <w:bottom w:val="dotted" w:sz="4" w:space="0" w:color="auto"/>
              <w:right w:val="single" w:sz="8" w:space="0" w:color="auto"/>
            </w:tcBorders>
            <w:shd w:val="clear" w:color="000000" w:fill="FFFFFF"/>
            <w:vAlign w:val="center"/>
            <w:hideMark/>
          </w:tcPr>
          <w:p w14:paraId="433455E3" w14:textId="77777777" w:rsidR="00D16EA3" w:rsidRPr="002259C8" w:rsidRDefault="00D16EA3" w:rsidP="00582CA7">
            <w:pPr>
              <w:spacing w:line="276" w:lineRule="auto"/>
              <w:contextualSpacing/>
              <w:rPr>
                <w:color w:val="000000"/>
                <w:sz w:val="16"/>
                <w:szCs w:val="16"/>
              </w:rPr>
            </w:pPr>
            <w:r w:rsidRPr="002259C8">
              <w:rPr>
                <w:color w:val="000000"/>
                <w:sz w:val="16"/>
                <w:szCs w:val="16"/>
              </w:rPr>
              <w:t xml:space="preserve">Crecer Sano: Proyecto de Nutrición y Salud en Guatemala </w:t>
            </w:r>
          </w:p>
        </w:tc>
        <w:tc>
          <w:tcPr>
            <w:tcW w:w="1085" w:type="dxa"/>
            <w:tcBorders>
              <w:top w:val="nil"/>
              <w:left w:val="nil"/>
              <w:bottom w:val="dotted" w:sz="4" w:space="0" w:color="auto"/>
              <w:right w:val="single" w:sz="8" w:space="0" w:color="auto"/>
            </w:tcBorders>
            <w:noWrap/>
            <w:vAlign w:val="center"/>
            <w:hideMark/>
          </w:tcPr>
          <w:p w14:paraId="49CFC05A" w14:textId="77777777" w:rsidR="00D16EA3" w:rsidRPr="002259C8" w:rsidRDefault="00D16EA3" w:rsidP="00582CA7">
            <w:pPr>
              <w:spacing w:line="276" w:lineRule="auto"/>
              <w:contextualSpacing/>
              <w:jc w:val="center"/>
              <w:rPr>
                <w:color w:val="000000"/>
                <w:sz w:val="16"/>
                <w:szCs w:val="16"/>
              </w:rPr>
            </w:pPr>
            <w:r w:rsidRPr="002259C8">
              <w:rPr>
                <w:color w:val="000000"/>
                <w:sz w:val="16"/>
                <w:szCs w:val="16"/>
              </w:rPr>
              <w:t>46.5</w:t>
            </w:r>
          </w:p>
        </w:tc>
      </w:tr>
      <w:tr w:rsidR="00D16EA3" w:rsidRPr="004A66F0" w14:paraId="3673A6B2" w14:textId="77777777" w:rsidTr="00E60EFC">
        <w:trPr>
          <w:trHeight w:val="308"/>
          <w:jc w:val="center"/>
        </w:trPr>
        <w:tc>
          <w:tcPr>
            <w:tcW w:w="7632" w:type="dxa"/>
            <w:tcBorders>
              <w:top w:val="nil"/>
              <w:left w:val="single" w:sz="8" w:space="0" w:color="auto"/>
              <w:bottom w:val="dotted" w:sz="4" w:space="0" w:color="auto"/>
              <w:right w:val="single" w:sz="8" w:space="0" w:color="auto"/>
            </w:tcBorders>
            <w:shd w:val="clear" w:color="000000" w:fill="FFFFFF"/>
            <w:vAlign w:val="center"/>
            <w:hideMark/>
          </w:tcPr>
          <w:p w14:paraId="733A2195" w14:textId="77777777" w:rsidR="00D16EA3" w:rsidRPr="002259C8" w:rsidRDefault="00D16EA3" w:rsidP="00582CA7">
            <w:pPr>
              <w:spacing w:line="276" w:lineRule="auto"/>
              <w:contextualSpacing/>
              <w:rPr>
                <w:color w:val="000000"/>
                <w:sz w:val="16"/>
                <w:szCs w:val="16"/>
              </w:rPr>
            </w:pPr>
            <w:r w:rsidRPr="002259C8">
              <w:rPr>
                <w:color w:val="000000"/>
                <w:sz w:val="16"/>
                <w:szCs w:val="16"/>
              </w:rPr>
              <w:t xml:space="preserve">Préstamo para Políticas de Desarrollo de respuesta y Recuperación ante la Crisis en Guatemala </w:t>
            </w:r>
          </w:p>
        </w:tc>
        <w:tc>
          <w:tcPr>
            <w:tcW w:w="1085" w:type="dxa"/>
            <w:tcBorders>
              <w:top w:val="nil"/>
              <w:left w:val="nil"/>
              <w:bottom w:val="dotted" w:sz="4" w:space="0" w:color="auto"/>
              <w:right w:val="single" w:sz="8" w:space="0" w:color="auto"/>
            </w:tcBorders>
            <w:noWrap/>
            <w:vAlign w:val="center"/>
            <w:hideMark/>
          </w:tcPr>
          <w:p w14:paraId="18274AF7" w14:textId="77777777" w:rsidR="00D16EA3" w:rsidRPr="002259C8" w:rsidRDefault="00D16EA3" w:rsidP="00582CA7">
            <w:pPr>
              <w:spacing w:line="276" w:lineRule="auto"/>
              <w:contextualSpacing/>
              <w:jc w:val="center"/>
              <w:rPr>
                <w:color w:val="000000"/>
                <w:sz w:val="16"/>
                <w:szCs w:val="16"/>
              </w:rPr>
            </w:pPr>
            <w:r w:rsidRPr="002259C8">
              <w:rPr>
                <w:color w:val="000000"/>
                <w:sz w:val="16"/>
                <w:szCs w:val="16"/>
              </w:rPr>
              <w:t>3,865.8</w:t>
            </w:r>
          </w:p>
        </w:tc>
      </w:tr>
      <w:tr w:rsidR="00D16EA3" w:rsidRPr="004A66F0" w14:paraId="4A780622" w14:textId="77777777" w:rsidTr="00E60EFC">
        <w:trPr>
          <w:trHeight w:val="56"/>
          <w:jc w:val="center"/>
        </w:trPr>
        <w:tc>
          <w:tcPr>
            <w:tcW w:w="7632" w:type="dxa"/>
            <w:tcBorders>
              <w:top w:val="nil"/>
              <w:left w:val="single" w:sz="8" w:space="0" w:color="auto"/>
              <w:bottom w:val="dotted" w:sz="4" w:space="0" w:color="auto"/>
              <w:right w:val="single" w:sz="8" w:space="0" w:color="auto"/>
            </w:tcBorders>
            <w:shd w:val="clear" w:color="auto" w:fill="D9D9D9" w:themeFill="background1" w:themeFillShade="D9"/>
            <w:noWrap/>
            <w:vAlign w:val="center"/>
            <w:hideMark/>
          </w:tcPr>
          <w:p w14:paraId="0DCEC0A7" w14:textId="77777777" w:rsidR="00D16EA3" w:rsidRPr="002259C8" w:rsidRDefault="00D16EA3" w:rsidP="00582CA7">
            <w:pPr>
              <w:spacing w:line="276" w:lineRule="auto"/>
              <w:contextualSpacing/>
              <w:rPr>
                <w:b/>
                <w:bCs/>
                <w:color w:val="000000"/>
                <w:sz w:val="16"/>
                <w:szCs w:val="16"/>
              </w:rPr>
            </w:pPr>
            <w:r w:rsidRPr="002259C8">
              <w:rPr>
                <w:b/>
                <w:bCs/>
                <w:color w:val="000000"/>
                <w:sz w:val="16"/>
                <w:szCs w:val="16"/>
              </w:rPr>
              <w:t>Kreditanstalt Fur Wiederaufbau</w:t>
            </w:r>
          </w:p>
        </w:tc>
        <w:tc>
          <w:tcPr>
            <w:tcW w:w="1085" w:type="dxa"/>
            <w:tcBorders>
              <w:top w:val="nil"/>
              <w:left w:val="nil"/>
              <w:bottom w:val="dotted" w:sz="4" w:space="0" w:color="auto"/>
              <w:right w:val="single" w:sz="8" w:space="0" w:color="auto"/>
            </w:tcBorders>
            <w:shd w:val="clear" w:color="auto" w:fill="D9D9D9" w:themeFill="background1" w:themeFillShade="D9"/>
            <w:noWrap/>
            <w:vAlign w:val="center"/>
            <w:hideMark/>
          </w:tcPr>
          <w:p w14:paraId="4FC16CCE" w14:textId="77777777" w:rsidR="00D16EA3" w:rsidRPr="002259C8" w:rsidRDefault="00D16EA3" w:rsidP="00582CA7">
            <w:pPr>
              <w:spacing w:line="276" w:lineRule="auto"/>
              <w:contextualSpacing/>
              <w:jc w:val="center"/>
              <w:rPr>
                <w:b/>
                <w:bCs/>
                <w:color w:val="000000"/>
                <w:sz w:val="16"/>
                <w:szCs w:val="16"/>
              </w:rPr>
            </w:pPr>
            <w:r w:rsidRPr="002259C8">
              <w:rPr>
                <w:b/>
                <w:bCs/>
                <w:color w:val="000000"/>
                <w:sz w:val="16"/>
                <w:szCs w:val="16"/>
              </w:rPr>
              <w:t>45.0</w:t>
            </w:r>
          </w:p>
        </w:tc>
      </w:tr>
      <w:tr w:rsidR="00D16EA3" w:rsidRPr="004A66F0" w14:paraId="48B82A60" w14:textId="77777777" w:rsidTr="00E60EFC">
        <w:trPr>
          <w:trHeight w:val="56"/>
          <w:jc w:val="center"/>
        </w:trPr>
        <w:tc>
          <w:tcPr>
            <w:tcW w:w="7632" w:type="dxa"/>
            <w:tcBorders>
              <w:top w:val="nil"/>
              <w:left w:val="single" w:sz="8" w:space="0" w:color="auto"/>
              <w:bottom w:val="single" w:sz="8" w:space="0" w:color="auto"/>
              <w:right w:val="single" w:sz="8" w:space="0" w:color="auto"/>
            </w:tcBorders>
            <w:shd w:val="clear" w:color="000000" w:fill="FFFFFF"/>
            <w:vAlign w:val="center"/>
            <w:hideMark/>
          </w:tcPr>
          <w:p w14:paraId="79902462" w14:textId="77777777" w:rsidR="00D16EA3" w:rsidRPr="002259C8" w:rsidRDefault="00D16EA3" w:rsidP="00582CA7">
            <w:pPr>
              <w:spacing w:line="276" w:lineRule="auto"/>
              <w:contextualSpacing/>
              <w:rPr>
                <w:color w:val="000000"/>
                <w:sz w:val="16"/>
                <w:szCs w:val="16"/>
              </w:rPr>
            </w:pPr>
            <w:r w:rsidRPr="002259C8">
              <w:rPr>
                <w:color w:val="000000"/>
                <w:sz w:val="16"/>
                <w:szCs w:val="16"/>
              </w:rPr>
              <w:t>Proyecto de Educación Rural V (PROEDUC V)</w:t>
            </w:r>
          </w:p>
        </w:tc>
        <w:tc>
          <w:tcPr>
            <w:tcW w:w="1085" w:type="dxa"/>
            <w:tcBorders>
              <w:top w:val="nil"/>
              <w:left w:val="nil"/>
              <w:bottom w:val="single" w:sz="8" w:space="0" w:color="auto"/>
              <w:right w:val="single" w:sz="8" w:space="0" w:color="auto"/>
            </w:tcBorders>
            <w:shd w:val="clear" w:color="000000" w:fill="FFFFFF"/>
            <w:noWrap/>
            <w:vAlign w:val="center"/>
            <w:hideMark/>
          </w:tcPr>
          <w:p w14:paraId="29D0C23B" w14:textId="77777777" w:rsidR="00D16EA3" w:rsidRPr="002259C8" w:rsidRDefault="00D16EA3" w:rsidP="00582CA7">
            <w:pPr>
              <w:spacing w:line="276" w:lineRule="auto"/>
              <w:contextualSpacing/>
              <w:jc w:val="center"/>
              <w:rPr>
                <w:color w:val="000000"/>
                <w:sz w:val="16"/>
                <w:szCs w:val="16"/>
              </w:rPr>
            </w:pPr>
            <w:r w:rsidRPr="002259C8">
              <w:rPr>
                <w:color w:val="000000"/>
                <w:sz w:val="16"/>
                <w:szCs w:val="16"/>
              </w:rPr>
              <w:t>45.0</w:t>
            </w:r>
          </w:p>
        </w:tc>
      </w:tr>
    </w:tbl>
    <w:p w14:paraId="5C3E6FA7" w14:textId="13799A5C" w:rsidR="00D16EA3" w:rsidRPr="004A66F0" w:rsidRDefault="00D16EA3" w:rsidP="00D16EA3">
      <w:pPr>
        <w:spacing w:line="276" w:lineRule="auto"/>
        <w:ind w:firstLine="708"/>
        <w:contextualSpacing/>
        <w:rPr>
          <w:sz w:val="18"/>
        </w:rPr>
      </w:pPr>
      <w:r w:rsidRPr="004A66F0">
        <w:rPr>
          <w:sz w:val="18"/>
        </w:rPr>
        <w:t>Fuente: Dirección de Análisis y Política Fiscal</w:t>
      </w:r>
      <w:r w:rsidR="00E60EFC">
        <w:rPr>
          <w:sz w:val="18"/>
        </w:rPr>
        <w:t>.</w:t>
      </w:r>
    </w:p>
    <w:p w14:paraId="311B7552" w14:textId="77777777" w:rsidR="00D16EA3" w:rsidRPr="00D16EA3" w:rsidRDefault="00D16EA3" w:rsidP="00D16EA3">
      <w:pPr>
        <w:jc w:val="both"/>
      </w:pPr>
    </w:p>
    <w:p w14:paraId="6A198B83" w14:textId="77777777" w:rsidR="00D16EA3" w:rsidRPr="00D16EA3" w:rsidRDefault="00D16EA3" w:rsidP="00D16EA3">
      <w:pPr>
        <w:jc w:val="both"/>
        <w:rPr>
          <w:lang w:val="es-ES_tradnl"/>
        </w:rPr>
      </w:pPr>
      <w:r w:rsidRPr="00D16EA3">
        <w:rPr>
          <w:lang w:val="es-ES_tradnl"/>
        </w:rPr>
        <w:t>Este préstamo se considera relevante por sus condiciones financieras favorables dado que considera un vencimiento de 13 años, incluido un período de gracia de 3 años y una tasa aproximada de 0.75%.</w:t>
      </w:r>
    </w:p>
    <w:p w14:paraId="710A134D" w14:textId="77777777" w:rsidR="00D16EA3" w:rsidRPr="00D16EA3" w:rsidRDefault="00D16EA3" w:rsidP="00D16EA3">
      <w:pPr>
        <w:jc w:val="both"/>
        <w:rPr>
          <w:lang w:val="es-ES_tradnl"/>
        </w:rPr>
      </w:pPr>
      <w:r w:rsidRPr="00D16EA3">
        <w:rPr>
          <w:lang w:val="es-ES_tradnl"/>
        </w:rPr>
        <w:t xml:space="preserve"> </w:t>
      </w:r>
    </w:p>
    <w:p w14:paraId="2A9374B3" w14:textId="77777777" w:rsidR="00D16EA3" w:rsidRPr="00D16EA3" w:rsidRDefault="00D16EA3" w:rsidP="00D16EA3">
      <w:pPr>
        <w:jc w:val="both"/>
        <w:rPr>
          <w:lang w:val="es-ES_tradnl"/>
        </w:rPr>
      </w:pPr>
      <w:r w:rsidRPr="00D16EA3">
        <w:rPr>
          <w:lang w:val="es-ES_tradnl"/>
        </w:rPr>
        <w:t xml:space="preserve">Derivado de lo anterior, los desembolsos de préstamos externos al cierre de 2022, fueron más dinámicos en comparación a 2021, alcanzando un monto de Q4,591.3 millones. </w:t>
      </w:r>
    </w:p>
    <w:p w14:paraId="75F0B717" w14:textId="77777777" w:rsidR="00D16EA3" w:rsidRPr="00D16EA3" w:rsidRDefault="00D16EA3" w:rsidP="00D16EA3">
      <w:pPr>
        <w:jc w:val="both"/>
        <w:rPr>
          <w:lang w:val="es-ES_tradnl"/>
        </w:rPr>
      </w:pPr>
    </w:p>
    <w:p w14:paraId="2EACD2CF" w14:textId="5679DD82" w:rsidR="00D16EA3" w:rsidRPr="00D16EA3" w:rsidRDefault="00D16EA3" w:rsidP="00D16EA3">
      <w:pPr>
        <w:jc w:val="both"/>
        <w:rPr>
          <w:lang w:val="es-ES_tradnl"/>
        </w:rPr>
      </w:pPr>
      <w:r w:rsidRPr="00D16EA3">
        <w:rPr>
          <w:lang w:val="es-ES_tradnl"/>
        </w:rPr>
        <w:t xml:space="preserve">El préstamo con mayor desembolso fue precisamente el aprobado en el Decreto número 29-2022 con el BIRF por Q3,865.8 millones, seguidamente </w:t>
      </w:r>
      <w:r w:rsidR="00EA4ADD">
        <w:rPr>
          <w:lang w:val="es-ES_tradnl"/>
        </w:rPr>
        <w:t xml:space="preserve">el </w:t>
      </w:r>
      <w:r w:rsidRPr="00D16EA3">
        <w:rPr>
          <w:lang w:val="es-ES_tradnl"/>
        </w:rPr>
        <w:t>del Programa para el mejoramiento de la cobertura y calidad educativa por Q279.3 millones con el Banco Interamericano de Desarrollo (BID).</w:t>
      </w:r>
    </w:p>
    <w:p w14:paraId="372026F1" w14:textId="77777777" w:rsidR="00D16EA3" w:rsidRPr="00D16EA3" w:rsidRDefault="00D16EA3" w:rsidP="00D16EA3">
      <w:pPr>
        <w:jc w:val="both"/>
        <w:rPr>
          <w:lang w:val="es-ES_tradnl"/>
        </w:rPr>
      </w:pPr>
    </w:p>
    <w:p w14:paraId="01C7B8C2" w14:textId="5B2E25F3" w:rsidR="007145AB" w:rsidRDefault="00D16EA3" w:rsidP="00D16EA3">
      <w:pPr>
        <w:jc w:val="both"/>
        <w:rPr>
          <w:lang w:val="es-ES_tradnl"/>
        </w:rPr>
      </w:pPr>
      <w:r w:rsidRPr="00D16EA3">
        <w:rPr>
          <w:lang w:val="es-ES_tradnl"/>
        </w:rPr>
        <w:t>Adicionalmente durante el período se tuvo amortizaciones por Q2,867.3 millones, con un efecto en el financiamiento externo neto de Q109.7 millones, tomando en consideración la negociación neta del eurobono. Dado que el financiamiento mediante endeudamiento no fue suficiente para cubrir el déficit resultante en 2022, la variación estimada de caja se sitúo en Q3,883.7 millones, monto menor al que se estableció en el presupuesto aprobado para dicho año.</w:t>
      </w:r>
    </w:p>
    <w:p w14:paraId="1472B0C6" w14:textId="0EF45913" w:rsidR="008F755E" w:rsidRDefault="008F755E" w:rsidP="00D16EA3">
      <w:pPr>
        <w:jc w:val="both"/>
        <w:rPr>
          <w:lang w:val="es-ES_tradnl"/>
        </w:rPr>
      </w:pPr>
    </w:p>
    <w:p w14:paraId="3776E114" w14:textId="0885575E" w:rsidR="008F755E" w:rsidRPr="0049039C" w:rsidRDefault="008F755E" w:rsidP="0049039C">
      <w:pPr>
        <w:pStyle w:val="Prrafodelista"/>
        <w:numPr>
          <w:ilvl w:val="1"/>
          <w:numId w:val="3"/>
        </w:numPr>
        <w:ind w:left="567" w:hanging="425"/>
        <w:jc w:val="both"/>
        <w:outlineLvl w:val="1"/>
        <w:rPr>
          <w:b/>
          <w:bCs/>
          <w:lang w:val="es-ES_tradnl"/>
        </w:rPr>
      </w:pPr>
      <w:bookmarkStart w:id="146" w:name="_Toc16155026"/>
      <w:bookmarkStart w:id="147" w:name="_Toc143865829"/>
      <w:r w:rsidRPr="0049039C">
        <w:rPr>
          <w:b/>
          <w:bCs/>
          <w:lang w:val="es-ES_tradnl"/>
        </w:rPr>
        <w:t xml:space="preserve">Resultado del </w:t>
      </w:r>
      <w:r w:rsidR="00D31CC8" w:rsidRPr="0049039C">
        <w:rPr>
          <w:b/>
          <w:bCs/>
          <w:lang w:val="es-ES_tradnl"/>
        </w:rPr>
        <w:t>s</w:t>
      </w:r>
      <w:r w:rsidRPr="0049039C">
        <w:rPr>
          <w:b/>
          <w:bCs/>
          <w:lang w:val="es-ES_tradnl"/>
        </w:rPr>
        <w:t xml:space="preserve">ector </w:t>
      </w:r>
      <w:r w:rsidR="00D31CC8" w:rsidRPr="0049039C">
        <w:rPr>
          <w:b/>
          <w:bCs/>
          <w:lang w:val="es-ES_tradnl"/>
        </w:rPr>
        <w:t>p</w:t>
      </w:r>
      <w:r w:rsidRPr="0049039C">
        <w:rPr>
          <w:b/>
          <w:bCs/>
          <w:lang w:val="es-ES_tradnl"/>
        </w:rPr>
        <w:t xml:space="preserve">úblico </w:t>
      </w:r>
      <w:r w:rsidR="00D31CC8" w:rsidRPr="0049039C">
        <w:rPr>
          <w:b/>
          <w:bCs/>
          <w:lang w:val="es-ES_tradnl"/>
        </w:rPr>
        <w:t>n</w:t>
      </w:r>
      <w:r w:rsidRPr="0049039C">
        <w:rPr>
          <w:b/>
          <w:bCs/>
          <w:lang w:val="es-ES_tradnl"/>
        </w:rPr>
        <w:t xml:space="preserve">o </w:t>
      </w:r>
      <w:r w:rsidR="00D31CC8" w:rsidRPr="0049039C">
        <w:rPr>
          <w:b/>
          <w:bCs/>
          <w:lang w:val="es-ES_tradnl"/>
        </w:rPr>
        <w:t>f</w:t>
      </w:r>
      <w:r w:rsidRPr="0049039C">
        <w:rPr>
          <w:b/>
          <w:bCs/>
          <w:lang w:val="es-ES_tradnl"/>
        </w:rPr>
        <w:t xml:space="preserve">inanciero </w:t>
      </w:r>
      <w:r w:rsidR="00D31CC8" w:rsidRPr="0049039C">
        <w:rPr>
          <w:b/>
          <w:bCs/>
          <w:lang w:val="es-ES_tradnl"/>
        </w:rPr>
        <w:t>c</w:t>
      </w:r>
      <w:r w:rsidRPr="0049039C">
        <w:rPr>
          <w:b/>
          <w:bCs/>
          <w:lang w:val="es-ES_tradnl"/>
        </w:rPr>
        <w:t>onsolidado</w:t>
      </w:r>
      <w:bookmarkEnd w:id="146"/>
      <w:bookmarkEnd w:id="147"/>
    </w:p>
    <w:p w14:paraId="66A57DFA" w14:textId="77777777" w:rsidR="008F755E" w:rsidRPr="008F755E" w:rsidRDefault="008F755E" w:rsidP="008F755E">
      <w:pPr>
        <w:ind w:left="1276"/>
        <w:jc w:val="both"/>
        <w:outlineLvl w:val="2"/>
        <w:rPr>
          <w:b/>
          <w:sz w:val="22"/>
          <w:szCs w:val="22"/>
          <w:lang w:eastAsia="en-US"/>
        </w:rPr>
      </w:pPr>
    </w:p>
    <w:p w14:paraId="75DEC51F" w14:textId="77777777" w:rsidR="008F755E" w:rsidRPr="008F755E" w:rsidRDefault="008F755E" w:rsidP="008F755E">
      <w:pPr>
        <w:jc w:val="both"/>
        <w:rPr>
          <w:sz w:val="22"/>
          <w:szCs w:val="22"/>
          <w:lang w:eastAsia="en-US"/>
        </w:rPr>
      </w:pPr>
      <w:r w:rsidRPr="008F755E">
        <w:rPr>
          <w:sz w:val="22"/>
          <w:szCs w:val="22"/>
          <w:lang w:eastAsia="en-US"/>
        </w:rPr>
        <w:t xml:space="preserve">El sector público no financiero -SPNF- considera las entidades de la Administración Central (Presidencia, Ministerios, Secretarías, Obligaciones del Estado, Servicio de la deuda Pública y la Procuraduría General de la Nación, el Organismo Judicial, el Congreso de la República, todos los órganos de control jurídico-administrativo y político), las entidades descentralizadas y autónomas, las entidades de seguridad social, las municipalidades, mancomunidades y las empresas públicas nacionales y municipales.  Lo que se excluye son las empresas públicas financieras como BANGUAT, SIB, CHN, FHA y CORFINA.   </w:t>
      </w:r>
    </w:p>
    <w:p w14:paraId="7E3D2647" w14:textId="77777777" w:rsidR="008F755E" w:rsidRPr="008F755E" w:rsidRDefault="008F755E" w:rsidP="008F755E">
      <w:pPr>
        <w:jc w:val="both"/>
        <w:rPr>
          <w:sz w:val="22"/>
          <w:szCs w:val="22"/>
          <w:lang w:eastAsia="en-US"/>
        </w:rPr>
      </w:pPr>
    </w:p>
    <w:p w14:paraId="0AF260EA" w14:textId="77777777" w:rsidR="008F755E" w:rsidRPr="008F755E" w:rsidRDefault="008F755E" w:rsidP="008F755E">
      <w:pPr>
        <w:jc w:val="both"/>
        <w:rPr>
          <w:sz w:val="22"/>
          <w:szCs w:val="22"/>
          <w:lang w:eastAsia="en-US"/>
        </w:rPr>
      </w:pPr>
      <w:r w:rsidRPr="008F755E">
        <w:rPr>
          <w:sz w:val="22"/>
          <w:szCs w:val="22"/>
          <w:lang w:eastAsia="en-US"/>
        </w:rPr>
        <w:t>Es importante resaltar que la información que se presenta a continuación corresponde a cifras consolidadas, esto con la finalidad de presentar al SPNF como una sola unidad económica. Para efectos de consolidación se eliminan las operaciones reciprocas que se producen entre las diferentes entidades que conforman el SPNF, principalmente transferencias, algunos servicios, traslado de utilidades, intereses de deuda entre entidades, entre otros rubros.</w:t>
      </w:r>
    </w:p>
    <w:p w14:paraId="0F7CB2E0" w14:textId="77777777" w:rsidR="008F755E" w:rsidRPr="008F755E" w:rsidRDefault="008F755E" w:rsidP="008F755E">
      <w:pPr>
        <w:jc w:val="both"/>
        <w:rPr>
          <w:sz w:val="22"/>
          <w:szCs w:val="22"/>
          <w:lang w:eastAsia="en-US"/>
        </w:rPr>
      </w:pPr>
    </w:p>
    <w:p w14:paraId="3DE6E1E3" w14:textId="77777777" w:rsidR="008F755E" w:rsidRPr="008F755E" w:rsidRDefault="008F755E" w:rsidP="008F755E">
      <w:pPr>
        <w:jc w:val="both"/>
        <w:rPr>
          <w:sz w:val="22"/>
          <w:szCs w:val="22"/>
          <w:lang w:eastAsia="en-US"/>
        </w:rPr>
      </w:pPr>
      <w:r w:rsidRPr="008F755E">
        <w:rPr>
          <w:sz w:val="22"/>
          <w:szCs w:val="22"/>
          <w:lang w:eastAsia="en-US"/>
        </w:rPr>
        <w:t xml:space="preserve">Los ingresos totales a nivel del Sector Público no Financiero se sitúan en torno al 17.0% del PIB y siendo la recaudación tributaria la principal fuente de financiamiento con el 72.4% sobre los ingresos totales consolidados seguido de los ingresos no tributarios (que contine a las contribuciones sociales) con el 27.5% y los ingresos de capital son el restante 0.1%. </w:t>
      </w:r>
    </w:p>
    <w:p w14:paraId="5D74A93D" w14:textId="77777777" w:rsidR="008F755E" w:rsidRPr="008F755E" w:rsidRDefault="008F755E" w:rsidP="008F755E">
      <w:pPr>
        <w:jc w:val="both"/>
        <w:rPr>
          <w:sz w:val="22"/>
          <w:szCs w:val="22"/>
          <w:lang w:eastAsia="en-US"/>
        </w:rPr>
      </w:pPr>
    </w:p>
    <w:p w14:paraId="5F8D78F4" w14:textId="77777777" w:rsidR="008F755E" w:rsidRPr="008F755E" w:rsidRDefault="008F755E" w:rsidP="008F755E">
      <w:pPr>
        <w:jc w:val="both"/>
        <w:rPr>
          <w:sz w:val="22"/>
          <w:szCs w:val="22"/>
          <w:lang w:eastAsia="en-US"/>
        </w:rPr>
      </w:pPr>
      <w:r w:rsidRPr="008F755E">
        <w:rPr>
          <w:sz w:val="22"/>
          <w:szCs w:val="22"/>
          <w:lang w:eastAsia="en-US"/>
        </w:rPr>
        <w:t>Los ingresos tributarios a nivel del SPNF se sitúan en 12.3% del PIB en 2022 y en términos interanuales, es un aumento de 0.3 puntos porcentuales respecto al año previo (12.0% del PIB). Los impuestos directos se situaron entorno al 4.5% del PIB y los impuestos indirectos recaudaron 7.8% del PIB con un aumento de 0.3 puntos porcentuales. Cabe mencionar que, a nivel de del SPNF los ingresos por conceptos de impuestos se incrementan respecto a la recaudación de la Administración Central derivado de la incorporación de entidades como el Instituto Guatemalteco de Turismo – INGUAT- que recauda el impuesto hotelero y las municipalidades con el Impuesto Único Sobre Inmuebles – IUSI-.</w:t>
      </w:r>
    </w:p>
    <w:p w14:paraId="516602C7" w14:textId="77777777" w:rsidR="008F755E" w:rsidRPr="008F755E" w:rsidRDefault="008F755E" w:rsidP="008F755E">
      <w:pPr>
        <w:jc w:val="both"/>
        <w:rPr>
          <w:sz w:val="22"/>
          <w:szCs w:val="22"/>
          <w:lang w:eastAsia="en-US"/>
        </w:rPr>
      </w:pPr>
    </w:p>
    <w:p w14:paraId="518579D6" w14:textId="77777777" w:rsidR="008F755E" w:rsidRPr="008F755E" w:rsidRDefault="008F755E" w:rsidP="008F755E">
      <w:pPr>
        <w:jc w:val="both"/>
        <w:rPr>
          <w:sz w:val="22"/>
          <w:szCs w:val="22"/>
          <w:highlight w:val="yellow"/>
          <w:lang w:eastAsia="en-US"/>
        </w:rPr>
      </w:pPr>
      <w:r w:rsidRPr="008F755E">
        <w:rPr>
          <w:sz w:val="22"/>
          <w:szCs w:val="22"/>
          <w:lang w:eastAsia="en-US"/>
        </w:rPr>
        <w:t>En lo que respecta a los ingresos no tributarios, durante el 2022 se situaron entorno al 4.7% del PIB siendo un aumento de 0.2 punto porcentuales respecto a lo observado en 2021 (4.5% del PIB). Las contribuciones a la seguridad social han sido las más significativas siendo del en 2.2% del PIB mientras que el resto de los otros ingresos se observaron en; para los ingresos por operaciones en el 0.8% del PIB, las tasas en el 0.5% del PIB, las rentas de la propiedad con el 0.4%, las ventas y servicios de la administración pública el 0.3% y el restante en 0.2%.</w:t>
      </w:r>
    </w:p>
    <w:p w14:paraId="089FF604" w14:textId="77777777" w:rsidR="008F755E" w:rsidRPr="008F755E" w:rsidRDefault="008F755E" w:rsidP="008F755E">
      <w:pPr>
        <w:jc w:val="both"/>
        <w:rPr>
          <w:sz w:val="22"/>
          <w:szCs w:val="22"/>
          <w:lang w:eastAsia="en-US"/>
        </w:rPr>
      </w:pPr>
    </w:p>
    <w:p w14:paraId="7BADA0CF" w14:textId="77777777" w:rsidR="008F755E" w:rsidRPr="008F755E" w:rsidRDefault="008F755E" w:rsidP="008F755E">
      <w:pPr>
        <w:jc w:val="both"/>
        <w:rPr>
          <w:sz w:val="22"/>
          <w:szCs w:val="22"/>
          <w:lang w:eastAsia="en-US"/>
        </w:rPr>
      </w:pPr>
      <w:r w:rsidRPr="008F755E">
        <w:rPr>
          <w:sz w:val="22"/>
          <w:szCs w:val="22"/>
          <w:lang w:eastAsia="en-US"/>
        </w:rPr>
        <w:t>En materia de gasto público a nivel del SPNF, este se situó en torno al 17.9% del PIB y es un aumento de 0.9 puntos porcentuales respecto año previo (17.0% del PIB). Los gastos corrientes son equivalentes al 15.3% del PIB siendo un aumento en términos interanuales de 0.7 puntos porcentuales respecto al 14.6% del PIB observado en 2021 y cabe mencionar que el gasto en bienes y servicios fue la subcuenta con mayor incremento en términos del PIB, pasando de ser el equivalente al 3.0% del PIB en 2021 a un 3.6% del PIB en 2022. Por su parte, el gasto de capital se situó en 2.6% del PIB siendo un aumento de 0.2 punto porcentuales respecto al año previo (2.4% del PIB).</w:t>
      </w:r>
    </w:p>
    <w:p w14:paraId="4EFF2F97" w14:textId="77777777" w:rsidR="008F755E" w:rsidRPr="008F755E" w:rsidRDefault="008F755E" w:rsidP="008F755E">
      <w:pPr>
        <w:jc w:val="both"/>
        <w:rPr>
          <w:sz w:val="22"/>
          <w:szCs w:val="22"/>
          <w:lang w:eastAsia="en-US"/>
        </w:rPr>
      </w:pPr>
    </w:p>
    <w:p w14:paraId="2ED1A094" w14:textId="77777777" w:rsidR="008F755E" w:rsidRPr="008F755E" w:rsidRDefault="008F755E" w:rsidP="008F755E">
      <w:pPr>
        <w:jc w:val="both"/>
        <w:rPr>
          <w:sz w:val="22"/>
          <w:szCs w:val="22"/>
          <w:lang w:eastAsia="en-US"/>
        </w:rPr>
      </w:pPr>
      <w:r w:rsidRPr="008F755E">
        <w:rPr>
          <w:sz w:val="22"/>
          <w:szCs w:val="22"/>
          <w:lang w:eastAsia="en-US"/>
        </w:rPr>
        <w:t>El resultado presupuestal del SPNF fue deficitario en 2022, siendo del 0.9% del PIB y que cabe resaltar que es un leve aumento del déficit por 0.5 puntos porcentuales respecto al 0.4% del PIB observado en el año previo.</w:t>
      </w:r>
    </w:p>
    <w:p w14:paraId="3B0A16BF" w14:textId="77777777" w:rsidR="008F755E" w:rsidRPr="008F755E" w:rsidRDefault="008F755E" w:rsidP="008F755E">
      <w:pPr>
        <w:jc w:val="both"/>
        <w:rPr>
          <w:sz w:val="18"/>
          <w:szCs w:val="22"/>
          <w:lang w:eastAsia="en-US"/>
        </w:rPr>
      </w:pPr>
    </w:p>
    <w:p w14:paraId="0D177415" w14:textId="77777777" w:rsidR="008F755E" w:rsidRPr="008F755E" w:rsidRDefault="008F755E" w:rsidP="008F755E">
      <w:pPr>
        <w:jc w:val="both"/>
        <w:rPr>
          <w:sz w:val="18"/>
          <w:szCs w:val="22"/>
          <w:lang w:eastAsia="en-US"/>
        </w:rPr>
      </w:pPr>
    </w:p>
    <w:p w14:paraId="57CD032C" w14:textId="334D46F3" w:rsidR="008F755E" w:rsidRPr="00F62B40" w:rsidRDefault="00F62B40" w:rsidP="00F62B40">
      <w:pPr>
        <w:pStyle w:val="Descripcin"/>
        <w:keepNext/>
        <w:spacing w:after="0"/>
        <w:jc w:val="center"/>
        <w:rPr>
          <w:b/>
          <w:bCs/>
          <w:i w:val="0"/>
          <w:iCs w:val="0"/>
          <w:color w:val="auto"/>
          <w:sz w:val="24"/>
          <w:szCs w:val="24"/>
        </w:rPr>
      </w:pPr>
      <w:bookmarkStart w:id="148" w:name="_Toc16160559"/>
      <w:bookmarkStart w:id="149" w:name="_Toc143871219"/>
      <w:r w:rsidRPr="00F62B40">
        <w:rPr>
          <w:b/>
          <w:bCs/>
          <w:i w:val="0"/>
          <w:iCs w:val="0"/>
          <w:color w:val="auto"/>
          <w:sz w:val="24"/>
          <w:szCs w:val="24"/>
        </w:rPr>
        <w:t xml:space="preserve">Tabla </w:t>
      </w:r>
      <w:r w:rsidRPr="00F62B40">
        <w:rPr>
          <w:b/>
          <w:bCs/>
          <w:i w:val="0"/>
          <w:iCs w:val="0"/>
          <w:color w:val="auto"/>
          <w:sz w:val="24"/>
          <w:szCs w:val="24"/>
        </w:rPr>
        <w:fldChar w:fldCharType="begin"/>
      </w:r>
      <w:r w:rsidRPr="00F62B40">
        <w:rPr>
          <w:b/>
          <w:bCs/>
          <w:i w:val="0"/>
          <w:iCs w:val="0"/>
          <w:color w:val="auto"/>
          <w:sz w:val="24"/>
          <w:szCs w:val="24"/>
        </w:rPr>
        <w:instrText xml:space="preserve"> SEQ Tabla \* ARABIC </w:instrText>
      </w:r>
      <w:r w:rsidRPr="00F62B40">
        <w:rPr>
          <w:b/>
          <w:bCs/>
          <w:i w:val="0"/>
          <w:iCs w:val="0"/>
          <w:color w:val="auto"/>
          <w:sz w:val="24"/>
          <w:szCs w:val="24"/>
        </w:rPr>
        <w:fldChar w:fldCharType="separate"/>
      </w:r>
      <w:r w:rsidR="006622B2">
        <w:rPr>
          <w:b/>
          <w:bCs/>
          <w:i w:val="0"/>
          <w:iCs w:val="0"/>
          <w:noProof/>
          <w:color w:val="auto"/>
          <w:sz w:val="24"/>
          <w:szCs w:val="24"/>
        </w:rPr>
        <w:t>12</w:t>
      </w:r>
      <w:r w:rsidRPr="00F62B40">
        <w:rPr>
          <w:b/>
          <w:bCs/>
          <w:i w:val="0"/>
          <w:iCs w:val="0"/>
          <w:color w:val="auto"/>
          <w:sz w:val="24"/>
          <w:szCs w:val="24"/>
        </w:rPr>
        <w:fldChar w:fldCharType="end"/>
      </w:r>
      <w:r w:rsidRPr="00F62B40">
        <w:rPr>
          <w:b/>
          <w:bCs/>
          <w:i w:val="0"/>
          <w:iCs w:val="0"/>
          <w:color w:val="auto"/>
          <w:sz w:val="24"/>
          <w:szCs w:val="24"/>
        </w:rPr>
        <w:t xml:space="preserve">.  </w:t>
      </w:r>
      <w:r w:rsidR="008F755E" w:rsidRPr="00F62B40">
        <w:rPr>
          <w:b/>
          <w:bCs/>
          <w:i w:val="0"/>
          <w:iCs w:val="0"/>
          <w:color w:val="auto"/>
          <w:sz w:val="24"/>
          <w:szCs w:val="24"/>
          <w:lang w:eastAsia="en-US"/>
        </w:rPr>
        <w:t xml:space="preserve">Sector </w:t>
      </w:r>
      <w:r w:rsidR="00D31CC8" w:rsidRPr="00F62B40">
        <w:rPr>
          <w:b/>
          <w:bCs/>
          <w:i w:val="0"/>
          <w:iCs w:val="0"/>
          <w:color w:val="auto"/>
          <w:sz w:val="24"/>
          <w:szCs w:val="24"/>
          <w:lang w:eastAsia="en-US"/>
        </w:rPr>
        <w:t>p</w:t>
      </w:r>
      <w:r w:rsidR="008F755E" w:rsidRPr="00F62B40">
        <w:rPr>
          <w:b/>
          <w:bCs/>
          <w:i w:val="0"/>
          <w:iCs w:val="0"/>
          <w:color w:val="auto"/>
          <w:sz w:val="24"/>
          <w:szCs w:val="24"/>
          <w:lang w:eastAsia="en-US"/>
        </w:rPr>
        <w:t xml:space="preserve">úblico </w:t>
      </w:r>
      <w:r w:rsidR="00D31CC8" w:rsidRPr="00F62B40">
        <w:rPr>
          <w:b/>
          <w:bCs/>
          <w:i w:val="0"/>
          <w:iCs w:val="0"/>
          <w:color w:val="auto"/>
          <w:sz w:val="24"/>
          <w:szCs w:val="24"/>
          <w:lang w:eastAsia="en-US"/>
        </w:rPr>
        <w:t>n</w:t>
      </w:r>
      <w:r w:rsidR="008F755E" w:rsidRPr="00F62B40">
        <w:rPr>
          <w:b/>
          <w:bCs/>
          <w:i w:val="0"/>
          <w:iCs w:val="0"/>
          <w:color w:val="auto"/>
          <w:sz w:val="24"/>
          <w:szCs w:val="24"/>
          <w:lang w:eastAsia="en-US"/>
        </w:rPr>
        <w:t xml:space="preserve">o </w:t>
      </w:r>
      <w:r w:rsidR="00D31CC8" w:rsidRPr="00F62B40">
        <w:rPr>
          <w:b/>
          <w:bCs/>
          <w:i w:val="0"/>
          <w:iCs w:val="0"/>
          <w:color w:val="auto"/>
          <w:sz w:val="24"/>
          <w:szCs w:val="24"/>
          <w:lang w:eastAsia="en-US"/>
        </w:rPr>
        <w:t>f</w:t>
      </w:r>
      <w:r w:rsidR="008F755E" w:rsidRPr="00F62B40">
        <w:rPr>
          <w:b/>
          <w:bCs/>
          <w:i w:val="0"/>
          <w:iCs w:val="0"/>
          <w:color w:val="auto"/>
          <w:sz w:val="24"/>
          <w:szCs w:val="24"/>
          <w:lang w:eastAsia="en-US"/>
        </w:rPr>
        <w:t xml:space="preserve">inanciero, </w:t>
      </w:r>
      <w:r w:rsidR="00D31CC8" w:rsidRPr="00F62B40">
        <w:rPr>
          <w:b/>
          <w:bCs/>
          <w:i w:val="0"/>
          <w:iCs w:val="0"/>
          <w:color w:val="auto"/>
          <w:sz w:val="24"/>
          <w:szCs w:val="24"/>
          <w:lang w:eastAsia="en-US"/>
        </w:rPr>
        <w:t>c</w:t>
      </w:r>
      <w:r w:rsidR="008F755E" w:rsidRPr="00F62B40">
        <w:rPr>
          <w:b/>
          <w:bCs/>
          <w:i w:val="0"/>
          <w:iCs w:val="0"/>
          <w:color w:val="auto"/>
          <w:sz w:val="24"/>
          <w:szCs w:val="24"/>
          <w:lang w:eastAsia="en-US"/>
        </w:rPr>
        <w:t xml:space="preserve">uenta </w:t>
      </w:r>
      <w:r w:rsidR="00D31CC8" w:rsidRPr="00F62B40">
        <w:rPr>
          <w:b/>
          <w:bCs/>
          <w:i w:val="0"/>
          <w:iCs w:val="0"/>
          <w:color w:val="auto"/>
          <w:sz w:val="24"/>
          <w:szCs w:val="24"/>
          <w:lang w:eastAsia="en-US"/>
        </w:rPr>
        <w:t>e</w:t>
      </w:r>
      <w:r w:rsidR="008F755E" w:rsidRPr="00F62B40">
        <w:rPr>
          <w:b/>
          <w:bCs/>
          <w:i w:val="0"/>
          <w:iCs w:val="0"/>
          <w:color w:val="auto"/>
          <w:sz w:val="24"/>
          <w:szCs w:val="24"/>
          <w:lang w:eastAsia="en-US"/>
        </w:rPr>
        <w:t xml:space="preserve">conómica </w:t>
      </w:r>
      <w:r w:rsidR="00D31CC8" w:rsidRPr="00F62B40">
        <w:rPr>
          <w:b/>
          <w:bCs/>
          <w:i w:val="0"/>
          <w:iCs w:val="0"/>
          <w:color w:val="auto"/>
          <w:sz w:val="24"/>
          <w:szCs w:val="24"/>
          <w:lang w:eastAsia="en-US"/>
        </w:rPr>
        <w:t>c</w:t>
      </w:r>
      <w:r w:rsidR="008F755E" w:rsidRPr="00F62B40">
        <w:rPr>
          <w:b/>
          <w:bCs/>
          <w:i w:val="0"/>
          <w:iCs w:val="0"/>
          <w:color w:val="auto"/>
          <w:sz w:val="24"/>
          <w:szCs w:val="24"/>
          <w:lang w:eastAsia="en-US"/>
        </w:rPr>
        <w:t>onsolidada (% del PIB)</w:t>
      </w:r>
      <w:bookmarkEnd w:id="148"/>
      <w:bookmarkEnd w:id="149"/>
    </w:p>
    <w:p w14:paraId="6EFF9C01" w14:textId="77777777" w:rsidR="008F755E" w:rsidRPr="008F755E" w:rsidRDefault="008F755E" w:rsidP="008F755E">
      <w:pPr>
        <w:spacing w:line="259" w:lineRule="auto"/>
        <w:jc w:val="center"/>
        <w:rPr>
          <w:sz w:val="22"/>
          <w:szCs w:val="22"/>
          <w:lang w:eastAsia="en-US"/>
        </w:rPr>
      </w:pPr>
      <w:r w:rsidRPr="008F755E">
        <w:rPr>
          <w:sz w:val="22"/>
          <w:szCs w:val="22"/>
          <w:lang w:eastAsia="en-US"/>
        </w:rPr>
        <w:t>2020-2022</w:t>
      </w:r>
    </w:p>
    <w:tbl>
      <w:tblPr>
        <w:tblW w:w="7781" w:type="dxa"/>
        <w:jc w:val="center"/>
        <w:tblCellMar>
          <w:left w:w="70" w:type="dxa"/>
          <w:right w:w="70" w:type="dxa"/>
        </w:tblCellMar>
        <w:tblLook w:val="04A0" w:firstRow="1" w:lastRow="0" w:firstColumn="1" w:lastColumn="0" w:noHBand="0" w:noVBand="1"/>
      </w:tblPr>
      <w:tblGrid>
        <w:gridCol w:w="3915"/>
        <w:gridCol w:w="1231"/>
        <w:gridCol w:w="1231"/>
        <w:gridCol w:w="1231"/>
        <w:gridCol w:w="173"/>
      </w:tblGrid>
      <w:tr w:rsidR="008F755E" w:rsidRPr="008F755E" w14:paraId="47AE1CCC" w14:textId="77777777" w:rsidTr="00CB0BEF">
        <w:trPr>
          <w:gridAfter w:val="1"/>
          <w:wAfter w:w="173" w:type="dxa"/>
          <w:trHeight w:val="577"/>
          <w:jc w:val="center"/>
        </w:trPr>
        <w:tc>
          <w:tcPr>
            <w:tcW w:w="3915" w:type="dxa"/>
            <w:vMerge w:val="restart"/>
            <w:tcBorders>
              <w:top w:val="single" w:sz="8" w:space="0" w:color="auto"/>
              <w:left w:val="single" w:sz="8" w:space="0" w:color="auto"/>
              <w:bottom w:val="single" w:sz="8" w:space="0" w:color="000000"/>
              <w:right w:val="single" w:sz="8" w:space="0" w:color="auto"/>
            </w:tcBorders>
            <w:shd w:val="clear" w:color="000000" w:fill="BDD6EE"/>
            <w:noWrap/>
            <w:vAlign w:val="center"/>
            <w:hideMark/>
          </w:tcPr>
          <w:p w14:paraId="5F10B737" w14:textId="77777777" w:rsidR="008F755E" w:rsidRPr="008F755E" w:rsidRDefault="008F755E" w:rsidP="008F755E">
            <w:pPr>
              <w:jc w:val="center"/>
              <w:rPr>
                <w:b/>
                <w:bCs/>
                <w:color w:val="000000"/>
                <w:sz w:val="18"/>
                <w:szCs w:val="18"/>
              </w:rPr>
            </w:pPr>
            <w:r w:rsidRPr="008F755E">
              <w:rPr>
                <w:b/>
                <w:bCs/>
                <w:color w:val="000000"/>
                <w:sz w:val="18"/>
                <w:szCs w:val="18"/>
              </w:rPr>
              <w:t>Descripción</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BDD6EE"/>
            <w:vAlign w:val="center"/>
          </w:tcPr>
          <w:p w14:paraId="1F51A5B4" w14:textId="77777777" w:rsidR="008F755E" w:rsidRPr="008F755E" w:rsidRDefault="008F755E" w:rsidP="008F755E">
            <w:pPr>
              <w:jc w:val="center"/>
              <w:rPr>
                <w:b/>
                <w:bCs/>
                <w:color w:val="000000"/>
                <w:sz w:val="18"/>
                <w:szCs w:val="18"/>
              </w:rPr>
            </w:pPr>
            <w:r w:rsidRPr="008F755E">
              <w:rPr>
                <w:b/>
                <w:bCs/>
                <w:color w:val="000000"/>
                <w:sz w:val="18"/>
                <w:szCs w:val="18"/>
              </w:rPr>
              <w:t>2020</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BDD6EE"/>
            <w:vAlign w:val="center"/>
          </w:tcPr>
          <w:p w14:paraId="1A4EB360" w14:textId="77777777" w:rsidR="008F755E" w:rsidRPr="008F755E" w:rsidRDefault="008F755E" w:rsidP="008F755E">
            <w:pPr>
              <w:jc w:val="center"/>
              <w:rPr>
                <w:b/>
                <w:bCs/>
                <w:color w:val="000000"/>
                <w:sz w:val="18"/>
                <w:szCs w:val="18"/>
              </w:rPr>
            </w:pPr>
            <w:r w:rsidRPr="008F755E">
              <w:rPr>
                <w:b/>
                <w:bCs/>
                <w:color w:val="000000"/>
                <w:sz w:val="18"/>
                <w:szCs w:val="18"/>
              </w:rPr>
              <w:t>2021</w:t>
            </w:r>
          </w:p>
        </w:tc>
        <w:tc>
          <w:tcPr>
            <w:tcW w:w="1231" w:type="dxa"/>
            <w:vMerge w:val="restart"/>
            <w:tcBorders>
              <w:top w:val="single" w:sz="8" w:space="0" w:color="auto"/>
              <w:left w:val="single" w:sz="8" w:space="0" w:color="auto"/>
              <w:bottom w:val="single" w:sz="8" w:space="0" w:color="000000"/>
              <w:right w:val="single" w:sz="8" w:space="0" w:color="auto"/>
            </w:tcBorders>
            <w:shd w:val="clear" w:color="000000" w:fill="BDD6EE"/>
            <w:vAlign w:val="center"/>
          </w:tcPr>
          <w:p w14:paraId="58441A34" w14:textId="77777777" w:rsidR="008F755E" w:rsidRPr="008F755E" w:rsidRDefault="008F755E" w:rsidP="008F755E">
            <w:pPr>
              <w:jc w:val="center"/>
              <w:rPr>
                <w:b/>
                <w:bCs/>
                <w:color w:val="000000"/>
                <w:sz w:val="18"/>
                <w:szCs w:val="18"/>
              </w:rPr>
            </w:pPr>
            <w:r w:rsidRPr="008F755E">
              <w:rPr>
                <w:b/>
                <w:bCs/>
                <w:color w:val="000000"/>
                <w:sz w:val="18"/>
                <w:szCs w:val="18"/>
              </w:rPr>
              <w:t>2022*</w:t>
            </w:r>
          </w:p>
        </w:tc>
      </w:tr>
      <w:tr w:rsidR="008F755E" w:rsidRPr="008F755E" w14:paraId="699B9D6C" w14:textId="77777777" w:rsidTr="00875D00">
        <w:trPr>
          <w:trHeight w:val="50"/>
          <w:jc w:val="center"/>
        </w:trPr>
        <w:tc>
          <w:tcPr>
            <w:tcW w:w="3915" w:type="dxa"/>
            <w:vMerge/>
            <w:tcBorders>
              <w:top w:val="single" w:sz="8" w:space="0" w:color="auto"/>
              <w:left w:val="single" w:sz="8" w:space="0" w:color="auto"/>
              <w:bottom w:val="single" w:sz="8" w:space="0" w:color="000000"/>
              <w:right w:val="single" w:sz="8" w:space="0" w:color="auto"/>
            </w:tcBorders>
            <w:vAlign w:val="center"/>
            <w:hideMark/>
          </w:tcPr>
          <w:p w14:paraId="7D93AB20" w14:textId="77777777" w:rsidR="008F755E" w:rsidRPr="008F755E" w:rsidRDefault="008F755E" w:rsidP="008F755E">
            <w:pPr>
              <w:rPr>
                <w:b/>
                <w:bCs/>
                <w:color w:val="000000"/>
                <w:sz w:val="18"/>
                <w:szCs w:val="18"/>
              </w:rPr>
            </w:pPr>
          </w:p>
        </w:tc>
        <w:tc>
          <w:tcPr>
            <w:tcW w:w="1231" w:type="dxa"/>
            <w:vMerge/>
            <w:tcBorders>
              <w:top w:val="single" w:sz="8" w:space="0" w:color="auto"/>
              <w:left w:val="single" w:sz="8" w:space="0" w:color="auto"/>
              <w:bottom w:val="single" w:sz="8" w:space="0" w:color="000000"/>
              <w:right w:val="single" w:sz="8" w:space="0" w:color="auto"/>
            </w:tcBorders>
            <w:vAlign w:val="center"/>
          </w:tcPr>
          <w:p w14:paraId="2518F5D8" w14:textId="77777777" w:rsidR="008F755E" w:rsidRPr="008F755E" w:rsidRDefault="008F755E" w:rsidP="008F755E">
            <w:pPr>
              <w:rPr>
                <w:b/>
                <w:bCs/>
                <w:color w:val="000000"/>
                <w:sz w:val="18"/>
                <w:szCs w:val="18"/>
              </w:rPr>
            </w:pPr>
          </w:p>
        </w:tc>
        <w:tc>
          <w:tcPr>
            <w:tcW w:w="1231" w:type="dxa"/>
            <w:vMerge/>
            <w:tcBorders>
              <w:top w:val="single" w:sz="8" w:space="0" w:color="auto"/>
              <w:left w:val="single" w:sz="8" w:space="0" w:color="auto"/>
              <w:bottom w:val="single" w:sz="8" w:space="0" w:color="000000"/>
              <w:right w:val="single" w:sz="8" w:space="0" w:color="auto"/>
            </w:tcBorders>
            <w:vAlign w:val="center"/>
          </w:tcPr>
          <w:p w14:paraId="499C25D3" w14:textId="77777777" w:rsidR="008F755E" w:rsidRPr="008F755E" w:rsidRDefault="008F755E" w:rsidP="008F755E">
            <w:pPr>
              <w:rPr>
                <w:b/>
                <w:bCs/>
                <w:color w:val="000000"/>
                <w:sz w:val="18"/>
                <w:szCs w:val="18"/>
              </w:rPr>
            </w:pPr>
          </w:p>
        </w:tc>
        <w:tc>
          <w:tcPr>
            <w:tcW w:w="1231" w:type="dxa"/>
            <w:vMerge/>
            <w:tcBorders>
              <w:top w:val="single" w:sz="8" w:space="0" w:color="auto"/>
              <w:left w:val="single" w:sz="8" w:space="0" w:color="auto"/>
              <w:bottom w:val="single" w:sz="8" w:space="0" w:color="000000"/>
              <w:right w:val="single" w:sz="8" w:space="0" w:color="auto"/>
            </w:tcBorders>
            <w:vAlign w:val="center"/>
          </w:tcPr>
          <w:p w14:paraId="0663FF00" w14:textId="77777777" w:rsidR="008F755E" w:rsidRPr="008F755E" w:rsidRDefault="008F755E" w:rsidP="008F755E">
            <w:pPr>
              <w:rPr>
                <w:b/>
                <w:bCs/>
                <w:color w:val="000000"/>
                <w:sz w:val="18"/>
                <w:szCs w:val="18"/>
              </w:rPr>
            </w:pPr>
          </w:p>
        </w:tc>
        <w:tc>
          <w:tcPr>
            <w:tcW w:w="173" w:type="dxa"/>
            <w:tcBorders>
              <w:top w:val="nil"/>
              <w:left w:val="nil"/>
              <w:bottom w:val="nil"/>
              <w:right w:val="nil"/>
            </w:tcBorders>
            <w:noWrap/>
            <w:vAlign w:val="bottom"/>
            <w:hideMark/>
          </w:tcPr>
          <w:p w14:paraId="453A5354" w14:textId="77777777" w:rsidR="008F755E" w:rsidRPr="008F755E" w:rsidRDefault="008F755E" w:rsidP="008F755E">
            <w:pPr>
              <w:jc w:val="center"/>
              <w:rPr>
                <w:b/>
                <w:bCs/>
                <w:color w:val="000000"/>
                <w:sz w:val="18"/>
                <w:szCs w:val="18"/>
              </w:rPr>
            </w:pPr>
          </w:p>
        </w:tc>
      </w:tr>
      <w:tr w:rsidR="008F755E" w:rsidRPr="008F755E" w14:paraId="7ED68CA4" w14:textId="77777777" w:rsidTr="00321A34">
        <w:trPr>
          <w:trHeight w:val="61"/>
          <w:jc w:val="center"/>
        </w:trPr>
        <w:tc>
          <w:tcPr>
            <w:tcW w:w="3915" w:type="dxa"/>
            <w:tcBorders>
              <w:top w:val="nil"/>
              <w:left w:val="single" w:sz="8" w:space="0" w:color="auto"/>
              <w:bottom w:val="nil"/>
              <w:right w:val="nil"/>
            </w:tcBorders>
            <w:shd w:val="clear" w:color="000000" w:fill="FFFFFF"/>
            <w:noWrap/>
            <w:vAlign w:val="center"/>
            <w:hideMark/>
          </w:tcPr>
          <w:p w14:paraId="11F32542" w14:textId="77777777" w:rsidR="008F755E" w:rsidRPr="008F755E" w:rsidRDefault="008F755E" w:rsidP="008F755E">
            <w:pPr>
              <w:rPr>
                <w:b/>
                <w:bCs/>
                <w:color w:val="000000"/>
                <w:sz w:val="16"/>
                <w:szCs w:val="16"/>
              </w:rPr>
            </w:pPr>
            <w:r w:rsidRPr="008F755E">
              <w:rPr>
                <w:b/>
                <w:bCs/>
                <w:sz w:val="16"/>
                <w:szCs w:val="16"/>
              </w:rPr>
              <w:t xml:space="preserve">Ingresos Totales </w:t>
            </w:r>
          </w:p>
        </w:tc>
        <w:tc>
          <w:tcPr>
            <w:tcW w:w="1231" w:type="dxa"/>
            <w:tcBorders>
              <w:top w:val="nil"/>
              <w:left w:val="single" w:sz="8" w:space="0" w:color="auto"/>
              <w:bottom w:val="nil"/>
              <w:right w:val="single" w:sz="8" w:space="0" w:color="auto"/>
            </w:tcBorders>
            <w:shd w:val="clear" w:color="000000" w:fill="FFFFFF"/>
            <w:noWrap/>
            <w:vAlign w:val="center"/>
          </w:tcPr>
          <w:p w14:paraId="37E91378" w14:textId="77777777" w:rsidR="008F755E" w:rsidRPr="00875D00" w:rsidRDefault="008F755E" w:rsidP="008F755E">
            <w:pPr>
              <w:jc w:val="center"/>
              <w:rPr>
                <w:b/>
                <w:bCs/>
                <w:color w:val="000000"/>
                <w:sz w:val="16"/>
                <w:szCs w:val="16"/>
              </w:rPr>
            </w:pPr>
            <w:r w:rsidRPr="00875D00">
              <w:rPr>
                <w:b/>
                <w:bCs/>
                <w:color w:val="000000"/>
                <w:sz w:val="16"/>
                <w:szCs w:val="16"/>
                <w:lang w:eastAsia="en-US"/>
              </w:rPr>
              <w:t>14.7%</w:t>
            </w:r>
          </w:p>
        </w:tc>
        <w:tc>
          <w:tcPr>
            <w:tcW w:w="1231" w:type="dxa"/>
            <w:tcBorders>
              <w:top w:val="nil"/>
              <w:left w:val="nil"/>
              <w:bottom w:val="nil"/>
              <w:right w:val="single" w:sz="8" w:space="0" w:color="auto"/>
            </w:tcBorders>
            <w:shd w:val="clear" w:color="000000" w:fill="FFFFFF"/>
            <w:noWrap/>
            <w:vAlign w:val="center"/>
          </w:tcPr>
          <w:p w14:paraId="039CA8CE" w14:textId="77777777" w:rsidR="008F755E" w:rsidRPr="00875D00" w:rsidRDefault="008F755E" w:rsidP="008F755E">
            <w:pPr>
              <w:jc w:val="center"/>
              <w:rPr>
                <w:b/>
                <w:bCs/>
                <w:color w:val="000000"/>
                <w:sz w:val="16"/>
                <w:szCs w:val="16"/>
              </w:rPr>
            </w:pPr>
            <w:r w:rsidRPr="00875D00">
              <w:rPr>
                <w:b/>
                <w:bCs/>
                <w:color w:val="000000"/>
                <w:sz w:val="16"/>
                <w:szCs w:val="16"/>
                <w:lang w:eastAsia="en-US"/>
              </w:rPr>
              <w:t>16.6%</w:t>
            </w:r>
          </w:p>
        </w:tc>
        <w:tc>
          <w:tcPr>
            <w:tcW w:w="1231" w:type="dxa"/>
            <w:tcBorders>
              <w:top w:val="nil"/>
              <w:left w:val="nil"/>
              <w:bottom w:val="nil"/>
              <w:right w:val="single" w:sz="8" w:space="0" w:color="auto"/>
            </w:tcBorders>
            <w:shd w:val="clear" w:color="000000" w:fill="FFFFFF"/>
            <w:noWrap/>
            <w:vAlign w:val="center"/>
          </w:tcPr>
          <w:p w14:paraId="2C04A1E2" w14:textId="77777777" w:rsidR="008F755E" w:rsidRPr="00875D00" w:rsidRDefault="008F755E" w:rsidP="008F755E">
            <w:pPr>
              <w:jc w:val="center"/>
              <w:rPr>
                <w:b/>
                <w:bCs/>
                <w:color w:val="000000"/>
                <w:sz w:val="16"/>
                <w:szCs w:val="16"/>
              </w:rPr>
            </w:pPr>
            <w:r w:rsidRPr="00875D00">
              <w:rPr>
                <w:b/>
                <w:bCs/>
                <w:color w:val="000000"/>
                <w:sz w:val="16"/>
                <w:szCs w:val="16"/>
                <w:lang w:eastAsia="en-US"/>
              </w:rPr>
              <w:t>17.0%</w:t>
            </w:r>
          </w:p>
        </w:tc>
        <w:tc>
          <w:tcPr>
            <w:tcW w:w="173" w:type="dxa"/>
            <w:vAlign w:val="center"/>
            <w:hideMark/>
          </w:tcPr>
          <w:p w14:paraId="48C313AC" w14:textId="77777777" w:rsidR="008F755E" w:rsidRPr="008F755E" w:rsidRDefault="008F755E" w:rsidP="008F755E">
            <w:pPr>
              <w:rPr>
                <w:sz w:val="20"/>
                <w:szCs w:val="20"/>
              </w:rPr>
            </w:pPr>
          </w:p>
        </w:tc>
      </w:tr>
      <w:tr w:rsidR="008F755E" w:rsidRPr="008F755E" w14:paraId="783AD1AF" w14:textId="77777777" w:rsidTr="00321A34">
        <w:trPr>
          <w:trHeight w:val="70"/>
          <w:jc w:val="center"/>
        </w:trPr>
        <w:tc>
          <w:tcPr>
            <w:tcW w:w="3915" w:type="dxa"/>
            <w:tcBorders>
              <w:top w:val="nil"/>
              <w:left w:val="single" w:sz="8" w:space="0" w:color="auto"/>
              <w:bottom w:val="nil"/>
              <w:right w:val="nil"/>
            </w:tcBorders>
            <w:shd w:val="clear" w:color="000000" w:fill="FFFFFF"/>
            <w:noWrap/>
            <w:vAlign w:val="center"/>
            <w:hideMark/>
          </w:tcPr>
          <w:p w14:paraId="07DE63A5" w14:textId="77777777" w:rsidR="008F755E" w:rsidRPr="008F755E" w:rsidRDefault="008F755E" w:rsidP="008F755E">
            <w:pPr>
              <w:ind w:firstLineChars="100" w:firstLine="160"/>
              <w:rPr>
                <w:color w:val="000000"/>
                <w:sz w:val="16"/>
                <w:szCs w:val="16"/>
              </w:rPr>
            </w:pPr>
            <w:r w:rsidRPr="008F755E">
              <w:rPr>
                <w:sz w:val="16"/>
                <w:szCs w:val="16"/>
              </w:rPr>
              <w:t>Ingresos Corrientes</w:t>
            </w:r>
          </w:p>
        </w:tc>
        <w:tc>
          <w:tcPr>
            <w:tcW w:w="1231" w:type="dxa"/>
            <w:tcBorders>
              <w:top w:val="nil"/>
              <w:left w:val="single" w:sz="8" w:space="0" w:color="auto"/>
              <w:bottom w:val="nil"/>
              <w:right w:val="single" w:sz="8" w:space="0" w:color="auto"/>
            </w:tcBorders>
            <w:shd w:val="clear" w:color="000000" w:fill="FFFFFF"/>
            <w:noWrap/>
            <w:vAlign w:val="center"/>
          </w:tcPr>
          <w:p w14:paraId="79A1725A" w14:textId="77777777" w:rsidR="008F755E" w:rsidRPr="00875D00" w:rsidRDefault="008F755E" w:rsidP="008F755E">
            <w:pPr>
              <w:jc w:val="center"/>
              <w:rPr>
                <w:color w:val="000000"/>
                <w:sz w:val="16"/>
                <w:szCs w:val="16"/>
              </w:rPr>
            </w:pPr>
            <w:r w:rsidRPr="00875D00">
              <w:rPr>
                <w:color w:val="000000"/>
                <w:sz w:val="16"/>
                <w:szCs w:val="16"/>
                <w:lang w:eastAsia="en-US"/>
              </w:rPr>
              <w:t>14.7%</w:t>
            </w:r>
          </w:p>
        </w:tc>
        <w:tc>
          <w:tcPr>
            <w:tcW w:w="1231" w:type="dxa"/>
            <w:tcBorders>
              <w:top w:val="nil"/>
              <w:left w:val="nil"/>
              <w:bottom w:val="nil"/>
              <w:right w:val="single" w:sz="8" w:space="0" w:color="auto"/>
            </w:tcBorders>
            <w:shd w:val="clear" w:color="000000" w:fill="FFFFFF"/>
            <w:noWrap/>
            <w:vAlign w:val="center"/>
          </w:tcPr>
          <w:p w14:paraId="41ACD67D" w14:textId="77777777" w:rsidR="008F755E" w:rsidRPr="00875D00" w:rsidRDefault="008F755E" w:rsidP="008F755E">
            <w:pPr>
              <w:jc w:val="center"/>
              <w:rPr>
                <w:color w:val="000000"/>
                <w:sz w:val="16"/>
                <w:szCs w:val="16"/>
              </w:rPr>
            </w:pPr>
            <w:r w:rsidRPr="00875D00">
              <w:rPr>
                <w:color w:val="000000"/>
                <w:sz w:val="16"/>
                <w:szCs w:val="16"/>
                <w:lang w:eastAsia="en-US"/>
              </w:rPr>
              <w:t>16.5%</w:t>
            </w:r>
          </w:p>
        </w:tc>
        <w:tc>
          <w:tcPr>
            <w:tcW w:w="1231" w:type="dxa"/>
            <w:tcBorders>
              <w:top w:val="nil"/>
              <w:left w:val="nil"/>
              <w:bottom w:val="nil"/>
              <w:right w:val="single" w:sz="8" w:space="0" w:color="auto"/>
            </w:tcBorders>
            <w:shd w:val="clear" w:color="000000" w:fill="FFFFFF"/>
            <w:noWrap/>
            <w:vAlign w:val="center"/>
          </w:tcPr>
          <w:p w14:paraId="1EAD538D" w14:textId="77777777" w:rsidR="008F755E" w:rsidRPr="00875D00" w:rsidRDefault="008F755E" w:rsidP="008F755E">
            <w:pPr>
              <w:jc w:val="center"/>
              <w:rPr>
                <w:color w:val="000000"/>
                <w:sz w:val="16"/>
                <w:szCs w:val="16"/>
              </w:rPr>
            </w:pPr>
            <w:r w:rsidRPr="00875D00">
              <w:rPr>
                <w:color w:val="000000"/>
                <w:sz w:val="16"/>
                <w:szCs w:val="16"/>
                <w:lang w:eastAsia="en-US"/>
              </w:rPr>
              <w:t>17.0%</w:t>
            </w:r>
          </w:p>
        </w:tc>
        <w:tc>
          <w:tcPr>
            <w:tcW w:w="173" w:type="dxa"/>
            <w:vAlign w:val="center"/>
            <w:hideMark/>
          </w:tcPr>
          <w:p w14:paraId="7A6B0F67" w14:textId="77777777" w:rsidR="008F755E" w:rsidRPr="008F755E" w:rsidRDefault="008F755E" w:rsidP="008F755E">
            <w:pPr>
              <w:rPr>
                <w:sz w:val="20"/>
                <w:szCs w:val="20"/>
              </w:rPr>
            </w:pPr>
          </w:p>
        </w:tc>
      </w:tr>
      <w:tr w:rsidR="008F755E" w:rsidRPr="008F755E" w14:paraId="5907B103" w14:textId="77777777" w:rsidTr="00321A34">
        <w:trPr>
          <w:trHeight w:val="70"/>
          <w:jc w:val="center"/>
        </w:trPr>
        <w:tc>
          <w:tcPr>
            <w:tcW w:w="3915" w:type="dxa"/>
            <w:tcBorders>
              <w:top w:val="nil"/>
              <w:left w:val="single" w:sz="8" w:space="0" w:color="auto"/>
              <w:bottom w:val="nil"/>
              <w:right w:val="nil"/>
            </w:tcBorders>
            <w:shd w:val="clear" w:color="000000" w:fill="FFFFFF"/>
            <w:noWrap/>
            <w:vAlign w:val="center"/>
            <w:hideMark/>
          </w:tcPr>
          <w:p w14:paraId="038B1CBD" w14:textId="77777777" w:rsidR="008F755E" w:rsidRPr="008F755E" w:rsidRDefault="008F755E" w:rsidP="008F755E">
            <w:pPr>
              <w:ind w:firstLineChars="200" w:firstLine="320"/>
              <w:rPr>
                <w:color w:val="000000"/>
                <w:sz w:val="16"/>
                <w:szCs w:val="16"/>
              </w:rPr>
            </w:pPr>
            <w:r w:rsidRPr="008F755E">
              <w:rPr>
                <w:sz w:val="16"/>
                <w:szCs w:val="16"/>
              </w:rPr>
              <w:t xml:space="preserve">Ingresos Tributarios </w:t>
            </w:r>
          </w:p>
        </w:tc>
        <w:tc>
          <w:tcPr>
            <w:tcW w:w="1231" w:type="dxa"/>
            <w:tcBorders>
              <w:top w:val="nil"/>
              <w:left w:val="single" w:sz="8" w:space="0" w:color="auto"/>
              <w:bottom w:val="nil"/>
              <w:right w:val="single" w:sz="8" w:space="0" w:color="auto"/>
            </w:tcBorders>
            <w:shd w:val="clear" w:color="000000" w:fill="FFFFFF"/>
            <w:noWrap/>
            <w:vAlign w:val="center"/>
          </w:tcPr>
          <w:p w14:paraId="0ADA435F" w14:textId="77777777" w:rsidR="008F755E" w:rsidRPr="00875D00" w:rsidRDefault="008F755E" w:rsidP="008F755E">
            <w:pPr>
              <w:jc w:val="center"/>
              <w:rPr>
                <w:color w:val="000000"/>
                <w:sz w:val="16"/>
                <w:szCs w:val="16"/>
              </w:rPr>
            </w:pPr>
            <w:r w:rsidRPr="00875D00">
              <w:rPr>
                <w:color w:val="000000"/>
                <w:sz w:val="16"/>
                <w:szCs w:val="16"/>
                <w:lang w:eastAsia="en-US"/>
              </w:rPr>
              <w:t>10.3%</w:t>
            </w:r>
          </w:p>
        </w:tc>
        <w:tc>
          <w:tcPr>
            <w:tcW w:w="1231" w:type="dxa"/>
            <w:tcBorders>
              <w:top w:val="nil"/>
              <w:left w:val="nil"/>
              <w:bottom w:val="nil"/>
              <w:right w:val="single" w:sz="8" w:space="0" w:color="auto"/>
            </w:tcBorders>
            <w:shd w:val="clear" w:color="000000" w:fill="FFFFFF"/>
            <w:noWrap/>
            <w:vAlign w:val="center"/>
          </w:tcPr>
          <w:p w14:paraId="72575CA4" w14:textId="77777777" w:rsidR="008F755E" w:rsidRPr="00875D00" w:rsidRDefault="008F755E" w:rsidP="008F755E">
            <w:pPr>
              <w:jc w:val="center"/>
              <w:rPr>
                <w:color w:val="000000"/>
                <w:sz w:val="16"/>
                <w:szCs w:val="16"/>
              </w:rPr>
            </w:pPr>
            <w:r w:rsidRPr="00875D00">
              <w:rPr>
                <w:color w:val="000000"/>
                <w:sz w:val="16"/>
                <w:szCs w:val="16"/>
                <w:lang w:eastAsia="en-US"/>
              </w:rPr>
              <w:t>12.0%</w:t>
            </w:r>
          </w:p>
        </w:tc>
        <w:tc>
          <w:tcPr>
            <w:tcW w:w="1231" w:type="dxa"/>
            <w:tcBorders>
              <w:top w:val="nil"/>
              <w:left w:val="nil"/>
              <w:bottom w:val="nil"/>
              <w:right w:val="single" w:sz="8" w:space="0" w:color="auto"/>
            </w:tcBorders>
            <w:shd w:val="clear" w:color="000000" w:fill="FFFFFF"/>
            <w:noWrap/>
            <w:vAlign w:val="center"/>
          </w:tcPr>
          <w:p w14:paraId="1C89E436" w14:textId="77777777" w:rsidR="008F755E" w:rsidRPr="00875D00" w:rsidRDefault="008F755E" w:rsidP="008F755E">
            <w:pPr>
              <w:jc w:val="center"/>
              <w:rPr>
                <w:color w:val="000000"/>
                <w:sz w:val="16"/>
                <w:szCs w:val="16"/>
              </w:rPr>
            </w:pPr>
            <w:r w:rsidRPr="00875D00">
              <w:rPr>
                <w:color w:val="000000"/>
                <w:sz w:val="16"/>
                <w:szCs w:val="16"/>
                <w:lang w:eastAsia="en-US"/>
              </w:rPr>
              <w:t>12.3%</w:t>
            </w:r>
          </w:p>
        </w:tc>
        <w:tc>
          <w:tcPr>
            <w:tcW w:w="173" w:type="dxa"/>
            <w:vAlign w:val="center"/>
            <w:hideMark/>
          </w:tcPr>
          <w:p w14:paraId="71049CFE" w14:textId="77777777" w:rsidR="008F755E" w:rsidRPr="008F755E" w:rsidRDefault="008F755E" w:rsidP="008F755E">
            <w:pPr>
              <w:rPr>
                <w:sz w:val="20"/>
                <w:szCs w:val="20"/>
              </w:rPr>
            </w:pPr>
          </w:p>
        </w:tc>
      </w:tr>
      <w:tr w:rsidR="008F755E" w:rsidRPr="008F755E" w14:paraId="4B7F3E57" w14:textId="77777777" w:rsidTr="00321A34">
        <w:trPr>
          <w:trHeight w:val="70"/>
          <w:jc w:val="center"/>
        </w:trPr>
        <w:tc>
          <w:tcPr>
            <w:tcW w:w="3915" w:type="dxa"/>
            <w:tcBorders>
              <w:top w:val="nil"/>
              <w:left w:val="single" w:sz="8" w:space="0" w:color="auto"/>
              <w:bottom w:val="nil"/>
              <w:right w:val="nil"/>
            </w:tcBorders>
            <w:shd w:val="clear" w:color="000000" w:fill="FFFFFF"/>
            <w:noWrap/>
            <w:vAlign w:val="center"/>
            <w:hideMark/>
          </w:tcPr>
          <w:p w14:paraId="171E99EF" w14:textId="77777777" w:rsidR="008F755E" w:rsidRPr="008F755E" w:rsidRDefault="008F755E" w:rsidP="008F755E">
            <w:pPr>
              <w:ind w:firstLineChars="200" w:firstLine="320"/>
              <w:rPr>
                <w:color w:val="000000"/>
                <w:sz w:val="16"/>
                <w:szCs w:val="16"/>
              </w:rPr>
            </w:pPr>
            <w:r w:rsidRPr="008F755E">
              <w:rPr>
                <w:sz w:val="16"/>
                <w:szCs w:val="16"/>
              </w:rPr>
              <w:t>Ingresos No tributarios</w:t>
            </w:r>
          </w:p>
        </w:tc>
        <w:tc>
          <w:tcPr>
            <w:tcW w:w="1231" w:type="dxa"/>
            <w:tcBorders>
              <w:top w:val="nil"/>
              <w:left w:val="single" w:sz="8" w:space="0" w:color="auto"/>
              <w:bottom w:val="nil"/>
              <w:right w:val="single" w:sz="8" w:space="0" w:color="auto"/>
            </w:tcBorders>
            <w:shd w:val="clear" w:color="000000" w:fill="FFFFFF"/>
            <w:noWrap/>
            <w:vAlign w:val="center"/>
          </w:tcPr>
          <w:p w14:paraId="0C041123" w14:textId="77777777" w:rsidR="008F755E" w:rsidRPr="00875D00" w:rsidRDefault="008F755E" w:rsidP="008F755E">
            <w:pPr>
              <w:jc w:val="center"/>
              <w:rPr>
                <w:color w:val="000000"/>
                <w:sz w:val="16"/>
                <w:szCs w:val="16"/>
              </w:rPr>
            </w:pPr>
            <w:r w:rsidRPr="00875D00">
              <w:rPr>
                <w:color w:val="000000"/>
                <w:sz w:val="16"/>
                <w:szCs w:val="16"/>
                <w:lang w:eastAsia="en-US"/>
              </w:rPr>
              <w:t>4.4%</w:t>
            </w:r>
          </w:p>
        </w:tc>
        <w:tc>
          <w:tcPr>
            <w:tcW w:w="1231" w:type="dxa"/>
            <w:tcBorders>
              <w:top w:val="nil"/>
              <w:left w:val="nil"/>
              <w:bottom w:val="nil"/>
              <w:right w:val="single" w:sz="8" w:space="0" w:color="auto"/>
            </w:tcBorders>
            <w:shd w:val="clear" w:color="000000" w:fill="FFFFFF"/>
            <w:noWrap/>
            <w:vAlign w:val="center"/>
          </w:tcPr>
          <w:p w14:paraId="13121EBE" w14:textId="77777777" w:rsidR="008F755E" w:rsidRPr="00875D00" w:rsidRDefault="008F755E" w:rsidP="008F755E">
            <w:pPr>
              <w:jc w:val="center"/>
              <w:rPr>
                <w:color w:val="000000"/>
                <w:sz w:val="16"/>
                <w:szCs w:val="16"/>
              </w:rPr>
            </w:pPr>
            <w:r w:rsidRPr="00875D00">
              <w:rPr>
                <w:color w:val="000000"/>
                <w:sz w:val="16"/>
                <w:szCs w:val="16"/>
                <w:lang w:eastAsia="en-US"/>
              </w:rPr>
              <w:t>4.5%</w:t>
            </w:r>
          </w:p>
        </w:tc>
        <w:tc>
          <w:tcPr>
            <w:tcW w:w="1231" w:type="dxa"/>
            <w:tcBorders>
              <w:top w:val="nil"/>
              <w:left w:val="nil"/>
              <w:bottom w:val="nil"/>
              <w:right w:val="single" w:sz="8" w:space="0" w:color="auto"/>
            </w:tcBorders>
            <w:shd w:val="clear" w:color="000000" w:fill="FFFFFF"/>
            <w:noWrap/>
            <w:vAlign w:val="center"/>
          </w:tcPr>
          <w:p w14:paraId="39322D40" w14:textId="77777777" w:rsidR="008F755E" w:rsidRPr="00875D00" w:rsidRDefault="008F755E" w:rsidP="008F755E">
            <w:pPr>
              <w:jc w:val="center"/>
              <w:rPr>
                <w:color w:val="000000"/>
                <w:sz w:val="16"/>
                <w:szCs w:val="16"/>
              </w:rPr>
            </w:pPr>
            <w:r w:rsidRPr="00875D00">
              <w:rPr>
                <w:color w:val="000000"/>
                <w:sz w:val="16"/>
                <w:szCs w:val="16"/>
                <w:lang w:eastAsia="en-US"/>
              </w:rPr>
              <w:t>4.7%</w:t>
            </w:r>
          </w:p>
        </w:tc>
        <w:tc>
          <w:tcPr>
            <w:tcW w:w="173" w:type="dxa"/>
            <w:vAlign w:val="center"/>
            <w:hideMark/>
          </w:tcPr>
          <w:p w14:paraId="54FEBC00" w14:textId="77777777" w:rsidR="008F755E" w:rsidRPr="008F755E" w:rsidRDefault="008F755E" w:rsidP="008F755E">
            <w:pPr>
              <w:rPr>
                <w:sz w:val="20"/>
                <w:szCs w:val="20"/>
              </w:rPr>
            </w:pPr>
          </w:p>
        </w:tc>
      </w:tr>
      <w:tr w:rsidR="008F755E" w:rsidRPr="008F755E" w14:paraId="0E30DCC1" w14:textId="77777777" w:rsidTr="00875D00">
        <w:trPr>
          <w:trHeight w:val="70"/>
          <w:jc w:val="center"/>
        </w:trPr>
        <w:tc>
          <w:tcPr>
            <w:tcW w:w="3915" w:type="dxa"/>
            <w:tcBorders>
              <w:top w:val="nil"/>
              <w:left w:val="single" w:sz="8" w:space="0" w:color="auto"/>
              <w:bottom w:val="nil"/>
              <w:right w:val="nil"/>
            </w:tcBorders>
            <w:shd w:val="clear" w:color="000000" w:fill="FFFFFF"/>
            <w:noWrap/>
            <w:vAlign w:val="center"/>
            <w:hideMark/>
          </w:tcPr>
          <w:p w14:paraId="6B87707C" w14:textId="77777777" w:rsidR="008F755E" w:rsidRPr="008F755E" w:rsidRDefault="008F755E" w:rsidP="008F755E">
            <w:pPr>
              <w:ind w:firstLineChars="400" w:firstLine="640"/>
              <w:rPr>
                <w:color w:val="000000"/>
                <w:sz w:val="16"/>
                <w:szCs w:val="16"/>
              </w:rPr>
            </w:pPr>
            <w:r w:rsidRPr="008F755E">
              <w:rPr>
                <w:sz w:val="16"/>
                <w:szCs w:val="16"/>
              </w:rPr>
              <w:t>Contribuciones a la Seguridad Social</w:t>
            </w:r>
          </w:p>
        </w:tc>
        <w:tc>
          <w:tcPr>
            <w:tcW w:w="1231" w:type="dxa"/>
            <w:tcBorders>
              <w:top w:val="nil"/>
              <w:left w:val="single" w:sz="8" w:space="0" w:color="auto"/>
              <w:bottom w:val="nil"/>
              <w:right w:val="single" w:sz="8" w:space="0" w:color="auto"/>
            </w:tcBorders>
            <w:shd w:val="clear" w:color="000000" w:fill="FFFFFF"/>
            <w:noWrap/>
            <w:vAlign w:val="center"/>
          </w:tcPr>
          <w:p w14:paraId="45F33FEE" w14:textId="77777777" w:rsidR="008F755E" w:rsidRPr="00875D00" w:rsidRDefault="008F755E" w:rsidP="008F755E">
            <w:pPr>
              <w:jc w:val="center"/>
              <w:rPr>
                <w:color w:val="000000"/>
                <w:sz w:val="16"/>
                <w:szCs w:val="16"/>
              </w:rPr>
            </w:pPr>
            <w:r w:rsidRPr="00875D00">
              <w:rPr>
                <w:color w:val="000000"/>
                <w:sz w:val="16"/>
                <w:szCs w:val="16"/>
                <w:lang w:eastAsia="en-US"/>
              </w:rPr>
              <w:t>2.2%</w:t>
            </w:r>
          </w:p>
        </w:tc>
        <w:tc>
          <w:tcPr>
            <w:tcW w:w="1231" w:type="dxa"/>
            <w:tcBorders>
              <w:top w:val="nil"/>
              <w:left w:val="nil"/>
              <w:bottom w:val="nil"/>
              <w:right w:val="single" w:sz="8" w:space="0" w:color="auto"/>
            </w:tcBorders>
            <w:shd w:val="clear" w:color="000000" w:fill="FFFFFF"/>
            <w:noWrap/>
            <w:vAlign w:val="center"/>
          </w:tcPr>
          <w:p w14:paraId="1FE8631B" w14:textId="77777777" w:rsidR="008F755E" w:rsidRPr="00875D00" w:rsidRDefault="008F755E" w:rsidP="008F755E">
            <w:pPr>
              <w:jc w:val="center"/>
              <w:rPr>
                <w:color w:val="000000"/>
                <w:sz w:val="16"/>
                <w:szCs w:val="16"/>
              </w:rPr>
            </w:pPr>
            <w:r w:rsidRPr="00875D00">
              <w:rPr>
                <w:color w:val="000000"/>
                <w:sz w:val="16"/>
                <w:szCs w:val="16"/>
                <w:lang w:eastAsia="en-US"/>
              </w:rPr>
              <w:t>2.3%</w:t>
            </w:r>
          </w:p>
        </w:tc>
        <w:tc>
          <w:tcPr>
            <w:tcW w:w="1231" w:type="dxa"/>
            <w:tcBorders>
              <w:top w:val="nil"/>
              <w:left w:val="nil"/>
              <w:bottom w:val="nil"/>
              <w:right w:val="single" w:sz="8" w:space="0" w:color="auto"/>
            </w:tcBorders>
            <w:shd w:val="clear" w:color="000000" w:fill="FFFFFF"/>
            <w:noWrap/>
            <w:vAlign w:val="center"/>
          </w:tcPr>
          <w:p w14:paraId="312ECDE3" w14:textId="77777777" w:rsidR="008F755E" w:rsidRPr="00875D00" w:rsidRDefault="008F755E" w:rsidP="008F755E">
            <w:pPr>
              <w:jc w:val="center"/>
              <w:rPr>
                <w:color w:val="000000"/>
                <w:sz w:val="16"/>
                <w:szCs w:val="16"/>
              </w:rPr>
            </w:pPr>
            <w:r w:rsidRPr="00875D00">
              <w:rPr>
                <w:color w:val="000000"/>
                <w:sz w:val="16"/>
                <w:szCs w:val="16"/>
                <w:lang w:eastAsia="en-US"/>
              </w:rPr>
              <w:t>2.2%</w:t>
            </w:r>
          </w:p>
        </w:tc>
        <w:tc>
          <w:tcPr>
            <w:tcW w:w="173" w:type="dxa"/>
            <w:vAlign w:val="center"/>
            <w:hideMark/>
          </w:tcPr>
          <w:p w14:paraId="6B9D5774" w14:textId="77777777" w:rsidR="008F755E" w:rsidRPr="008F755E" w:rsidRDefault="008F755E" w:rsidP="008F755E">
            <w:pPr>
              <w:rPr>
                <w:sz w:val="20"/>
                <w:szCs w:val="20"/>
              </w:rPr>
            </w:pPr>
          </w:p>
        </w:tc>
      </w:tr>
      <w:tr w:rsidR="008F755E" w:rsidRPr="008F755E" w14:paraId="7910A9D1" w14:textId="77777777" w:rsidTr="00875D00">
        <w:trPr>
          <w:trHeight w:val="70"/>
          <w:jc w:val="center"/>
        </w:trPr>
        <w:tc>
          <w:tcPr>
            <w:tcW w:w="3915" w:type="dxa"/>
            <w:tcBorders>
              <w:top w:val="nil"/>
              <w:left w:val="single" w:sz="8" w:space="0" w:color="auto"/>
              <w:bottom w:val="nil"/>
              <w:right w:val="nil"/>
            </w:tcBorders>
            <w:shd w:val="clear" w:color="000000" w:fill="FFFFFF"/>
            <w:noWrap/>
            <w:vAlign w:val="center"/>
            <w:hideMark/>
          </w:tcPr>
          <w:p w14:paraId="039182E7" w14:textId="77777777" w:rsidR="008F755E" w:rsidRPr="008F755E" w:rsidRDefault="008F755E" w:rsidP="008F755E">
            <w:pPr>
              <w:ind w:firstLineChars="400" w:firstLine="640"/>
              <w:rPr>
                <w:color w:val="000000"/>
                <w:sz w:val="16"/>
                <w:szCs w:val="16"/>
              </w:rPr>
            </w:pPr>
            <w:r w:rsidRPr="008F755E">
              <w:rPr>
                <w:sz w:val="16"/>
                <w:szCs w:val="16"/>
              </w:rPr>
              <w:t>Otros</w:t>
            </w:r>
          </w:p>
        </w:tc>
        <w:tc>
          <w:tcPr>
            <w:tcW w:w="1231" w:type="dxa"/>
            <w:tcBorders>
              <w:top w:val="nil"/>
              <w:left w:val="single" w:sz="8" w:space="0" w:color="auto"/>
              <w:bottom w:val="nil"/>
              <w:right w:val="single" w:sz="8" w:space="0" w:color="auto"/>
            </w:tcBorders>
            <w:shd w:val="clear" w:color="000000" w:fill="FFFFFF"/>
            <w:noWrap/>
            <w:vAlign w:val="center"/>
          </w:tcPr>
          <w:p w14:paraId="00578089" w14:textId="77777777" w:rsidR="008F755E" w:rsidRPr="00875D00" w:rsidRDefault="008F755E" w:rsidP="008F755E">
            <w:pPr>
              <w:jc w:val="center"/>
              <w:rPr>
                <w:color w:val="000000"/>
                <w:sz w:val="16"/>
                <w:szCs w:val="16"/>
              </w:rPr>
            </w:pPr>
            <w:r w:rsidRPr="00875D00">
              <w:rPr>
                <w:color w:val="000000"/>
                <w:sz w:val="16"/>
                <w:szCs w:val="16"/>
                <w:lang w:eastAsia="en-US"/>
              </w:rPr>
              <w:t>2.1%</w:t>
            </w:r>
          </w:p>
        </w:tc>
        <w:tc>
          <w:tcPr>
            <w:tcW w:w="1231" w:type="dxa"/>
            <w:tcBorders>
              <w:top w:val="nil"/>
              <w:left w:val="nil"/>
              <w:bottom w:val="nil"/>
              <w:right w:val="single" w:sz="8" w:space="0" w:color="auto"/>
            </w:tcBorders>
            <w:shd w:val="clear" w:color="000000" w:fill="FFFFFF"/>
            <w:noWrap/>
            <w:vAlign w:val="center"/>
          </w:tcPr>
          <w:p w14:paraId="37EAA61E" w14:textId="77777777" w:rsidR="008F755E" w:rsidRPr="00875D00" w:rsidRDefault="008F755E" w:rsidP="008F755E">
            <w:pPr>
              <w:jc w:val="center"/>
              <w:rPr>
                <w:color w:val="000000"/>
                <w:sz w:val="16"/>
                <w:szCs w:val="16"/>
              </w:rPr>
            </w:pPr>
            <w:r w:rsidRPr="00875D00">
              <w:rPr>
                <w:color w:val="000000"/>
                <w:sz w:val="16"/>
                <w:szCs w:val="16"/>
                <w:lang w:eastAsia="en-US"/>
              </w:rPr>
              <w:t>2.3%</w:t>
            </w:r>
          </w:p>
        </w:tc>
        <w:tc>
          <w:tcPr>
            <w:tcW w:w="1231" w:type="dxa"/>
            <w:tcBorders>
              <w:top w:val="nil"/>
              <w:left w:val="nil"/>
              <w:bottom w:val="nil"/>
              <w:right w:val="single" w:sz="8" w:space="0" w:color="auto"/>
            </w:tcBorders>
            <w:shd w:val="clear" w:color="000000" w:fill="FFFFFF"/>
            <w:noWrap/>
            <w:vAlign w:val="center"/>
          </w:tcPr>
          <w:p w14:paraId="3FF39608" w14:textId="77777777" w:rsidR="008F755E" w:rsidRPr="00875D00" w:rsidRDefault="008F755E" w:rsidP="008F755E">
            <w:pPr>
              <w:jc w:val="center"/>
              <w:rPr>
                <w:color w:val="000000"/>
                <w:sz w:val="16"/>
                <w:szCs w:val="16"/>
              </w:rPr>
            </w:pPr>
            <w:r w:rsidRPr="00875D00">
              <w:rPr>
                <w:color w:val="000000"/>
                <w:sz w:val="16"/>
                <w:szCs w:val="16"/>
                <w:lang w:eastAsia="en-US"/>
              </w:rPr>
              <w:t>2.5%</w:t>
            </w:r>
          </w:p>
        </w:tc>
        <w:tc>
          <w:tcPr>
            <w:tcW w:w="173" w:type="dxa"/>
            <w:vAlign w:val="center"/>
            <w:hideMark/>
          </w:tcPr>
          <w:p w14:paraId="7ECF7D8E" w14:textId="77777777" w:rsidR="008F755E" w:rsidRPr="008F755E" w:rsidRDefault="008F755E" w:rsidP="008F755E">
            <w:pPr>
              <w:rPr>
                <w:sz w:val="20"/>
                <w:szCs w:val="20"/>
              </w:rPr>
            </w:pPr>
          </w:p>
        </w:tc>
      </w:tr>
      <w:tr w:rsidR="008F755E" w:rsidRPr="008F755E" w14:paraId="1C7ACE93" w14:textId="77777777" w:rsidTr="00875D00">
        <w:trPr>
          <w:trHeight w:val="70"/>
          <w:jc w:val="center"/>
        </w:trPr>
        <w:tc>
          <w:tcPr>
            <w:tcW w:w="3915" w:type="dxa"/>
            <w:tcBorders>
              <w:top w:val="nil"/>
              <w:left w:val="single" w:sz="8" w:space="0" w:color="auto"/>
              <w:bottom w:val="nil"/>
              <w:right w:val="nil"/>
            </w:tcBorders>
            <w:shd w:val="clear" w:color="000000" w:fill="FFFFFF"/>
            <w:noWrap/>
            <w:vAlign w:val="center"/>
            <w:hideMark/>
          </w:tcPr>
          <w:p w14:paraId="0F4FB33C" w14:textId="77777777" w:rsidR="008F755E" w:rsidRPr="008F755E" w:rsidRDefault="008F755E" w:rsidP="008F755E">
            <w:pPr>
              <w:ind w:firstLineChars="100" w:firstLine="160"/>
              <w:rPr>
                <w:color w:val="000000"/>
                <w:sz w:val="16"/>
                <w:szCs w:val="16"/>
              </w:rPr>
            </w:pPr>
            <w:r w:rsidRPr="008F755E">
              <w:rPr>
                <w:sz w:val="16"/>
                <w:szCs w:val="16"/>
              </w:rPr>
              <w:t>Ingresos de Capital</w:t>
            </w:r>
          </w:p>
        </w:tc>
        <w:tc>
          <w:tcPr>
            <w:tcW w:w="1231" w:type="dxa"/>
            <w:tcBorders>
              <w:top w:val="nil"/>
              <w:left w:val="single" w:sz="8" w:space="0" w:color="auto"/>
              <w:bottom w:val="nil"/>
              <w:right w:val="single" w:sz="8" w:space="0" w:color="auto"/>
            </w:tcBorders>
            <w:shd w:val="clear" w:color="000000" w:fill="FFFFFF"/>
            <w:noWrap/>
            <w:vAlign w:val="center"/>
          </w:tcPr>
          <w:p w14:paraId="7F9BC575" w14:textId="77777777" w:rsidR="008F755E" w:rsidRPr="00875D00" w:rsidRDefault="008F755E" w:rsidP="008F755E">
            <w:pPr>
              <w:jc w:val="center"/>
              <w:rPr>
                <w:color w:val="000000"/>
                <w:sz w:val="16"/>
                <w:szCs w:val="16"/>
              </w:rPr>
            </w:pPr>
            <w:r w:rsidRPr="00875D00">
              <w:rPr>
                <w:color w:val="000000"/>
                <w:sz w:val="16"/>
                <w:szCs w:val="16"/>
                <w:lang w:eastAsia="en-US"/>
              </w:rPr>
              <w:t>0.0%</w:t>
            </w:r>
          </w:p>
        </w:tc>
        <w:tc>
          <w:tcPr>
            <w:tcW w:w="1231" w:type="dxa"/>
            <w:tcBorders>
              <w:top w:val="nil"/>
              <w:left w:val="nil"/>
              <w:bottom w:val="nil"/>
              <w:right w:val="single" w:sz="8" w:space="0" w:color="auto"/>
            </w:tcBorders>
            <w:shd w:val="clear" w:color="000000" w:fill="FFFFFF"/>
            <w:noWrap/>
            <w:vAlign w:val="center"/>
          </w:tcPr>
          <w:p w14:paraId="15F31058" w14:textId="77777777" w:rsidR="008F755E" w:rsidRPr="00875D00" w:rsidRDefault="008F755E" w:rsidP="008F755E">
            <w:pPr>
              <w:jc w:val="center"/>
              <w:rPr>
                <w:color w:val="000000"/>
                <w:sz w:val="16"/>
                <w:szCs w:val="16"/>
              </w:rPr>
            </w:pPr>
            <w:r w:rsidRPr="00875D00">
              <w:rPr>
                <w:color w:val="000000"/>
                <w:sz w:val="16"/>
                <w:szCs w:val="16"/>
                <w:lang w:eastAsia="en-US"/>
              </w:rPr>
              <w:t>0.0%</w:t>
            </w:r>
          </w:p>
        </w:tc>
        <w:tc>
          <w:tcPr>
            <w:tcW w:w="1231" w:type="dxa"/>
            <w:tcBorders>
              <w:top w:val="nil"/>
              <w:left w:val="nil"/>
              <w:bottom w:val="nil"/>
              <w:right w:val="single" w:sz="8" w:space="0" w:color="auto"/>
            </w:tcBorders>
            <w:shd w:val="clear" w:color="000000" w:fill="FFFFFF"/>
            <w:noWrap/>
            <w:vAlign w:val="center"/>
          </w:tcPr>
          <w:p w14:paraId="28C6B6BE" w14:textId="77777777" w:rsidR="008F755E" w:rsidRPr="00875D00" w:rsidRDefault="008F755E" w:rsidP="008F755E">
            <w:pPr>
              <w:jc w:val="center"/>
              <w:rPr>
                <w:color w:val="000000"/>
                <w:sz w:val="16"/>
                <w:szCs w:val="16"/>
              </w:rPr>
            </w:pPr>
            <w:r w:rsidRPr="00875D00">
              <w:rPr>
                <w:color w:val="000000"/>
                <w:sz w:val="16"/>
                <w:szCs w:val="16"/>
                <w:lang w:eastAsia="en-US"/>
              </w:rPr>
              <w:t>0.0%</w:t>
            </w:r>
          </w:p>
        </w:tc>
        <w:tc>
          <w:tcPr>
            <w:tcW w:w="173" w:type="dxa"/>
            <w:vAlign w:val="center"/>
            <w:hideMark/>
          </w:tcPr>
          <w:p w14:paraId="6A5D6865" w14:textId="77777777" w:rsidR="008F755E" w:rsidRPr="008F755E" w:rsidRDefault="008F755E" w:rsidP="008F755E">
            <w:pPr>
              <w:rPr>
                <w:sz w:val="20"/>
                <w:szCs w:val="20"/>
              </w:rPr>
            </w:pPr>
          </w:p>
        </w:tc>
      </w:tr>
      <w:tr w:rsidR="008F755E" w:rsidRPr="008F755E" w14:paraId="1B034E3A" w14:textId="77777777" w:rsidTr="00875D00">
        <w:trPr>
          <w:trHeight w:val="70"/>
          <w:jc w:val="center"/>
        </w:trPr>
        <w:tc>
          <w:tcPr>
            <w:tcW w:w="3915" w:type="dxa"/>
            <w:tcBorders>
              <w:top w:val="nil"/>
              <w:left w:val="single" w:sz="8" w:space="0" w:color="auto"/>
              <w:bottom w:val="nil"/>
              <w:right w:val="nil"/>
            </w:tcBorders>
            <w:shd w:val="clear" w:color="000000" w:fill="FFFFFF"/>
            <w:noWrap/>
            <w:vAlign w:val="center"/>
            <w:hideMark/>
          </w:tcPr>
          <w:p w14:paraId="2E5395C0" w14:textId="77777777" w:rsidR="008F755E" w:rsidRPr="008F755E" w:rsidRDefault="008F755E" w:rsidP="008F755E">
            <w:pPr>
              <w:rPr>
                <w:b/>
                <w:bCs/>
                <w:color w:val="000000"/>
                <w:sz w:val="16"/>
                <w:szCs w:val="16"/>
              </w:rPr>
            </w:pPr>
            <w:r w:rsidRPr="008F755E">
              <w:rPr>
                <w:b/>
                <w:bCs/>
                <w:sz w:val="16"/>
                <w:szCs w:val="16"/>
              </w:rPr>
              <w:t>Gastos Totales</w:t>
            </w:r>
          </w:p>
        </w:tc>
        <w:tc>
          <w:tcPr>
            <w:tcW w:w="1231" w:type="dxa"/>
            <w:tcBorders>
              <w:top w:val="nil"/>
              <w:left w:val="single" w:sz="8" w:space="0" w:color="auto"/>
              <w:bottom w:val="nil"/>
              <w:right w:val="single" w:sz="8" w:space="0" w:color="auto"/>
            </w:tcBorders>
            <w:shd w:val="clear" w:color="000000" w:fill="FFFFFF"/>
            <w:noWrap/>
            <w:vAlign w:val="center"/>
          </w:tcPr>
          <w:p w14:paraId="57A4B101" w14:textId="77777777" w:rsidR="008F755E" w:rsidRPr="00875D00" w:rsidRDefault="008F755E" w:rsidP="008F755E">
            <w:pPr>
              <w:jc w:val="center"/>
              <w:rPr>
                <w:b/>
                <w:bCs/>
                <w:color w:val="000000"/>
                <w:sz w:val="16"/>
                <w:szCs w:val="16"/>
              </w:rPr>
            </w:pPr>
            <w:r w:rsidRPr="00875D00">
              <w:rPr>
                <w:b/>
                <w:bCs/>
                <w:color w:val="000000"/>
                <w:sz w:val="16"/>
                <w:szCs w:val="16"/>
                <w:lang w:eastAsia="en-US"/>
              </w:rPr>
              <w:t>18.4%</w:t>
            </w:r>
          </w:p>
        </w:tc>
        <w:tc>
          <w:tcPr>
            <w:tcW w:w="1231" w:type="dxa"/>
            <w:tcBorders>
              <w:top w:val="nil"/>
              <w:left w:val="nil"/>
              <w:bottom w:val="nil"/>
              <w:right w:val="single" w:sz="8" w:space="0" w:color="auto"/>
            </w:tcBorders>
            <w:shd w:val="clear" w:color="000000" w:fill="FFFFFF"/>
            <w:noWrap/>
            <w:vAlign w:val="center"/>
          </w:tcPr>
          <w:p w14:paraId="64274D6D" w14:textId="77777777" w:rsidR="008F755E" w:rsidRPr="00875D00" w:rsidRDefault="008F755E" w:rsidP="008F755E">
            <w:pPr>
              <w:jc w:val="center"/>
              <w:rPr>
                <w:b/>
                <w:bCs/>
                <w:color w:val="000000"/>
                <w:sz w:val="16"/>
                <w:szCs w:val="16"/>
              </w:rPr>
            </w:pPr>
            <w:r w:rsidRPr="00875D00">
              <w:rPr>
                <w:b/>
                <w:bCs/>
                <w:color w:val="000000"/>
                <w:sz w:val="16"/>
                <w:szCs w:val="16"/>
                <w:lang w:eastAsia="en-US"/>
              </w:rPr>
              <w:t>17.0%</w:t>
            </w:r>
          </w:p>
        </w:tc>
        <w:tc>
          <w:tcPr>
            <w:tcW w:w="1231" w:type="dxa"/>
            <w:tcBorders>
              <w:top w:val="nil"/>
              <w:left w:val="nil"/>
              <w:bottom w:val="nil"/>
              <w:right w:val="single" w:sz="8" w:space="0" w:color="auto"/>
            </w:tcBorders>
            <w:shd w:val="clear" w:color="000000" w:fill="FFFFFF"/>
            <w:noWrap/>
            <w:vAlign w:val="center"/>
          </w:tcPr>
          <w:p w14:paraId="52D2352C" w14:textId="77777777" w:rsidR="008F755E" w:rsidRPr="00875D00" w:rsidRDefault="008F755E" w:rsidP="008F755E">
            <w:pPr>
              <w:jc w:val="center"/>
              <w:rPr>
                <w:b/>
                <w:bCs/>
                <w:color w:val="000000"/>
                <w:sz w:val="16"/>
                <w:szCs w:val="16"/>
              </w:rPr>
            </w:pPr>
            <w:r w:rsidRPr="00875D00">
              <w:rPr>
                <w:b/>
                <w:bCs/>
                <w:color w:val="000000"/>
                <w:sz w:val="16"/>
                <w:szCs w:val="16"/>
                <w:lang w:eastAsia="en-US"/>
              </w:rPr>
              <w:t>17.9%</w:t>
            </w:r>
          </w:p>
        </w:tc>
        <w:tc>
          <w:tcPr>
            <w:tcW w:w="173" w:type="dxa"/>
            <w:vAlign w:val="center"/>
            <w:hideMark/>
          </w:tcPr>
          <w:p w14:paraId="654ECC5F" w14:textId="77777777" w:rsidR="008F755E" w:rsidRPr="008F755E" w:rsidRDefault="008F755E" w:rsidP="008F755E">
            <w:pPr>
              <w:rPr>
                <w:sz w:val="20"/>
                <w:szCs w:val="20"/>
              </w:rPr>
            </w:pPr>
          </w:p>
        </w:tc>
      </w:tr>
      <w:tr w:rsidR="008F755E" w:rsidRPr="008F755E" w14:paraId="22F54C7F" w14:textId="77777777" w:rsidTr="00875D00">
        <w:trPr>
          <w:trHeight w:val="70"/>
          <w:jc w:val="center"/>
        </w:trPr>
        <w:tc>
          <w:tcPr>
            <w:tcW w:w="3915" w:type="dxa"/>
            <w:tcBorders>
              <w:top w:val="nil"/>
              <w:left w:val="single" w:sz="8" w:space="0" w:color="auto"/>
              <w:bottom w:val="nil"/>
              <w:right w:val="nil"/>
            </w:tcBorders>
            <w:shd w:val="clear" w:color="000000" w:fill="FFFFFF"/>
            <w:noWrap/>
            <w:vAlign w:val="center"/>
            <w:hideMark/>
          </w:tcPr>
          <w:p w14:paraId="68DCC841" w14:textId="77777777" w:rsidR="008F755E" w:rsidRPr="008F755E" w:rsidRDefault="008F755E" w:rsidP="008F755E">
            <w:pPr>
              <w:ind w:firstLineChars="100" w:firstLine="160"/>
              <w:rPr>
                <w:color w:val="000000"/>
                <w:sz w:val="16"/>
                <w:szCs w:val="16"/>
              </w:rPr>
            </w:pPr>
            <w:r w:rsidRPr="008F755E">
              <w:rPr>
                <w:sz w:val="16"/>
                <w:szCs w:val="16"/>
              </w:rPr>
              <w:t>Gastos Corrientes</w:t>
            </w:r>
          </w:p>
        </w:tc>
        <w:tc>
          <w:tcPr>
            <w:tcW w:w="1231" w:type="dxa"/>
            <w:tcBorders>
              <w:top w:val="nil"/>
              <w:left w:val="single" w:sz="8" w:space="0" w:color="auto"/>
              <w:bottom w:val="nil"/>
              <w:right w:val="single" w:sz="8" w:space="0" w:color="auto"/>
            </w:tcBorders>
            <w:shd w:val="clear" w:color="000000" w:fill="FFFFFF"/>
            <w:noWrap/>
            <w:vAlign w:val="center"/>
          </w:tcPr>
          <w:p w14:paraId="78FB66DD" w14:textId="77777777" w:rsidR="008F755E" w:rsidRPr="00875D00" w:rsidRDefault="008F755E" w:rsidP="008F755E">
            <w:pPr>
              <w:jc w:val="center"/>
              <w:rPr>
                <w:color w:val="000000"/>
                <w:sz w:val="16"/>
                <w:szCs w:val="16"/>
              </w:rPr>
            </w:pPr>
            <w:r w:rsidRPr="00875D00">
              <w:rPr>
                <w:color w:val="000000"/>
                <w:sz w:val="16"/>
                <w:szCs w:val="16"/>
                <w:lang w:eastAsia="en-US"/>
              </w:rPr>
              <w:t>16.2%</w:t>
            </w:r>
          </w:p>
        </w:tc>
        <w:tc>
          <w:tcPr>
            <w:tcW w:w="1231" w:type="dxa"/>
            <w:tcBorders>
              <w:top w:val="nil"/>
              <w:left w:val="nil"/>
              <w:bottom w:val="nil"/>
              <w:right w:val="single" w:sz="8" w:space="0" w:color="auto"/>
            </w:tcBorders>
            <w:shd w:val="clear" w:color="000000" w:fill="FFFFFF"/>
            <w:noWrap/>
            <w:vAlign w:val="center"/>
          </w:tcPr>
          <w:p w14:paraId="5FA612C9" w14:textId="77777777" w:rsidR="008F755E" w:rsidRPr="00875D00" w:rsidRDefault="008F755E" w:rsidP="008F755E">
            <w:pPr>
              <w:jc w:val="center"/>
              <w:rPr>
                <w:color w:val="000000"/>
                <w:sz w:val="16"/>
                <w:szCs w:val="16"/>
              </w:rPr>
            </w:pPr>
            <w:r w:rsidRPr="00875D00">
              <w:rPr>
                <w:color w:val="000000"/>
                <w:sz w:val="16"/>
                <w:szCs w:val="16"/>
                <w:lang w:eastAsia="en-US"/>
              </w:rPr>
              <w:t>14.6%</w:t>
            </w:r>
          </w:p>
        </w:tc>
        <w:tc>
          <w:tcPr>
            <w:tcW w:w="1231" w:type="dxa"/>
            <w:tcBorders>
              <w:top w:val="nil"/>
              <w:left w:val="nil"/>
              <w:bottom w:val="nil"/>
              <w:right w:val="single" w:sz="8" w:space="0" w:color="auto"/>
            </w:tcBorders>
            <w:shd w:val="clear" w:color="000000" w:fill="FFFFFF"/>
            <w:noWrap/>
            <w:vAlign w:val="center"/>
          </w:tcPr>
          <w:p w14:paraId="012B9572" w14:textId="77777777" w:rsidR="008F755E" w:rsidRPr="00875D00" w:rsidRDefault="008F755E" w:rsidP="008F755E">
            <w:pPr>
              <w:jc w:val="center"/>
              <w:rPr>
                <w:color w:val="000000"/>
                <w:sz w:val="16"/>
                <w:szCs w:val="16"/>
              </w:rPr>
            </w:pPr>
            <w:r w:rsidRPr="00875D00">
              <w:rPr>
                <w:color w:val="000000"/>
                <w:sz w:val="16"/>
                <w:szCs w:val="16"/>
                <w:lang w:eastAsia="en-US"/>
              </w:rPr>
              <w:t>15.3%</w:t>
            </w:r>
          </w:p>
        </w:tc>
        <w:tc>
          <w:tcPr>
            <w:tcW w:w="173" w:type="dxa"/>
            <w:vAlign w:val="center"/>
            <w:hideMark/>
          </w:tcPr>
          <w:p w14:paraId="0010E386" w14:textId="77777777" w:rsidR="008F755E" w:rsidRPr="008F755E" w:rsidRDefault="008F755E" w:rsidP="008F755E">
            <w:pPr>
              <w:rPr>
                <w:sz w:val="20"/>
                <w:szCs w:val="20"/>
              </w:rPr>
            </w:pPr>
          </w:p>
        </w:tc>
      </w:tr>
      <w:tr w:rsidR="008F755E" w:rsidRPr="008F755E" w14:paraId="722967F4" w14:textId="77777777" w:rsidTr="00875D00">
        <w:trPr>
          <w:trHeight w:val="70"/>
          <w:jc w:val="center"/>
        </w:trPr>
        <w:tc>
          <w:tcPr>
            <w:tcW w:w="3915" w:type="dxa"/>
            <w:tcBorders>
              <w:top w:val="nil"/>
              <w:left w:val="single" w:sz="8" w:space="0" w:color="auto"/>
              <w:bottom w:val="nil"/>
              <w:right w:val="nil"/>
            </w:tcBorders>
            <w:shd w:val="clear" w:color="000000" w:fill="FFFFFF"/>
            <w:noWrap/>
            <w:vAlign w:val="center"/>
            <w:hideMark/>
          </w:tcPr>
          <w:p w14:paraId="378467AF" w14:textId="77777777" w:rsidR="008F755E" w:rsidRPr="008F755E" w:rsidRDefault="008F755E" w:rsidP="008F755E">
            <w:pPr>
              <w:ind w:firstLineChars="300" w:firstLine="480"/>
              <w:rPr>
                <w:color w:val="000000"/>
                <w:sz w:val="16"/>
                <w:szCs w:val="16"/>
              </w:rPr>
            </w:pPr>
            <w:r w:rsidRPr="008F755E">
              <w:rPr>
                <w:sz w:val="16"/>
                <w:szCs w:val="16"/>
              </w:rPr>
              <w:t>Gasto de Consumo</w:t>
            </w:r>
          </w:p>
        </w:tc>
        <w:tc>
          <w:tcPr>
            <w:tcW w:w="1231" w:type="dxa"/>
            <w:tcBorders>
              <w:top w:val="nil"/>
              <w:left w:val="single" w:sz="8" w:space="0" w:color="auto"/>
              <w:bottom w:val="nil"/>
              <w:right w:val="single" w:sz="8" w:space="0" w:color="auto"/>
            </w:tcBorders>
            <w:shd w:val="clear" w:color="000000" w:fill="FFFFFF"/>
            <w:noWrap/>
            <w:vAlign w:val="center"/>
          </w:tcPr>
          <w:p w14:paraId="6D8A7322" w14:textId="77777777" w:rsidR="008F755E" w:rsidRPr="00875D00" w:rsidRDefault="008F755E" w:rsidP="008F755E">
            <w:pPr>
              <w:jc w:val="center"/>
              <w:rPr>
                <w:color w:val="000000"/>
                <w:sz w:val="16"/>
                <w:szCs w:val="16"/>
              </w:rPr>
            </w:pPr>
            <w:r w:rsidRPr="00875D00">
              <w:rPr>
                <w:color w:val="000000"/>
                <w:sz w:val="16"/>
                <w:szCs w:val="16"/>
                <w:lang w:eastAsia="en-US"/>
              </w:rPr>
              <w:t>10.2%</w:t>
            </w:r>
          </w:p>
        </w:tc>
        <w:tc>
          <w:tcPr>
            <w:tcW w:w="1231" w:type="dxa"/>
            <w:tcBorders>
              <w:top w:val="nil"/>
              <w:left w:val="nil"/>
              <w:bottom w:val="nil"/>
              <w:right w:val="single" w:sz="8" w:space="0" w:color="auto"/>
            </w:tcBorders>
            <w:shd w:val="clear" w:color="000000" w:fill="FFFFFF"/>
            <w:noWrap/>
            <w:vAlign w:val="center"/>
          </w:tcPr>
          <w:p w14:paraId="736FDDAE" w14:textId="77777777" w:rsidR="008F755E" w:rsidRPr="00875D00" w:rsidRDefault="008F755E" w:rsidP="008F755E">
            <w:pPr>
              <w:jc w:val="center"/>
              <w:rPr>
                <w:color w:val="000000"/>
                <w:sz w:val="16"/>
                <w:szCs w:val="16"/>
              </w:rPr>
            </w:pPr>
            <w:r w:rsidRPr="00875D00">
              <w:rPr>
                <w:color w:val="000000"/>
                <w:sz w:val="16"/>
                <w:szCs w:val="16"/>
                <w:lang w:eastAsia="en-US"/>
              </w:rPr>
              <w:t>10.2%</w:t>
            </w:r>
          </w:p>
        </w:tc>
        <w:tc>
          <w:tcPr>
            <w:tcW w:w="1231" w:type="dxa"/>
            <w:tcBorders>
              <w:top w:val="nil"/>
              <w:left w:val="nil"/>
              <w:bottom w:val="nil"/>
              <w:right w:val="single" w:sz="8" w:space="0" w:color="auto"/>
            </w:tcBorders>
            <w:shd w:val="clear" w:color="000000" w:fill="FFFFFF"/>
            <w:noWrap/>
            <w:vAlign w:val="center"/>
          </w:tcPr>
          <w:p w14:paraId="25983FA5" w14:textId="77777777" w:rsidR="008F755E" w:rsidRPr="00875D00" w:rsidRDefault="008F755E" w:rsidP="008F755E">
            <w:pPr>
              <w:jc w:val="center"/>
              <w:rPr>
                <w:color w:val="000000"/>
                <w:sz w:val="16"/>
                <w:szCs w:val="16"/>
              </w:rPr>
            </w:pPr>
            <w:r w:rsidRPr="00875D00">
              <w:rPr>
                <w:color w:val="000000"/>
                <w:sz w:val="16"/>
                <w:szCs w:val="16"/>
                <w:lang w:eastAsia="en-US"/>
              </w:rPr>
              <w:t>10.4%</w:t>
            </w:r>
          </w:p>
        </w:tc>
        <w:tc>
          <w:tcPr>
            <w:tcW w:w="173" w:type="dxa"/>
            <w:vAlign w:val="center"/>
            <w:hideMark/>
          </w:tcPr>
          <w:p w14:paraId="5CCE51EA" w14:textId="77777777" w:rsidR="008F755E" w:rsidRPr="008F755E" w:rsidRDefault="008F755E" w:rsidP="008F755E">
            <w:pPr>
              <w:rPr>
                <w:sz w:val="20"/>
                <w:szCs w:val="20"/>
              </w:rPr>
            </w:pPr>
          </w:p>
        </w:tc>
      </w:tr>
      <w:tr w:rsidR="008F755E" w:rsidRPr="008F755E" w14:paraId="5E082503" w14:textId="77777777" w:rsidTr="00875D00">
        <w:trPr>
          <w:trHeight w:val="70"/>
          <w:jc w:val="center"/>
        </w:trPr>
        <w:tc>
          <w:tcPr>
            <w:tcW w:w="3915" w:type="dxa"/>
            <w:tcBorders>
              <w:top w:val="nil"/>
              <w:left w:val="single" w:sz="8" w:space="0" w:color="auto"/>
              <w:bottom w:val="nil"/>
              <w:right w:val="nil"/>
            </w:tcBorders>
            <w:shd w:val="clear" w:color="000000" w:fill="FFFFFF"/>
            <w:noWrap/>
            <w:vAlign w:val="center"/>
            <w:hideMark/>
          </w:tcPr>
          <w:p w14:paraId="3985F5B3" w14:textId="77777777" w:rsidR="008F755E" w:rsidRPr="008F755E" w:rsidRDefault="008F755E" w:rsidP="008F755E">
            <w:pPr>
              <w:ind w:firstLineChars="300" w:firstLine="480"/>
              <w:rPr>
                <w:color w:val="000000"/>
                <w:sz w:val="16"/>
                <w:szCs w:val="16"/>
              </w:rPr>
            </w:pPr>
            <w:r w:rsidRPr="008F755E">
              <w:rPr>
                <w:sz w:val="16"/>
                <w:szCs w:val="16"/>
              </w:rPr>
              <w:t>Gastos de Operación</w:t>
            </w:r>
          </w:p>
        </w:tc>
        <w:tc>
          <w:tcPr>
            <w:tcW w:w="1231" w:type="dxa"/>
            <w:tcBorders>
              <w:top w:val="nil"/>
              <w:left w:val="single" w:sz="8" w:space="0" w:color="auto"/>
              <w:bottom w:val="nil"/>
              <w:right w:val="single" w:sz="8" w:space="0" w:color="auto"/>
            </w:tcBorders>
            <w:shd w:val="clear" w:color="000000" w:fill="FFFFFF"/>
            <w:noWrap/>
            <w:vAlign w:val="center"/>
          </w:tcPr>
          <w:p w14:paraId="632FA9D2" w14:textId="77777777" w:rsidR="008F755E" w:rsidRPr="00875D00" w:rsidRDefault="008F755E" w:rsidP="008F755E">
            <w:pPr>
              <w:jc w:val="center"/>
              <w:rPr>
                <w:color w:val="000000"/>
                <w:sz w:val="16"/>
                <w:szCs w:val="16"/>
              </w:rPr>
            </w:pPr>
            <w:r w:rsidRPr="00875D00">
              <w:rPr>
                <w:color w:val="000000"/>
                <w:sz w:val="16"/>
                <w:szCs w:val="16"/>
                <w:lang w:eastAsia="en-US"/>
              </w:rPr>
              <w:t>0.7%</w:t>
            </w:r>
          </w:p>
        </w:tc>
        <w:tc>
          <w:tcPr>
            <w:tcW w:w="1231" w:type="dxa"/>
            <w:tcBorders>
              <w:top w:val="nil"/>
              <w:left w:val="nil"/>
              <w:bottom w:val="nil"/>
              <w:right w:val="single" w:sz="8" w:space="0" w:color="auto"/>
            </w:tcBorders>
            <w:shd w:val="clear" w:color="000000" w:fill="FFFFFF"/>
            <w:noWrap/>
            <w:vAlign w:val="center"/>
          </w:tcPr>
          <w:p w14:paraId="3692B64E" w14:textId="77777777" w:rsidR="008F755E" w:rsidRPr="00875D00" w:rsidRDefault="008F755E" w:rsidP="008F755E">
            <w:pPr>
              <w:jc w:val="center"/>
              <w:rPr>
                <w:color w:val="000000"/>
                <w:sz w:val="16"/>
                <w:szCs w:val="16"/>
              </w:rPr>
            </w:pPr>
            <w:r w:rsidRPr="00875D00">
              <w:rPr>
                <w:color w:val="000000"/>
                <w:sz w:val="16"/>
                <w:szCs w:val="16"/>
                <w:lang w:eastAsia="en-US"/>
              </w:rPr>
              <w:t>0.6%</w:t>
            </w:r>
          </w:p>
        </w:tc>
        <w:tc>
          <w:tcPr>
            <w:tcW w:w="1231" w:type="dxa"/>
            <w:tcBorders>
              <w:top w:val="nil"/>
              <w:left w:val="nil"/>
              <w:bottom w:val="nil"/>
              <w:right w:val="single" w:sz="8" w:space="0" w:color="auto"/>
            </w:tcBorders>
            <w:shd w:val="clear" w:color="000000" w:fill="FFFFFF"/>
            <w:noWrap/>
            <w:vAlign w:val="center"/>
          </w:tcPr>
          <w:p w14:paraId="3568A015" w14:textId="77777777" w:rsidR="008F755E" w:rsidRPr="00875D00" w:rsidRDefault="008F755E" w:rsidP="008F755E">
            <w:pPr>
              <w:jc w:val="center"/>
              <w:rPr>
                <w:color w:val="000000"/>
                <w:sz w:val="16"/>
                <w:szCs w:val="16"/>
              </w:rPr>
            </w:pPr>
            <w:r w:rsidRPr="00875D00">
              <w:rPr>
                <w:color w:val="000000"/>
                <w:sz w:val="16"/>
                <w:szCs w:val="16"/>
                <w:lang w:eastAsia="en-US"/>
              </w:rPr>
              <w:t>0.7%</w:t>
            </w:r>
          </w:p>
        </w:tc>
        <w:tc>
          <w:tcPr>
            <w:tcW w:w="173" w:type="dxa"/>
            <w:vAlign w:val="center"/>
            <w:hideMark/>
          </w:tcPr>
          <w:p w14:paraId="09D225FE" w14:textId="77777777" w:rsidR="008F755E" w:rsidRPr="008F755E" w:rsidRDefault="008F755E" w:rsidP="008F755E">
            <w:pPr>
              <w:rPr>
                <w:sz w:val="20"/>
                <w:szCs w:val="20"/>
              </w:rPr>
            </w:pPr>
          </w:p>
        </w:tc>
      </w:tr>
      <w:tr w:rsidR="008F755E" w:rsidRPr="008F755E" w14:paraId="7982DEC2" w14:textId="77777777" w:rsidTr="00875D00">
        <w:trPr>
          <w:trHeight w:val="70"/>
          <w:jc w:val="center"/>
        </w:trPr>
        <w:tc>
          <w:tcPr>
            <w:tcW w:w="3915" w:type="dxa"/>
            <w:tcBorders>
              <w:top w:val="nil"/>
              <w:left w:val="single" w:sz="8" w:space="0" w:color="auto"/>
              <w:bottom w:val="nil"/>
              <w:right w:val="nil"/>
            </w:tcBorders>
            <w:shd w:val="clear" w:color="000000" w:fill="FFFFFF"/>
            <w:noWrap/>
            <w:vAlign w:val="center"/>
            <w:hideMark/>
          </w:tcPr>
          <w:p w14:paraId="7980D694" w14:textId="77777777" w:rsidR="008F755E" w:rsidRPr="008F755E" w:rsidRDefault="008F755E" w:rsidP="008F755E">
            <w:pPr>
              <w:ind w:firstLineChars="300" w:firstLine="480"/>
              <w:rPr>
                <w:color w:val="000000"/>
                <w:sz w:val="16"/>
                <w:szCs w:val="16"/>
              </w:rPr>
            </w:pPr>
            <w:r w:rsidRPr="008F755E">
              <w:rPr>
                <w:sz w:val="16"/>
                <w:szCs w:val="16"/>
              </w:rPr>
              <w:t>Prestaciones a la Seguridad Social</w:t>
            </w:r>
          </w:p>
        </w:tc>
        <w:tc>
          <w:tcPr>
            <w:tcW w:w="1231" w:type="dxa"/>
            <w:tcBorders>
              <w:top w:val="nil"/>
              <w:left w:val="single" w:sz="8" w:space="0" w:color="auto"/>
              <w:bottom w:val="nil"/>
              <w:right w:val="single" w:sz="8" w:space="0" w:color="auto"/>
            </w:tcBorders>
            <w:shd w:val="clear" w:color="000000" w:fill="FFFFFF"/>
            <w:noWrap/>
            <w:vAlign w:val="center"/>
          </w:tcPr>
          <w:p w14:paraId="5EB4DA95" w14:textId="77777777" w:rsidR="008F755E" w:rsidRPr="00875D00" w:rsidRDefault="008F755E" w:rsidP="008F755E">
            <w:pPr>
              <w:jc w:val="center"/>
              <w:rPr>
                <w:color w:val="000000"/>
                <w:sz w:val="16"/>
                <w:szCs w:val="16"/>
              </w:rPr>
            </w:pPr>
            <w:r w:rsidRPr="00875D00">
              <w:rPr>
                <w:color w:val="000000"/>
                <w:sz w:val="16"/>
                <w:szCs w:val="16"/>
                <w:lang w:eastAsia="en-US"/>
              </w:rPr>
              <w:t>1.7%</w:t>
            </w:r>
          </w:p>
        </w:tc>
        <w:tc>
          <w:tcPr>
            <w:tcW w:w="1231" w:type="dxa"/>
            <w:tcBorders>
              <w:top w:val="nil"/>
              <w:left w:val="nil"/>
              <w:bottom w:val="nil"/>
              <w:right w:val="single" w:sz="8" w:space="0" w:color="auto"/>
            </w:tcBorders>
            <w:shd w:val="clear" w:color="000000" w:fill="FFFFFF"/>
            <w:noWrap/>
            <w:vAlign w:val="center"/>
          </w:tcPr>
          <w:p w14:paraId="5B3278D8" w14:textId="77777777" w:rsidR="008F755E" w:rsidRPr="00875D00" w:rsidRDefault="008F755E" w:rsidP="008F755E">
            <w:pPr>
              <w:jc w:val="center"/>
              <w:rPr>
                <w:color w:val="000000"/>
                <w:sz w:val="16"/>
                <w:szCs w:val="16"/>
              </w:rPr>
            </w:pPr>
            <w:r w:rsidRPr="00875D00">
              <w:rPr>
                <w:color w:val="000000"/>
                <w:sz w:val="16"/>
                <w:szCs w:val="16"/>
                <w:lang w:eastAsia="en-US"/>
              </w:rPr>
              <w:t>1.6%</w:t>
            </w:r>
          </w:p>
        </w:tc>
        <w:tc>
          <w:tcPr>
            <w:tcW w:w="1231" w:type="dxa"/>
            <w:tcBorders>
              <w:top w:val="nil"/>
              <w:left w:val="nil"/>
              <w:bottom w:val="nil"/>
              <w:right w:val="single" w:sz="8" w:space="0" w:color="auto"/>
            </w:tcBorders>
            <w:shd w:val="clear" w:color="000000" w:fill="FFFFFF"/>
            <w:noWrap/>
            <w:vAlign w:val="center"/>
          </w:tcPr>
          <w:p w14:paraId="3A52D3D4" w14:textId="77777777" w:rsidR="008F755E" w:rsidRPr="00875D00" w:rsidRDefault="008F755E" w:rsidP="008F755E">
            <w:pPr>
              <w:jc w:val="center"/>
              <w:rPr>
                <w:color w:val="000000"/>
                <w:sz w:val="16"/>
                <w:szCs w:val="16"/>
              </w:rPr>
            </w:pPr>
            <w:r w:rsidRPr="00875D00">
              <w:rPr>
                <w:color w:val="000000"/>
                <w:sz w:val="16"/>
                <w:szCs w:val="16"/>
                <w:lang w:eastAsia="en-US"/>
              </w:rPr>
              <w:t>1.6%</w:t>
            </w:r>
          </w:p>
        </w:tc>
        <w:tc>
          <w:tcPr>
            <w:tcW w:w="173" w:type="dxa"/>
            <w:vAlign w:val="center"/>
            <w:hideMark/>
          </w:tcPr>
          <w:p w14:paraId="1695524C" w14:textId="77777777" w:rsidR="008F755E" w:rsidRPr="008F755E" w:rsidRDefault="008F755E" w:rsidP="008F755E">
            <w:pPr>
              <w:rPr>
                <w:sz w:val="20"/>
                <w:szCs w:val="20"/>
              </w:rPr>
            </w:pPr>
          </w:p>
        </w:tc>
      </w:tr>
      <w:tr w:rsidR="008F755E" w:rsidRPr="008F755E" w14:paraId="780875F9" w14:textId="77777777" w:rsidTr="00875D00">
        <w:trPr>
          <w:trHeight w:val="70"/>
          <w:jc w:val="center"/>
        </w:trPr>
        <w:tc>
          <w:tcPr>
            <w:tcW w:w="3915" w:type="dxa"/>
            <w:tcBorders>
              <w:top w:val="nil"/>
              <w:left w:val="single" w:sz="8" w:space="0" w:color="auto"/>
              <w:bottom w:val="nil"/>
              <w:right w:val="nil"/>
            </w:tcBorders>
            <w:shd w:val="clear" w:color="000000" w:fill="FFFFFF"/>
            <w:noWrap/>
            <w:vAlign w:val="center"/>
            <w:hideMark/>
          </w:tcPr>
          <w:p w14:paraId="2CA8BEAD" w14:textId="77777777" w:rsidR="008F755E" w:rsidRPr="008F755E" w:rsidRDefault="008F755E" w:rsidP="008F755E">
            <w:pPr>
              <w:ind w:firstLineChars="300" w:firstLine="480"/>
              <w:rPr>
                <w:color w:val="000000"/>
                <w:sz w:val="16"/>
                <w:szCs w:val="16"/>
              </w:rPr>
            </w:pPr>
            <w:r w:rsidRPr="008F755E">
              <w:rPr>
                <w:sz w:val="16"/>
                <w:szCs w:val="16"/>
              </w:rPr>
              <w:t>Intereses de Deuda Pública</w:t>
            </w:r>
          </w:p>
        </w:tc>
        <w:tc>
          <w:tcPr>
            <w:tcW w:w="1231" w:type="dxa"/>
            <w:tcBorders>
              <w:top w:val="nil"/>
              <w:left w:val="single" w:sz="8" w:space="0" w:color="auto"/>
              <w:bottom w:val="nil"/>
              <w:right w:val="single" w:sz="8" w:space="0" w:color="auto"/>
            </w:tcBorders>
            <w:shd w:val="clear" w:color="000000" w:fill="FFFFFF"/>
            <w:noWrap/>
            <w:vAlign w:val="center"/>
          </w:tcPr>
          <w:p w14:paraId="60A7B29C" w14:textId="77777777" w:rsidR="008F755E" w:rsidRPr="00875D00" w:rsidRDefault="008F755E" w:rsidP="008F755E">
            <w:pPr>
              <w:jc w:val="center"/>
              <w:rPr>
                <w:color w:val="000000"/>
                <w:sz w:val="16"/>
                <w:szCs w:val="16"/>
              </w:rPr>
            </w:pPr>
            <w:r w:rsidRPr="00875D00">
              <w:rPr>
                <w:color w:val="000000"/>
                <w:sz w:val="16"/>
                <w:szCs w:val="16"/>
                <w:lang w:eastAsia="en-US"/>
              </w:rPr>
              <w:t>1.5%</w:t>
            </w:r>
          </w:p>
        </w:tc>
        <w:tc>
          <w:tcPr>
            <w:tcW w:w="1231" w:type="dxa"/>
            <w:tcBorders>
              <w:top w:val="nil"/>
              <w:left w:val="nil"/>
              <w:bottom w:val="nil"/>
              <w:right w:val="single" w:sz="8" w:space="0" w:color="auto"/>
            </w:tcBorders>
            <w:shd w:val="clear" w:color="000000" w:fill="FFFFFF"/>
            <w:noWrap/>
            <w:vAlign w:val="center"/>
          </w:tcPr>
          <w:p w14:paraId="1C7BFA9E" w14:textId="77777777" w:rsidR="008F755E" w:rsidRPr="00875D00" w:rsidRDefault="008F755E" w:rsidP="008F755E">
            <w:pPr>
              <w:jc w:val="center"/>
              <w:rPr>
                <w:color w:val="000000"/>
                <w:sz w:val="16"/>
                <w:szCs w:val="16"/>
              </w:rPr>
            </w:pPr>
            <w:r w:rsidRPr="00875D00">
              <w:rPr>
                <w:color w:val="000000"/>
                <w:sz w:val="16"/>
                <w:szCs w:val="16"/>
                <w:lang w:eastAsia="en-US"/>
              </w:rPr>
              <w:t>1.6%</w:t>
            </w:r>
          </w:p>
        </w:tc>
        <w:tc>
          <w:tcPr>
            <w:tcW w:w="1231" w:type="dxa"/>
            <w:tcBorders>
              <w:top w:val="nil"/>
              <w:left w:val="nil"/>
              <w:bottom w:val="nil"/>
              <w:right w:val="single" w:sz="8" w:space="0" w:color="auto"/>
            </w:tcBorders>
            <w:shd w:val="clear" w:color="000000" w:fill="FFFFFF"/>
            <w:noWrap/>
            <w:vAlign w:val="center"/>
          </w:tcPr>
          <w:p w14:paraId="5B4A411C" w14:textId="77777777" w:rsidR="008F755E" w:rsidRPr="00875D00" w:rsidRDefault="008F755E" w:rsidP="008F755E">
            <w:pPr>
              <w:jc w:val="center"/>
              <w:rPr>
                <w:color w:val="000000"/>
                <w:sz w:val="16"/>
                <w:szCs w:val="16"/>
              </w:rPr>
            </w:pPr>
            <w:r w:rsidRPr="00875D00">
              <w:rPr>
                <w:color w:val="000000"/>
                <w:sz w:val="16"/>
                <w:szCs w:val="16"/>
                <w:lang w:eastAsia="en-US"/>
              </w:rPr>
              <w:t>1.5%</w:t>
            </w:r>
          </w:p>
        </w:tc>
        <w:tc>
          <w:tcPr>
            <w:tcW w:w="173" w:type="dxa"/>
            <w:vAlign w:val="center"/>
            <w:hideMark/>
          </w:tcPr>
          <w:p w14:paraId="4AB0B479" w14:textId="77777777" w:rsidR="008F755E" w:rsidRPr="008F755E" w:rsidRDefault="008F755E" w:rsidP="008F755E">
            <w:pPr>
              <w:rPr>
                <w:sz w:val="20"/>
                <w:szCs w:val="20"/>
              </w:rPr>
            </w:pPr>
          </w:p>
        </w:tc>
      </w:tr>
      <w:tr w:rsidR="008F755E" w:rsidRPr="008F755E" w14:paraId="68024FD3" w14:textId="77777777" w:rsidTr="00875D00">
        <w:trPr>
          <w:trHeight w:val="70"/>
          <w:jc w:val="center"/>
        </w:trPr>
        <w:tc>
          <w:tcPr>
            <w:tcW w:w="3915" w:type="dxa"/>
            <w:tcBorders>
              <w:top w:val="nil"/>
              <w:left w:val="single" w:sz="8" w:space="0" w:color="auto"/>
              <w:bottom w:val="nil"/>
              <w:right w:val="nil"/>
            </w:tcBorders>
            <w:shd w:val="clear" w:color="000000" w:fill="FFFFFF"/>
            <w:noWrap/>
            <w:vAlign w:val="center"/>
            <w:hideMark/>
          </w:tcPr>
          <w:p w14:paraId="77A2C07F" w14:textId="77777777" w:rsidR="008F755E" w:rsidRPr="008F755E" w:rsidRDefault="008F755E" w:rsidP="008F755E">
            <w:pPr>
              <w:ind w:firstLineChars="300" w:firstLine="480"/>
              <w:rPr>
                <w:color w:val="000000"/>
                <w:sz w:val="16"/>
                <w:szCs w:val="16"/>
              </w:rPr>
            </w:pPr>
            <w:r w:rsidRPr="008F755E">
              <w:rPr>
                <w:sz w:val="16"/>
                <w:szCs w:val="16"/>
              </w:rPr>
              <w:t>Otros Gasto Corrientes</w:t>
            </w:r>
          </w:p>
        </w:tc>
        <w:tc>
          <w:tcPr>
            <w:tcW w:w="1231" w:type="dxa"/>
            <w:tcBorders>
              <w:top w:val="nil"/>
              <w:left w:val="single" w:sz="8" w:space="0" w:color="auto"/>
              <w:bottom w:val="nil"/>
              <w:right w:val="single" w:sz="8" w:space="0" w:color="auto"/>
            </w:tcBorders>
            <w:shd w:val="clear" w:color="000000" w:fill="FFFFFF"/>
            <w:noWrap/>
            <w:vAlign w:val="center"/>
          </w:tcPr>
          <w:p w14:paraId="39BFCFD5" w14:textId="77777777" w:rsidR="008F755E" w:rsidRPr="00875D00" w:rsidRDefault="008F755E" w:rsidP="008F755E">
            <w:pPr>
              <w:jc w:val="center"/>
              <w:rPr>
                <w:color w:val="000000"/>
                <w:sz w:val="16"/>
                <w:szCs w:val="16"/>
              </w:rPr>
            </w:pPr>
            <w:r w:rsidRPr="00875D00">
              <w:rPr>
                <w:color w:val="000000"/>
                <w:sz w:val="16"/>
                <w:szCs w:val="16"/>
                <w:lang w:eastAsia="en-US"/>
              </w:rPr>
              <w:t>2.1%</w:t>
            </w:r>
          </w:p>
        </w:tc>
        <w:tc>
          <w:tcPr>
            <w:tcW w:w="1231" w:type="dxa"/>
            <w:tcBorders>
              <w:top w:val="nil"/>
              <w:left w:val="nil"/>
              <w:bottom w:val="nil"/>
              <w:right w:val="single" w:sz="8" w:space="0" w:color="auto"/>
            </w:tcBorders>
            <w:shd w:val="clear" w:color="000000" w:fill="FFFFFF"/>
            <w:noWrap/>
            <w:vAlign w:val="center"/>
          </w:tcPr>
          <w:p w14:paraId="0E94F66C" w14:textId="77777777" w:rsidR="008F755E" w:rsidRPr="00875D00" w:rsidRDefault="008F755E" w:rsidP="008F755E">
            <w:pPr>
              <w:jc w:val="center"/>
              <w:rPr>
                <w:color w:val="000000"/>
                <w:sz w:val="16"/>
                <w:szCs w:val="16"/>
              </w:rPr>
            </w:pPr>
            <w:r w:rsidRPr="00875D00">
              <w:rPr>
                <w:color w:val="000000"/>
                <w:sz w:val="16"/>
                <w:szCs w:val="16"/>
                <w:lang w:eastAsia="en-US"/>
              </w:rPr>
              <w:t>0.7%</w:t>
            </w:r>
          </w:p>
        </w:tc>
        <w:tc>
          <w:tcPr>
            <w:tcW w:w="1231" w:type="dxa"/>
            <w:tcBorders>
              <w:top w:val="nil"/>
              <w:left w:val="nil"/>
              <w:bottom w:val="nil"/>
              <w:right w:val="single" w:sz="8" w:space="0" w:color="auto"/>
            </w:tcBorders>
            <w:shd w:val="clear" w:color="000000" w:fill="FFFFFF"/>
            <w:noWrap/>
            <w:vAlign w:val="center"/>
          </w:tcPr>
          <w:p w14:paraId="03BE5120" w14:textId="77777777" w:rsidR="008F755E" w:rsidRPr="00875D00" w:rsidRDefault="008F755E" w:rsidP="008F755E">
            <w:pPr>
              <w:jc w:val="center"/>
              <w:rPr>
                <w:color w:val="000000"/>
                <w:sz w:val="16"/>
                <w:szCs w:val="16"/>
              </w:rPr>
            </w:pPr>
            <w:r w:rsidRPr="00875D00">
              <w:rPr>
                <w:color w:val="000000"/>
                <w:sz w:val="16"/>
                <w:szCs w:val="16"/>
                <w:lang w:eastAsia="en-US"/>
              </w:rPr>
              <w:t>1.2%</w:t>
            </w:r>
          </w:p>
        </w:tc>
        <w:tc>
          <w:tcPr>
            <w:tcW w:w="173" w:type="dxa"/>
            <w:vAlign w:val="center"/>
            <w:hideMark/>
          </w:tcPr>
          <w:p w14:paraId="373ADB78" w14:textId="77777777" w:rsidR="008F755E" w:rsidRPr="008F755E" w:rsidRDefault="008F755E" w:rsidP="008F755E">
            <w:pPr>
              <w:rPr>
                <w:sz w:val="20"/>
                <w:szCs w:val="20"/>
              </w:rPr>
            </w:pPr>
          </w:p>
        </w:tc>
      </w:tr>
      <w:tr w:rsidR="008F755E" w:rsidRPr="008F755E" w14:paraId="30099C9C" w14:textId="77777777" w:rsidTr="00875D00">
        <w:trPr>
          <w:trHeight w:val="70"/>
          <w:jc w:val="center"/>
        </w:trPr>
        <w:tc>
          <w:tcPr>
            <w:tcW w:w="3915" w:type="dxa"/>
            <w:tcBorders>
              <w:top w:val="nil"/>
              <w:left w:val="single" w:sz="8" w:space="0" w:color="auto"/>
              <w:bottom w:val="nil"/>
              <w:right w:val="nil"/>
            </w:tcBorders>
            <w:shd w:val="clear" w:color="000000" w:fill="FFFFFF"/>
            <w:noWrap/>
            <w:vAlign w:val="center"/>
            <w:hideMark/>
          </w:tcPr>
          <w:p w14:paraId="3BBD4B90" w14:textId="77777777" w:rsidR="008F755E" w:rsidRPr="008F755E" w:rsidRDefault="008F755E" w:rsidP="008F755E">
            <w:pPr>
              <w:ind w:firstLineChars="100" w:firstLine="160"/>
              <w:rPr>
                <w:color w:val="000000"/>
                <w:sz w:val="16"/>
                <w:szCs w:val="16"/>
              </w:rPr>
            </w:pPr>
            <w:r w:rsidRPr="008F755E">
              <w:rPr>
                <w:sz w:val="16"/>
                <w:szCs w:val="16"/>
              </w:rPr>
              <w:t>Gastos de Capital</w:t>
            </w:r>
          </w:p>
        </w:tc>
        <w:tc>
          <w:tcPr>
            <w:tcW w:w="1231" w:type="dxa"/>
            <w:tcBorders>
              <w:top w:val="nil"/>
              <w:left w:val="single" w:sz="8" w:space="0" w:color="auto"/>
              <w:bottom w:val="nil"/>
              <w:right w:val="single" w:sz="8" w:space="0" w:color="auto"/>
            </w:tcBorders>
            <w:shd w:val="clear" w:color="000000" w:fill="FFFFFF"/>
            <w:noWrap/>
            <w:vAlign w:val="center"/>
          </w:tcPr>
          <w:p w14:paraId="68089B17" w14:textId="77777777" w:rsidR="008F755E" w:rsidRPr="00875D00" w:rsidRDefault="008F755E" w:rsidP="008F755E">
            <w:pPr>
              <w:jc w:val="center"/>
              <w:rPr>
                <w:color w:val="000000"/>
                <w:sz w:val="16"/>
                <w:szCs w:val="16"/>
              </w:rPr>
            </w:pPr>
            <w:r w:rsidRPr="00875D00">
              <w:rPr>
                <w:color w:val="000000"/>
                <w:sz w:val="16"/>
                <w:szCs w:val="16"/>
                <w:lang w:eastAsia="en-US"/>
              </w:rPr>
              <w:t>2.2%</w:t>
            </w:r>
          </w:p>
        </w:tc>
        <w:tc>
          <w:tcPr>
            <w:tcW w:w="1231" w:type="dxa"/>
            <w:tcBorders>
              <w:top w:val="nil"/>
              <w:left w:val="nil"/>
              <w:bottom w:val="nil"/>
              <w:right w:val="single" w:sz="8" w:space="0" w:color="auto"/>
            </w:tcBorders>
            <w:shd w:val="clear" w:color="000000" w:fill="FFFFFF"/>
            <w:noWrap/>
            <w:vAlign w:val="center"/>
          </w:tcPr>
          <w:p w14:paraId="2D32C202" w14:textId="77777777" w:rsidR="008F755E" w:rsidRPr="00875D00" w:rsidRDefault="008F755E" w:rsidP="008F755E">
            <w:pPr>
              <w:jc w:val="center"/>
              <w:rPr>
                <w:color w:val="000000"/>
                <w:sz w:val="16"/>
                <w:szCs w:val="16"/>
              </w:rPr>
            </w:pPr>
            <w:r w:rsidRPr="00875D00">
              <w:rPr>
                <w:color w:val="000000"/>
                <w:sz w:val="16"/>
                <w:szCs w:val="16"/>
                <w:lang w:eastAsia="en-US"/>
              </w:rPr>
              <w:t>2.4%</w:t>
            </w:r>
          </w:p>
        </w:tc>
        <w:tc>
          <w:tcPr>
            <w:tcW w:w="1231" w:type="dxa"/>
            <w:tcBorders>
              <w:top w:val="nil"/>
              <w:left w:val="nil"/>
              <w:bottom w:val="nil"/>
              <w:right w:val="single" w:sz="8" w:space="0" w:color="auto"/>
            </w:tcBorders>
            <w:shd w:val="clear" w:color="000000" w:fill="FFFFFF"/>
            <w:noWrap/>
            <w:vAlign w:val="center"/>
          </w:tcPr>
          <w:p w14:paraId="0F499BD9" w14:textId="77777777" w:rsidR="008F755E" w:rsidRPr="00875D00" w:rsidRDefault="008F755E" w:rsidP="008F755E">
            <w:pPr>
              <w:jc w:val="center"/>
              <w:rPr>
                <w:color w:val="000000"/>
                <w:sz w:val="16"/>
                <w:szCs w:val="16"/>
              </w:rPr>
            </w:pPr>
            <w:r w:rsidRPr="00875D00">
              <w:rPr>
                <w:color w:val="000000"/>
                <w:sz w:val="16"/>
                <w:szCs w:val="16"/>
                <w:lang w:eastAsia="en-US"/>
              </w:rPr>
              <w:t>2.6%</w:t>
            </w:r>
          </w:p>
        </w:tc>
        <w:tc>
          <w:tcPr>
            <w:tcW w:w="173" w:type="dxa"/>
            <w:vAlign w:val="center"/>
            <w:hideMark/>
          </w:tcPr>
          <w:p w14:paraId="15EC947F" w14:textId="77777777" w:rsidR="008F755E" w:rsidRPr="008F755E" w:rsidRDefault="008F755E" w:rsidP="008F755E">
            <w:pPr>
              <w:rPr>
                <w:sz w:val="20"/>
                <w:szCs w:val="20"/>
              </w:rPr>
            </w:pPr>
          </w:p>
        </w:tc>
      </w:tr>
      <w:tr w:rsidR="008F755E" w:rsidRPr="008F755E" w14:paraId="0D5F8A5B" w14:textId="77777777" w:rsidTr="00875D00">
        <w:trPr>
          <w:trHeight w:val="70"/>
          <w:jc w:val="center"/>
        </w:trPr>
        <w:tc>
          <w:tcPr>
            <w:tcW w:w="3915" w:type="dxa"/>
            <w:tcBorders>
              <w:top w:val="nil"/>
              <w:left w:val="single" w:sz="8" w:space="0" w:color="auto"/>
              <w:bottom w:val="nil"/>
              <w:right w:val="nil"/>
            </w:tcBorders>
            <w:shd w:val="clear" w:color="000000" w:fill="FFFFFF"/>
            <w:noWrap/>
            <w:vAlign w:val="center"/>
            <w:hideMark/>
          </w:tcPr>
          <w:p w14:paraId="7BC9E9A8" w14:textId="77777777" w:rsidR="008F755E" w:rsidRPr="008F755E" w:rsidRDefault="008F755E" w:rsidP="008F755E">
            <w:pPr>
              <w:rPr>
                <w:b/>
                <w:bCs/>
                <w:color w:val="000000"/>
                <w:sz w:val="16"/>
                <w:szCs w:val="16"/>
              </w:rPr>
            </w:pPr>
            <w:r w:rsidRPr="008F755E">
              <w:rPr>
                <w:b/>
                <w:bCs/>
                <w:sz w:val="16"/>
                <w:szCs w:val="16"/>
              </w:rPr>
              <w:t>Balance Presupuestal</w:t>
            </w:r>
          </w:p>
        </w:tc>
        <w:tc>
          <w:tcPr>
            <w:tcW w:w="1231" w:type="dxa"/>
            <w:tcBorders>
              <w:top w:val="nil"/>
              <w:left w:val="single" w:sz="8" w:space="0" w:color="auto"/>
              <w:bottom w:val="nil"/>
              <w:right w:val="single" w:sz="8" w:space="0" w:color="auto"/>
            </w:tcBorders>
            <w:shd w:val="clear" w:color="000000" w:fill="FFFFFF"/>
            <w:noWrap/>
            <w:vAlign w:val="center"/>
          </w:tcPr>
          <w:p w14:paraId="0C15BBD5" w14:textId="77777777" w:rsidR="008F755E" w:rsidRPr="00875D00" w:rsidRDefault="008F755E" w:rsidP="008F755E">
            <w:pPr>
              <w:jc w:val="center"/>
              <w:rPr>
                <w:b/>
                <w:bCs/>
                <w:color w:val="000000"/>
                <w:sz w:val="16"/>
                <w:szCs w:val="16"/>
              </w:rPr>
            </w:pPr>
            <w:r w:rsidRPr="00875D00">
              <w:rPr>
                <w:b/>
                <w:bCs/>
                <w:color w:val="000000"/>
                <w:sz w:val="16"/>
                <w:szCs w:val="16"/>
                <w:lang w:eastAsia="en-US"/>
              </w:rPr>
              <w:t>-3.8%</w:t>
            </w:r>
          </w:p>
        </w:tc>
        <w:tc>
          <w:tcPr>
            <w:tcW w:w="1231" w:type="dxa"/>
            <w:tcBorders>
              <w:top w:val="nil"/>
              <w:left w:val="nil"/>
              <w:bottom w:val="nil"/>
              <w:right w:val="single" w:sz="8" w:space="0" w:color="auto"/>
            </w:tcBorders>
            <w:shd w:val="clear" w:color="000000" w:fill="FFFFFF"/>
            <w:noWrap/>
            <w:vAlign w:val="center"/>
          </w:tcPr>
          <w:p w14:paraId="38D3A023" w14:textId="77777777" w:rsidR="008F755E" w:rsidRPr="00875D00" w:rsidRDefault="008F755E" w:rsidP="008F755E">
            <w:pPr>
              <w:jc w:val="center"/>
              <w:rPr>
                <w:b/>
                <w:bCs/>
                <w:color w:val="000000"/>
                <w:sz w:val="16"/>
                <w:szCs w:val="16"/>
              </w:rPr>
            </w:pPr>
            <w:r w:rsidRPr="00875D00">
              <w:rPr>
                <w:b/>
                <w:bCs/>
                <w:color w:val="000000"/>
                <w:sz w:val="16"/>
                <w:szCs w:val="16"/>
                <w:lang w:eastAsia="en-US"/>
              </w:rPr>
              <w:t>-0.4%</w:t>
            </w:r>
          </w:p>
        </w:tc>
        <w:tc>
          <w:tcPr>
            <w:tcW w:w="1231" w:type="dxa"/>
            <w:tcBorders>
              <w:top w:val="nil"/>
              <w:left w:val="nil"/>
              <w:bottom w:val="nil"/>
              <w:right w:val="single" w:sz="8" w:space="0" w:color="auto"/>
            </w:tcBorders>
            <w:shd w:val="clear" w:color="000000" w:fill="FFFFFF"/>
            <w:noWrap/>
            <w:vAlign w:val="center"/>
          </w:tcPr>
          <w:p w14:paraId="29B33CAD" w14:textId="77777777" w:rsidR="008F755E" w:rsidRPr="00875D00" w:rsidRDefault="008F755E" w:rsidP="008F755E">
            <w:pPr>
              <w:jc w:val="center"/>
              <w:rPr>
                <w:b/>
                <w:bCs/>
                <w:color w:val="000000"/>
                <w:sz w:val="16"/>
                <w:szCs w:val="16"/>
              </w:rPr>
            </w:pPr>
            <w:r w:rsidRPr="00875D00">
              <w:rPr>
                <w:b/>
                <w:bCs/>
                <w:color w:val="000000"/>
                <w:sz w:val="16"/>
                <w:szCs w:val="16"/>
                <w:lang w:eastAsia="en-US"/>
              </w:rPr>
              <w:t>-0.9%</w:t>
            </w:r>
          </w:p>
        </w:tc>
        <w:tc>
          <w:tcPr>
            <w:tcW w:w="173" w:type="dxa"/>
            <w:vAlign w:val="center"/>
            <w:hideMark/>
          </w:tcPr>
          <w:p w14:paraId="5C2B8A25" w14:textId="77777777" w:rsidR="008F755E" w:rsidRPr="008F755E" w:rsidRDefault="008F755E" w:rsidP="008F755E">
            <w:pPr>
              <w:rPr>
                <w:sz w:val="20"/>
                <w:szCs w:val="20"/>
              </w:rPr>
            </w:pPr>
          </w:p>
        </w:tc>
      </w:tr>
      <w:tr w:rsidR="008F755E" w:rsidRPr="008F755E" w14:paraId="76CC849B" w14:textId="77777777" w:rsidTr="00875D00">
        <w:trPr>
          <w:trHeight w:val="50"/>
          <w:jc w:val="center"/>
        </w:trPr>
        <w:tc>
          <w:tcPr>
            <w:tcW w:w="3915" w:type="dxa"/>
            <w:tcBorders>
              <w:top w:val="single" w:sz="8" w:space="0" w:color="auto"/>
              <w:left w:val="single" w:sz="8" w:space="0" w:color="auto"/>
              <w:bottom w:val="nil"/>
              <w:right w:val="nil"/>
            </w:tcBorders>
            <w:shd w:val="clear" w:color="000000" w:fill="FFFFFF"/>
            <w:noWrap/>
            <w:vAlign w:val="center"/>
            <w:hideMark/>
          </w:tcPr>
          <w:p w14:paraId="254B8187" w14:textId="77777777" w:rsidR="008F755E" w:rsidRPr="008F755E" w:rsidRDefault="008F755E" w:rsidP="008F755E">
            <w:pPr>
              <w:ind w:firstLineChars="100" w:firstLine="161"/>
              <w:rPr>
                <w:b/>
                <w:bCs/>
                <w:color w:val="000000"/>
                <w:sz w:val="16"/>
                <w:szCs w:val="16"/>
              </w:rPr>
            </w:pPr>
            <w:r w:rsidRPr="008F755E">
              <w:rPr>
                <w:b/>
                <w:bCs/>
                <w:sz w:val="16"/>
                <w:szCs w:val="16"/>
              </w:rPr>
              <w:t>Financiamiento Externo Neto</w:t>
            </w:r>
          </w:p>
        </w:tc>
        <w:tc>
          <w:tcPr>
            <w:tcW w:w="1231" w:type="dxa"/>
            <w:tcBorders>
              <w:top w:val="single" w:sz="8" w:space="0" w:color="auto"/>
              <w:left w:val="single" w:sz="8" w:space="0" w:color="auto"/>
              <w:bottom w:val="nil"/>
              <w:right w:val="single" w:sz="8" w:space="0" w:color="auto"/>
            </w:tcBorders>
            <w:shd w:val="clear" w:color="000000" w:fill="FFFFFF"/>
            <w:noWrap/>
            <w:vAlign w:val="center"/>
          </w:tcPr>
          <w:p w14:paraId="5CB4E1EC" w14:textId="77777777" w:rsidR="008F755E" w:rsidRPr="00875D00" w:rsidRDefault="008F755E" w:rsidP="008F755E">
            <w:pPr>
              <w:jc w:val="center"/>
              <w:rPr>
                <w:b/>
                <w:bCs/>
                <w:color w:val="000000"/>
                <w:sz w:val="16"/>
                <w:szCs w:val="16"/>
              </w:rPr>
            </w:pPr>
            <w:r w:rsidRPr="00875D00">
              <w:rPr>
                <w:b/>
                <w:bCs/>
                <w:color w:val="000000"/>
                <w:sz w:val="16"/>
                <w:szCs w:val="16"/>
                <w:lang w:eastAsia="en-US"/>
              </w:rPr>
              <w:t>1.4%</w:t>
            </w:r>
          </w:p>
        </w:tc>
        <w:tc>
          <w:tcPr>
            <w:tcW w:w="1231" w:type="dxa"/>
            <w:tcBorders>
              <w:top w:val="single" w:sz="8" w:space="0" w:color="auto"/>
              <w:left w:val="nil"/>
              <w:bottom w:val="nil"/>
              <w:right w:val="single" w:sz="8" w:space="0" w:color="auto"/>
            </w:tcBorders>
            <w:shd w:val="clear" w:color="000000" w:fill="FFFFFF"/>
            <w:noWrap/>
            <w:vAlign w:val="center"/>
          </w:tcPr>
          <w:p w14:paraId="224BF852" w14:textId="77777777" w:rsidR="008F755E" w:rsidRPr="00875D00" w:rsidRDefault="008F755E" w:rsidP="008F755E">
            <w:pPr>
              <w:jc w:val="center"/>
              <w:rPr>
                <w:b/>
                <w:bCs/>
                <w:color w:val="000000"/>
                <w:sz w:val="16"/>
                <w:szCs w:val="16"/>
              </w:rPr>
            </w:pPr>
            <w:r w:rsidRPr="00875D00">
              <w:rPr>
                <w:b/>
                <w:bCs/>
                <w:color w:val="000000"/>
                <w:sz w:val="16"/>
                <w:szCs w:val="16"/>
                <w:lang w:eastAsia="en-US"/>
              </w:rPr>
              <w:t>0.3%</w:t>
            </w:r>
          </w:p>
        </w:tc>
        <w:tc>
          <w:tcPr>
            <w:tcW w:w="1231" w:type="dxa"/>
            <w:tcBorders>
              <w:top w:val="single" w:sz="8" w:space="0" w:color="auto"/>
              <w:left w:val="nil"/>
              <w:bottom w:val="nil"/>
              <w:right w:val="single" w:sz="8" w:space="0" w:color="auto"/>
            </w:tcBorders>
            <w:shd w:val="clear" w:color="000000" w:fill="FFFFFF"/>
            <w:noWrap/>
            <w:vAlign w:val="center"/>
          </w:tcPr>
          <w:p w14:paraId="5782369B" w14:textId="77777777" w:rsidR="008F755E" w:rsidRPr="00875D00" w:rsidRDefault="008F755E" w:rsidP="008F755E">
            <w:pPr>
              <w:jc w:val="center"/>
              <w:rPr>
                <w:b/>
                <w:bCs/>
                <w:color w:val="000000"/>
                <w:sz w:val="16"/>
                <w:szCs w:val="16"/>
              </w:rPr>
            </w:pPr>
            <w:r w:rsidRPr="00875D00">
              <w:rPr>
                <w:b/>
                <w:bCs/>
                <w:color w:val="000000"/>
                <w:sz w:val="16"/>
                <w:szCs w:val="16"/>
                <w:lang w:eastAsia="en-US"/>
              </w:rPr>
              <w:t>0.1%</w:t>
            </w:r>
          </w:p>
        </w:tc>
        <w:tc>
          <w:tcPr>
            <w:tcW w:w="173" w:type="dxa"/>
            <w:vAlign w:val="center"/>
            <w:hideMark/>
          </w:tcPr>
          <w:p w14:paraId="3975C9D3" w14:textId="77777777" w:rsidR="008F755E" w:rsidRPr="008F755E" w:rsidRDefault="008F755E" w:rsidP="008F755E">
            <w:pPr>
              <w:rPr>
                <w:sz w:val="20"/>
                <w:szCs w:val="20"/>
              </w:rPr>
            </w:pPr>
          </w:p>
        </w:tc>
      </w:tr>
      <w:tr w:rsidR="008F755E" w:rsidRPr="008F755E" w14:paraId="398EAF77" w14:textId="77777777" w:rsidTr="00875D00">
        <w:trPr>
          <w:trHeight w:val="70"/>
          <w:jc w:val="center"/>
        </w:trPr>
        <w:tc>
          <w:tcPr>
            <w:tcW w:w="3915" w:type="dxa"/>
            <w:tcBorders>
              <w:top w:val="nil"/>
              <w:left w:val="single" w:sz="8" w:space="0" w:color="auto"/>
              <w:bottom w:val="nil"/>
              <w:right w:val="nil"/>
            </w:tcBorders>
            <w:shd w:val="clear" w:color="000000" w:fill="FFFFFF"/>
            <w:noWrap/>
            <w:vAlign w:val="center"/>
            <w:hideMark/>
          </w:tcPr>
          <w:p w14:paraId="1F083029" w14:textId="77777777" w:rsidR="008F755E" w:rsidRPr="008F755E" w:rsidRDefault="008F755E" w:rsidP="008F755E">
            <w:pPr>
              <w:ind w:firstLineChars="200" w:firstLine="320"/>
              <w:rPr>
                <w:color w:val="000000"/>
                <w:sz w:val="16"/>
                <w:szCs w:val="16"/>
              </w:rPr>
            </w:pPr>
            <w:r w:rsidRPr="008F755E">
              <w:rPr>
                <w:sz w:val="16"/>
                <w:szCs w:val="16"/>
              </w:rPr>
              <w:t>Préstamos Netos</w:t>
            </w:r>
          </w:p>
        </w:tc>
        <w:tc>
          <w:tcPr>
            <w:tcW w:w="1231" w:type="dxa"/>
            <w:tcBorders>
              <w:top w:val="nil"/>
              <w:left w:val="single" w:sz="8" w:space="0" w:color="auto"/>
              <w:bottom w:val="nil"/>
              <w:right w:val="single" w:sz="8" w:space="0" w:color="auto"/>
            </w:tcBorders>
            <w:shd w:val="clear" w:color="000000" w:fill="FFFFFF"/>
            <w:noWrap/>
            <w:vAlign w:val="center"/>
          </w:tcPr>
          <w:p w14:paraId="182C667F" w14:textId="77777777" w:rsidR="008F755E" w:rsidRPr="00875D00" w:rsidRDefault="008F755E" w:rsidP="008F755E">
            <w:pPr>
              <w:jc w:val="center"/>
              <w:rPr>
                <w:color w:val="000000"/>
                <w:sz w:val="16"/>
                <w:szCs w:val="16"/>
              </w:rPr>
            </w:pPr>
            <w:r w:rsidRPr="00875D00">
              <w:rPr>
                <w:color w:val="000000"/>
                <w:sz w:val="16"/>
                <w:szCs w:val="16"/>
                <w:lang w:eastAsia="en-US"/>
              </w:rPr>
              <w:t>0.2%</w:t>
            </w:r>
          </w:p>
        </w:tc>
        <w:tc>
          <w:tcPr>
            <w:tcW w:w="1231" w:type="dxa"/>
            <w:tcBorders>
              <w:top w:val="nil"/>
              <w:left w:val="nil"/>
              <w:bottom w:val="nil"/>
              <w:right w:val="single" w:sz="8" w:space="0" w:color="auto"/>
            </w:tcBorders>
            <w:shd w:val="clear" w:color="000000" w:fill="FFFFFF"/>
            <w:noWrap/>
            <w:vAlign w:val="center"/>
          </w:tcPr>
          <w:p w14:paraId="7A64C231" w14:textId="77777777" w:rsidR="008F755E" w:rsidRPr="00875D00" w:rsidRDefault="008F755E" w:rsidP="008F755E">
            <w:pPr>
              <w:jc w:val="center"/>
              <w:rPr>
                <w:color w:val="000000"/>
                <w:sz w:val="16"/>
                <w:szCs w:val="16"/>
              </w:rPr>
            </w:pPr>
            <w:r w:rsidRPr="00875D00">
              <w:rPr>
                <w:color w:val="000000"/>
                <w:sz w:val="16"/>
                <w:szCs w:val="16"/>
                <w:lang w:eastAsia="en-US"/>
              </w:rPr>
              <w:t>-0.4%</w:t>
            </w:r>
          </w:p>
        </w:tc>
        <w:tc>
          <w:tcPr>
            <w:tcW w:w="1231" w:type="dxa"/>
            <w:tcBorders>
              <w:top w:val="nil"/>
              <w:left w:val="nil"/>
              <w:bottom w:val="nil"/>
              <w:right w:val="single" w:sz="8" w:space="0" w:color="auto"/>
            </w:tcBorders>
            <w:shd w:val="clear" w:color="000000" w:fill="FFFFFF"/>
            <w:noWrap/>
            <w:vAlign w:val="center"/>
          </w:tcPr>
          <w:p w14:paraId="067ACA84" w14:textId="77777777" w:rsidR="008F755E" w:rsidRPr="00875D00" w:rsidRDefault="008F755E" w:rsidP="008F755E">
            <w:pPr>
              <w:jc w:val="center"/>
              <w:rPr>
                <w:color w:val="000000"/>
                <w:sz w:val="16"/>
                <w:szCs w:val="16"/>
              </w:rPr>
            </w:pPr>
            <w:r w:rsidRPr="00875D00">
              <w:rPr>
                <w:color w:val="000000"/>
                <w:sz w:val="16"/>
                <w:szCs w:val="16"/>
                <w:lang w:eastAsia="en-US"/>
              </w:rPr>
              <w:t>0.2%</w:t>
            </w:r>
          </w:p>
        </w:tc>
        <w:tc>
          <w:tcPr>
            <w:tcW w:w="173" w:type="dxa"/>
            <w:vAlign w:val="center"/>
            <w:hideMark/>
          </w:tcPr>
          <w:p w14:paraId="2FB7CF0B" w14:textId="77777777" w:rsidR="008F755E" w:rsidRPr="008F755E" w:rsidRDefault="008F755E" w:rsidP="008F755E">
            <w:pPr>
              <w:rPr>
                <w:sz w:val="20"/>
                <w:szCs w:val="20"/>
              </w:rPr>
            </w:pPr>
          </w:p>
        </w:tc>
      </w:tr>
      <w:tr w:rsidR="008F755E" w:rsidRPr="008F755E" w14:paraId="0A989832" w14:textId="77777777" w:rsidTr="00875D00">
        <w:trPr>
          <w:trHeight w:val="70"/>
          <w:jc w:val="center"/>
        </w:trPr>
        <w:tc>
          <w:tcPr>
            <w:tcW w:w="3915" w:type="dxa"/>
            <w:tcBorders>
              <w:top w:val="nil"/>
              <w:left w:val="single" w:sz="8" w:space="0" w:color="auto"/>
              <w:bottom w:val="nil"/>
              <w:right w:val="nil"/>
            </w:tcBorders>
            <w:shd w:val="clear" w:color="000000" w:fill="FFFFFF"/>
            <w:noWrap/>
            <w:vAlign w:val="center"/>
            <w:hideMark/>
          </w:tcPr>
          <w:p w14:paraId="31EE333C" w14:textId="77777777" w:rsidR="008F755E" w:rsidRPr="008F755E" w:rsidRDefault="008F755E" w:rsidP="008F755E">
            <w:pPr>
              <w:ind w:firstLineChars="200" w:firstLine="320"/>
              <w:rPr>
                <w:color w:val="000000"/>
                <w:sz w:val="16"/>
                <w:szCs w:val="16"/>
              </w:rPr>
            </w:pPr>
            <w:r w:rsidRPr="008F755E">
              <w:rPr>
                <w:sz w:val="16"/>
                <w:szCs w:val="16"/>
              </w:rPr>
              <w:t>Negociación Neta de Eurobonos</w:t>
            </w:r>
          </w:p>
        </w:tc>
        <w:tc>
          <w:tcPr>
            <w:tcW w:w="1231" w:type="dxa"/>
            <w:tcBorders>
              <w:top w:val="nil"/>
              <w:left w:val="single" w:sz="8" w:space="0" w:color="auto"/>
              <w:bottom w:val="nil"/>
              <w:right w:val="single" w:sz="8" w:space="0" w:color="auto"/>
            </w:tcBorders>
            <w:shd w:val="clear" w:color="000000" w:fill="FFFFFF"/>
            <w:noWrap/>
            <w:vAlign w:val="center"/>
          </w:tcPr>
          <w:p w14:paraId="1A3057D2" w14:textId="77777777" w:rsidR="008F755E" w:rsidRPr="00875D00" w:rsidRDefault="008F755E" w:rsidP="008F755E">
            <w:pPr>
              <w:jc w:val="center"/>
              <w:rPr>
                <w:color w:val="000000"/>
                <w:sz w:val="16"/>
                <w:szCs w:val="16"/>
              </w:rPr>
            </w:pPr>
            <w:r w:rsidRPr="00875D00">
              <w:rPr>
                <w:color w:val="000000"/>
                <w:sz w:val="16"/>
                <w:szCs w:val="16"/>
                <w:lang w:eastAsia="en-US"/>
              </w:rPr>
              <w:t>1.2%</w:t>
            </w:r>
          </w:p>
        </w:tc>
        <w:tc>
          <w:tcPr>
            <w:tcW w:w="1231" w:type="dxa"/>
            <w:tcBorders>
              <w:top w:val="nil"/>
              <w:left w:val="nil"/>
              <w:bottom w:val="nil"/>
              <w:right w:val="single" w:sz="8" w:space="0" w:color="auto"/>
            </w:tcBorders>
            <w:shd w:val="clear" w:color="000000" w:fill="FFFFFF"/>
            <w:noWrap/>
            <w:vAlign w:val="center"/>
          </w:tcPr>
          <w:p w14:paraId="4BA5D0A8" w14:textId="77777777" w:rsidR="008F755E" w:rsidRPr="00875D00" w:rsidRDefault="008F755E" w:rsidP="008F755E">
            <w:pPr>
              <w:jc w:val="center"/>
              <w:rPr>
                <w:color w:val="000000"/>
                <w:sz w:val="16"/>
                <w:szCs w:val="16"/>
              </w:rPr>
            </w:pPr>
            <w:r w:rsidRPr="00875D00">
              <w:rPr>
                <w:color w:val="000000"/>
                <w:sz w:val="16"/>
                <w:szCs w:val="16"/>
                <w:lang w:eastAsia="en-US"/>
              </w:rPr>
              <w:t>0.6%</w:t>
            </w:r>
          </w:p>
        </w:tc>
        <w:tc>
          <w:tcPr>
            <w:tcW w:w="1231" w:type="dxa"/>
            <w:tcBorders>
              <w:top w:val="nil"/>
              <w:left w:val="nil"/>
              <w:bottom w:val="nil"/>
              <w:right w:val="single" w:sz="8" w:space="0" w:color="auto"/>
            </w:tcBorders>
            <w:shd w:val="clear" w:color="000000" w:fill="FFFFFF"/>
            <w:noWrap/>
            <w:vAlign w:val="center"/>
          </w:tcPr>
          <w:p w14:paraId="33428DCE" w14:textId="77777777" w:rsidR="008F755E" w:rsidRPr="00875D00" w:rsidRDefault="008F755E" w:rsidP="008F755E">
            <w:pPr>
              <w:jc w:val="center"/>
              <w:rPr>
                <w:color w:val="000000"/>
                <w:sz w:val="16"/>
                <w:szCs w:val="16"/>
              </w:rPr>
            </w:pPr>
            <w:r w:rsidRPr="00875D00">
              <w:rPr>
                <w:color w:val="000000"/>
                <w:sz w:val="16"/>
                <w:szCs w:val="16"/>
                <w:lang w:eastAsia="en-US"/>
              </w:rPr>
              <w:t>-0.1%</w:t>
            </w:r>
          </w:p>
        </w:tc>
        <w:tc>
          <w:tcPr>
            <w:tcW w:w="173" w:type="dxa"/>
            <w:vAlign w:val="center"/>
            <w:hideMark/>
          </w:tcPr>
          <w:p w14:paraId="1B46EA56" w14:textId="77777777" w:rsidR="008F755E" w:rsidRPr="008F755E" w:rsidRDefault="008F755E" w:rsidP="008F755E">
            <w:pPr>
              <w:rPr>
                <w:sz w:val="20"/>
                <w:szCs w:val="20"/>
              </w:rPr>
            </w:pPr>
          </w:p>
        </w:tc>
      </w:tr>
      <w:tr w:rsidR="008F755E" w:rsidRPr="008F755E" w14:paraId="4AD63122" w14:textId="77777777" w:rsidTr="00875D00">
        <w:trPr>
          <w:trHeight w:val="70"/>
          <w:jc w:val="center"/>
        </w:trPr>
        <w:tc>
          <w:tcPr>
            <w:tcW w:w="3915" w:type="dxa"/>
            <w:tcBorders>
              <w:top w:val="nil"/>
              <w:left w:val="single" w:sz="8" w:space="0" w:color="auto"/>
              <w:bottom w:val="nil"/>
              <w:right w:val="nil"/>
            </w:tcBorders>
            <w:shd w:val="clear" w:color="000000" w:fill="FFFFFF"/>
            <w:noWrap/>
            <w:vAlign w:val="center"/>
            <w:hideMark/>
          </w:tcPr>
          <w:p w14:paraId="1B137D6C" w14:textId="77777777" w:rsidR="008F755E" w:rsidRPr="008F755E" w:rsidRDefault="008F755E" w:rsidP="008F755E">
            <w:pPr>
              <w:ind w:firstLineChars="100" w:firstLine="161"/>
              <w:rPr>
                <w:b/>
                <w:bCs/>
                <w:color w:val="000000"/>
                <w:sz w:val="16"/>
                <w:szCs w:val="16"/>
              </w:rPr>
            </w:pPr>
            <w:r w:rsidRPr="008F755E">
              <w:rPr>
                <w:b/>
                <w:bCs/>
                <w:sz w:val="16"/>
                <w:szCs w:val="16"/>
              </w:rPr>
              <w:t>Financiamiento Interno Neto</w:t>
            </w:r>
          </w:p>
        </w:tc>
        <w:tc>
          <w:tcPr>
            <w:tcW w:w="1231" w:type="dxa"/>
            <w:tcBorders>
              <w:top w:val="nil"/>
              <w:left w:val="single" w:sz="8" w:space="0" w:color="auto"/>
              <w:bottom w:val="nil"/>
              <w:right w:val="single" w:sz="8" w:space="0" w:color="auto"/>
            </w:tcBorders>
            <w:shd w:val="clear" w:color="000000" w:fill="FFFFFF"/>
            <w:noWrap/>
            <w:vAlign w:val="center"/>
          </w:tcPr>
          <w:p w14:paraId="55BF681B" w14:textId="77777777" w:rsidR="008F755E" w:rsidRPr="00875D00" w:rsidRDefault="008F755E" w:rsidP="008F755E">
            <w:pPr>
              <w:jc w:val="center"/>
              <w:rPr>
                <w:b/>
                <w:bCs/>
                <w:color w:val="000000"/>
                <w:sz w:val="16"/>
                <w:szCs w:val="16"/>
              </w:rPr>
            </w:pPr>
            <w:r w:rsidRPr="00875D00">
              <w:rPr>
                <w:b/>
                <w:bCs/>
                <w:color w:val="000000"/>
                <w:sz w:val="16"/>
                <w:szCs w:val="16"/>
                <w:lang w:eastAsia="en-US"/>
              </w:rPr>
              <w:t>4.1%</w:t>
            </w:r>
          </w:p>
        </w:tc>
        <w:tc>
          <w:tcPr>
            <w:tcW w:w="1231" w:type="dxa"/>
            <w:tcBorders>
              <w:top w:val="nil"/>
              <w:left w:val="nil"/>
              <w:bottom w:val="nil"/>
              <w:right w:val="single" w:sz="8" w:space="0" w:color="auto"/>
            </w:tcBorders>
            <w:shd w:val="clear" w:color="000000" w:fill="FFFFFF"/>
            <w:noWrap/>
            <w:vAlign w:val="center"/>
          </w:tcPr>
          <w:p w14:paraId="2B09C5C7" w14:textId="77777777" w:rsidR="008F755E" w:rsidRPr="00875D00" w:rsidRDefault="008F755E" w:rsidP="008F755E">
            <w:pPr>
              <w:jc w:val="center"/>
              <w:rPr>
                <w:b/>
                <w:bCs/>
                <w:color w:val="000000"/>
                <w:sz w:val="16"/>
                <w:szCs w:val="16"/>
              </w:rPr>
            </w:pPr>
            <w:r w:rsidRPr="00875D00">
              <w:rPr>
                <w:b/>
                <w:bCs/>
                <w:color w:val="000000"/>
                <w:sz w:val="16"/>
                <w:szCs w:val="16"/>
                <w:lang w:eastAsia="en-US"/>
              </w:rPr>
              <w:t>2.8%</w:t>
            </w:r>
          </w:p>
        </w:tc>
        <w:tc>
          <w:tcPr>
            <w:tcW w:w="1231" w:type="dxa"/>
            <w:tcBorders>
              <w:top w:val="nil"/>
              <w:left w:val="nil"/>
              <w:bottom w:val="nil"/>
              <w:right w:val="single" w:sz="8" w:space="0" w:color="auto"/>
            </w:tcBorders>
            <w:shd w:val="clear" w:color="000000" w:fill="FFFFFF"/>
            <w:noWrap/>
            <w:vAlign w:val="center"/>
          </w:tcPr>
          <w:p w14:paraId="30F52156" w14:textId="77777777" w:rsidR="008F755E" w:rsidRPr="00875D00" w:rsidRDefault="008F755E" w:rsidP="008F755E">
            <w:pPr>
              <w:jc w:val="center"/>
              <w:rPr>
                <w:b/>
                <w:bCs/>
                <w:color w:val="000000"/>
                <w:sz w:val="16"/>
                <w:szCs w:val="16"/>
              </w:rPr>
            </w:pPr>
            <w:r w:rsidRPr="00875D00">
              <w:rPr>
                <w:b/>
                <w:bCs/>
                <w:color w:val="000000"/>
                <w:sz w:val="16"/>
                <w:szCs w:val="16"/>
                <w:lang w:eastAsia="en-US"/>
              </w:rPr>
              <w:t>1.1%</w:t>
            </w:r>
          </w:p>
        </w:tc>
        <w:tc>
          <w:tcPr>
            <w:tcW w:w="173" w:type="dxa"/>
            <w:vAlign w:val="center"/>
            <w:hideMark/>
          </w:tcPr>
          <w:p w14:paraId="470CA301" w14:textId="77777777" w:rsidR="008F755E" w:rsidRPr="008F755E" w:rsidRDefault="008F755E" w:rsidP="008F755E">
            <w:pPr>
              <w:rPr>
                <w:sz w:val="20"/>
                <w:szCs w:val="20"/>
              </w:rPr>
            </w:pPr>
          </w:p>
        </w:tc>
      </w:tr>
      <w:tr w:rsidR="008F755E" w:rsidRPr="008F755E" w14:paraId="340BDFD0" w14:textId="77777777" w:rsidTr="00875D00">
        <w:trPr>
          <w:trHeight w:val="70"/>
          <w:jc w:val="center"/>
        </w:trPr>
        <w:tc>
          <w:tcPr>
            <w:tcW w:w="3915" w:type="dxa"/>
            <w:tcBorders>
              <w:top w:val="nil"/>
              <w:left w:val="single" w:sz="8" w:space="0" w:color="auto"/>
              <w:bottom w:val="nil"/>
              <w:right w:val="nil"/>
            </w:tcBorders>
            <w:shd w:val="clear" w:color="000000" w:fill="FFFFFF"/>
            <w:noWrap/>
            <w:vAlign w:val="center"/>
            <w:hideMark/>
          </w:tcPr>
          <w:p w14:paraId="1627C20A" w14:textId="77777777" w:rsidR="008F755E" w:rsidRPr="008F755E" w:rsidRDefault="008F755E" w:rsidP="008F755E">
            <w:pPr>
              <w:ind w:firstLineChars="200" w:firstLine="320"/>
              <w:rPr>
                <w:color w:val="000000"/>
                <w:sz w:val="16"/>
                <w:szCs w:val="16"/>
              </w:rPr>
            </w:pPr>
            <w:r w:rsidRPr="008F755E">
              <w:rPr>
                <w:sz w:val="16"/>
                <w:szCs w:val="16"/>
              </w:rPr>
              <w:t>Negociación Neta de Bonos</w:t>
            </w:r>
          </w:p>
        </w:tc>
        <w:tc>
          <w:tcPr>
            <w:tcW w:w="1231" w:type="dxa"/>
            <w:tcBorders>
              <w:top w:val="nil"/>
              <w:left w:val="single" w:sz="8" w:space="0" w:color="auto"/>
              <w:bottom w:val="nil"/>
              <w:right w:val="single" w:sz="8" w:space="0" w:color="auto"/>
            </w:tcBorders>
            <w:shd w:val="clear" w:color="000000" w:fill="FFFFFF"/>
            <w:noWrap/>
            <w:vAlign w:val="center"/>
          </w:tcPr>
          <w:p w14:paraId="0E4BC790" w14:textId="77777777" w:rsidR="008F755E" w:rsidRPr="00875D00" w:rsidRDefault="008F755E" w:rsidP="008F755E">
            <w:pPr>
              <w:jc w:val="center"/>
              <w:rPr>
                <w:color w:val="000000"/>
                <w:sz w:val="16"/>
                <w:szCs w:val="16"/>
              </w:rPr>
            </w:pPr>
            <w:r w:rsidRPr="00875D00">
              <w:rPr>
                <w:color w:val="000000"/>
                <w:sz w:val="16"/>
                <w:szCs w:val="16"/>
                <w:lang w:eastAsia="en-US"/>
              </w:rPr>
              <w:t>3.7%</w:t>
            </w:r>
          </w:p>
        </w:tc>
        <w:tc>
          <w:tcPr>
            <w:tcW w:w="1231" w:type="dxa"/>
            <w:tcBorders>
              <w:top w:val="nil"/>
              <w:left w:val="nil"/>
              <w:bottom w:val="nil"/>
              <w:right w:val="single" w:sz="8" w:space="0" w:color="auto"/>
            </w:tcBorders>
            <w:shd w:val="clear" w:color="000000" w:fill="FFFFFF"/>
            <w:noWrap/>
            <w:vAlign w:val="center"/>
          </w:tcPr>
          <w:p w14:paraId="0C338F32" w14:textId="77777777" w:rsidR="008F755E" w:rsidRPr="00875D00" w:rsidRDefault="008F755E" w:rsidP="008F755E">
            <w:pPr>
              <w:jc w:val="center"/>
              <w:rPr>
                <w:color w:val="000000"/>
                <w:sz w:val="16"/>
                <w:szCs w:val="16"/>
              </w:rPr>
            </w:pPr>
            <w:r w:rsidRPr="00875D00">
              <w:rPr>
                <w:color w:val="000000"/>
                <w:sz w:val="16"/>
                <w:szCs w:val="16"/>
                <w:lang w:eastAsia="en-US"/>
              </w:rPr>
              <w:t>2.2%</w:t>
            </w:r>
          </w:p>
        </w:tc>
        <w:tc>
          <w:tcPr>
            <w:tcW w:w="1231" w:type="dxa"/>
            <w:tcBorders>
              <w:top w:val="nil"/>
              <w:left w:val="nil"/>
              <w:bottom w:val="nil"/>
              <w:right w:val="single" w:sz="8" w:space="0" w:color="auto"/>
            </w:tcBorders>
            <w:shd w:val="clear" w:color="000000" w:fill="FFFFFF"/>
            <w:noWrap/>
            <w:vAlign w:val="center"/>
          </w:tcPr>
          <w:p w14:paraId="31092743" w14:textId="77777777" w:rsidR="008F755E" w:rsidRPr="00875D00" w:rsidRDefault="008F755E" w:rsidP="008F755E">
            <w:pPr>
              <w:jc w:val="center"/>
              <w:rPr>
                <w:color w:val="000000"/>
                <w:sz w:val="16"/>
                <w:szCs w:val="16"/>
              </w:rPr>
            </w:pPr>
            <w:r w:rsidRPr="00875D00">
              <w:rPr>
                <w:color w:val="000000"/>
                <w:sz w:val="16"/>
                <w:szCs w:val="16"/>
                <w:lang w:eastAsia="en-US"/>
              </w:rPr>
              <w:t>1.1%</w:t>
            </w:r>
          </w:p>
        </w:tc>
        <w:tc>
          <w:tcPr>
            <w:tcW w:w="173" w:type="dxa"/>
            <w:vAlign w:val="center"/>
            <w:hideMark/>
          </w:tcPr>
          <w:p w14:paraId="473414B9" w14:textId="77777777" w:rsidR="008F755E" w:rsidRPr="008F755E" w:rsidRDefault="008F755E" w:rsidP="008F755E">
            <w:pPr>
              <w:rPr>
                <w:sz w:val="20"/>
                <w:szCs w:val="20"/>
              </w:rPr>
            </w:pPr>
          </w:p>
        </w:tc>
      </w:tr>
      <w:tr w:rsidR="008F755E" w:rsidRPr="008F755E" w14:paraId="696C9A90" w14:textId="77777777" w:rsidTr="00875D00">
        <w:trPr>
          <w:trHeight w:val="70"/>
          <w:jc w:val="center"/>
        </w:trPr>
        <w:tc>
          <w:tcPr>
            <w:tcW w:w="3915" w:type="dxa"/>
            <w:tcBorders>
              <w:top w:val="nil"/>
              <w:left w:val="single" w:sz="8" w:space="0" w:color="auto"/>
              <w:bottom w:val="nil"/>
              <w:right w:val="nil"/>
            </w:tcBorders>
            <w:shd w:val="clear" w:color="000000" w:fill="FFFFFF"/>
            <w:noWrap/>
            <w:vAlign w:val="center"/>
            <w:hideMark/>
          </w:tcPr>
          <w:p w14:paraId="469609E6" w14:textId="77777777" w:rsidR="008F755E" w:rsidRPr="008F755E" w:rsidRDefault="008F755E" w:rsidP="008F755E">
            <w:pPr>
              <w:ind w:firstLineChars="200" w:firstLine="320"/>
              <w:rPr>
                <w:color w:val="000000"/>
                <w:sz w:val="16"/>
                <w:szCs w:val="16"/>
              </w:rPr>
            </w:pPr>
            <w:r w:rsidRPr="008F755E">
              <w:rPr>
                <w:sz w:val="16"/>
                <w:szCs w:val="16"/>
              </w:rPr>
              <w:t>Prestamos netos con el sector financiero nacional</w:t>
            </w:r>
          </w:p>
        </w:tc>
        <w:tc>
          <w:tcPr>
            <w:tcW w:w="1231" w:type="dxa"/>
            <w:tcBorders>
              <w:top w:val="nil"/>
              <w:left w:val="single" w:sz="8" w:space="0" w:color="auto"/>
              <w:bottom w:val="nil"/>
              <w:right w:val="single" w:sz="8" w:space="0" w:color="auto"/>
            </w:tcBorders>
            <w:shd w:val="clear" w:color="000000" w:fill="FFFFFF"/>
            <w:noWrap/>
            <w:vAlign w:val="center"/>
          </w:tcPr>
          <w:p w14:paraId="0506A682" w14:textId="77777777" w:rsidR="008F755E" w:rsidRPr="00875D00" w:rsidRDefault="008F755E" w:rsidP="008F755E">
            <w:pPr>
              <w:jc w:val="center"/>
              <w:rPr>
                <w:color w:val="000000"/>
                <w:sz w:val="16"/>
                <w:szCs w:val="16"/>
              </w:rPr>
            </w:pPr>
            <w:r w:rsidRPr="00875D00">
              <w:rPr>
                <w:color w:val="000000"/>
                <w:sz w:val="16"/>
                <w:szCs w:val="16"/>
                <w:lang w:eastAsia="en-US"/>
              </w:rPr>
              <w:t>0.1%</w:t>
            </w:r>
          </w:p>
        </w:tc>
        <w:tc>
          <w:tcPr>
            <w:tcW w:w="1231" w:type="dxa"/>
            <w:tcBorders>
              <w:top w:val="nil"/>
              <w:left w:val="nil"/>
              <w:bottom w:val="nil"/>
              <w:right w:val="single" w:sz="8" w:space="0" w:color="auto"/>
            </w:tcBorders>
            <w:shd w:val="clear" w:color="000000" w:fill="FFFFFF"/>
            <w:noWrap/>
            <w:vAlign w:val="center"/>
          </w:tcPr>
          <w:p w14:paraId="6B2E768E" w14:textId="77777777" w:rsidR="008F755E" w:rsidRPr="00875D00" w:rsidRDefault="008F755E" w:rsidP="008F755E">
            <w:pPr>
              <w:jc w:val="center"/>
              <w:rPr>
                <w:color w:val="000000"/>
                <w:sz w:val="16"/>
                <w:szCs w:val="16"/>
              </w:rPr>
            </w:pPr>
            <w:r w:rsidRPr="00875D00">
              <w:rPr>
                <w:color w:val="000000"/>
                <w:sz w:val="16"/>
                <w:szCs w:val="16"/>
                <w:lang w:eastAsia="en-US"/>
              </w:rPr>
              <w:t>0.1%</w:t>
            </w:r>
          </w:p>
        </w:tc>
        <w:tc>
          <w:tcPr>
            <w:tcW w:w="1231" w:type="dxa"/>
            <w:tcBorders>
              <w:top w:val="nil"/>
              <w:left w:val="nil"/>
              <w:bottom w:val="nil"/>
              <w:right w:val="single" w:sz="8" w:space="0" w:color="auto"/>
            </w:tcBorders>
            <w:shd w:val="clear" w:color="000000" w:fill="FFFFFF"/>
            <w:noWrap/>
            <w:vAlign w:val="center"/>
          </w:tcPr>
          <w:p w14:paraId="708721AA" w14:textId="77777777" w:rsidR="008F755E" w:rsidRPr="00875D00" w:rsidRDefault="008F755E" w:rsidP="008F755E">
            <w:pPr>
              <w:jc w:val="center"/>
              <w:rPr>
                <w:color w:val="000000"/>
                <w:sz w:val="16"/>
                <w:szCs w:val="16"/>
              </w:rPr>
            </w:pPr>
            <w:r w:rsidRPr="00875D00">
              <w:rPr>
                <w:color w:val="000000"/>
                <w:sz w:val="16"/>
                <w:szCs w:val="16"/>
                <w:lang w:eastAsia="en-US"/>
              </w:rPr>
              <w:t>0.0%</w:t>
            </w:r>
          </w:p>
        </w:tc>
        <w:tc>
          <w:tcPr>
            <w:tcW w:w="173" w:type="dxa"/>
            <w:vAlign w:val="center"/>
            <w:hideMark/>
          </w:tcPr>
          <w:p w14:paraId="0B236F2C" w14:textId="77777777" w:rsidR="008F755E" w:rsidRPr="008F755E" w:rsidRDefault="008F755E" w:rsidP="008F755E">
            <w:pPr>
              <w:rPr>
                <w:sz w:val="20"/>
                <w:szCs w:val="20"/>
              </w:rPr>
            </w:pPr>
          </w:p>
        </w:tc>
      </w:tr>
      <w:tr w:rsidR="008F755E" w:rsidRPr="008F755E" w14:paraId="134559BE" w14:textId="77777777" w:rsidTr="00875D00">
        <w:trPr>
          <w:trHeight w:val="70"/>
          <w:jc w:val="center"/>
        </w:trPr>
        <w:tc>
          <w:tcPr>
            <w:tcW w:w="3915" w:type="dxa"/>
            <w:tcBorders>
              <w:top w:val="nil"/>
              <w:left w:val="single" w:sz="8" w:space="0" w:color="auto"/>
              <w:bottom w:val="nil"/>
              <w:right w:val="nil"/>
            </w:tcBorders>
            <w:shd w:val="clear" w:color="000000" w:fill="FFFFFF"/>
            <w:noWrap/>
            <w:vAlign w:val="center"/>
            <w:hideMark/>
          </w:tcPr>
          <w:p w14:paraId="06726D45" w14:textId="77777777" w:rsidR="008F755E" w:rsidRPr="008F755E" w:rsidRDefault="008F755E" w:rsidP="008F755E">
            <w:pPr>
              <w:ind w:firstLineChars="200" w:firstLine="320"/>
              <w:rPr>
                <w:color w:val="000000"/>
                <w:sz w:val="16"/>
                <w:szCs w:val="16"/>
              </w:rPr>
            </w:pPr>
            <w:r w:rsidRPr="008F755E">
              <w:rPr>
                <w:sz w:val="16"/>
                <w:szCs w:val="16"/>
              </w:rPr>
              <w:t>Amortización (costo de la política monetaria)</w:t>
            </w:r>
          </w:p>
        </w:tc>
        <w:tc>
          <w:tcPr>
            <w:tcW w:w="1231" w:type="dxa"/>
            <w:tcBorders>
              <w:top w:val="nil"/>
              <w:left w:val="single" w:sz="8" w:space="0" w:color="auto"/>
              <w:bottom w:val="nil"/>
              <w:right w:val="single" w:sz="8" w:space="0" w:color="auto"/>
            </w:tcBorders>
            <w:shd w:val="clear" w:color="000000" w:fill="FFFFFF"/>
            <w:noWrap/>
            <w:vAlign w:val="center"/>
          </w:tcPr>
          <w:p w14:paraId="6ED69335" w14:textId="77777777" w:rsidR="008F755E" w:rsidRPr="00875D00" w:rsidRDefault="008F755E" w:rsidP="008F755E">
            <w:pPr>
              <w:jc w:val="center"/>
              <w:rPr>
                <w:color w:val="000000"/>
                <w:sz w:val="16"/>
                <w:szCs w:val="16"/>
              </w:rPr>
            </w:pPr>
            <w:r w:rsidRPr="00875D00">
              <w:rPr>
                <w:color w:val="000000"/>
                <w:sz w:val="16"/>
                <w:szCs w:val="16"/>
                <w:lang w:eastAsia="en-US"/>
              </w:rPr>
              <w:t>0.0%</w:t>
            </w:r>
          </w:p>
        </w:tc>
        <w:tc>
          <w:tcPr>
            <w:tcW w:w="1231" w:type="dxa"/>
            <w:tcBorders>
              <w:top w:val="nil"/>
              <w:left w:val="nil"/>
              <w:bottom w:val="nil"/>
              <w:right w:val="single" w:sz="8" w:space="0" w:color="auto"/>
            </w:tcBorders>
            <w:shd w:val="clear" w:color="000000" w:fill="FFFFFF"/>
            <w:noWrap/>
            <w:vAlign w:val="center"/>
          </w:tcPr>
          <w:p w14:paraId="38DA395D" w14:textId="77777777" w:rsidR="008F755E" w:rsidRPr="00875D00" w:rsidRDefault="008F755E" w:rsidP="008F755E">
            <w:pPr>
              <w:jc w:val="center"/>
              <w:rPr>
                <w:color w:val="000000"/>
                <w:sz w:val="16"/>
                <w:szCs w:val="16"/>
              </w:rPr>
            </w:pPr>
            <w:r w:rsidRPr="00875D00">
              <w:rPr>
                <w:color w:val="000000"/>
                <w:sz w:val="16"/>
                <w:szCs w:val="16"/>
                <w:lang w:eastAsia="en-US"/>
              </w:rPr>
              <w:t>0.0%</w:t>
            </w:r>
          </w:p>
        </w:tc>
        <w:tc>
          <w:tcPr>
            <w:tcW w:w="1231" w:type="dxa"/>
            <w:tcBorders>
              <w:top w:val="nil"/>
              <w:left w:val="nil"/>
              <w:bottom w:val="nil"/>
              <w:right w:val="single" w:sz="8" w:space="0" w:color="auto"/>
            </w:tcBorders>
            <w:shd w:val="clear" w:color="000000" w:fill="FFFFFF"/>
            <w:noWrap/>
            <w:vAlign w:val="center"/>
          </w:tcPr>
          <w:p w14:paraId="26D767D9" w14:textId="77777777" w:rsidR="008F755E" w:rsidRPr="00875D00" w:rsidRDefault="008F755E" w:rsidP="008F755E">
            <w:pPr>
              <w:jc w:val="center"/>
              <w:rPr>
                <w:color w:val="000000"/>
                <w:sz w:val="16"/>
                <w:szCs w:val="16"/>
              </w:rPr>
            </w:pPr>
            <w:r w:rsidRPr="00875D00">
              <w:rPr>
                <w:color w:val="000000"/>
                <w:sz w:val="16"/>
                <w:szCs w:val="16"/>
                <w:lang w:eastAsia="en-US"/>
              </w:rPr>
              <w:t>0.0%</w:t>
            </w:r>
          </w:p>
        </w:tc>
        <w:tc>
          <w:tcPr>
            <w:tcW w:w="173" w:type="dxa"/>
            <w:vAlign w:val="center"/>
            <w:hideMark/>
          </w:tcPr>
          <w:p w14:paraId="30B7B91D" w14:textId="77777777" w:rsidR="008F755E" w:rsidRPr="008F755E" w:rsidRDefault="008F755E" w:rsidP="008F755E">
            <w:pPr>
              <w:rPr>
                <w:sz w:val="20"/>
                <w:szCs w:val="20"/>
              </w:rPr>
            </w:pPr>
          </w:p>
        </w:tc>
      </w:tr>
      <w:tr w:rsidR="008F755E" w:rsidRPr="008F755E" w14:paraId="25B78483" w14:textId="77777777" w:rsidTr="00875D00">
        <w:trPr>
          <w:trHeight w:val="70"/>
          <w:jc w:val="center"/>
        </w:trPr>
        <w:tc>
          <w:tcPr>
            <w:tcW w:w="3915" w:type="dxa"/>
            <w:tcBorders>
              <w:top w:val="nil"/>
              <w:left w:val="single" w:sz="8" w:space="0" w:color="auto"/>
              <w:bottom w:val="nil"/>
              <w:right w:val="nil"/>
            </w:tcBorders>
            <w:noWrap/>
            <w:vAlign w:val="center"/>
            <w:hideMark/>
          </w:tcPr>
          <w:p w14:paraId="66907715" w14:textId="77777777" w:rsidR="008F755E" w:rsidRPr="008F755E" w:rsidRDefault="008F755E" w:rsidP="008F755E">
            <w:pPr>
              <w:ind w:firstLineChars="200" w:firstLine="320"/>
              <w:rPr>
                <w:color w:val="000000"/>
                <w:sz w:val="16"/>
                <w:szCs w:val="16"/>
              </w:rPr>
            </w:pPr>
            <w:r w:rsidRPr="008F755E">
              <w:rPr>
                <w:color w:val="000000"/>
                <w:sz w:val="16"/>
                <w:szCs w:val="16"/>
              </w:rPr>
              <w:t>Otros flujos de financiamiento</w:t>
            </w:r>
          </w:p>
        </w:tc>
        <w:tc>
          <w:tcPr>
            <w:tcW w:w="1231" w:type="dxa"/>
            <w:tcBorders>
              <w:top w:val="nil"/>
              <w:left w:val="single" w:sz="8" w:space="0" w:color="auto"/>
              <w:bottom w:val="nil"/>
              <w:right w:val="single" w:sz="8" w:space="0" w:color="auto"/>
            </w:tcBorders>
            <w:shd w:val="clear" w:color="000000" w:fill="FFFFFF"/>
            <w:noWrap/>
            <w:vAlign w:val="center"/>
          </w:tcPr>
          <w:p w14:paraId="4F354F26" w14:textId="77777777" w:rsidR="008F755E" w:rsidRPr="00875D00" w:rsidRDefault="008F755E" w:rsidP="008F755E">
            <w:pPr>
              <w:jc w:val="center"/>
              <w:rPr>
                <w:color w:val="000000"/>
                <w:sz w:val="16"/>
                <w:szCs w:val="16"/>
              </w:rPr>
            </w:pPr>
            <w:r w:rsidRPr="00875D00">
              <w:rPr>
                <w:color w:val="000000"/>
                <w:sz w:val="16"/>
                <w:szCs w:val="16"/>
                <w:lang w:eastAsia="en-US"/>
              </w:rPr>
              <w:t>0.3%</w:t>
            </w:r>
          </w:p>
        </w:tc>
        <w:tc>
          <w:tcPr>
            <w:tcW w:w="1231" w:type="dxa"/>
            <w:tcBorders>
              <w:top w:val="nil"/>
              <w:left w:val="nil"/>
              <w:bottom w:val="nil"/>
              <w:right w:val="single" w:sz="8" w:space="0" w:color="auto"/>
            </w:tcBorders>
            <w:shd w:val="clear" w:color="000000" w:fill="FFFFFF"/>
            <w:noWrap/>
            <w:vAlign w:val="center"/>
          </w:tcPr>
          <w:p w14:paraId="4B2A3B92" w14:textId="77777777" w:rsidR="008F755E" w:rsidRPr="00875D00" w:rsidRDefault="008F755E" w:rsidP="008F755E">
            <w:pPr>
              <w:jc w:val="center"/>
              <w:rPr>
                <w:color w:val="000000"/>
                <w:sz w:val="16"/>
                <w:szCs w:val="16"/>
              </w:rPr>
            </w:pPr>
            <w:r w:rsidRPr="00875D00">
              <w:rPr>
                <w:color w:val="000000"/>
                <w:sz w:val="16"/>
                <w:szCs w:val="16"/>
                <w:lang w:eastAsia="en-US"/>
              </w:rPr>
              <w:t>0.5%</w:t>
            </w:r>
          </w:p>
        </w:tc>
        <w:tc>
          <w:tcPr>
            <w:tcW w:w="1231" w:type="dxa"/>
            <w:tcBorders>
              <w:top w:val="nil"/>
              <w:left w:val="nil"/>
              <w:bottom w:val="nil"/>
              <w:right w:val="single" w:sz="8" w:space="0" w:color="auto"/>
            </w:tcBorders>
            <w:shd w:val="clear" w:color="000000" w:fill="FFFFFF"/>
            <w:noWrap/>
            <w:vAlign w:val="center"/>
          </w:tcPr>
          <w:p w14:paraId="2E3C36EB" w14:textId="77777777" w:rsidR="008F755E" w:rsidRPr="00875D00" w:rsidRDefault="008F755E" w:rsidP="008F755E">
            <w:pPr>
              <w:jc w:val="center"/>
              <w:rPr>
                <w:color w:val="000000"/>
                <w:sz w:val="16"/>
                <w:szCs w:val="16"/>
              </w:rPr>
            </w:pPr>
            <w:r w:rsidRPr="00875D00">
              <w:rPr>
                <w:color w:val="000000"/>
                <w:sz w:val="16"/>
                <w:szCs w:val="16"/>
                <w:lang w:eastAsia="en-US"/>
              </w:rPr>
              <w:t>0.0%</w:t>
            </w:r>
          </w:p>
        </w:tc>
        <w:tc>
          <w:tcPr>
            <w:tcW w:w="173" w:type="dxa"/>
            <w:vAlign w:val="center"/>
            <w:hideMark/>
          </w:tcPr>
          <w:p w14:paraId="571397E8" w14:textId="77777777" w:rsidR="008F755E" w:rsidRPr="008F755E" w:rsidRDefault="008F755E" w:rsidP="008F755E">
            <w:pPr>
              <w:rPr>
                <w:sz w:val="20"/>
                <w:szCs w:val="20"/>
              </w:rPr>
            </w:pPr>
          </w:p>
        </w:tc>
      </w:tr>
      <w:tr w:rsidR="008F755E" w:rsidRPr="008F755E" w14:paraId="229423C1" w14:textId="77777777" w:rsidTr="00875D00">
        <w:trPr>
          <w:trHeight w:val="70"/>
          <w:jc w:val="center"/>
        </w:trPr>
        <w:tc>
          <w:tcPr>
            <w:tcW w:w="3915" w:type="dxa"/>
            <w:tcBorders>
              <w:top w:val="nil"/>
              <w:left w:val="single" w:sz="8" w:space="0" w:color="auto"/>
              <w:bottom w:val="single" w:sz="8" w:space="0" w:color="auto"/>
              <w:right w:val="nil"/>
            </w:tcBorders>
            <w:shd w:val="clear" w:color="000000" w:fill="FFFFFF"/>
            <w:noWrap/>
            <w:vAlign w:val="center"/>
            <w:hideMark/>
          </w:tcPr>
          <w:p w14:paraId="0C635848" w14:textId="77777777" w:rsidR="008F755E" w:rsidRPr="008F755E" w:rsidRDefault="008F755E" w:rsidP="008F755E">
            <w:pPr>
              <w:ind w:firstLineChars="100" w:firstLine="161"/>
              <w:rPr>
                <w:b/>
                <w:bCs/>
                <w:color w:val="000000"/>
                <w:sz w:val="16"/>
                <w:szCs w:val="16"/>
              </w:rPr>
            </w:pPr>
            <w:r w:rsidRPr="008F755E">
              <w:rPr>
                <w:b/>
                <w:bCs/>
                <w:sz w:val="16"/>
                <w:szCs w:val="16"/>
              </w:rPr>
              <w:t>Variación de Caja (+) disminución (-) aumento</w:t>
            </w:r>
          </w:p>
        </w:tc>
        <w:tc>
          <w:tcPr>
            <w:tcW w:w="1231" w:type="dxa"/>
            <w:tcBorders>
              <w:top w:val="nil"/>
              <w:left w:val="single" w:sz="8" w:space="0" w:color="auto"/>
              <w:bottom w:val="single" w:sz="8" w:space="0" w:color="auto"/>
              <w:right w:val="single" w:sz="8" w:space="0" w:color="auto"/>
            </w:tcBorders>
            <w:shd w:val="clear" w:color="000000" w:fill="FFFFFF"/>
            <w:noWrap/>
            <w:vAlign w:val="center"/>
          </w:tcPr>
          <w:p w14:paraId="5A3E6898" w14:textId="77777777" w:rsidR="008F755E" w:rsidRPr="00875D00" w:rsidRDefault="008F755E" w:rsidP="008F755E">
            <w:pPr>
              <w:jc w:val="center"/>
              <w:rPr>
                <w:b/>
                <w:bCs/>
                <w:color w:val="000000"/>
                <w:sz w:val="16"/>
                <w:szCs w:val="16"/>
              </w:rPr>
            </w:pPr>
            <w:r w:rsidRPr="00875D00">
              <w:rPr>
                <w:b/>
                <w:bCs/>
                <w:color w:val="000000"/>
                <w:sz w:val="16"/>
                <w:szCs w:val="16"/>
                <w:lang w:eastAsia="en-US"/>
              </w:rPr>
              <w:t>-1.7%</w:t>
            </w:r>
          </w:p>
        </w:tc>
        <w:tc>
          <w:tcPr>
            <w:tcW w:w="1231" w:type="dxa"/>
            <w:tcBorders>
              <w:top w:val="nil"/>
              <w:left w:val="nil"/>
              <w:bottom w:val="single" w:sz="8" w:space="0" w:color="auto"/>
              <w:right w:val="single" w:sz="8" w:space="0" w:color="auto"/>
            </w:tcBorders>
            <w:shd w:val="clear" w:color="000000" w:fill="FFFFFF"/>
            <w:noWrap/>
            <w:vAlign w:val="center"/>
          </w:tcPr>
          <w:p w14:paraId="273F7007" w14:textId="77777777" w:rsidR="008F755E" w:rsidRPr="00875D00" w:rsidRDefault="008F755E" w:rsidP="008F755E">
            <w:pPr>
              <w:jc w:val="center"/>
              <w:rPr>
                <w:b/>
                <w:bCs/>
                <w:color w:val="000000"/>
                <w:sz w:val="16"/>
                <w:szCs w:val="16"/>
              </w:rPr>
            </w:pPr>
            <w:r w:rsidRPr="00875D00">
              <w:rPr>
                <w:b/>
                <w:bCs/>
                <w:color w:val="000000"/>
                <w:sz w:val="16"/>
                <w:szCs w:val="16"/>
                <w:lang w:eastAsia="en-US"/>
              </w:rPr>
              <w:t>-2.6%</w:t>
            </w:r>
          </w:p>
        </w:tc>
        <w:tc>
          <w:tcPr>
            <w:tcW w:w="1231" w:type="dxa"/>
            <w:tcBorders>
              <w:top w:val="nil"/>
              <w:left w:val="nil"/>
              <w:bottom w:val="single" w:sz="8" w:space="0" w:color="auto"/>
              <w:right w:val="single" w:sz="8" w:space="0" w:color="auto"/>
            </w:tcBorders>
            <w:shd w:val="clear" w:color="000000" w:fill="FFFFFF"/>
            <w:noWrap/>
            <w:vAlign w:val="center"/>
          </w:tcPr>
          <w:p w14:paraId="47B98A18" w14:textId="77777777" w:rsidR="008F755E" w:rsidRPr="00875D00" w:rsidRDefault="008F755E" w:rsidP="008F755E">
            <w:pPr>
              <w:jc w:val="center"/>
              <w:rPr>
                <w:b/>
                <w:bCs/>
                <w:color w:val="000000"/>
                <w:sz w:val="16"/>
                <w:szCs w:val="16"/>
              </w:rPr>
            </w:pPr>
            <w:r w:rsidRPr="00875D00">
              <w:rPr>
                <w:b/>
                <w:bCs/>
                <w:color w:val="000000"/>
                <w:sz w:val="16"/>
                <w:szCs w:val="16"/>
                <w:lang w:eastAsia="en-US"/>
              </w:rPr>
              <w:t>-0.2%</w:t>
            </w:r>
          </w:p>
        </w:tc>
        <w:tc>
          <w:tcPr>
            <w:tcW w:w="173" w:type="dxa"/>
            <w:vAlign w:val="center"/>
            <w:hideMark/>
          </w:tcPr>
          <w:p w14:paraId="33F3947C" w14:textId="77777777" w:rsidR="008F755E" w:rsidRPr="008F755E" w:rsidRDefault="008F755E" w:rsidP="008F755E">
            <w:pPr>
              <w:rPr>
                <w:sz w:val="20"/>
                <w:szCs w:val="20"/>
              </w:rPr>
            </w:pPr>
          </w:p>
        </w:tc>
      </w:tr>
    </w:tbl>
    <w:p w14:paraId="282C5A43" w14:textId="77777777" w:rsidR="008F755E" w:rsidRPr="008F755E" w:rsidRDefault="008F755E" w:rsidP="008F755E">
      <w:pPr>
        <w:ind w:left="709"/>
        <w:jc w:val="both"/>
        <w:rPr>
          <w:sz w:val="16"/>
          <w:szCs w:val="22"/>
          <w:lang w:eastAsia="en-US"/>
        </w:rPr>
      </w:pPr>
      <w:r w:rsidRPr="008F755E">
        <w:rPr>
          <w:sz w:val="16"/>
          <w:szCs w:val="22"/>
          <w:lang w:eastAsia="en-US"/>
        </w:rPr>
        <w:t>*Preliminares</w:t>
      </w:r>
    </w:p>
    <w:p w14:paraId="7C118F37" w14:textId="47B216A6" w:rsidR="008F755E" w:rsidRDefault="008F755E" w:rsidP="00CB0BEF">
      <w:pPr>
        <w:ind w:left="709"/>
        <w:jc w:val="both"/>
        <w:rPr>
          <w:sz w:val="16"/>
          <w:szCs w:val="22"/>
          <w:lang w:eastAsia="en-US"/>
        </w:rPr>
      </w:pPr>
      <w:r w:rsidRPr="008F755E">
        <w:rPr>
          <w:sz w:val="16"/>
          <w:szCs w:val="22"/>
          <w:lang w:eastAsia="en-US"/>
        </w:rPr>
        <w:t>Fuente: Dirección de Análisis y Política Fiscal</w:t>
      </w:r>
    </w:p>
    <w:p w14:paraId="161BAC62" w14:textId="77777777" w:rsidR="00875D00" w:rsidRPr="00875D00" w:rsidRDefault="00875D00" w:rsidP="00CB0BEF">
      <w:pPr>
        <w:ind w:left="709"/>
        <w:jc w:val="both"/>
        <w:rPr>
          <w:szCs w:val="36"/>
          <w:lang w:eastAsia="en-US"/>
        </w:rPr>
      </w:pPr>
    </w:p>
    <w:p w14:paraId="07E1F9F6" w14:textId="64DF4AB8" w:rsidR="00D16EA3" w:rsidRPr="002259C8" w:rsidRDefault="00D16EA3" w:rsidP="00531A1B">
      <w:pPr>
        <w:pStyle w:val="Prrafodelista"/>
        <w:numPr>
          <w:ilvl w:val="0"/>
          <w:numId w:val="3"/>
        </w:numPr>
        <w:jc w:val="both"/>
        <w:outlineLvl w:val="0"/>
        <w:rPr>
          <w:b/>
          <w:bCs/>
        </w:rPr>
      </w:pPr>
      <w:bookmarkStart w:id="150" w:name="_Toc143865830"/>
      <w:r w:rsidRPr="002259C8">
        <w:rPr>
          <w:b/>
          <w:bCs/>
        </w:rPr>
        <w:t xml:space="preserve">Metas establecidas en el </w:t>
      </w:r>
      <w:r w:rsidR="00D31CC8">
        <w:rPr>
          <w:b/>
          <w:bCs/>
        </w:rPr>
        <w:t>m</w:t>
      </w:r>
      <w:r w:rsidRPr="002259C8">
        <w:rPr>
          <w:b/>
          <w:bCs/>
        </w:rPr>
        <w:t xml:space="preserve">arco </w:t>
      </w:r>
      <w:r w:rsidR="00D31CC8">
        <w:rPr>
          <w:b/>
          <w:bCs/>
        </w:rPr>
        <w:t>f</w:t>
      </w:r>
      <w:r w:rsidRPr="002259C8">
        <w:rPr>
          <w:b/>
          <w:bCs/>
        </w:rPr>
        <w:t xml:space="preserve">iscal de </w:t>
      </w:r>
      <w:r w:rsidR="00D31CC8">
        <w:rPr>
          <w:b/>
          <w:bCs/>
        </w:rPr>
        <w:t>m</w:t>
      </w:r>
      <w:r w:rsidRPr="002259C8">
        <w:rPr>
          <w:b/>
          <w:bCs/>
        </w:rPr>
        <w:t xml:space="preserve">ediano </w:t>
      </w:r>
      <w:r w:rsidR="00D31CC8">
        <w:rPr>
          <w:b/>
          <w:bCs/>
        </w:rPr>
        <w:t>p</w:t>
      </w:r>
      <w:r w:rsidRPr="002259C8">
        <w:rPr>
          <w:b/>
          <w:bCs/>
        </w:rPr>
        <w:t>lazo 2022-2026</w:t>
      </w:r>
      <w:bookmarkEnd w:id="150"/>
    </w:p>
    <w:p w14:paraId="23D00125" w14:textId="3636D51A" w:rsidR="00D16EA3" w:rsidRDefault="00D16EA3" w:rsidP="00D16EA3">
      <w:pPr>
        <w:jc w:val="both"/>
        <w:rPr>
          <w:lang w:val="es-ES_tradnl"/>
        </w:rPr>
      </w:pPr>
    </w:p>
    <w:p w14:paraId="2103FA0C" w14:textId="3468F527" w:rsidR="00F9619D" w:rsidRPr="00F9619D" w:rsidRDefault="00F9619D" w:rsidP="00F9619D">
      <w:pPr>
        <w:jc w:val="both"/>
        <w:rPr>
          <w:lang w:val="es-ES_tradnl"/>
        </w:rPr>
      </w:pPr>
      <w:r w:rsidRPr="00F9619D">
        <w:rPr>
          <w:lang w:val="es-ES_tradnl"/>
        </w:rPr>
        <w:t xml:space="preserve">En 2021 se elaboró el Marco Fiscal de Mediano Plazo 2022-2026, siendo una herramienta de apoyo para el análisis de las principales variables asociadas a la política fiscal para un período multianual de cinco años (2022-2026). </w:t>
      </w:r>
    </w:p>
    <w:p w14:paraId="309C52E3" w14:textId="77777777" w:rsidR="00F9619D" w:rsidRPr="00F9619D" w:rsidRDefault="00F9619D" w:rsidP="00F9619D">
      <w:pPr>
        <w:jc w:val="both"/>
        <w:rPr>
          <w:lang w:val="es-ES_tradnl"/>
        </w:rPr>
      </w:pPr>
    </w:p>
    <w:p w14:paraId="78248E9A" w14:textId="77777777" w:rsidR="00F9619D" w:rsidRPr="00F9619D" w:rsidRDefault="00F9619D" w:rsidP="00F9619D">
      <w:pPr>
        <w:jc w:val="both"/>
        <w:rPr>
          <w:lang w:val="es-ES_tradnl"/>
        </w:rPr>
      </w:pPr>
      <w:r w:rsidRPr="00F9619D">
        <w:rPr>
          <w:lang w:val="es-ES_tradnl"/>
        </w:rPr>
        <w:t xml:space="preserve">El objetivo fijado para la política fiscal en Guatemala es que sea más predecible, menos discrecional, con mayor transparencia, planificación y coordinación entre las instituciones, siendo un instrumento para aumentar el bienestar de la población.  </w:t>
      </w:r>
    </w:p>
    <w:p w14:paraId="12B867B2" w14:textId="77777777" w:rsidR="00F9619D" w:rsidRPr="00F9619D" w:rsidRDefault="00F9619D" w:rsidP="00F9619D">
      <w:pPr>
        <w:jc w:val="both"/>
        <w:rPr>
          <w:lang w:val="es-ES_tradnl"/>
        </w:rPr>
      </w:pPr>
      <w:r w:rsidRPr="00F9619D">
        <w:rPr>
          <w:lang w:val="es-ES_tradnl"/>
        </w:rPr>
        <w:t>En ese sentido, se fijaron metas de política fiscal para el período 2022-2026, para los indicadores fiscales más relevantes, siendo estos:</w:t>
      </w:r>
    </w:p>
    <w:p w14:paraId="476EDF72" w14:textId="77777777" w:rsidR="00F9619D" w:rsidRPr="00F9619D" w:rsidRDefault="00F9619D" w:rsidP="00F9619D">
      <w:pPr>
        <w:jc w:val="both"/>
        <w:rPr>
          <w:lang w:val="es-ES_tradnl"/>
        </w:rPr>
      </w:pPr>
    </w:p>
    <w:p w14:paraId="037EF2B5" w14:textId="6FF2D064" w:rsidR="00F9619D" w:rsidRDefault="00F9619D" w:rsidP="00875D00">
      <w:pPr>
        <w:pStyle w:val="Prrafodelista"/>
        <w:numPr>
          <w:ilvl w:val="0"/>
          <w:numId w:val="58"/>
        </w:numPr>
        <w:ind w:left="567"/>
        <w:jc w:val="both"/>
        <w:rPr>
          <w:lang w:val="es-ES_tradnl"/>
        </w:rPr>
      </w:pPr>
      <w:r w:rsidRPr="00F9619D">
        <w:rPr>
          <w:lang w:val="es-ES_tradnl"/>
        </w:rPr>
        <w:t>En la carga tributaria se busca un aumento sostenido de la recaudación tributaria, principalmente con acciones administrativas por parte de la administración tributaria en el combate a la evasión tributaria y el contrabando, mejorando el cumplimiento tributario.</w:t>
      </w:r>
    </w:p>
    <w:p w14:paraId="3831B883" w14:textId="008DFA9C" w:rsidR="00F9619D" w:rsidRDefault="00F9619D" w:rsidP="00875D00">
      <w:pPr>
        <w:pStyle w:val="Prrafodelista"/>
        <w:numPr>
          <w:ilvl w:val="0"/>
          <w:numId w:val="58"/>
        </w:numPr>
        <w:ind w:left="567"/>
        <w:jc w:val="both"/>
        <w:rPr>
          <w:lang w:val="es-ES_tradnl"/>
        </w:rPr>
      </w:pPr>
      <w:r w:rsidRPr="00F9619D">
        <w:rPr>
          <w:lang w:val="es-ES_tradnl"/>
        </w:rPr>
        <w:t>Mejorar la eficiencia y calidad del gasto público, avanzando en la formulación y ejecución de presupuestos basados en resultados, siguiendo las guías de planificación nacional para el efecto, siendo principalmente el Plan Nacional de Desarrollo K’atun  Nuestra Guatemala</w:t>
      </w:r>
      <w:r w:rsidR="00D74A14">
        <w:rPr>
          <w:lang w:val="es-ES_tradnl"/>
        </w:rPr>
        <w:t xml:space="preserve"> 2032</w:t>
      </w:r>
      <w:r w:rsidRPr="00F9619D">
        <w:rPr>
          <w:lang w:val="es-ES_tradnl"/>
        </w:rPr>
        <w:t>.</w:t>
      </w:r>
    </w:p>
    <w:p w14:paraId="66803A40" w14:textId="11C91DB3" w:rsidR="00F9619D" w:rsidRDefault="00F9619D" w:rsidP="00875D00">
      <w:pPr>
        <w:pStyle w:val="Prrafodelista"/>
        <w:numPr>
          <w:ilvl w:val="0"/>
          <w:numId w:val="58"/>
        </w:numPr>
        <w:ind w:left="567"/>
        <w:jc w:val="both"/>
        <w:rPr>
          <w:lang w:val="es-ES_tradnl"/>
        </w:rPr>
      </w:pPr>
      <w:r w:rsidRPr="00F9619D">
        <w:rPr>
          <w:lang w:val="es-ES_tradnl"/>
        </w:rPr>
        <w:t>Deben mejorar las intervenciones en materia de gasto social reconociendo que Guatemala tiene grandes necesidades en los sectores de salud, educación, vivienda, seguridad y justicia.</w:t>
      </w:r>
    </w:p>
    <w:p w14:paraId="6047A016" w14:textId="3C184D99" w:rsidR="00F9619D" w:rsidRDefault="00F9619D" w:rsidP="00875D00">
      <w:pPr>
        <w:pStyle w:val="Prrafodelista"/>
        <w:numPr>
          <w:ilvl w:val="0"/>
          <w:numId w:val="58"/>
        </w:numPr>
        <w:ind w:left="567"/>
        <w:jc w:val="both"/>
        <w:rPr>
          <w:lang w:val="es-ES_tradnl"/>
        </w:rPr>
      </w:pPr>
      <w:r w:rsidRPr="00F9619D">
        <w:rPr>
          <w:lang w:val="es-ES_tradnl"/>
        </w:rPr>
        <w:t>Se debe buscar un crecimiento sostenido de la inversión pública, principalmente obras de infraestructura vial y productiva por el efecto multiplicador que tienen en el crecimiento económico y la generación de empleos.</w:t>
      </w:r>
    </w:p>
    <w:p w14:paraId="709A151E" w14:textId="4816DD72" w:rsidR="00D16EA3" w:rsidRDefault="00F9619D" w:rsidP="00875D00">
      <w:pPr>
        <w:pStyle w:val="Prrafodelista"/>
        <w:numPr>
          <w:ilvl w:val="0"/>
          <w:numId w:val="58"/>
        </w:numPr>
        <w:ind w:left="567"/>
        <w:jc w:val="both"/>
        <w:rPr>
          <w:lang w:val="es-ES_tradnl"/>
        </w:rPr>
      </w:pPr>
      <w:r w:rsidRPr="00F9619D">
        <w:rPr>
          <w:lang w:val="es-ES_tradnl"/>
        </w:rPr>
        <w:t>Garantizar déficits razonables en línea con un manejo prudente de las finanzas públicas, que al mismo tiempo garanticen la sostenibilidad de la deuda pública en el mediano plazo, coadyuvando a la estabilidad macroeconómica y al desarrollo económico y social.</w:t>
      </w:r>
    </w:p>
    <w:p w14:paraId="303A3854" w14:textId="301116C0" w:rsidR="00F9619D" w:rsidRDefault="00F9619D" w:rsidP="00F9619D">
      <w:pPr>
        <w:jc w:val="both"/>
        <w:rPr>
          <w:lang w:val="es-ES_tradnl"/>
        </w:rPr>
      </w:pPr>
    </w:p>
    <w:p w14:paraId="6C4175BB" w14:textId="25631F34" w:rsidR="00F9619D" w:rsidRPr="008A39B4" w:rsidRDefault="008A39B4" w:rsidP="008A39B4">
      <w:pPr>
        <w:pStyle w:val="Descripcin"/>
        <w:keepNext/>
        <w:spacing w:after="0"/>
        <w:jc w:val="center"/>
        <w:rPr>
          <w:b/>
          <w:bCs/>
          <w:i w:val="0"/>
          <w:iCs w:val="0"/>
          <w:color w:val="auto"/>
          <w:sz w:val="24"/>
          <w:szCs w:val="24"/>
        </w:rPr>
      </w:pPr>
      <w:bookmarkStart w:id="151" w:name="_Toc125534814"/>
      <w:bookmarkStart w:id="152" w:name="_Toc143871220"/>
      <w:r w:rsidRPr="008A39B4">
        <w:rPr>
          <w:b/>
          <w:bCs/>
          <w:i w:val="0"/>
          <w:iCs w:val="0"/>
          <w:color w:val="auto"/>
          <w:sz w:val="24"/>
          <w:szCs w:val="24"/>
        </w:rPr>
        <w:t xml:space="preserve">Tabla </w:t>
      </w:r>
      <w:r w:rsidRPr="008A39B4">
        <w:rPr>
          <w:b/>
          <w:bCs/>
          <w:i w:val="0"/>
          <w:iCs w:val="0"/>
          <w:color w:val="auto"/>
          <w:sz w:val="24"/>
          <w:szCs w:val="24"/>
        </w:rPr>
        <w:fldChar w:fldCharType="begin"/>
      </w:r>
      <w:r w:rsidRPr="008A39B4">
        <w:rPr>
          <w:b/>
          <w:bCs/>
          <w:i w:val="0"/>
          <w:iCs w:val="0"/>
          <w:color w:val="auto"/>
          <w:sz w:val="24"/>
          <w:szCs w:val="24"/>
        </w:rPr>
        <w:instrText xml:space="preserve"> SEQ Tabla \* ARABIC </w:instrText>
      </w:r>
      <w:r w:rsidRPr="008A39B4">
        <w:rPr>
          <w:b/>
          <w:bCs/>
          <w:i w:val="0"/>
          <w:iCs w:val="0"/>
          <w:color w:val="auto"/>
          <w:sz w:val="24"/>
          <w:szCs w:val="24"/>
        </w:rPr>
        <w:fldChar w:fldCharType="separate"/>
      </w:r>
      <w:r w:rsidR="006622B2">
        <w:rPr>
          <w:b/>
          <w:bCs/>
          <w:i w:val="0"/>
          <w:iCs w:val="0"/>
          <w:noProof/>
          <w:color w:val="auto"/>
          <w:sz w:val="24"/>
          <w:szCs w:val="24"/>
        </w:rPr>
        <w:t>13</w:t>
      </w:r>
      <w:r w:rsidRPr="008A39B4">
        <w:rPr>
          <w:b/>
          <w:bCs/>
          <w:i w:val="0"/>
          <w:iCs w:val="0"/>
          <w:color w:val="auto"/>
          <w:sz w:val="24"/>
          <w:szCs w:val="24"/>
        </w:rPr>
        <w:fldChar w:fldCharType="end"/>
      </w:r>
      <w:r w:rsidRPr="008A39B4">
        <w:rPr>
          <w:b/>
          <w:bCs/>
          <w:i w:val="0"/>
          <w:iCs w:val="0"/>
          <w:color w:val="auto"/>
          <w:sz w:val="24"/>
          <w:szCs w:val="24"/>
        </w:rPr>
        <w:t xml:space="preserve">.  </w:t>
      </w:r>
      <w:r w:rsidR="00F9619D" w:rsidRPr="008A39B4">
        <w:rPr>
          <w:b/>
          <w:bCs/>
          <w:i w:val="0"/>
          <w:iCs w:val="0"/>
          <w:color w:val="auto"/>
          <w:sz w:val="24"/>
          <w:szCs w:val="24"/>
        </w:rPr>
        <w:t xml:space="preserve">Metas de </w:t>
      </w:r>
      <w:r w:rsidR="00D31CC8">
        <w:rPr>
          <w:b/>
          <w:bCs/>
          <w:i w:val="0"/>
          <w:iCs w:val="0"/>
          <w:color w:val="auto"/>
          <w:sz w:val="24"/>
          <w:szCs w:val="24"/>
        </w:rPr>
        <w:t>p</w:t>
      </w:r>
      <w:r w:rsidR="00F9619D" w:rsidRPr="008A39B4">
        <w:rPr>
          <w:b/>
          <w:bCs/>
          <w:i w:val="0"/>
          <w:iCs w:val="0"/>
          <w:color w:val="auto"/>
          <w:sz w:val="24"/>
          <w:szCs w:val="24"/>
        </w:rPr>
        <w:t xml:space="preserve">olítica </w:t>
      </w:r>
      <w:r w:rsidR="00D31CC8">
        <w:rPr>
          <w:b/>
          <w:bCs/>
          <w:i w:val="0"/>
          <w:iCs w:val="0"/>
          <w:color w:val="auto"/>
          <w:sz w:val="24"/>
          <w:szCs w:val="24"/>
        </w:rPr>
        <w:t>f</w:t>
      </w:r>
      <w:r w:rsidR="00F9619D" w:rsidRPr="008A39B4">
        <w:rPr>
          <w:b/>
          <w:bCs/>
          <w:i w:val="0"/>
          <w:iCs w:val="0"/>
          <w:color w:val="auto"/>
          <w:sz w:val="24"/>
          <w:szCs w:val="24"/>
        </w:rPr>
        <w:t>iscal para el período 2022-2026</w:t>
      </w:r>
      <w:bookmarkEnd w:id="151"/>
      <w:bookmarkEnd w:id="152"/>
    </w:p>
    <w:tbl>
      <w:tblPr>
        <w:tblW w:w="8523" w:type="dxa"/>
        <w:jc w:val="center"/>
        <w:tblCellMar>
          <w:left w:w="70" w:type="dxa"/>
          <w:right w:w="70" w:type="dxa"/>
        </w:tblCellMar>
        <w:tblLook w:val="04A0" w:firstRow="1" w:lastRow="0" w:firstColumn="1" w:lastColumn="0" w:noHBand="0" w:noVBand="1"/>
      </w:tblPr>
      <w:tblGrid>
        <w:gridCol w:w="6947"/>
        <w:gridCol w:w="709"/>
        <w:gridCol w:w="867"/>
      </w:tblGrid>
      <w:tr w:rsidR="00F9619D" w:rsidRPr="004A66F0" w14:paraId="1B302E0B" w14:textId="77777777" w:rsidTr="002259C8">
        <w:trPr>
          <w:trHeight w:val="470"/>
          <w:jc w:val="center"/>
        </w:trPr>
        <w:tc>
          <w:tcPr>
            <w:tcW w:w="6947" w:type="dxa"/>
            <w:tcBorders>
              <w:top w:val="single" w:sz="8" w:space="0" w:color="auto"/>
              <w:left w:val="single" w:sz="8" w:space="0" w:color="auto"/>
              <w:bottom w:val="single" w:sz="8" w:space="0" w:color="auto"/>
              <w:right w:val="single" w:sz="4" w:space="0" w:color="auto"/>
            </w:tcBorders>
            <w:shd w:val="clear" w:color="000000" w:fill="1F4E78"/>
            <w:noWrap/>
            <w:vAlign w:val="center"/>
            <w:hideMark/>
          </w:tcPr>
          <w:p w14:paraId="264E686B" w14:textId="77777777" w:rsidR="00F9619D" w:rsidRPr="004A66F0" w:rsidRDefault="00F9619D" w:rsidP="00582CA7">
            <w:pPr>
              <w:spacing w:line="276" w:lineRule="auto"/>
              <w:contextualSpacing/>
              <w:jc w:val="center"/>
              <w:rPr>
                <w:b/>
                <w:bCs/>
                <w:color w:val="FFFFFF"/>
                <w:sz w:val="20"/>
                <w:szCs w:val="20"/>
              </w:rPr>
            </w:pPr>
            <w:r w:rsidRPr="004A66F0">
              <w:rPr>
                <w:b/>
                <w:bCs/>
                <w:color w:val="FFFFFF"/>
                <w:sz w:val="20"/>
                <w:szCs w:val="20"/>
              </w:rPr>
              <w:t>Meta fijada en el Marco Fiscal de Mediano Plazo</w:t>
            </w:r>
          </w:p>
        </w:tc>
        <w:tc>
          <w:tcPr>
            <w:tcW w:w="709" w:type="dxa"/>
            <w:tcBorders>
              <w:top w:val="single" w:sz="8" w:space="0" w:color="auto"/>
              <w:left w:val="nil"/>
              <w:bottom w:val="single" w:sz="8" w:space="0" w:color="auto"/>
              <w:right w:val="single" w:sz="4" w:space="0" w:color="auto"/>
            </w:tcBorders>
            <w:shd w:val="clear" w:color="000000" w:fill="1F4E78"/>
            <w:noWrap/>
            <w:vAlign w:val="center"/>
            <w:hideMark/>
          </w:tcPr>
          <w:p w14:paraId="2908907D" w14:textId="77777777" w:rsidR="00F9619D" w:rsidRPr="004A66F0" w:rsidRDefault="00F9619D" w:rsidP="00582CA7">
            <w:pPr>
              <w:spacing w:line="276" w:lineRule="auto"/>
              <w:contextualSpacing/>
              <w:jc w:val="center"/>
              <w:rPr>
                <w:b/>
                <w:bCs/>
                <w:color w:val="FFFFFF"/>
                <w:sz w:val="20"/>
                <w:szCs w:val="20"/>
              </w:rPr>
            </w:pPr>
            <w:r w:rsidRPr="004A66F0">
              <w:rPr>
                <w:b/>
                <w:bCs/>
                <w:color w:val="FFFFFF"/>
                <w:sz w:val="20"/>
                <w:szCs w:val="20"/>
              </w:rPr>
              <w:t>2022</w:t>
            </w:r>
          </w:p>
        </w:tc>
        <w:tc>
          <w:tcPr>
            <w:tcW w:w="867" w:type="dxa"/>
            <w:tcBorders>
              <w:top w:val="single" w:sz="8" w:space="0" w:color="auto"/>
              <w:left w:val="nil"/>
              <w:bottom w:val="single" w:sz="8" w:space="0" w:color="auto"/>
              <w:right w:val="single" w:sz="8" w:space="0" w:color="auto"/>
            </w:tcBorders>
            <w:shd w:val="clear" w:color="000000" w:fill="1F4E78"/>
            <w:vAlign w:val="center"/>
            <w:hideMark/>
          </w:tcPr>
          <w:p w14:paraId="489BC70E" w14:textId="77777777" w:rsidR="00F9619D" w:rsidRPr="004A66F0" w:rsidRDefault="00F9619D" w:rsidP="00582CA7">
            <w:pPr>
              <w:spacing w:line="276" w:lineRule="auto"/>
              <w:contextualSpacing/>
              <w:jc w:val="center"/>
              <w:rPr>
                <w:b/>
                <w:bCs/>
                <w:color w:val="FFFFFF"/>
                <w:sz w:val="20"/>
                <w:szCs w:val="20"/>
              </w:rPr>
            </w:pPr>
            <w:r w:rsidRPr="004A66F0">
              <w:rPr>
                <w:b/>
                <w:bCs/>
                <w:color w:val="FFFFFF"/>
                <w:sz w:val="20"/>
                <w:szCs w:val="20"/>
              </w:rPr>
              <w:t>Estado</w:t>
            </w:r>
          </w:p>
        </w:tc>
      </w:tr>
      <w:tr w:rsidR="00F9619D" w:rsidRPr="004A66F0" w14:paraId="2A8EDDF6" w14:textId="77777777" w:rsidTr="00875D00">
        <w:trPr>
          <w:trHeight w:val="85"/>
          <w:jc w:val="center"/>
        </w:trPr>
        <w:tc>
          <w:tcPr>
            <w:tcW w:w="6947" w:type="dxa"/>
            <w:tcBorders>
              <w:top w:val="nil"/>
              <w:left w:val="single" w:sz="8" w:space="0" w:color="auto"/>
              <w:bottom w:val="single" w:sz="4" w:space="0" w:color="auto"/>
              <w:right w:val="single" w:sz="4" w:space="0" w:color="auto"/>
            </w:tcBorders>
            <w:vAlign w:val="center"/>
            <w:hideMark/>
          </w:tcPr>
          <w:p w14:paraId="22631A30" w14:textId="77777777" w:rsidR="00F9619D" w:rsidRPr="002259C8" w:rsidRDefault="00F9619D" w:rsidP="00582CA7">
            <w:pPr>
              <w:spacing w:line="276" w:lineRule="auto"/>
              <w:contextualSpacing/>
              <w:rPr>
                <w:sz w:val="18"/>
                <w:szCs w:val="18"/>
              </w:rPr>
            </w:pPr>
            <w:r w:rsidRPr="002259C8">
              <w:rPr>
                <w:sz w:val="18"/>
                <w:szCs w:val="18"/>
              </w:rPr>
              <w:t xml:space="preserve">Alcanzar una carga tributaria de al menos 11.0% para 2026 </w:t>
            </w:r>
          </w:p>
        </w:tc>
        <w:tc>
          <w:tcPr>
            <w:tcW w:w="709" w:type="dxa"/>
            <w:tcBorders>
              <w:top w:val="nil"/>
              <w:left w:val="nil"/>
              <w:bottom w:val="single" w:sz="4" w:space="0" w:color="auto"/>
              <w:right w:val="single" w:sz="4" w:space="0" w:color="auto"/>
            </w:tcBorders>
            <w:noWrap/>
            <w:vAlign w:val="center"/>
            <w:hideMark/>
          </w:tcPr>
          <w:p w14:paraId="4EF07422" w14:textId="77777777" w:rsidR="00F9619D" w:rsidRPr="002259C8" w:rsidRDefault="00F9619D" w:rsidP="00582CA7">
            <w:pPr>
              <w:spacing w:line="276" w:lineRule="auto"/>
              <w:contextualSpacing/>
              <w:jc w:val="center"/>
              <w:rPr>
                <w:sz w:val="18"/>
                <w:szCs w:val="18"/>
              </w:rPr>
            </w:pPr>
            <w:r w:rsidRPr="002259C8">
              <w:rPr>
                <w:sz w:val="18"/>
                <w:szCs w:val="18"/>
              </w:rPr>
              <w:t>12.0%</w:t>
            </w:r>
          </w:p>
        </w:tc>
        <w:tc>
          <w:tcPr>
            <w:tcW w:w="867" w:type="dxa"/>
            <w:tcBorders>
              <w:top w:val="nil"/>
              <w:left w:val="nil"/>
              <w:bottom w:val="single" w:sz="4" w:space="0" w:color="auto"/>
              <w:right w:val="single" w:sz="8" w:space="0" w:color="auto"/>
            </w:tcBorders>
            <w:noWrap/>
            <w:vAlign w:val="center"/>
            <w:hideMark/>
          </w:tcPr>
          <w:p w14:paraId="79A42E3D" w14:textId="77777777" w:rsidR="00F9619D" w:rsidRPr="002259C8" w:rsidRDefault="00F9619D" w:rsidP="00582CA7">
            <w:pPr>
              <w:spacing w:line="276" w:lineRule="auto"/>
              <w:contextualSpacing/>
              <w:jc w:val="center"/>
              <w:rPr>
                <w:b/>
                <w:bCs/>
                <w:color w:val="00B0F0"/>
                <w:sz w:val="16"/>
                <w:szCs w:val="16"/>
              </w:rPr>
            </w:pPr>
            <w:r w:rsidRPr="002259C8">
              <w:rPr>
                <w:b/>
                <w:bCs/>
                <w:color w:val="00B0F0"/>
                <w:sz w:val="16"/>
                <w:szCs w:val="16"/>
              </w:rPr>
              <w:t>Cumplido</w:t>
            </w:r>
          </w:p>
        </w:tc>
      </w:tr>
      <w:tr w:rsidR="00F9619D" w:rsidRPr="004A66F0" w14:paraId="4C64B18A" w14:textId="77777777" w:rsidTr="002259C8">
        <w:trPr>
          <w:trHeight w:val="268"/>
          <w:jc w:val="center"/>
        </w:trPr>
        <w:tc>
          <w:tcPr>
            <w:tcW w:w="6947" w:type="dxa"/>
            <w:tcBorders>
              <w:top w:val="single" w:sz="4" w:space="0" w:color="auto"/>
              <w:left w:val="single" w:sz="8" w:space="0" w:color="auto"/>
              <w:bottom w:val="single" w:sz="4" w:space="0" w:color="auto"/>
              <w:right w:val="single" w:sz="4" w:space="0" w:color="auto"/>
            </w:tcBorders>
            <w:vAlign w:val="center"/>
            <w:hideMark/>
          </w:tcPr>
          <w:p w14:paraId="45E5ED53" w14:textId="77777777" w:rsidR="00F9619D" w:rsidRPr="002259C8" w:rsidRDefault="00F9619D" w:rsidP="00582CA7">
            <w:pPr>
              <w:spacing w:line="276" w:lineRule="auto"/>
              <w:contextualSpacing/>
              <w:rPr>
                <w:sz w:val="18"/>
                <w:szCs w:val="18"/>
              </w:rPr>
            </w:pPr>
            <w:r w:rsidRPr="002259C8">
              <w:rPr>
                <w:sz w:val="18"/>
                <w:szCs w:val="18"/>
              </w:rPr>
              <w:t>El gasto total se sitúe en promedio en no menos del 13.8% del PIB</w:t>
            </w:r>
          </w:p>
        </w:tc>
        <w:tc>
          <w:tcPr>
            <w:tcW w:w="709" w:type="dxa"/>
            <w:tcBorders>
              <w:top w:val="single" w:sz="4" w:space="0" w:color="auto"/>
              <w:left w:val="nil"/>
              <w:bottom w:val="single" w:sz="4" w:space="0" w:color="auto"/>
              <w:right w:val="single" w:sz="4" w:space="0" w:color="auto"/>
            </w:tcBorders>
            <w:noWrap/>
            <w:vAlign w:val="center"/>
            <w:hideMark/>
          </w:tcPr>
          <w:p w14:paraId="20CE6385" w14:textId="77777777" w:rsidR="00F9619D" w:rsidRPr="002259C8" w:rsidRDefault="00F9619D" w:rsidP="00582CA7">
            <w:pPr>
              <w:spacing w:line="276" w:lineRule="auto"/>
              <w:contextualSpacing/>
              <w:jc w:val="center"/>
              <w:rPr>
                <w:sz w:val="18"/>
                <w:szCs w:val="18"/>
              </w:rPr>
            </w:pPr>
            <w:r w:rsidRPr="002259C8">
              <w:rPr>
                <w:sz w:val="18"/>
                <w:szCs w:val="18"/>
              </w:rPr>
              <w:t>14.8%</w:t>
            </w:r>
          </w:p>
        </w:tc>
        <w:tc>
          <w:tcPr>
            <w:tcW w:w="867" w:type="dxa"/>
            <w:tcBorders>
              <w:top w:val="single" w:sz="4" w:space="0" w:color="auto"/>
              <w:left w:val="nil"/>
              <w:bottom w:val="single" w:sz="4" w:space="0" w:color="auto"/>
              <w:right w:val="single" w:sz="8" w:space="0" w:color="auto"/>
            </w:tcBorders>
            <w:noWrap/>
            <w:vAlign w:val="center"/>
            <w:hideMark/>
          </w:tcPr>
          <w:p w14:paraId="28CC9B0B" w14:textId="77777777" w:rsidR="00F9619D" w:rsidRPr="002259C8" w:rsidRDefault="00F9619D" w:rsidP="00582CA7">
            <w:pPr>
              <w:spacing w:line="276" w:lineRule="auto"/>
              <w:contextualSpacing/>
              <w:jc w:val="center"/>
              <w:rPr>
                <w:b/>
                <w:bCs/>
                <w:color w:val="00B0F0"/>
                <w:sz w:val="16"/>
                <w:szCs w:val="16"/>
              </w:rPr>
            </w:pPr>
            <w:r w:rsidRPr="002259C8">
              <w:rPr>
                <w:b/>
                <w:bCs/>
                <w:color w:val="00B0F0"/>
                <w:sz w:val="16"/>
                <w:szCs w:val="16"/>
              </w:rPr>
              <w:t>Cumplido</w:t>
            </w:r>
          </w:p>
        </w:tc>
      </w:tr>
      <w:tr w:rsidR="00F9619D" w:rsidRPr="004A66F0" w14:paraId="43F05422" w14:textId="77777777" w:rsidTr="002259C8">
        <w:trPr>
          <w:trHeight w:val="145"/>
          <w:jc w:val="center"/>
        </w:trPr>
        <w:tc>
          <w:tcPr>
            <w:tcW w:w="6947" w:type="dxa"/>
            <w:tcBorders>
              <w:top w:val="single" w:sz="4" w:space="0" w:color="auto"/>
              <w:left w:val="single" w:sz="8" w:space="0" w:color="auto"/>
              <w:bottom w:val="single" w:sz="4" w:space="0" w:color="auto"/>
              <w:right w:val="single" w:sz="4" w:space="0" w:color="auto"/>
            </w:tcBorders>
            <w:vAlign w:val="center"/>
            <w:hideMark/>
          </w:tcPr>
          <w:p w14:paraId="4DFBCBFB" w14:textId="77777777" w:rsidR="00F9619D" w:rsidRPr="002259C8" w:rsidRDefault="00F9619D" w:rsidP="00582CA7">
            <w:pPr>
              <w:spacing w:line="276" w:lineRule="auto"/>
              <w:contextualSpacing/>
              <w:rPr>
                <w:sz w:val="18"/>
                <w:szCs w:val="18"/>
              </w:rPr>
            </w:pPr>
            <w:r w:rsidRPr="002259C8">
              <w:rPr>
                <w:sz w:val="18"/>
                <w:szCs w:val="18"/>
              </w:rPr>
              <w:t>Asegurar que el gasto social (educación, salud y vivienda) sea igual o mayor al 5% del PIB</w:t>
            </w:r>
          </w:p>
        </w:tc>
        <w:tc>
          <w:tcPr>
            <w:tcW w:w="709" w:type="dxa"/>
            <w:tcBorders>
              <w:top w:val="single" w:sz="4" w:space="0" w:color="auto"/>
              <w:left w:val="nil"/>
              <w:bottom w:val="single" w:sz="4" w:space="0" w:color="auto"/>
              <w:right w:val="single" w:sz="4" w:space="0" w:color="auto"/>
            </w:tcBorders>
            <w:noWrap/>
            <w:vAlign w:val="center"/>
            <w:hideMark/>
          </w:tcPr>
          <w:p w14:paraId="4FCD35A6" w14:textId="77777777" w:rsidR="00F9619D" w:rsidRPr="002259C8" w:rsidRDefault="00F9619D" w:rsidP="00582CA7">
            <w:pPr>
              <w:spacing w:line="276" w:lineRule="auto"/>
              <w:contextualSpacing/>
              <w:jc w:val="center"/>
              <w:rPr>
                <w:sz w:val="18"/>
                <w:szCs w:val="18"/>
              </w:rPr>
            </w:pPr>
            <w:r w:rsidRPr="002259C8">
              <w:rPr>
                <w:sz w:val="18"/>
                <w:szCs w:val="18"/>
              </w:rPr>
              <w:t>5.6%</w:t>
            </w:r>
          </w:p>
        </w:tc>
        <w:tc>
          <w:tcPr>
            <w:tcW w:w="867" w:type="dxa"/>
            <w:tcBorders>
              <w:top w:val="single" w:sz="4" w:space="0" w:color="auto"/>
              <w:left w:val="nil"/>
              <w:bottom w:val="single" w:sz="4" w:space="0" w:color="auto"/>
              <w:right w:val="single" w:sz="8" w:space="0" w:color="auto"/>
            </w:tcBorders>
            <w:noWrap/>
            <w:vAlign w:val="center"/>
            <w:hideMark/>
          </w:tcPr>
          <w:p w14:paraId="0E8FF680" w14:textId="77777777" w:rsidR="00F9619D" w:rsidRPr="002259C8" w:rsidRDefault="00F9619D" w:rsidP="00582CA7">
            <w:pPr>
              <w:spacing w:line="276" w:lineRule="auto"/>
              <w:contextualSpacing/>
              <w:jc w:val="center"/>
              <w:rPr>
                <w:b/>
                <w:bCs/>
                <w:color w:val="00B0F0"/>
                <w:sz w:val="16"/>
                <w:szCs w:val="16"/>
              </w:rPr>
            </w:pPr>
            <w:r w:rsidRPr="002259C8">
              <w:rPr>
                <w:b/>
                <w:bCs/>
                <w:color w:val="00B0F0"/>
                <w:sz w:val="16"/>
                <w:szCs w:val="16"/>
              </w:rPr>
              <w:t>Cumplido</w:t>
            </w:r>
          </w:p>
        </w:tc>
      </w:tr>
      <w:tr w:rsidR="00F9619D" w:rsidRPr="004A66F0" w14:paraId="247E2DCD" w14:textId="77777777" w:rsidTr="002259C8">
        <w:trPr>
          <w:trHeight w:val="60"/>
          <w:jc w:val="center"/>
        </w:trPr>
        <w:tc>
          <w:tcPr>
            <w:tcW w:w="6947" w:type="dxa"/>
            <w:tcBorders>
              <w:top w:val="single" w:sz="4" w:space="0" w:color="auto"/>
              <w:left w:val="single" w:sz="8" w:space="0" w:color="auto"/>
              <w:bottom w:val="single" w:sz="4" w:space="0" w:color="auto"/>
              <w:right w:val="single" w:sz="4" w:space="0" w:color="auto"/>
            </w:tcBorders>
            <w:vAlign w:val="center"/>
            <w:hideMark/>
          </w:tcPr>
          <w:p w14:paraId="75D868B3" w14:textId="77777777" w:rsidR="00F9619D" w:rsidRPr="002259C8" w:rsidRDefault="00F9619D" w:rsidP="00582CA7">
            <w:pPr>
              <w:spacing w:line="276" w:lineRule="auto"/>
              <w:contextualSpacing/>
              <w:rPr>
                <w:sz w:val="18"/>
                <w:szCs w:val="18"/>
              </w:rPr>
            </w:pPr>
            <w:r w:rsidRPr="002259C8">
              <w:rPr>
                <w:sz w:val="18"/>
                <w:szCs w:val="18"/>
              </w:rPr>
              <w:t>Alcanzar un nivel de gasto de capital promedio no menor al 2.4% del PIB</w:t>
            </w:r>
          </w:p>
        </w:tc>
        <w:tc>
          <w:tcPr>
            <w:tcW w:w="709" w:type="dxa"/>
            <w:tcBorders>
              <w:top w:val="single" w:sz="4" w:space="0" w:color="auto"/>
              <w:left w:val="nil"/>
              <w:bottom w:val="single" w:sz="4" w:space="0" w:color="auto"/>
              <w:right w:val="single" w:sz="4" w:space="0" w:color="auto"/>
            </w:tcBorders>
            <w:noWrap/>
            <w:vAlign w:val="center"/>
            <w:hideMark/>
          </w:tcPr>
          <w:p w14:paraId="0A359EC1" w14:textId="77777777" w:rsidR="00F9619D" w:rsidRPr="002259C8" w:rsidRDefault="00F9619D" w:rsidP="00582CA7">
            <w:pPr>
              <w:spacing w:line="276" w:lineRule="auto"/>
              <w:contextualSpacing/>
              <w:jc w:val="center"/>
              <w:rPr>
                <w:sz w:val="18"/>
                <w:szCs w:val="18"/>
              </w:rPr>
            </w:pPr>
            <w:r w:rsidRPr="002259C8">
              <w:rPr>
                <w:sz w:val="18"/>
                <w:szCs w:val="18"/>
              </w:rPr>
              <w:t>2.5%</w:t>
            </w:r>
          </w:p>
        </w:tc>
        <w:tc>
          <w:tcPr>
            <w:tcW w:w="867" w:type="dxa"/>
            <w:tcBorders>
              <w:top w:val="single" w:sz="4" w:space="0" w:color="auto"/>
              <w:left w:val="nil"/>
              <w:bottom w:val="single" w:sz="4" w:space="0" w:color="auto"/>
              <w:right w:val="single" w:sz="8" w:space="0" w:color="auto"/>
            </w:tcBorders>
            <w:noWrap/>
            <w:vAlign w:val="center"/>
            <w:hideMark/>
          </w:tcPr>
          <w:p w14:paraId="4618122D" w14:textId="77777777" w:rsidR="00F9619D" w:rsidRPr="002259C8" w:rsidRDefault="00F9619D" w:rsidP="00582CA7">
            <w:pPr>
              <w:spacing w:line="276" w:lineRule="auto"/>
              <w:contextualSpacing/>
              <w:jc w:val="center"/>
              <w:rPr>
                <w:b/>
                <w:bCs/>
                <w:color w:val="00B0F0"/>
                <w:sz w:val="16"/>
                <w:szCs w:val="16"/>
              </w:rPr>
            </w:pPr>
            <w:r w:rsidRPr="002259C8">
              <w:rPr>
                <w:b/>
                <w:bCs/>
                <w:color w:val="00B0F0"/>
                <w:sz w:val="16"/>
                <w:szCs w:val="16"/>
              </w:rPr>
              <w:t>Cumplido</w:t>
            </w:r>
          </w:p>
        </w:tc>
      </w:tr>
      <w:tr w:rsidR="00F9619D" w:rsidRPr="004A66F0" w14:paraId="0C71EE15" w14:textId="77777777" w:rsidTr="002259C8">
        <w:trPr>
          <w:trHeight w:val="350"/>
          <w:jc w:val="center"/>
        </w:trPr>
        <w:tc>
          <w:tcPr>
            <w:tcW w:w="6947" w:type="dxa"/>
            <w:tcBorders>
              <w:top w:val="single" w:sz="4" w:space="0" w:color="auto"/>
              <w:left w:val="single" w:sz="8" w:space="0" w:color="auto"/>
              <w:bottom w:val="single" w:sz="4" w:space="0" w:color="auto"/>
              <w:right w:val="single" w:sz="4" w:space="0" w:color="auto"/>
            </w:tcBorders>
            <w:vAlign w:val="bottom"/>
            <w:hideMark/>
          </w:tcPr>
          <w:p w14:paraId="17AFE911" w14:textId="77777777" w:rsidR="00F9619D" w:rsidRPr="002259C8" w:rsidRDefault="00F9619D" w:rsidP="00582CA7">
            <w:pPr>
              <w:spacing w:line="276" w:lineRule="auto"/>
              <w:contextualSpacing/>
              <w:rPr>
                <w:sz w:val="18"/>
                <w:szCs w:val="18"/>
              </w:rPr>
            </w:pPr>
            <w:r w:rsidRPr="002259C8">
              <w:rPr>
                <w:sz w:val="18"/>
                <w:szCs w:val="18"/>
              </w:rPr>
              <w:t>Lograr que el déficit fiscal en promedio se ubique en 2.2% del PIB (debe mostrar una tendencia decreciente)</w:t>
            </w:r>
          </w:p>
        </w:tc>
        <w:tc>
          <w:tcPr>
            <w:tcW w:w="709" w:type="dxa"/>
            <w:tcBorders>
              <w:top w:val="single" w:sz="4" w:space="0" w:color="auto"/>
              <w:left w:val="nil"/>
              <w:bottom w:val="single" w:sz="4" w:space="0" w:color="auto"/>
              <w:right w:val="single" w:sz="4" w:space="0" w:color="auto"/>
            </w:tcBorders>
            <w:noWrap/>
            <w:vAlign w:val="center"/>
            <w:hideMark/>
          </w:tcPr>
          <w:p w14:paraId="528CF19D" w14:textId="77777777" w:rsidR="00F9619D" w:rsidRPr="002259C8" w:rsidRDefault="00F9619D" w:rsidP="00582CA7">
            <w:pPr>
              <w:spacing w:line="276" w:lineRule="auto"/>
              <w:contextualSpacing/>
              <w:jc w:val="center"/>
              <w:rPr>
                <w:sz w:val="18"/>
                <w:szCs w:val="18"/>
              </w:rPr>
            </w:pPr>
            <w:r w:rsidRPr="002259C8">
              <w:rPr>
                <w:sz w:val="18"/>
                <w:szCs w:val="18"/>
              </w:rPr>
              <w:t>1.7%</w:t>
            </w:r>
          </w:p>
        </w:tc>
        <w:tc>
          <w:tcPr>
            <w:tcW w:w="867" w:type="dxa"/>
            <w:tcBorders>
              <w:top w:val="single" w:sz="4" w:space="0" w:color="auto"/>
              <w:left w:val="nil"/>
              <w:bottom w:val="single" w:sz="4" w:space="0" w:color="auto"/>
              <w:right w:val="single" w:sz="8" w:space="0" w:color="auto"/>
            </w:tcBorders>
            <w:noWrap/>
            <w:vAlign w:val="center"/>
            <w:hideMark/>
          </w:tcPr>
          <w:p w14:paraId="041DF5F8" w14:textId="77777777" w:rsidR="00F9619D" w:rsidRPr="002259C8" w:rsidRDefault="00F9619D" w:rsidP="00582CA7">
            <w:pPr>
              <w:spacing w:line="276" w:lineRule="auto"/>
              <w:contextualSpacing/>
              <w:jc w:val="center"/>
              <w:rPr>
                <w:b/>
                <w:bCs/>
                <w:color w:val="00B0F0"/>
                <w:sz w:val="16"/>
                <w:szCs w:val="16"/>
              </w:rPr>
            </w:pPr>
            <w:r w:rsidRPr="002259C8">
              <w:rPr>
                <w:b/>
                <w:bCs/>
                <w:color w:val="00B0F0"/>
                <w:sz w:val="16"/>
                <w:szCs w:val="16"/>
              </w:rPr>
              <w:t>Cumplido</w:t>
            </w:r>
          </w:p>
        </w:tc>
      </w:tr>
      <w:tr w:rsidR="00F9619D" w:rsidRPr="004A66F0" w14:paraId="4125E747" w14:textId="77777777" w:rsidTr="002259C8">
        <w:trPr>
          <w:trHeight w:val="206"/>
          <w:jc w:val="center"/>
        </w:trPr>
        <w:tc>
          <w:tcPr>
            <w:tcW w:w="6947" w:type="dxa"/>
            <w:tcBorders>
              <w:top w:val="single" w:sz="4" w:space="0" w:color="auto"/>
              <w:left w:val="single" w:sz="8" w:space="0" w:color="auto"/>
              <w:bottom w:val="single" w:sz="8" w:space="0" w:color="auto"/>
              <w:right w:val="single" w:sz="4" w:space="0" w:color="auto"/>
            </w:tcBorders>
            <w:vAlign w:val="center"/>
            <w:hideMark/>
          </w:tcPr>
          <w:p w14:paraId="09C75DF2" w14:textId="77777777" w:rsidR="00F9619D" w:rsidRPr="002259C8" w:rsidRDefault="00F9619D" w:rsidP="00582CA7">
            <w:pPr>
              <w:spacing w:line="276" w:lineRule="auto"/>
              <w:contextualSpacing/>
              <w:rPr>
                <w:sz w:val="18"/>
                <w:szCs w:val="18"/>
              </w:rPr>
            </w:pPr>
            <w:r w:rsidRPr="002259C8">
              <w:rPr>
                <w:sz w:val="18"/>
                <w:szCs w:val="18"/>
              </w:rPr>
              <w:t xml:space="preserve">Lograr un nivel de deuda pública no mayor al 40% del PIB. </w:t>
            </w:r>
          </w:p>
        </w:tc>
        <w:tc>
          <w:tcPr>
            <w:tcW w:w="709" w:type="dxa"/>
            <w:tcBorders>
              <w:top w:val="single" w:sz="4" w:space="0" w:color="auto"/>
              <w:left w:val="nil"/>
              <w:bottom w:val="single" w:sz="8" w:space="0" w:color="auto"/>
              <w:right w:val="single" w:sz="4" w:space="0" w:color="auto"/>
            </w:tcBorders>
            <w:noWrap/>
            <w:vAlign w:val="center"/>
            <w:hideMark/>
          </w:tcPr>
          <w:p w14:paraId="406BB6E0" w14:textId="77777777" w:rsidR="00F9619D" w:rsidRPr="002259C8" w:rsidRDefault="00F9619D" w:rsidP="00582CA7">
            <w:pPr>
              <w:spacing w:line="276" w:lineRule="auto"/>
              <w:contextualSpacing/>
              <w:jc w:val="center"/>
              <w:rPr>
                <w:sz w:val="18"/>
                <w:szCs w:val="18"/>
              </w:rPr>
            </w:pPr>
            <w:r w:rsidRPr="002259C8">
              <w:rPr>
                <w:sz w:val="18"/>
                <w:szCs w:val="18"/>
              </w:rPr>
              <w:t>29.2%</w:t>
            </w:r>
          </w:p>
        </w:tc>
        <w:tc>
          <w:tcPr>
            <w:tcW w:w="867" w:type="dxa"/>
            <w:tcBorders>
              <w:top w:val="single" w:sz="4" w:space="0" w:color="auto"/>
              <w:left w:val="nil"/>
              <w:bottom w:val="single" w:sz="8" w:space="0" w:color="auto"/>
              <w:right w:val="single" w:sz="8" w:space="0" w:color="auto"/>
            </w:tcBorders>
            <w:noWrap/>
            <w:vAlign w:val="center"/>
            <w:hideMark/>
          </w:tcPr>
          <w:p w14:paraId="7F537E6C" w14:textId="77777777" w:rsidR="00F9619D" w:rsidRPr="002259C8" w:rsidRDefault="00F9619D" w:rsidP="00582CA7">
            <w:pPr>
              <w:spacing w:line="276" w:lineRule="auto"/>
              <w:contextualSpacing/>
              <w:jc w:val="center"/>
              <w:rPr>
                <w:b/>
                <w:bCs/>
                <w:color w:val="00B0F0"/>
                <w:sz w:val="16"/>
                <w:szCs w:val="16"/>
              </w:rPr>
            </w:pPr>
            <w:r w:rsidRPr="002259C8">
              <w:rPr>
                <w:b/>
                <w:bCs/>
                <w:color w:val="00B0F0"/>
                <w:sz w:val="16"/>
                <w:szCs w:val="16"/>
              </w:rPr>
              <w:t>Cumplido</w:t>
            </w:r>
          </w:p>
        </w:tc>
      </w:tr>
    </w:tbl>
    <w:p w14:paraId="1C61B570" w14:textId="0C85DE09" w:rsidR="00F9619D" w:rsidRDefault="00F9619D" w:rsidP="004A5045">
      <w:pPr>
        <w:ind w:left="142" w:firstLine="1"/>
        <w:jc w:val="both"/>
        <w:rPr>
          <w:sz w:val="18"/>
          <w:szCs w:val="18"/>
        </w:rPr>
      </w:pPr>
      <w:r w:rsidRPr="004A66F0">
        <w:rPr>
          <w:sz w:val="18"/>
          <w:szCs w:val="18"/>
        </w:rPr>
        <w:t>Fuente: Dirección de Análisis y Política Fiscal</w:t>
      </w:r>
      <w:r w:rsidR="00E60EFC">
        <w:rPr>
          <w:sz w:val="18"/>
          <w:szCs w:val="18"/>
        </w:rPr>
        <w:t>.</w:t>
      </w:r>
    </w:p>
    <w:p w14:paraId="0378AA17" w14:textId="77777777" w:rsidR="002259C8" w:rsidRDefault="002259C8" w:rsidP="00F9619D">
      <w:pPr>
        <w:jc w:val="both"/>
        <w:rPr>
          <w:lang w:val="es-ES_tradnl"/>
        </w:rPr>
      </w:pPr>
    </w:p>
    <w:p w14:paraId="4EA5821B" w14:textId="1F2574C8" w:rsidR="00F9619D" w:rsidRDefault="00F9619D" w:rsidP="00F9619D">
      <w:pPr>
        <w:jc w:val="both"/>
        <w:rPr>
          <w:lang w:val="es-ES_tradnl"/>
        </w:rPr>
      </w:pPr>
      <w:r w:rsidRPr="00F9619D">
        <w:rPr>
          <w:lang w:val="es-ES_tradnl"/>
        </w:rPr>
        <w:t>En ese sentido, al analizar los resultados de 2022, se observa que para todas las Metas de Política Fiscal fijadas en el Marco Fiscal de Mediano Plazo 2022-2026, los indicadores fiscales se encuentran con estado “cumplido”, derivado del buen desempeño que tuvo la política fiscal en suavizar los shocks externos manteniendo una ejecución prudente</w:t>
      </w:r>
      <w:r w:rsidR="009C0D05">
        <w:rPr>
          <w:lang w:val="es-ES_tradnl"/>
        </w:rPr>
        <w:t xml:space="preserve"> y gracias al </w:t>
      </w:r>
      <w:r w:rsidRPr="00F9619D">
        <w:rPr>
          <w:lang w:val="es-ES_tradnl"/>
        </w:rPr>
        <w:t>buen desempeño en materia tributaria</w:t>
      </w:r>
      <w:r w:rsidR="00490943">
        <w:rPr>
          <w:lang w:val="es-ES_tradnl"/>
        </w:rPr>
        <w:t>,</w:t>
      </w:r>
      <w:r w:rsidRPr="00F9619D">
        <w:rPr>
          <w:lang w:val="es-ES_tradnl"/>
        </w:rPr>
        <w:t xml:space="preserve"> </w:t>
      </w:r>
      <w:r w:rsidR="00490943">
        <w:rPr>
          <w:lang w:val="es-ES_tradnl"/>
        </w:rPr>
        <w:t>l</w:t>
      </w:r>
      <w:r w:rsidRPr="00F9619D">
        <w:rPr>
          <w:lang w:val="es-ES_tradnl"/>
        </w:rPr>
        <w:t>o cual un déficit fiscal moderado y</w:t>
      </w:r>
      <w:r w:rsidR="00490943">
        <w:rPr>
          <w:lang w:val="es-ES_tradnl"/>
        </w:rPr>
        <w:t xml:space="preserve"> preservar </w:t>
      </w:r>
      <w:r w:rsidRPr="00F9619D">
        <w:rPr>
          <w:lang w:val="es-ES_tradnl"/>
        </w:rPr>
        <w:t>la sostenibilidad de la deuda pública, colocando a Guatemala entre los pocos países que han reducido este indicador respecto al PIB.</w:t>
      </w:r>
    </w:p>
    <w:p w14:paraId="03B6E2C8" w14:textId="1A26D6EB" w:rsidR="00F9619D" w:rsidRDefault="00F9619D" w:rsidP="00F9619D">
      <w:pPr>
        <w:jc w:val="both"/>
        <w:rPr>
          <w:lang w:val="es-ES_tradnl"/>
        </w:rPr>
      </w:pPr>
    </w:p>
    <w:p w14:paraId="5F0FBB0E" w14:textId="65EFC8DD" w:rsidR="00F9619D" w:rsidRPr="002259C8" w:rsidRDefault="00F9619D" w:rsidP="00531A1B">
      <w:pPr>
        <w:pStyle w:val="Prrafodelista"/>
        <w:numPr>
          <w:ilvl w:val="1"/>
          <w:numId w:val="3"/>
        </w:numPr>
        <w:jc w:val="both"/>
        <w:outlineLvl w:val="1"/>
        <w:rPr>
          <w:sz w:val="22"/>
          <w:szCs w:val="22"/>
          <w:lang w:val="es-ES_tradnl"/>
        </w:rPr>
      </w:pPr>
      <w:bookmarkStart w:id="153" w:name="_Toc143865831"/>
      <w:r w:rsidRPr="002259C8">
        <w:rPr>
          <w:b/>
          <w:bCs/>
        </w:rPr>
        <w:t xml:space="preserve">Evaluación de </w:t>
      </w:r>
      <w:r w:rsidR="00B501A1">
        <w:rPr>
          <w:b/>
          <w:bCs/>
        </w:rPr>
        <w:t>los pronósticos establecidos en los presupuestos multianuales</w:t>
      </w:r>
      <w:bookmarkEnd w:id="153"/>
    </w:p>
    <w:p w14:paraId="5D29298E" w14:textId="0F2C16B0" w:rsidR="00D16EA3" w:rsidRDefault="00D16EA3" w:rsidP="00CB0BEF">
      <w:pPr>
        <w:jc w:val="both"/>
        <w:rPr>
          <w:lang w:val="es-ES_tradnl"/>
        </w:rPr>
      </w:pPr>
    </w:p>
    <w:p w14:paraId="61CE1C71" w14:textId="77777777" w:rsidR="00B501A1" w:rsidRPr="00B501A1" w:rsidRDefault="00B501A1" w:rsidP="00CB0BEF">
      <w:pPr>
        <w:spacing w:after="160"/>
        <w:jc w:val="both"/>
        <w:rPr>
          <w:rFonts w:eastAsiaTheme="minorHAnsi"/>
          <w:lang w:val="es-ES" w:eastAsia="en-US"/>
        </w:rPr>
      </w:pPr>
      <w:r w:rsidRPr="00B501A1">
        <w:rPr>
          <w:rFonts w:eastAsiaTheme="minorHAnsi"/>
          <w:lang w:val="es-ES" w:eastAsia="en-US"/>
        </w:rPr>
        <w:t>En los últimos años, se han identificado algunos sucesos de relevancia que han afectado significativamente la precisión de las proyecciones contenidas en los diferentes presupuestos multianuales realizados y por ende de los objetivos fijados en la ejecución de la política fiscal.</w:t>
      </w:r>
    </w:p>
    <w:p w14:paraId="3CEB2113" w14:textId="292C0B27" w:rsidR="00B501A1" w:rsidRDefault="00B501A1" w:rsidP="00CB0BEF">
      <w:pPr>
        <w:numPr>
          <w:ilvl w:val="0"/>
          <w:numId w:val="5"/>
        </w:numPr>
        <w:spacing w:after="160"/>
        <w:ind w:left="567"/>
        <w:contextualSpacing/>
        <w:jc w:val="both"/>
        <w:rPr>
          <w:lang w:val="es-ES_tradnl"/>
        </w:rPr>
      </w:pPr>
      <w:r w:rsidRPr="00B501A1">
        <w:rPr>
          <w:lang w:val="es-ES_tradnl"/>
        </w:rPr>
        <w:t>En el presupuesto multianual 2015-2017 no se predijo la crisis política institucional que ocasionó la renuncia del presidente y vicepresidente de la República, así como de la mayoría del gabinete de gobierno, derivado de los casos de corrupción que se les imputaban. Esto tuvo un efecto en la recaudación tributaria y en el gasto público, en el caso de este último, algunas entidades tuvieron dificultades en la licitación y adjudicación de contratos de bienes y servicios y de obras públicas derivado de un mayor control en las unidades de compras, el gasto público cayó respecto al 2014.</w:t>
      </w:r>
    </w:p>
    <w:p w14:paraId="19B49C1B" w14:textId="77777777" w:rsidR="00CB0BEF" w:rsidRPr="00CB0BEF" w:rsidRDefault="00CB0BEF" w:rsidP="00CB0BEF">
      <w:pPr>
        <w:spacing w:after="160"/>
        <w:ind w:left="567"/>
        <w:contextualSpacing/>
        <w:jc w:val="both"/>
        <w:rPr>
          <w:lang w:val="es-ES_tradnl"/>
        </w:rPr>
      </w:pPr>
    </w:p>
    <w:p w14:paraId="4E994553" w14:textId="6578D811" w:rsidR="00B501A1" w:rsidRDefault="00B501A1" w:rsidP="00CB0BEF">
      <w:pPr>
        <w:numPr>
          <w:ilvl w:val="0"/>
          <w:numId w:val="5"/>
        </w:numPr>
        <w:spacing w:after="160"/>
        <w:ind w:left="567"/>
        <w:contextualSpacing/>
        <w:jc w:val="both"/>
        <w:rPr>
          <w:lang w:val="es-ES_tradnl"/>
        </w:rPr>
      </w:pPr>
      <w:r w:rsidRPr="00B501A1">
        <w:rPr>
          <w:lang w:val="es-ES_tradnl"/>
        </w:rPr>
        <w:t>En el presupuesto multianual 2019-2023, realizado en 2019, fue imposible predecir la existencia de una pandemia con repercusiones económicas y sanitarias como lo fue la pandemia del COVID-19, esto llevó a que la proyección de variables fiscales tuviera una significativa subestimación en el caso del gasto y déficit fiscal, derivado que en 2020 se llevó a cabo una política fiscal ampliamente contra cíclica.</w:t>
      </w:r>
    </w:p>
    <w:p w14:paraId="6805E761" w14:textId="77777777" w:rsidR="00CB0BEF" w:rsidRPr="00CB0BEF" w:rsidRDefault="00CB0BEF" w:rsidP="00CB0BEF">
      <w:pPr>
        <w:spacing w:after="160"/>
        <w:ind w:left="567"/>
        <w:contextualSpacing/>
        <w:jc w:val="both"/>
        <w:rPr>
          <w:lang w:val="es-ES_tradnl"/>
        </w:rPr>
      </w:pPr>
    </w:p>
    <w:p w14:paraId="0F609E5A" w14:textId="458A60F6" w:rsidR="00B501A1" w:rsidRDefault="00B501A1" w:rsidP="00CB0BEF">
      <w:pPr>
        <w:numPr>
          <w:ilvl w:val="0"/>
          <w:numId w:val="5"/>
        </w:numPr>
        <w:spacing w:after="160"/>
        <w:ind w:left="567"/>
        <w:contextualSpacing/>
        <w:jc w:val="both"/>
        <w:rPr>
          <w:lang w:val="es-ES_tradnl"/>
        </w:rPr>
      </w:pPr>
      <w:r w:rsidRPr="00B501A1">
        <w:rPr>
          <w:lang w:val="es-ES_tradnl"/>
        </w:rPr>
        <w:t xml:space="preserve">En el presupuesto multianual 2020-2024, aún no se tenía certeza sobre la disponibilidad de la vacuna contra el COVID-19, que permitiera el retorno a la normalidad, derivado que en el tiempo que se realizó aún se encontraba en desarrollo la vacuna y su éxito era incierto. Derivado de lo anterior, en el caso del gasto público y déficit fiscal este fue sobreestimado, dado que se esperaba en el multianual continuar con una política fiscal contra cíclica, aunque menor a la observada en 2020. </w:t>
      </w:r>
    </w:p>
    <w:p w14:paraId="68B68658" w14:textId="77777777" w:rsidR="00CB0BEF" w:rsidRPr="00CB0BEF" w:rsidRDefault="00CB0BEF" w:rsidP="00CB0BEF">
      <w:pPr>
        <w:spacing w:after="160"/>
        <w:ind w:left="567"/>
        <w:contextualSpacing/>
        <w:jc w:val="both"/>
        <w:rPr>
          <w:lang w:val="es-ES_tradnl"/>
        </w:rPr>
      </w:pPr>
    </w:p>
    <w:p w14:paraId="2080C46D" w14:textId="3D4CDB06" w:rsidR="00B501A1" w:rsidRDefault="00B501A1" w:rsidP="00CB0BEF">
      <w:pPr>
        <w:numPr>
          <w:ilvl w:val="0"/>
          <w:numId w:val="5"/>
        </w:numPr>
        <w:spacing w:after="160"/>
        <w:ind w:left="567"/>
        <w:contextualSpacing/>
        <w:jc w:val="both"/>
        <w:rPr>
          <w:lang w:val="es-ES_tradnl"/>
        </w:rPr>
      </w:pPr>
      <w:r w:rsidRPr="00B501A1">
        <w:rPr>
          <w:lang w:val="es-ES_tradnl"/>
        </w:rPr>
        <w:t>En el presupuesto multianual 2021-2025, no se contemplaba la intensificación del conflicto geopolítico entre Rusia y Ucrania, que derivó en un significativo aumento de los precios y la intervención del gobierno para aliviar la presión en los hogares guatemaltecos por medio de subsidios temporales. No obstante, derivado del buen desempeño en la recaudación tributaria durante 2021 y 2022, los valores observados de déficit fiscal quedaron por debajo de lo proyectado.</w:t>
      </w:r>
    </w:p>
    <w:p w14:paraId="487B5516" w14:textId="77777777" w:rsidR="00CB0BEF" w:rsidRPr="00CB0BEF" w:rsidRDefault="00CB0BEF" w:rsidP="00CB0BEF">
      <w:pPr>
        <w:spacing w:after="160"/>
        <w:contextualSpacing/>
        <w:jc w:val="both"/>
        <w:rPr>
          <w:lang w:val="es-ES_tradnl"/>
        </w:rPr>
      </w:pPr>
    </w:p>
    <w:p w14:paraId="177D5F88" w14:textId="39FEC9F2" w:rsidR="00B501A1" w:rsidRDefault="00B501A1" w:rsidP="00CB0BEF">
      <w:pPr>
        <w:numPr>
          <w:ilvl w:val="0"/>
          <w:numId w:val="5"/>
        </w:numPr>
        <w:spacing w:after="160"/>
        <w:ind w:left="567"/>
        <w:contextualSpacing/>
        <w:jc w:val="both"/>
        <w:rPr>
          <w:lang w:val="es-ES_tradnl"/>
        </w:rPr>
      </w:pPr>
      <w:r w:rsidRPr="00B501A1">
        <w:rPr>
          <w:lang w:val="es-ES_tradnl"/>
        </w:rPr>
        <w:t>El Presupuesto General de Ingresos y Egresos del Estado para el Ejercicio Fiscal 2014, 2018, 2020 y 2021 no fue aprobado en el término que establece la Constitución Política de la República de Guatemala. En el caso de 2021, fue algo inédito en la historia del país al ser improbado por segundo año consecutivo. Por lo anterior, pasó a regir de nuevo el presupuesto en vigencia en el ejercicio fiscal anterior, lo cual afectó a que se lograran las previsiones que se habían trabajado para el mediano plazo.</w:t>
      </w:r>
    </w:p>
    <w:p w14:paraId="7E960F1E" w14:textId="77777777" w:rsidR="00CB0BEF" w:rsidRPr="00CB0BEF" w:rsidRDefault="00CB0BEF" w:rsidP="00CB0BEF">
      <w:pPr>
        <w:spacing w:after="160"/>
        <w:contextualSpacing/>
        <w:jc w:val="both"/>
        <w:rPr>
          <w:lang w:val="es-ES_tradnl"/>
        </w:rPr>
      </w:pPr>
    </w:p>
    <w:p w14:paraId="3FC6A4D8" w14:textId="77777777" w:rsidR="00B501A1" w:rsidRPr="00B501A1" w:rsidRDefault="00B501A1" w:rsidP="00CB0BEF">
      <w:pPr>
        <w:numPr>
          <w:ilvl w:val="0"/>
          <w:numId w:val="5"/>
        </w:numPr>
        <w:spacing w:after="160"/>
        <w:ind w:left="567"/>
        <w:contextualSpacing/>
        <w:jc w:val="both"/>
        <w:rPr>
          <w:lang w:val="es-ES_tradnl"/>
        </w:rPr>
      </w:pPr>
      <w:r w:rsidRPr="00B501A1">
        <w:rPr>
          <w:lang w:val="es-ES_tradnl"/>
        </w:rPr>
        <w:t>Se toma en consideración para la base de estimación las proyecciones macroeconómicas expuestas en el Marco Macroeconómico de cada año, las cuales posteriormente son revisadas por el Banco de Guatemala y pueden diferir de los escenarios anteriores proporcionados.</w:t>
      </w:r>
    </w:p>
    <w:p w14:paraId="42AED466" w14:textId="77777777" w:rsidR="00B501A1" w:rsidRPr="00B501A1" w:rsidRDefault="00B501A1" w:rsidP="00CB0BEF">
      <w:pPr>
        <w:jc w:val="both"/>
        <w:rPr>
          <w:lang w:val="es-ES_tradnl"/>
        </w:rPr>
      </w:pPr>
    </w:p>
    <w:p w14:paraId="48173667" w14:textId="77777777" w:rsidR="00B501A1" w:rsidRPr="00B501A1" w:rsidRDefault="00B501A1" w:rsidP="00CB0BEF">
      <w:pPr>
        <w:jc w:val="both"/>
        <w:rPr>
          <w:lang w:val="es-ES_tradnl"/>
        </w:rPr>
      </w:pPr>
      <w:r w:rsidRPr="00B501A1">
        <w:rPr>
          <w:lang w:val="es-ES_tradnl"/>
        </w:rPr>
        <w:t xml:space="preserve">Se toma como base de análisis los ejercicios de presupuesto multianual de 2012 a 2022, tomando como referencia las cifras observadas. </w:t>
      </w:r>
    </w:p>
    <w:p w14:paraId="3D8EF618" w14:textId="77777777" w:rsidR="00B501A1" w:rsidRPr="00B501A1" w:rsidRDefault="00B501A1" w:rsidP="00CB0BEF">
      <w:pPr>
        <w:jc w:val="both"/>
        <w:rPr>
          <w:lang w:val="es-ES_tradnl"/>
        </w:rPr>
      </w:pPr>
      <w:r w:rsidRPr="00B501A1">
        <w:rPr>
          <w:lang w:val="es-ES_tradnl"/>
        </w:rPr>
        <w:t xml:space="preserve"> </w:t>
      </w:r>
    </w:p>
    <w:p w14:paraId="3083C70B" w14:textId="3B214CAA" w:rsidR="00B501A1" w:rsidRDefault="00B501A1" w:rsidP="00CB0BEF">
      <w:pPr>
        <w:spacing w:after="160"/>
        <w:jc w:val="both"/>
        <w:rPr>
          <w:rFonts w:eastAsiaTheme="minorHAnsi"/>
          <w:lang w:val="es-ES" w:eastAsia="en-US"/>
        </w:rPr>
      </w:pPr>
      <w:r w:rsidRPr="00B501A1">
        <w:rPr>
          <w:rFonts w:eastAsiaTheme="minorHAnsi"/>
          <w:lang w:val="es-ES" w:eastAsia="en-US"/>
        </w:rPr>
        <w:t xml:space="preserve">El siguiente análisis busca determinar la magnitud de las desviaciones en las variables fiscales más importantes respecto a lo proyectado, con ello constituyéndose en fuente de riesgos fiscales, al afectar adversamente lo establecido. </w:t>
      </w:r>
    </w:p>
    <w:p w14:paraId="0786EC9A" w14:textId="77777777" w:rsidR="005814D8" w:rsidRPr="00B501A1" w:rsidRDefault="005814D8" w:rsidP="00B501A1">
      <w:pPr>
        <w:spacing w:after="160" w:line="259" w:lineRule="auto"/>
        <w:jc w:val="both"/>
        <w:rPr>
          <w:rFonts w:eastAsiaTheme="minorHAnsi"/>
          <w:sz w:val="4"/>
          <w:szCs w:val="4"/>
          <w:lang w:val="es-ES" w:eastAsia="en-US"/>
        </w:rPr>
      </w:pPr>
    </w:p>
    <w:p w14:paraId="4A77C00C" w14:textId="77777777" w:rsidR="00B501A1" w:rsidRPr="0049039C" w:rsidRDefault="00B501A1" w:rsidP="0049039C">
      <w:pPr>
        <w:pStyle w:val="Prrafodelista"/>
        <w:numPr>
          <w:ilvl w:val="2"/>
          <w:numId w:val="3"/>
        </w:numPr>
        <w:jc w:val="both"/>
        <w:outlineLvl w:val="1"/>
        <w:rPr>
          <w:b/>
          <w:bCs/>
        </w:rPr>
      </w:pPr>
      <w:bookmarkStart w:id="154" w:name="_Toc143865832"/>
      <w:r w:rsidRPr="0049039C">
        <w:rPr>
          <w:b/>
          <w:bCs/>
        </w:rPr>
        <w:t>Ingresos Tributarios</w:t>
      </w:r>
      <w:bookmarkEnd w:id="154"/>
    </w:p>
    <w:p w14:paraId="49689BA1" w14:textId="77777777" w:rsidR="00CB0BEF" w:rsidRDefault="00CB0BEF" w:rsidP="00CB0BEF">
      <w:pPr>
        <w:jc w:val="both"/>
        <w:rPr>
          <w:rFonts w:eastAsiaTheme="minorHAnsi"/>
          <w:lang w:val="es-ES" w:eastAsia="en-US"/>
        </w:rPr>
      </w:pPr>
    </w:p>
    <w:p w14:paraId="6F0F5809" w14:textId="5A27E31A" w:rsidR="00B501A1" w:rsidRDefault="00B501A1" w:rsidP="00CB0BEF">
      <w:pPr>
        <w:jc w:val="both"/>
        <w:rPr>
          <w:rFonts w:eastAsiaTheme="minorHAnsi"/>
          <w:lang w:val="es-ES" w:eastAsia="en-US"/>
        </w:rPr>
      </w:pPr>
      <w:r w:rsidRPr="00B501A1">
        <w:rPr>
          <w:rFonts w:eastAsiaTheme="minorHAnsi"/>
          <w:lang w:val="es-ES" w:eastAsia="en-US"/>
        </w:rPr>
        <w:t xml:space="preserve">En los ingresos tributarios se observa que de 2012 a 2020, los valores se encuentran por debajo de lo previsto para la mayoría de los ejercicios de presupuesto multianual, esto es especialmente notorio en el presupuesto multianual 2019-2023, realizado en 2019, </w:t>
      </w:r>
      <w:r w:rsidR="00D91CFE">
        <w:rPr>
          <w:rFonts w:eastAsiaTheme="minorHAnsi"/>
          <w:lang w:val="es-ES" w:eastAsia="en-US"/>
        </w:rPr>
        <w:t>año en el cual era</w:t>
      </w:r>
      <w:r w:rsidR="00D91CFE" w:rsidRPr="00B501A1">
        <w:rPr>
          <w:rFonts w:eastAsiaTheme="minorHAnsi"/>
          <w:lang w:val="es-ES" w:eastAsia="en-US"/>
        </w:rPr>
        <w:t xml:space="preserve"> </w:t>
      </w:r>
      <w:r w:rsidRPr="00B501A1">
        <w:rPr>
          <w:rFonts w:eastAsiaTheme="minorHAnsi"/>
          <w:lang w:val="es-ES" w:eastAsia="en-US"/>
        </w:rPr>
        <w:t xml:space="preserve">imposible predecir la existencia de una pandemia con </w:t>
      </w:r>
      <w:r w:rsidR="00D91CFE">
        <w:rPr>
          <w:rFonts w:eastAsiaTheme="minorHAnsi"/>
          <w:lang w:val="es-ES" w:eastAsia="en-US"/>
        </w:rPr>
        <w:t xml:space="preserve">las </w:t>
      </w:r>
      <w:r w:rsidRPr="00B501A1">
        <w:rPr>
          <w:rFonts w:eastAsiaTheme="minorHAnsi"/>
          <w:lang w:val="es-ES" w:eastAsia="en-US"/>
        </w:rPr>
        <w:t xml:space="preserve">repercusiones económicas y sanitarias </w:t>
      </w:r>
      <w:r w:rsidR="00D91CFE">
        <w:rPr>
          <w:rFonts w:eastAsiaTheme="minorHAnsi"/>
          <w:lang w:val="es-ES" w:eastAsia="en-US"/>
        </w:rPr>
        <w:t>consecuencia de</w:t>
      </w:r>
      <w:r w:rsidRPr="00B501A1">
        <w:rPr>
          <w:rFonts w:eastAsiaTheme="minorHAnsi"/>
          <w:lang w:val="es-ES" w:eastAsia="en-US"/>
        </w:rPr>
        <w:t xml:space="preserve"> la pandemia del COVID-19</w:t>
      </w:r>
      <w:r w:rsidR="00D91CFE">
        <w:rPr>
          <w:rFonts w:eastAsiaTheme="minorHAnsi"/>
          <w:lang w:val="es-ES" w:eastAsia="en-US"/>
        </w:rPr>
        <w:t>.  E</w:t>
      </w:r>
      <w:r w:rsidRPr="00B501A1">
        <w:rPr>
          <w:rFonts w:eastAsiaTheme="minorHAnsi"/>
          <w:lang w:val="es-ES" w:eastAsia="en-US"/>
        </w:rPr>
        <w:t>sto llevó a que la recaudación cayera significativamente y no se cumplió la previsión de los ejercicios multianuales de presupuesto, por ello en 2020</w:t>
      </w:r>
      <w:r w:rsidR="00D91CFE">
        <w:rPr>
          <w:rFonts w:eastAsiaTheme="minorHAnsi"/>
          <w:lang w:val="es-ES" w:eastAsia="en-US"/>
        </w:rPr>
        <w:t>,</w:t>
      </w:r>
      <w:r w:rsidRPr="00B501A1">
        <w:rPr>
          <w:rFonts w:eastAsiaTheme="minorHAnsi"/>
          <w:lang w:val="es-ES" w:eastAsia="en-US"/>
        </w:rPr>
        <w:t xml:space="preserve"> se observa que existió una sobrestimación de los ingresos tributarios.</w:t>
      </w:r>
    </w:p>
    <w:p w14:paraId="79BBB016" w14:textId="77777777" w:rsidR="00CB0BEF" w:rsidRPr="00B501A1" w:rsidRDefault="00CB0BEF" w:rsidP="00CB0BEF">
      <w:pPr>
        <w:jc w:val="both"/>
        <w:rPr>
          <w:rFonts w:eastAsiaTheme="minorHAnsi"/>
          <w:lang w:val="es-ES" w:eastAsia="en-US"/>
        </w:rPr>
      </w:pPr>
    </w:p>
    <w:p w14:paraId="3AB13CA4" w14:textId="474054DB" w:rsidR="00B501A1" w:rsidRDefault="00B501A1" w:rsidP="00CB0BEF">
      <w:pPr>
        <w:jc w:val="both"/>
        <w:rPr>
          <w:rFonts w:eastAsiaTheme="minorHAnsi"/>
          <w:lang w:val="es-ES" w:eastAsia="en-US"/>
        </w:rPr>
      </w:pPr>
      <w:r w:rsidRPr="00B501A1">
        <w:rPr>
          <w:rFonts w:eastAsiaTheme="minorHAnsi"/>
          <w:lang w:val="es-ES" w:eastAsia="en-US"/>
        </w:rPr>
        <w:t xml:space="preserve">Al contrario, para los ejercicios 2021-2022 se observa una tendencia diferente respecto a lo previsto en el presupuesto multianual 2021-2025 y 2022-2026, </w:t>
      </w:r>
      <w:r w:rsidR="00D91CFE">
        <w:rPr>
          <w:rFonts w:eastAsiaTheme="minorHAnsi"/>
          <w:lang w:val="es-ES" w:eastAsia="en-US"/>
        </w:rPr>
        <w:t>respectivamente.  S</w:t>
      </w:r>
      <w:r w:rsidRPr="00B501A1">
        <w:rPr>
          <w:rFonts w:eastAsiaTheme="minorHAnsi"/>
          <w:lang w:val="es-ES" w:eastAsia="en-US"/>
        </w:rPr>
        <w:t>e observa que los ingresos tributarios fueron significativamente mayores a los previstos en 2021 y 2022, derivado de que las medidas administrativas implementadas por la SAT empezaron a tener resultados positivos.</w:t>
      </w:r>
    </w:p>
    <w:p w14:paraId="4F89C803" w14:textId="77777777" w:rsidR="00CB0BEF" w:rsidRPr="00B501A1" w:rsidRDefault="00CB0BEF" w:rsidP="00CB0BEF">
      <w:pPr>
        <w:jc w:val="both"/>
        <w:rPr>
          <w:rFonts w:eastAsiaTheme="minorHAnsi"/>
          <w:lang w:val="es-ES" w:eastAsia="en-US"/>
        </w:rPr>
      </w:pPr>
    </w:p>
    <w:p w14:paraId="3C7044A8" w14:textId="73CB020A" w:rsidR="00B501A1" w:rsidRDefault="00B501A1" w:rsidP="00CB0BEF">
      <w:pPr>
        <w:jc w:val="both"/>
        <w:rPr>
          <w:rFonts w:eastAsiaTheme="minorHAnsi"/>
          <w:lang w:val="es-ES" w:eastAsia="en-US"/>
        </w:rPr>
      </w:pPr>
      <w:r w:rsidRPr="00B501A1">
        <w:rPr>
          <w:rFonts w:eastAsiaTheme="minorHAnsi"/>
          <w:lang w:val="es-ES" w:eastAsia="en-US"/>
        </w:rPr>
        <w:t>La estimación de medidas administrativas para 2020 fue de Q1,500 millones, para 2021 fue de Q2,156.5 millones y para 2022 fue de Q1,250 millones. Finalmente, las cifras observadas por medidas administrativas para 2020 fue de Q1,996.2 millones, para 2021 de Q1,945.3 millones y para 2022 de Q2,227.3 millones, es decir, en dos años se superaron las medidas administrativas que fueron planificadas, siendo el 2020 y 2022.</w:t>
      </w:r>
    </w:p>
    <w:p w14:paraId="4E1A2980" w14:textId="77777777" w:rsidR="00CB0BEF" w:rsidRPr="00B501A1" w:rsidRDefault="00CB0BEF" w:rsidP="00CB0BEF">
      <w:pPr>
        <w:jc w:val="both"/>
        <w:rPr>
          <w:rFonts w:eastAsiaTheme="minorHAnsi"/>
          <w:lang w:val="es-ES" w:eastAsia="en-US"/>
        </w:rPr>
      </w:pPr>
    </w:p>
    <w:p w14:paraId="2DFC47FF" w14:textId="57E0DEA9" w:rsidR="00321A34" w:rsidRDefault="00B501A1" w:rsidP="00875D00">
      <w:pPr>
        <w:jc w:val="both"/>
        <w:rPr>
          <w:rFonts w:eastAsiaTheme="minorHAnsi"/>
          <w:lang w:val="es-ES" w:eastAsia="en-US"/>
        </w:rPr>
      </w:pPr>
      <w:r w:rsidRPr="00B501A1">
        <w:rPr>
          <w:rFonts w:eastAsiaTheme="minorHAnsi"/>
          <w:lang w:val="es-ES" w:eastAsia="en-US"/>
        </w:rPr>
        <w:t>Adicionalmente, se esperaba que la reactivación de la economía nacional se lograra en el menor tiempo posible y esto le permitiera al país recuperar la senda del crecimiento. En efecto, la senda de recuperación del crecimiento fue rápida y en 2021 Guatemala reportó un efecto rebote, luego de la crisis ocasionada por el COVID-19.</w:t>
      </w:r>
    </w:p>
    <w:p w14:paraId="68CADD6C" w14:textId="77777777" w:rsidR="00875D00" w:rsidRPr="00B501A1" w:rsidRDefault="00875D00" w:rsidP="00875D00">
      <w:pPr>
        <w:jc w:val="both"/>
        <w:rPr>
          <w:rFonts w:eastAsiaTheme="minorHAnsi"/>
          <w:lang w:val="es-ES" w:eastAsia="en-US"/>
        </w:rPr>
      </w:pPr>
    </w:p>
    <w:p w14:paraId="2F6CAC7D" w14:textId="764A7634" w:rsidR="00B501A1" w:rsidRPr="00B10558" w:rsidRDefault="00B10558" w:rsidP="00B10558">
      <w:pPr>
        <w:pStyle w:val="Descripcin"/>
        <w:spacing w:after="0"/>
        <w:jc w:val="center"/>
        <w:rPr>
          <w:rFonts w:eastAsiaTheme="minorEastAsia"/>
          <w:b/>
          <w:bCs/>
          <w:i w:val="0"/>
          <w:iCs w:val="0"/>
          <w:color w:val="auto"/>
          <w:kern w:val="24"/>
          <w:sz w:val="24"/>
          <w:szCs w:val="24"/>
        </w:rPr>
      </w:pPr>
      <w:bookmarkStart w:id="155" w:name="_Toc143870729"/>
      <w:r w:rsidRPr="00B10558">
        <w:rPr>
          <w:b/>
          <w:bCs/>
          <w:i w:val="0"/>
          <w:iCs w:val="0"/>
          <w:color w:val="auto"/>
          <w:sz w:val="24"/>
          <w:szCs w:val="24"/>
        </w:rPr>
        <w:t xml:space="preserve">Gráfico </w:t>
      </w:r>
      <w:r w:rsidRPr="00B10558">
        <w:rPr>
          <w:b/>
          <w:bCs/>
          <w:i w:val="0"/>
          <w:iCs w:val="0"/>
          <w:color w:val="auto"/>
          <w:sz w:val="24"/>
          <w:szCs w:val="24"/>
        </w:rPr>
        <w:fldChar w:fldCharType="begin"/>
      </w:r>
      <w:r w:rsidRPr="00B10558">
        <w:rPr>
          <w:b/>
          <w:bCs/>
          <w:i w:val="0"/>
          <w:iCs w:val="0"/>
          <w:color w:val="auto"/>
          <w:sz w:val="24"/>
          <w:szCs w:val="24"/>
        </w:rPr>
        <w:instrText xml:space="preserve"> SEQ Gráfico \* ARABIC </w:instrText>
      </w:r>
      <w:r w:rsidRPr="00B10558">
        <w:rPr>
          <w:b/>
          <w:bCs/>
          <w:i w:val="0"/>
          <w:iCs w:val="0"/>
          <w:color w:val="auto"/>
          <w:sz w:val="24"/>
          <w:szCs w:val="24"/>
        </w:rPr>
        <w:fldChar w:fldCharType="separate"/>
      </w:r>
      <w:r w:rsidR="006622B2">
        <w:rPr>
          <w:b/>
          <w:bCs/>
          <w:i w:val="0"/>
          <w:iCs w:val="0"/>
          <w:noProof/>
          <w:color w:val="auto"/>
          <w:sz w:val="24"/>
          <w:szCs w:val="24"/>
        </w:rPr>
        <w:t>62</w:t>
      </w:r>
      <w:r w:rsidRPr="00B10558">
        <w:rPr>
          <w:b/>
          <w:bCs/>
          <w:i w:val="0"/>
          <w:iCs w:val="0"/>
          <w:color w:val="auto"/>
          <w:sz w:val="24"/>
          <w:szCs w:val="24"/>
        </w:rPr>
        <w:fldChar w:fldCharType="end"/>
      </w:r>
      <w:r w:rsidRPr="00B10558">
        <w:rPr>
          <w:b/>
          <w:bCs/>
          <w:i w:val="0"/>
          <w:iCs w:val="0"/>
          <w:color w:val="auto"/>
          <w:sz w:val="24"/>
          <w:szCs w:val="24"/>
        </w:rPr>
        <w:t>.  Ingresos tributarios: error de pronóstico</w:t>
      </w:r>
      <w:bookmarkEnd w:id="155"/>
    </w:p>
    <w:p w14:paraId="7721F11A" w14:textId="77777777" w:rsidR="00B501A1" w:rsidRPr="00B501A1" w:rsidRDefault="00B501A1" w:rsidP="00B501A1">
      <w:pPr>
        <w:jc w:val="center"/>
        <w:textAlignment w:val="baseline"/>
        <w:rPr>
          <w:rFonts w:eastAsiaTheme="minorEastAsia"/>
          <w:kern w:val="24"/>
          <w:sz w:val="21"/>
          <w:szCs w:val="21"/>
        </w:rPr>
      </w:pPr>
      <w:r w:rsidRPr="00B501A1">
        <w:rPr>
          <w:rFonts w:eastAsiaTheme="minorEastAsia"/>
          <w:kern w:val="24"/>
          <w:sz w:val="21"/>
          <w:szCs w:val="21"/>
        </w:rPr>
        <w:t>(en porcentajes del PIB)</w:t>
      </w:r>
    </w:p>
    <w:p w14:paraId="6C2B6D66" w14:textId="77777777" w:rsidR="00B501A1" w:rsidRPr="00B501A1" w:rsidRDefault="00B501A1" w:rsidP="00B501A1">
      <w:pPr>
        <w:jc w:val="center"/>
        <w:textAlignment w:val="baseline"/>
        <w:rPr>
          <w:rFonts w:eastAsiaTheme="minorEastAsia"/>
          <w:kern w:val="24"/>
          <w:sz w:val="21"/>
          <w:szCs w:val="21"/>
        </w:rPr>
      </w:pPr>
      <w:r w:rsidRPr="00B501A1">
        <w:rPr>
          <w:noProof/>
        </w:rPr>
        <w:drawing>
          <wp:inline distT="0" distB="0" distL="0" distR="0" wp14:anchorId="0908F730" wp14:editId="65B21C1F">
            <wp:extent cx="5762625" cy="2136038"/>
            <wp:effectExtent l="0" t="0" r="0" b="0"/>
            <wp:docPr id="84" name="Gráfico 84">
              <a:extLst xmlns:a="http://schemas.openxmlformats.org/drawingml/2006/main">
                <a:ext uri="{FF2B5EF4-FFF2-40B4-BE49-F238E27FC236}">
                  <a16:creationId xmlns:a16="http://schemas.microsoft.com/office/drawing/2014/main" id="{F347BE96-A1E1-4490-B3F5-864567446E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5910E51A" w14:textId="77777777" w:rsidR="00B501A1" w:rsidRPr="00B501A1" w:rsidRDefault="00B501A1" w:rsidP="00B501A1">
      <w:pPr>
        <w:spacing w:line="259" w:lineRule="auto"/>
        <w:rPr>
          <w:rFonts w:eastAsiaTheme="minorHAnsi"/>
          <w:sz w:val="16"/>
          <w:szCs w:val="16"/>
          <w:lang w:val="es-ES" w:eastAsia="en-US"/>
        </w:rPr>
      </w:pPr>
      <w:r w:rsidRPr="00B501A1">
        <w:rPr>
          <w:rFonts w:eastAsiaTheme="minorHAnsi"/>
          <w:sz w:val="16"/>
          <w:szCs w:val="16"/>
          <w:lang w:val="es-ES" w:eastAsia="en-US"/>
        </w:rPr>
        <w:t>Fuente: Dirección de Análisis y Política Fiscal</w:t>
      </w:r>
    </w:p>
    <w:p w14:paraId="78320ACE" w14:textId="77777777" w:rsidR="00B501A1" w:rsidRPr="00B501A1" w:rsidRDefault="00B501A1" w:rsidP="00B501A1">
      <w:pPr>
        <w:spacing w:after="160" w:line="259" w:lineRule="auto"/>
        <w:jc w:val="both"/>
        <w:rPr>
          <w:rFonts w:eastAsiaTheme="minorHAnsi"/>
          <w:sz w:val="12"/>
          <w:szCs w:val="12"/>
          <w:lang w:val="es-ES" w:eastAsia="en-US"/>
        </w:rPr>
      </w:pPr>
    </w:p>
    <w:p w14:paraId="32D58469" w14:textId="2D338A24" w:rsidR="00B501A1" w:rsidRDefault="00B501A1" w:rsidP="00875D00">
      <w:pPr>
        <w:jc w:val="both"/>
        <w:rPr>
          <w:rFonts w:eastAsiaTheme="minorHAnsi"/>
          <w:lang w:val="es-ES" w:eastAsia="en-US"/>
        </w:rPr>
      </w:pPr>
      <w:r w:rsidRPr="00B501A1">
        <w:rPr>
          <w:rFonts w:eastAsiaTheme="minorHAnsi"/>
          <w:lang w:val="es-ES" w:eastAsia="en-US"/>
        </w:rPr>
        <w:t xml:space="preserve">Respecto al error promedio absoluto de pronóstico, se observa que en el año presupuestario fue de 0.86% del PIB, en el año presupuestario +1 el error de pronóstico promedio sube a 0.96%, y en el año presupuestario +2 el error de pronóstico promedio es de 0.84% del PIB. Esto se debe a que en el ejercicio donde se realiza el presupuesto, es más fácil predecir lo que puede ocurrir en el siguiente ejercicio fiscal dada su cercanía, mientras que en el año presupuestario +1, el error promedio de pronóstico aumenta. </w:t>
      </w:r>
    </w:p>
    <w:p w14:paraId="2D4751EF" w14:textId="77777777" w:rsidR="00875D00" w:rsidRPr="00B501A1" w:rsidRDefault="00875D00" w:rsidP="00875D00">
      <w:pPr>
        <w:jc w:val="both"/>
        <w:rPr>
          <w:rFonts w:eastAsiaTheme="minorHAnsi"/>
          <w:lang w:val="es-ES" w:eastAsia="en-US"/>
        </w:rPr>
      </w:pPr>
    </w:p>
    <w:p w14:paraId="3CD0B9C1" w14:textId="77777777" w:rsidR="00875D00" w:rsidRDefault="00B501A1" w:rsidP="00875D00">
      <w:pPr>
        <w:jc w:val="both"/>
        <w:rPr>
          <w:rFonts w:eastAsiaTheme="minorHAnsi"/>
          <w:lang w:val="es-ES" w:eastAsia="en-US"/>
        </w:rPr>
      </w:pPr>
      <w:r w:rsidRPr="00B501A1">
        <w:rPr>
          <w:rFonts w:eastAsiaTheme="minorHAnsi"/>
          <w:lang w:val="es-ES" w:eastAsia="en-US"/>
        </w:rPr>
        <w:t>Un escenario que influyó en un mayor error de pronóstico del presupuesto multianual 2020-2024, fue que para 2021 aún no se tenía certeza sobre la eficiencia de la vacuna contra el COVID-19, dado que estaban surgiendo nuevas cepas del virus en un panorama donde aún primaba la incertidumbre económica y sanitaria mundial. Por ello, los pronósticos de ingresos tributarios 2021-2022 fueron altamente subestimados.</w:t>
      </w:r>
    </w:p>
    <w:p w14:paraId="4445887C" w14:textId="4E5C0FA3" w:rsidR="00B501A1" w:rsidRPr="00B501A1" w:rsidRDefault="00B501A1" w:rsidP="00875D00">
      <w:pPr>
        <w:jc w:val="both"/>
        <w:rPr>
          <w:rFonts w:eastAsiaTheme="minorHAnsi"/>
          <w:lang w:val="es-ES" w:eastAsia="en-US"/>
        </w:rPr>
      </w:pPr>
      <w:r w:rsidRPr="00B501A1">
        <w:rPr>
          <w:rFonts w:eastAsiaTheme="minorHAnsi"/>
          <w:lang w:val="es-ES" w:eastAsia="en-US"/>
        </w:rPr>
        <w:t xml:space="preserve"> </w:t>
      </w:r>
    </w:p>
    <w:p w14:paraId="3A91DCCE" w14:textId="2E72FD47" w:rsidR="00B501A1" w:rsidRDefault="00B501A1" w:rsidP="00875D00">
      <w:pPr>
        <w:jc w:val="both"/>
        <w:rPr>
          <w:rFonts w:eastAsiaTheme="minorHAnsi"/>
          <w:lang w:val="es-ES" w:eastAsia="en-US"/>
        </w:rPr>
      </w:pPr>
      <w:r w:rsidRPr="00B501A1">
        <w:rPr>
          <w:rFonts w:eastAsiaTheme="minorHAnsi"/>
          <w:lang w:val="es-ES" w:eastAsia="en-US"/>
        </w:rPr>
        <w:t>En el ejercicio de presupuesto multianual 2022-2026, aun se observa que los ingresos tributarios podrían estar siendo subestimados, dado que se está a la espera de confirmar si los avances en la recaudación tributaria responden a factores estructurales o es más bien un comportamiento cíclico.</w:t>
      </w:r>
    </w:p>
    <w:p w14:paraId="0C6B504F" w14:textId="77777777" w:rsidR="00875D00" w:rsidRDefault="00875D00" w:rsidP="00875D00">
      <w:pPr>
        <w:jc w:val="both"/>
        <w:rPr>
          <w:rFonts w:eastAsiaTheme="minorHAnsi"/>
          <w:lang w:val="es-ES" w:eastAsia="en-US"/>
        </w:rPr>
      </w:pPr>
    </w:p>
    <w:tbl>
      <w:tblPr>
        <w:tblStyle w:val="Tablaconcuadrcu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808"/>
        <w:gridCol w:w="4030"/>
      </w:tblGrid>
      <w:tr w:rsidR="00B501A1" w:rsidRPr="00B501A1" w14:paraId="07A85B38" w14:textId="77777777" w:rsidTr="00451B38">
        <w:tc>
          <w:tcPr>
            <w:tcW w:w="4808" w:type="dxa"/>
          </w:tcPr>
          <w:p w14:paraId="0BD3EBB4" w14:textId="2EE1688F" w:rsidR="00B10558" w:rsidRPr="00B10558" w:rsidRDefault="00B10558" w:rsidP="00B10558">
            <w:pPr>
              <w:pStyle w:val="Descripcin"/>
              <w:spacing w:after="0"/>
              <w:jc w:val="center"/>
              <w:rPr>
                <w:b/>
                <w:bCs/>
                <w:i w:val="0"/>
                <w:iCs w:val="0"/>
                <w:color w:val="auto"/>
                <w:sz w:val="24"/>
                <w:szCs w:val="24"/>
              </w:rPr>
            </w:pPr>
            <w:bookmarkStart w:id="156" w:name="_Toc143870730"/>
            <w:r w:rsidRPr="00B10558">
              <w:rPr>
                <w:b/>
                <w:bCs/>
                <w:i w:val="0"/>
                <w:iCs w:val="0"/>
                <w:color w:val="auto"/>
                <w:sz w:val="24"/>
                <w:szCs w:val="24"/>
              </w:rPr>
              <w:t xml:space="preserve">Gráfico </w:t>
            </w:r>
            <w:r w:rsidRPr="00B10558">
              <w:rPr>
                <w:b/>
                <w:bCs/>
                <w:i w:val="0"/>
                <w:iCs w:val="0"/>
                <w:color w:val="auto"/>
                <w:sz w:val="24"/>
                <w:szCs w:val="24"/>
              </w:rPr>
              <w:fldChar w:fldCharType="begin"/>
            </w:r>
            <w:r w:rsidRPr="00B10558">
              <w:rPr>
                <w:b/>
                <w:bCs/>
                <w:i w:val="0"/>
                <w:iCs w:val="0"/>
                <w:color w:val="auto"/>
                <w:sz w:val="24"/>
                <w:szCs w:val="24"/>
              </w:rPr>
              <w:instrText xml:space="preserve"> SEQ Gráfico \* ARABIC </w:instrText>
            </w:r>
            <w:r w:rsidRPr="00B10558">
              <w:rPr>
                <w:b/>
                <w:bCs/>
                <w:i w:val="0"/>
                <w:iCs w:val="0"/>
                <w:color w:val="auto"/>
                <w:sz w:val="24"/>
                <w:szCs w:val="24"/>
              </w:rPr>
              <w:fldChar w:fldCharType="separate"/>
            </w:r>
            <w:r w:rsidR="006622B2">
              <w:rPr>
                <w:b/>
                <w:bCs/>
                <w:i w:val="0"/>
                <w:iCs w:val="0"/>
                <w:noProof/>
                <w:color w:val="auto"/>
                <w:sz w:val="24"/>
                <w:szCs w:val="24"/>
              </w:rPr>
              <w:t>63</w:t>
            </w:r>
            <w:r w:rsidRPr="00B10558">
              <w:rPr>
                <w:b/>
                <w:bCs/>
                <w:i w:val="0"/>
                <w:iCs w:val="0"/>
                <w:color w:val="auto"/>
                <w:sz w:val="24"/>
                <w:szCs w:val="24"/>
              </w:rPr>
              <w:fldChar w:fldCharType="end"/>
            </w:r>
            <w:r w:rsidRPr="00B10558">
              <w:rPr>
                <w:b/>
                <w:bCs/>
                <w:i w:val="0"/>
                <w:iCs w:val="0"/>
                <w:color w:val="auto"/>
                <w:sz w:val="24"/>
                <w:szCs w:val="24"/>
              </w:rPr>
              <w:t>.  Ingresos Tributarios: Error de Pronóstico</w:t>
            </w:r>
            <w:bookmarkEnd w:id="156"/>
          </w:p>
          <w:p w14:paraId="08D0A9EC" w14:textId="237E346A" w:rsidR="00B501A1" w:rsidRPr="00B501A1" w:rsidRDefault="00B501A1" w:rsidP="00B501A1">
            <w:pPr>
              <w:jc w:val="center"/>
              <w:rPr>
                <w:rFonts w:eastAsiaTheme="minorHAnsi"/>
                <w:b/>
                <w:bCs/>
                <w:lang w:val="es-ES" w:eastAsia="en-US"/>
              </w:rPr>
            </w:pPr>
            <w:r w:rsidRPr="00B501A1">
              <w:rPr>
                <w:rFonts w:eastAsiaTheme="minorHAnsi"/>
                <w:b/>
                <w:bCs/>
                <w:lang w:val="es-ES" w:eastAsia="en-US"/>
              </w:rPr>
              <w:t xml:space="preserve"> promedio</w:t>
            </w:r>
          </w:p>
          <w:p w14:paraId="48138977" w14:textId="77777777" w:rsidR="00B501A1" w:rsidRPr="00B501A1" w:rsidRDefault="00B501A1" w:rsidP="00B501A1">
            <w:pPr>
              <w:jc w:val="center"/>
              <w:rPr>
                <w:rFonts w:eastAsiaTheme="minorHAnsi"/>
                <w:sz w:val="20"/>
                <w:szCs w:val="20"/>
                <w:lang w:val="es-ES" w:eastAsia="en-US"/>
              </w:rPr>
            </w:pPr>
            <w:r w:rsidRPr="00B501A1">
              <w:rPr>
                <w:rFonts w:eastAsiaTheme="minorHAnsi"/>
                <w:sz w:val="20"/>
                <w:szCs w:val="20"/>
                <w:lang w:val="es-ES" w:eastAsia="en-US"/>
              </w:rPr>
              <w:t>(en porcentajes del PIB)</w:t>
            </w:r>
          </w:p>
          <w:p w14:paraId="308D860E" w14:textId="77777777" w:rsidR="00B501A1" w:rsidRPr="00B501A1" w:rsidRDefault="00B501A1" w:rsidP="00B501A1">
            <w:pPr>
              <w:rPr>
                <w:rFonts w:eastAsiaTheme="minorHAnsi"/>
                <w:sz w:val="16"/>
                <w:szCs w:val="16"/>
                <w:lang w:val="es-ES" w:eastAsia="en-US"/>
              </w:rPr>
            </w:pPr>
            <w:r w:rsidRPr="00B501A1">
              <w:rPr>
                <w:rFonts w:asciiTheme="minorHAnsi" w:eastAsiaTheme="minorHAnsi" w:hAnsiTheme="minorHAnsi" w:cstheme="minorBidi"/>
                <w:noProof/>
                <w:sz w:val="22"/>
                <w:szCs w:val="22"/>
                <w:lang w:eastAsia="en-US"/>
              </w:rPr>
              <w:drawing>
                <wp:inline distT="0" distB="0" distL="0" distR="0" wp14:anchorId="6361D44B" wp14:editId="1EC67257">
                  <wp:extent cx="2995295" cy="1550822"/>
                  <wp:effectExtent l="0" t="0" r="0" b="0"/>
                  <wp:docPr id="94" name="Gráfico 94">
                    <a:extLst xmlns:a="http://schemas.openxmlformats.org/drawingml/2006/main">
                      <a:ext uri="{FF2B5EF4-FFF2-40B4-BE49-F238E27FC236}">
                        <a16:creationId xmlns:a16="http://schemas.microsoft.com/office/drawing/2014/main" id="{0B49A5E4-8C13-4975-BCAE-40C96DD529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tc>
        <w:tc>
          <w:tcPr>
            <w:tcW w:w="4030" w:type="dxa"/>
          </w:tcPr>
          <w:p w14:paraId="405C892C" w14:textId="77777777" w:rsidR="00B501A1" w:rsidRPr="00B501A1" w:rsidRDefault="00B501A1" w:rsidP="00B501A1">
            <w:pPr>
              <w:jc w:val="center"/>
              <w:rPr>
                <w:rFonts w:eastAsiaTheme="minorHAnsi"/>
                <w:b/>
                <w:bCs/>
                <w:lang w:val="es-ES" w:eastAsia="en-US"/>
              </w:rPr>
            </w:pPr>
            <w:r w:rsidRPr="00B501A1">
              <w:rPr>
                <w:rFonts w:eastAsiaTheme="minorHAnsi"/>
                <w:b/>
                <w:bCs/>
                <w:lang w:val="es-ES" w:eastAsia="en-US"/>
              </w:rPr>
              <w:t>Ingresos Tributarios: Error promedio absoluto de pronóstico</w:t>
            </w:r>
          </w:p>
          <w:p w14:paraId="39073EC4" w14:textId="77777777" w:rsidR="00B501A1" w:rsidRPr="00B501A1" w:rsidRDefault="00B501A1" w:rsidP="00B501A1">
            <w:pPr>
              <w:jc w:val="center"/>
              <w:rPr>
                <w:rFonts w:eastAsiaTheme="minorHAnsi"/>
                <w:sz w:val="20"/>
                <w:szCs w:val="20"/>
                <w:lang w:val="es-ES" w:eastAsia="en-US"/>
              </w:rPr>
            </w:pPr>
            <w:r w:rsidRPr="00B501A1">
              <w:rPr>
                <w:rFonts w:eastAsiaTheme="minorHAnsi"/>
                <w:sz w:val="20"/>
                <w:szCs w:val="20"/>
                <w:lang w:val="es-ES" w:eastAsia="en-US"/>
              </w:rPr>
              <w:t>(en porcentajes del PIB)</w:t>
            </w:r>
          </w:p>
          <w:p w14:paraId="1F8D37F4" w14:textId="77777777" w:rsidR="00B501A1" w:rsidRPr="00B501A1" w:rsidRDefault="00B501A1" w:rsidP="00B501A1">
            <w:pPr>
              <w:rPr>
                <w:rFonts w:eastAsiaTheme="minorHAnsi"/>
                <w:sz w:val="16"/>
                <w:szCs w:val="16"/>
                <w:lang w:val="es-ES" w:eastAsia="en-US"/>
              </w:rPr>
            </w:pPr>
            <w:r w:rsidRPr="00B501A1">
              <w:rPr>
                <w:rFonts w:asciiTheme="minorHAnsi" w:eastAsiaTheme="minorHAnsi" w:hAnsiTheme="minorHAnsi" w:cstheme="minorBidi"/>
                <w:noProof/>
                <w:sz w:val="22"/>
                <w:szCs w:val="22"/>
                <w:lang w:eastAsia="en-US"/>
              </w:rPr>
              <w:drawing>
                <wp:inline distT="0" distB="0" distL="0" distR="0" wp14:anchorId="7448C441" wp14:editId="1616DD10">
                  <wp:extent cx="2493645" cy="1726235"/>
                  <wp:effectExtent l="0" t="0" r="1905" b="7620"/>
                  <wp:docPr id="95" name="Gráfico 95">
                    <a:extLst xmlns:a="http://schemas.openxmlformats.org/drawingml/2006/main">
                      <a:ext uri="{FF2B5EF4-FFF2-40B4-BE49-F238E27FC236}">
                        <a16:creationId xmlns:a16="http://schemas.microsoft.com/office/drawing/2014/main" id="{C8B5F18E-91FA-426F-B02E-EE558B4D90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tc>
      </w:tr>
      <w:tr w:rsidR="00B501A1" w:rsidRPr="00B501A1" w14:paraId="14A86DB2" w14:textId="77777777" w:rsidTr="00451B38">
        <w:tc>
          <w:tcPr>
            <w:tcW w:w="8838" w:type="dxa"/>
            <w:gridSpan w:val="2"/>
          </w:tcPr>
          <w:p w14:paraId="60C02312" w14:textId="1361088C" w:rsidR="00B501A1" w:rsidRPr="00B501A1" w:rsidRDefault="00B501A1" w:rsidP="00B501A1">
            <w:pPr>
              <w:jc w:val="center"/>
              <w:rPr>
                <w:rFonts w:eastAsiaTheme="minorHAnsi"/>
                <w:b/>
                <w:bCs/>
                <w:lang w:val="es-ES" w:eastAsia="en-US"/>
              </w:rPr>
            </w:pPr>
            <w:r w:rsidRPr="00B501A1">
              <w:rPr>
                <w:rFonts w:eastAsiaTheme="minorHAnsi"/>
                <w:b/>
                <w:bCs/>
                <w:lang w:val="es-ES" w:eastAsia="en-US"/>
              </w:rPr>
              <w:t xml:space="preserve">Ingresos </w:t>
            </w:r>
            <w:r w:rsidR="00D31CC8">
              <w:rPr>
                <w:rFonts w:eastAsiaTheme="minorHAnsi"/>
                <w:b/>
                <w:bCs/>
                <w:lang w:val="es-ES" w:eastAsia="en-US"/>
              </w:rPr>
              <w:t>t</w:t>
            </w:r>
            <w:r w:rsidRPr="00B501A1">
              <w:rPr>
                <w:rFonts w:eastAsiaTheme="minorHAnsi"/>
                <w:b/>
                <w:bCs/>
                <w:lang w:val="es-ES" w:eastAsia="en-US"/>
              </w:rPr>
              <w:t xml:space="preserve">ributarios: </w:t>
            </w:r>
            <w:r w:rsidR="00D31CC8">
              <w:rPr>
                <w:rFonts w:eastAsiaTheme="minorHAnsi"/>
                <w:b/>
                <w:bCs/>
                <w:lang w:val="es-ES" w:eastAsia="en-US"/>
              </w:rPr>
              <w:t>d</w:t>
            </w:r>
            <w:r w:rsidRPr="00B501A1">
              <w:rPr>
                <w:rFonts w:eastAsiaTheme="minorHAnsi"/>
                <w:b/>
                <w:bCs/>
                <w:lang w:val="es-ES" w:eastAsia="en-US"/>
              </w:rPr>
              <w:t>istribución de errores de pronóstico</w:t>
            </w:r>
          </w:p>
          <w:p w14:paraId="460E5E6D" w14:textId="77777777" w:rsidR="00B501A1" w:rsidRPr="00B501A1" w:rsidRDefault="00B501A1" w:rsidP="00B501A1">
            <w:pPr>
              <w:jc w:val="center"/>
              <w:rPr>
                <w:rFonts w:eastAsiaTheme="minorHAnsi"/>
                <w:sz w:val="20"/>
                <w:szCs w:val="20"/>
                <w:lang w:val="es-ES" w:eastAsia="en-US"/>
              </w:rPr>
            </w:pPr>
            <w:r w:rsidRPr="00B501A1">
              <w:rPr>
                <w:rFonts w:eastAsiaTheme="minorHAnsi"/>
                <w:sz w:val="20"/>
                <w:szCs w:val="20"/>
                <w:lang w:val="es-ES" w:eastAsia="en-US"/>
              </w:rPr>
              <w:t>(en porcentajes del PIB)</w:t>
            </w:r>
          </w:p>
          <w:p w14:paraId="3049633A" w14:textId="77777777" w:rsidR="00B501A1" w:rsidRPr="00B501A1" w:rsidRDefault="00B501A1" w:rsidP="00B501A1">
            <w:pPr>
              <w:jc w:val="center"/>
              <w:rPr>
                <w:rFonts w:eastAsiaTheme="minorHAnsi"/>
                <w:sz w:val="20"/>
                <w:szCs w:val="20"/>
                <w:lang w:val="es-ES" w:eastAsia="en-US"/>
              </w:rPr>
            </w:pPr>
            <w:r w:rsidRPr="00B501A1">
              <w:rPr>
                <w:rFonts w:asciiTheme="minorHAnsi" w:eastAsiaTheme="minorHAnsi" w:hAnsiTheme="minorHAnsi" w:cstheme="minorBidi"/>
                <w:noProof/>
                <w:sz w:val="22"/>
                <w:szCs w:val="22"/>
                <w:lang w:eastAsia="en-US"/>
              </w:rPr>
              <mc:AlternateContent>
                <mc:Choice Requires="cx1">
                  <w:drawing>
                    <wp:inline distT="0" distB="0" distL="0" distR="0" wp14:anchorId="145B505D" wp14:editId="0E26B463">
                      <wp:extent cx="5210554" cy="2879725"/>
                      <wp:effectExtent l="0" t="0" r="9525" b="15875"/>
                      <wp:docPr id="96" name="Gráfico 96">
                        <a:extLst xmlns:a="http://schemas.openxmlformats.org/drawingml/2006/main">
                          <a:ext uri="{FF2B5EF4-FFF2-40B4-BE49-F238E27FC236}">
                            <a16:creationId xmlns:a16="http://schemas.microsoft.com/office/drawing/2014/main" id="{BE5EF6AB-2921-45AD-96D0-9568557BF49F}"/>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7"/>
                        </a:graphicData>
                      </a:graphic>
                    </wp:inline>
                  </w:drawing>
                </mc:Choice>
                <mc:Fallback>
                  <w:drawing>
                    <wp:inline distT="0" distB="0" distL="0" distR="0" wp14:anchorId="145B505D" wp14:editId="0E26B463">
                      <wp:extent cx="5210554" cy="2879725"/>
                      <wp:effectExtent l="0" t="0" r="9525" b="15875"/>
                      <wp:docPr id="96" name="Gráfico 96">
                        <a:extLst xmlns:a="http://schemas.openxmlformats.org/drawingml/2006/main">
                          <a:ext uri="{FF2B5EF4-FFF2-40B4-BE49-F238E27FC236}">
                            <a16:creationId xmlns:a16="http://schemas.microsoft.com/office/drawing/2014/main" id="{BE5EF6AB-2921-45AD-96D0-9568557BF49F}"/>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6" name="Gráfico 96">
                                <a:extLst>
                                  <a:ext uri="{FF2B5EF4-FFF2-40B4-BE49-F238E27FC236}">
                                    <a16:creationId xmlns:a16="http://schemas.microsoft.com/office/drawing/2014/main" id="{BE5EF6AB-2921-45AD-96D0-9568557BF49F}"/>
                                  </a:ext>
                                </a:extLst>
                              </pic:cNvPr>
                              <pic:cNvPicPr>
                                <a:picLocks noGrp="1" noRot="1" noChangeAspect="1" noMove="1" noResize="1" noEditPoints="1" noAdjustHandles="1" noChangeArrowheads="1" noChangeShapeType="1"/>
                              </pic:cNvPicPr>
                            </pic:nvPicPr>
                            <pic:blipFill>
                              <a:blip r:embed="rId118"/>
                              <a:stretch>
                                <a:fillRect/>
                              </a:stretch>
                            </pic:blipFill>
                            <pic:spPr>
                              <a:xfrm>
                                <a:off x="0" y="0"/>
                                <a:ext cx="5210175" cy="2879725"/>
                              </a:xfrm>
                              <a:prstGeom prst="rect">
                                <a:avLst/>
                              </a:prstGeom>
                            </pic:spPr>
                          </pic:pic>
                        </a:graphicData>
                      </a:graphic>
                    </wp:inline>
                  </w:drawing>
                </mc:Fallback>
              </mc:AlternateContent>
            </w:r>
          </w:p>
          <w:p w14:paraId="0A706391" w14:textId="77777777" w:rsidR="00B501A1" w:rsidRPr="00B501A1" w:rsidRDefault="00B501A1" w:rsidP="00B501A1">
            <w:pPr>
              <w:rPr>
                <w:rFonts w:eastAsiaTheme="minorHAnsi"/>
                <w:sz w:val="16"/>
                <w:szCs w:val="16"/>
                <w:lang w:val="es-ES" w:eastAsia="en-US"/>
              </w:rPr>
            </w:pPr>
            <w:r w:rsidRPr="00B501A1">
              <w:rPr>
                <w:rFonts w:eastAsiaTheme="minorHAnsi"/>
                <w:sz w:val="16"/>
                <w:szCs w:val="16"/>
                <w:lang w:val="es-ES" w:eastAsia="en-US"/>
              </w:rPr>
              <w:t>Fuente: Dirección de Análisis y Política Fiscal</w:t>
            </w:r>
          </w:p>
        </w:tc>
      </w:tr>
    </w:tbl>
    <w:p w14:paraId="372DEB08" w14:textId="40242228" w:rsidR="00B501A1" w:rsidRPr="0049039C" w:rsidRDefault="00B501A1" w:rsidP="0049039C">
      <w:pPr>
        <w:pStyle w:val="Prrafodelista"/>
        <w:numPr>
          <w:ilvl w:val="2"/>
          <w:numId w:val="3"/>
        </w:numPr>
        <w:jc w:val="both"/>
        <w:outlineLvl w:val="1"/>
        <w:rPr>
          <w:b/>
          <w:bCs/>
        </w:rPr>
      </w:pPr>
      <w:bookmarkStart w:id="157" w:name="_Toc143865833"/>
      <w:r w:rsidRPr="0049039C">
        <w:rPr>
          <w:b/>
          <w:bCs/>
        </w:rPr>
        <w:t xml:space="preserve">Gasto </w:t>
      </w:r>
      <w:r w:rsidR="00D31CC8" w:rsidRPr="0049039C">
        <w:rPr>
          <w:b/>
          <w:bCs/>
        </w:rPr>
        <w:t>p</w:t>
      </w:r>
      <w:r w:rsidRPr="0049039C">
        <w:rPr>
          <w:b/>
          <w:bCs/>
        </w:rPr>
        <w:t>úblico</w:t>
      </w:r>
      <w:bookmarkEnd w:id="157"/>
      <w:r w:rsidRPr="0049039C">
        <w:rPr>
          <w:b/>
          <w:bCs/>
        </w:rPr>
        <w:t xml:space="preserve"> </w:t>
      </w:r>
    </w:p>
    <w:p w14:paraId="08BDA3BD" w14:textId="77777777" w:rsidR="005814D8" w:rsidRPr="005814D8" w:rsidRDefault="005814D8" w:rsidP="00875D00">
      <w:pPr>
        <w:jc w:val="both"/>
        <w:rPr>
          <w:rFonts w:eastAsiaTheme="minorHAnsi"/>
          <w:sz w:val="8"/>
          <w:szCs w:val="8"/>
          <w:lang w:val="es-ES" w:eastAsia="en-US"/>
        </w:rPr>
      </w:pPr>
    </w:p>
    <w:p w14:paraId="5918CFAC" w14:textId="77777777" w:rsidR="00875D00" w:rsidRDefault="00875D00" w:rsidP="00875D00">
      <w:pPr>
        <w:jc w:val="both"/>
        <w:rPr>
          <w:rFonts w:eastAsiaTheme="minorHAnsi"/>
          <w:lang w:val="es-ES" w:eastAsia="en-US"/>
        </w:rPr>
      </w:pPr>
    </w:p>
    <w:p w14:paraId="779E6479" w14:textId="27E3E0D0" w:rsidR="00B501A1" w:rsidRDefault="00B501A1" w:rsidP="00875D00">
      <w:pPr>
        <w:jc w:val="both"/>
        <w:rPr>
          <w:rFonts w:eastAsiaTheme="minorHAnsi"/>
          <w:lang w:val="es-ES" w:eastAsia="en-US"/>
        </w:rPr>
      </w:pPr>
      <w:r w:rsidRPr="00B501A1">
        <w:rPr>
          <w:rFonts w:eastAsiaTheme="minorHAnsi"/>
          <w:lang w:val="es-ES" w:eastAsia="en-US"/>
        </w:rPr>
        <w:t xml:space="preserve">En el gasto público se observa que de 2012 a 2019, los valores en su mayoría se encuentran por debajo de lo previsto para cada uno de los ejercicios de presupuesto multianual, mientras que en 2020 los valores observados se encuentran por arriba de lo estimado para el año presupuestario y el año presupuestario +1, siendo la pandemia del COVID-19 la que explica el gasto extraordinario en este año, </w:t>
      </w:r>
      <w:r w:rsidRPr="00875D00">
        <w:rPr>
          <w:rFonts w:eastAsiaTheme="minorHAnsi"/>
          <w:lang w:val="es-ES" w:eastAsia="en-US"/>
        </w:rPr>
        <w:t>el cual estuvo compuesto</w:t>
      </w:r>
      <w:r w:rsidRPr="00B501A1">
        <w:rPr>
          <w:rFonts w:eastAsiaTheme="minorHAnsi"/>
          <w:lang w:val="es-ES" w:eastAsia="en-US"/>
        </w:rPr>
        <w:t xml:space="preserve"> por diferentes programas económicos y sanitarios de apoyo temporal para aliviar los efectos de la crisis. Por ello el gasto para este ejercicio fiscal fue subestimado, a excepción del año presupuestario +2 (ejercicio fiscal 2018).</w:t>
      </w:r>
    </w:p>
    <w:p w14:paraId="6C34518B" w14:textId="77777777" w:rsidR="00875D00" w:rsidRPr="00B501A1" w:rsidRDefault="00875D00" w:rsidP="00875D00">
      <w:pPr>
        <w:jc w:val="both"/>
        <w:rPr>
          <w:rFonts w:eastAsiaTheme="minorHAnsi"/>
          <w:lang w:val="es-ES" w:eastAsia="en-US"/>
        </w:rPr>
      </w:pPr>
    </w:p>
    <w:p w14:paraId="12817C9B" w14:textId="4098934E" w:rsidR="00B501A1" w:rsidRDefault="00B501A1" w:rsidP="00875D00">
      <w:pPr>
        <w:jc w:val="both"/>
        <w:rPr>
          <w:rFonts w:eastAsiaTheme="minorHAnsi"/>
          <w:lang w:val="es-ES" w:eastAsia="en-US"/>
        </w:rPr>
      </w:pPr>
      <w:r w:rsidRPr="00B501A1">
        <w:rPr>
          <w:rFonts w:eastAsiaTheme="minorHAnsi"/>
          <w:lang w:val="es-ES" w:eastAsia="en-US"/>
        </w:rPr>
        <w:t>Para el 2021 se observa una amplia sobreestimación en el gasto público, en los ejercicios multianuales se esperaba que el 2021 respondiera a la dinámica que traía el gasto previo a la crisis del COVID-19, no obstante, durante el año se tuvo una política fiscal restrictiva, los programas económicos y sociales no continuaron dado que habían cumplido los fines para los cuales habían sido creados y el gasto cayó respecto al 2020.</w:t>
      </w:r>
    </w:p>
    <w:p w14:paraId="3857E99C" w14:textId="77777777" w:rsidR="00875D00" w:rsidRPr="00B501A1" w:rsidRDefault="00875D00" w:rsidP="00875D00">
      <w:pPr>
        <w:jc w:val="both"/>
        <w:rPr>
          <w:rFonts w:eastAsiaTheme="minorHAnsi"/>
          <w:lang w:val="es-ES" w:eastAsia="en-US"/>
        </w:rPr>
      </w:pPr>
    </w:p>
    <w:p w14:paraId="0C960986" w14:textId="0BF48D11" w:rsidR="00B501A1" w:rsidRDefault="00B501A1" w:rsidP="00875D00">
      <w:pPr>
        <w:jc w:val="both"/>
        <w:rPr>
          <w:rFonts w:eastAsiaTheme="minorHAnsi"/>
          <w:lang w:val="es-ES" w:eastAsia="en-US"/>
        </w:rPr>
      </w:pPr>
      <w:r w:rsidRPr="00B501A1">
        <w:rPr>
          <w:rFonts w:eastAsiaTheme="minorHAnsi"/>
          <w:lang w:val="es-ES" w:eastAsia="en-US"/>
        </w:rPr>
        <w:t>Por el contrario, para el ejercicio 2022, se observa que el gasto fue subestimado en el presupuesto multianual 2020-2024, 2021-2025 y 2022-2026, esto puede deberse a que no se contemplaba la materialización de un conflicto geopolítico, aún más considerando que recientemente se había tenido una crisis sanitaria y económica. No obstante, este se dio entre Rusia y Ucrania, lo que derivó en un aumento de los precios y la intervención del gobierno por medio de subsidios temporales para las gasolinas, gas propano y energía eléctrica, adicionalmente la materialización de desastres naturales por la época lluviosa, temporada ciclónica, sistemas de baja presión y el ciclón tropical Julia derivaron en un mayor gasto de atención por desastres naturales y calamidades públicas.</w:t>
      </w:r>
    </w:p>
    <w:p w14:paraId="3FD478A7" w14:textId="77777777" w:rsidR="00875D00" w:rsidRPr="00B501A1" w:rsidRDefault="00875D00" w:rsidP="00875D00">
      <w:pPr>
        <w:jc w:val="both"/>
        <w:rPr>
          <w:rFonts w:eastAsiaTheme="minorHAnsi"/>
          <w:lang w:val="es-ES" w:eastAsia="en-US"/>
        </w:rPr>
      </w:pPr>
    </w:p>
    <w:p w14:paraId="2D2AAD84" w14:textId="410774CC" w:rsidR="00B501A1" w:rsidRPr="00DF7D59" w:rsidRDefault="00DF7D59" w:rsidP="00DF7D59">
      <w:pPr>
        <w:pStyle w:val="Descripcin"/>
        <w:spacing w:after="0"/>
        <w:jc w:val="center"/>
        <w:rPr>
          <w:rFonts w:eastAsiaTheme="minorEastAsia"/>
          <w:b/>
          <w:bCs/>
          <w:i w:val="0"/>
          <w:iCs w:val="0"/>
          <w:color w:val="auto"/>
          <w:kern w:val="24"/>
          <w:sz w:val="24"/>
          <w:szCs w:val="24"/>
        </w:rPr>
      </w:pPr>
      <w:bookmarkStart w:id="158" w:name="_Toc143870731"/>
      <w:r w:rsidRPr="00DF7D59">
        <w:rPr>
          <w:b/>
          <w:bCs/>
          <w:i w:val="0"/>
          <w:iCs w:val="0"/>
          <w:color w:val="auto"/>
          <w:sz w:val="24"/>
          <w:szCs w:val="24"/>
        </w:rPr>
        <w:t xml:space="preserve">Gráfico </w:t>
      </w:r>
      <w:r w:rsidRPr="00DF7D59">
        <w:rPr>
          <w:b/>
          <w:bCs/>
          <w:i w:val="0"/>
          <w:iCs w:val="0"/>
          <w:color w:val="auto"/>
          <w:sz w:val="24"/>
          <w:szCs w:val="24"/>
        </w:rPr>
        <w:fldChar w:fldCharType="begin"/>
      </w:r>
      <w:r w:rsidRPr="00DF7D59">
        <w:rPr>
          <w:b/>
          <w:bCs/>
          <w:i w:val="0"/>
          <w:iCs w:val="0"/>
          <w:color w:val="auto"/>
          <w:sz w:val="24"/>
          <w:szCs w:val="24"/>
        </w:rPr>
        <w:instrText xml:space="preserve"> SEQ Gráfico \* ARABIC </w:instrText>
      </w:r>
      <w:r w:rsidRPr="00DF7D59">
        <w:rPr>
          <w:b/>
          <w:bCs/>
          <w:i w:val="0"/>
          <w:iCs w:val="0"/>
          <w:color w:val="auto"/>
          <w:sz w:val="24"/>
          <w:szCs w:val="24"/>
        </w:rPr>
        <w:fldChar w:fldCharType="separate"/>
      </w:r>
      <w:r w:rsidR="006622B2">
        <w:rPr>
          <w:b/>
          <w:bCs/>
          <w:i w:val="0"/>
          <w:iCs w:val="0"/>
          <w:noProof/>
          <w:color w:val="auto"/>
          <w:sz w:val="24"/>
          <w:szCs w:val="24"/>
        </w:rPr>
        <w:t>64</w:t>
      </w:r>
      <w:r w:rsidRPr="00DF7D59">
        <w:rPr>
          <w:b/>
          <w:bCs/>
          <w:i w:val="0"/>
          <w:iCs w:val="0"/>
          <w:color w:val="auto"/>
          <w:sz w:val="24"/>
          <w:szCs w:val="24"/>
        </w:rPr>
        <w:fldChar w:fldCharType="end"/>
      </w:r>
      <w:r w:rsidRPr="00DF7D59">
        <w:rPr>
          <w:b/>
          <w:bCs/>
          <w:i w:val="0"/>
          <w:iCs w:val="0"/>
          <w:color w:val="auto"/>
          <w:sz w:val="24"/>
          <w:szCs w:val="24"/>
        </w:rPr>
        <w:t>.  Gasto público: error de pronóstico</w:t>
      </w:r>
      <w:bookmarkEnd w:id="158"/>
    </w:p>
    <w:p w14:paraId="594F631D" w14:textId="77777777" w:rsidR="00B501A1" w:rsidRPr="00B501A1" w:rsidRDefault="00B501A1" w:rsidP="00B501A1">
      <w:pPr>
        <w:jc w:val="center"/>
        <w:textAlignment w:val="baseline"/>
        <w:rPr>
          <w:rFonts w:eastAsiaTheme="minorEastAsia"/>
          <w:kern w:val="24"/>
          <w:sz w:val="21"/>
          <w:szCs w:val="21"/>
        </w:rPr>
      </w:pPr>
      <w:r w:rsidRPr="00B501A1">
        <w:rPr>
          <w:rFonts w:eastAsiaTheme="minorEastAsia"/>
          <w:kern w:val="24"/>
          <w:sz w:val="21"/>
          <w:szCs w:val="21"/>
        </w:rPr>
        <w:t>(en porcentajes del PIB)</w:t>
      </w:r>
    </w:p>
    <w:p w14:paraId="559A3849" w14:textId="77777777" w:rsidR="00B501A1" w:rsidRPr="00B501A1" w:rsidRDefault="00B501A1" w:rsidP="00B501A1">
      <w:pPr>
        <w:spacing w:after="160" w:line="259" w:lineRule="auto"/>
        <w:rPr>
          <w:rFonts w:eastAsiaTheme="minorHAnsi"/>
          <w:sz w:val="16"/>
          <w:szCs w:val="16"/>
          <w:lang w:eastAsia="en-US"/>
        </w:rPr>
      </w:pPr>
      <w:r w:rsidRPr="00B501A1">
        <w:rPr>
          <w:rFonts w:eastAsiaTheme="minorHAnsi"/>
          <w:noProof/>
          <w:sz w:val="22"/>
          <w:szCs w:val="22"/>
          <w:lang w:eastAsia="en-US"/>
        </w:rPr>
        <w:drawing>
          <wp:inline distT="0" distB="0" distL="0" distR="0" wp14:anchorId="7DE30111" wp14:editId="31CA32D1">
            <wp:extent cx="5412740" cy="2735249"/>
            <wp:effectExtent l="0" t="0" r="0" b="8255"/>
            <wp:docPr id="97" name="Gráfico 97">
              <a:extLst xmlns:a="http://schemas.openxmlformats.org/drawingml/2006/main">
                <a:ext uri="{FF2B5EF4-FFF2-40B4-BE49-F238E27FC236}">
                  <a16:creationId xmlns:a16="http://schemas.microsoft.com/office/drawing/2014/main" id="{FAA9BB58-3862-4666-9597-92DE84385A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186E1FD0" w14:textId="77777777" w:rsidR="00B501A1" w:rsidRPr="00B501A1" w:rsidRDefault="00B501A1" w:rsidP="00B501A1">
      <w:pPr>
        <w:spacing w:after="160" w:line="259" w:lineRule="auto"/>
        <w:rPr>
          <w:rFonts w:eastAsiaTheme="minorHAnsi"/>
          <w:sz w:val="16"/>
          <w:szCs w:val="16"/>
          <w:lang w:val="es-ES" w:eastAsia="en-US"/>
        </w:rPr>
      </w:pPr>
      <w:r w:rsidRPr="00B501A1">
        <w:rPr>
          <w:rFonts w:eastAsiaTheme="minorHAnsi"/>
          <w:sz w:val="16"/>
          <w:szCs w:val="16"/>
          <w:lang w:val="es-ES" w:eastAsia="en-US"/>
        </w:rPr>
        <w:t>Fuente: Dirección de Análisis y Política Fiscal</w:t>
      </w:r>
    </w:p>
    <w:p w14:paraId="0A3BE359" w14:textId="27078763" w:rsidR="005814D8" w:rsidRDefault="00B501A1" w:rsidP="00CB0BEF">
      <w:pPr>
        <w:jc w:val="both"/>
        <w:rPr>
          <w:rFonts w:eastAsiaTheme="minorHAnsi"/>
          <w:lang w:val="es-ES" w:eastAsia="en-US"/>
        </w:rPr>
      </w:pPr>
      <w:r w:rsidRPr="00B501A1">
        <w:rPr>
          <w:rFonts w:eastAsiaTheme="minorHAnsi"/>
          <w:lang w:val="es-ES" w:eastAsia="en-US"/>
        </w:rPr>
        <w:t xml:space="preserve">Respecto al error promedio absoluto de pronóstico, se observa que en el año presupuestario contrario a lo que se esperaría, el error es mayor, siendo de 1.07% del PIB, mientras que en el año presupuestario +1 y año presupuestario +2 este disminuye a 0.85% del PIB y 0.76% del PIB, respectivamente. </w:t>
      </w:r>
    </w:p>
    <w:p w14:paraId="66E19E67" w14:textId="77777777" w:rsidR="00CB0BEF" w:rsidRDefault="00CB0BEF" w:rsidP="00CB0BEF">
      <w:pPr>
        <w:jc w:val="both"/>
        <w:rPr>
          <w:rFonts w:eastAsiaTheme="minorHAnsi"/>
          <w:lang w:val="es-ES" w:eastAsia="en-US"/>
        </w:rPr>
      </w:pPr>
    </w:p>
    <w:tbl>
      <w:tblPr>
        <w:tblStyle w:val="Tablaconcuadrcu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448"/>
        <w:gridCol w:w="4390"/>
      </w:tblGrid>
      <w:tr w:rsidR="00B501A1" w:rsidRPr="00B501A1" w14:paraId="65873490" w14:textId="77777777" w:rsidTr="00451B38">
        <w:tc>
          <w:tcPr>
            <w:tcW w:w="4448" w:type="dxa"/>
          </w:tcPr>
          <w:p w14:paraId="1CF562D4" w14:textId="78F11FA5" w:rsidR="00B501A1" w:rsidRPr="00DF7D59" w:rsidRDefault="00DF7D59" w:rsidP="00DF7D59">
            <w:pPr>
              <w:pStyle w:val="Descripcin"/>
              <w:spacing w:after="0"/>
              <w:jc w:val="center"/>
              <w:rPr>
                <w:rFonts w:eastAsiaTheme="minorHAnsi"/>
                <w:b/>
                <w:bCs/>
                <w:i w:val="0"/>
                <w:iCs w:val="0"/>
                <w:color w:val="auto"/>
                <w:sz w:val="24"/>
                <w:szCs w:val="24"/>
                <w:lang w:val="es-ES" w:eastAsia="en-US"/>
              </w:rPr>
            </w:pPr>
            <w:bookmarkStart w:id="159" w:name="_Toc143870732"/>
            <w:r w:rsidRPr="00DF7D59">
              <w:rPr>
                <w:b/>
                <w:bCs/>
                <w:i w:val="0"/>
                <w:iCs w:val="0"/>
                <w:color w:val="auto"/>
                <w:sz w:val="24"/>
                <w:szCs w:val="24"/>
              </w:rPr>
              <w:t xml:space="preserve">Gráfico </w:t>
            </w:r>
            <w:r w:rsidRPr="00DF7D59">
              <w:rPr>
                <w:b/>
                <w:bCs/>
                <w:i w:val="0"/>
                <w:iCs w:val="0"/>
                <w:color w:val="auto"/>
                <w:sz w:val="24"/>
                <w:szCs w:val="24"/>
              </w:rPr>
              <w:fldChar w:fldCharType="begin"/>
            </w:r>
            <w:r w:rsidRPr="00DF7D59">
              <w:rPr>
                <w:b/>
                <w:bCs/>
                <w:i w:val="0"/>
                <w:iCs w:val="0"/>
                <w:color w:val="auto"/>
                <w:sz w:val="24"/>
                <w:szCs w:val="24"/>
              </w:rPr>
              <w:instrText xml:space="preserve"> SEQ Gráfico \* ARABIC </w:instrText>
            </w:r>
            <w:r w:rsidRPr="00DF7D59">
              <w:rPr>
                <w:b/>
                <w:bCs/>
                <w:i w:val="0"/>
                <w:iCs w:val="0"/>
                <w:color w:val="auto"/>
                <w:sz w:val="24"/>
                <w:szCs w:val="24"/>
              </w:rPr>
              <w:fldChar w:fldCharType="separate"/>
            </w:r>
            <w:r w:rsidR="006622B2">
              <w:rPr>
                <w:b/>
                <w:bCs/>
                <w:i w:val="0"/>
                <w:iCs w:val="0"/>
                <w:noProof/>
                <w:color w:val="auto"/>
                <w:sz w:val="24"/>
                <w:szCs w:val="24"/>
              </w:rPr>
              <w:t>65</w:t>
            </w:r>
            <w:r w:rsidRPr="00DF7D59">
              <w:rPr>
                <w:b/>
                <w:bCs/>
                <w:i w:val="0"/>
                <w:iCs w:val="0"/>
                <w:color w:val="auto"/>
                <w:sz w:val="24"/>
                <w:szCs w:val="24"/>
              </w:rPr>
              <w:fldChar w:fldCharType="end"/>
            </w:r>
            <w:r w:rsidRPr="00DF7D59">
              <w:rPr>
                <w:b/>
                <w:bCs/>
                <w:i w:val="0"/>
                <w:iCs w:val="0"/>
                <w:color w:val="auto"/>
                <w:sz w:val="24"/>
                <w:szCs w:val="24"/>
              </w:rPr>
              <w:t>.  Gasto Público: Error de Pronóstico promedio</w:t>
            </w:r>
            <w:bookmarkEnd w:id="159"/>
          </w:p>
          <w:p w14:paraId="0CDD2082" w14:textId="77777777" w:rsidR="00B501A1" w:rsidRPr="00B501A1" w:rsidRDefault="00B501A1" w:rsidP="00B501A1">
            <w:pPr>
              <w:jc w:val="center"/>
              <w:rPr>
                <w:rFonts w:eastAsiaTheme="minorHAnsi"/>
                <w:sz w:val="20"/>
                <w:szCs w:val="20"/>
                <w:lang w:val="es-ES" w:eastAsia="en-US"/>
              </w:rPr>
            </w:pPr>
            <w:r w:rsidRPr="00B501A1">
              <w:rPr>
                <w:rFonts w:eastAsiaTheme="minorHAnsi"/>
                <w:sz w:val="20"/>
                <w:szCs w:val="20"/>
                <w:lang w:val="es-ES" w:eastAsia="en-US"/>
              </w:rPr>
              <w:t>(en porcentajes del PIB)</w:t>
            </w:r>
          </w:p>
          <w:p w14:paraId="1A34C544" w14:textId="77777777" w:rsidR="00B501A1" w:rsidRPr="00B501A1" w:rsidRDefault="00B501A1" w:rsidP="00B501A1">
            <w:pPr>
              <w:rPr>
                <w:rFonts w:eastAsiaTheme="minorHAnsi"/>
                <w:sz w:val="16"/>
                <w:szCs w:val="16"/>
                <w:lang w:val="es-ES" w:eastAsia="en-US"/>
              </w:rPr>
            </w:pPr>
          </w:p>
          <w:p w14:paraId="7580715B" w14:textId="77777777" w:rsidR="00B501A1" w:rsidRPr="00B501A1" w:rsidRDefault="00B501A1" w:rsidP="00B501A1">
            <w:pPr>
              <w:rPr>
                <w:rFonts w:eastAsiaTheme="minorHAnsi"/>
                <w:sz w:val="16"/>
                <w:szCs w:val="16"/>
                <w:lang w:val="es-ES" w:eastAsia="en-US"/>
              </w:rPr>
            </w:pPr>
            <w:r w:rsidRPr="00B501A1">
              <w:rPr>
                <w:rFonts w:asciiTheme="minorHAnsi" w:eastAsiaTheme="minorHAnsi" w:hAnsiTheme="minorHAnsi" w:cstheme="minorBidi"/>
                <w:noProof/>
                <w:sz w:val="22"/>
                <w:szCs w:val="22"/>
                <w:lang w:eastAsia="en-US"/>
              </w:rPr>
              <w:drawing>
                <wp:inline distT="0" distB="0" distL="0" distR="0" wp14:anchorId="6EACC6F3" wp14:editId="796EC4C0">
                  <wp:extent cx="2757805" cy="1645920"/>
                  <wp:effectExtent l="0" t="0" r="4445" b="0"/>
                  <wp:docPr id="98" name="Gráfico 98">
                    <a:extLst xmlns:a="http://schemas.openxmlformats.org/drawingml/2006/main">
                      <a:ext uri="{FF2B5EF4-FFF2-40B4-BE49-F238E27FC236}">
                        <a16:creationId xmlns:a16="http://schemas.microsoft.com/office/drawing/2014/main" id="{760176E1-357D-4483-8CD2-C771B5B7BD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tc>
        <w:tc>
          <w:tcPr>
            <w:tcW w:w="4390" w:type="dxa"/>
          </w:tcPr>
          <w:p w14:paraId="5B899DFA" w14:textId="77777777" w:rsidR="00B501A1" w:rsidRPr="00B501A1" w:rsidRDefault="00B501A1" w:rsidP="00B501A1">
            <w:pPr>
              <w:jc w:val="center"/>
              <w:rPr>
                <w:rFonts w:eastAsiaTheme="minorHAnsi"/>
                <w:b/>
                <w:bCs/>
                <w:lang w:val="es-ES" w:eastAsia="en-US"/>
              </w:rPr>
            </w:pPr>
            <w:r w:rsidRPr="00B501A1">
              <w:rPr>
                <w:rFonts w:eastAsiaTheme="minorHAnsi"/>
                <w:b/>
                <w:bCs/>
                <w:lang w:val="es-ES" w:eastAsia="en-US"/>
              </w:rPr>
              <w:t>Gasto Público: Error promedio absoluto de pronóstico</w:t>
            </w:r>
          </w:p>
          <w:p w14:paraId="497E6BA4" w14:textId="77777777" w:rsidR="00B501A1" w:rsidRPr="00B501A1" w:rsidRDefault="00B501A1" w:rsidP="00B501A1">
            <w:pPr>
              <w:jc w:val="center"/>
              <w:rPr>
                <w:rFonts w:eastAsiaTheme="minorHAnsi"/>
                <w:sz w:val="20"/>
                <w:szCs w:val="20"/>
                <w:lang w:val="es-ES" w:eastAsia="en-US"/>
              </w:rPr>
            </w:pPr>
            <w:r w:rsidRPr="00B501A1">
              <w:rPr>
                <w:rFonts w:eastAsiaTheme="minorHAnsi"/>
                <w:sz w:val="20"/>
                <w:szCs w:val="20"/>
                <w:lang w:val="es-ES" w:eastAsia="en-US"/>
              </w:rPr>
              <w:t>(en porcentajes del PIB)</w:t>
            </w:r>
          </w:p>
          <w:p w14:paraId="6654FD53" w14:textId="77777777" w:rsidR="00B501A1" w:rsidRPr="00B501A1" w:rsidRDefault="00B501A1" w:rsidP="00B501A1">
            <w:pPr>
              <w:rPr>
                <w:rFonts w:eastAsiaTheme="minorHAnsi"/>
                <w:sz w:val="16"/>
                <w:szCs w:val="16"/>
                <w:lang w:val="es-ES" w:eastAsia="en-US"/>
              </w:rPr>
            </w:pPr>
            <w:r w:rsidRPr="00B501A1">
              <w:rPr>
                <w:rFonts w:asciiTheme="minorHAnsi" w:eastAsiaTheme="minorHAnsi" w:hAnsiTheme="minorHAnsi" w:cstheme="minorBidi"/>
                <w:noProof/>
                <w:sz w:val="22"/>
                <w:szCs w:val="22"/>
                <w:lang w:eastAsia="en-US"/>
              </w:rPr>
              <w:drawing>
                <wp:inline distT="0" distB="0" distL="0" distR="0" wp14:anchorId="7B5D09C6" wp14:editId="5A4C04BB">
                  <wp:extent cx="2724785" cy="1598212"/>
                  <wp:effectExtent l="0" t="0" r="0" b="2540"/>
                  <wp:docPr id="99" name="Gráfico 99">
                    <a:extLst xmlns:a="http://schemas.openxmlformats.org/drawingml/2006/main">
                      <a:ext uri="{FF2B5EF4-FFF2-40B4-BE49-F238E27FC236}">
                        <a16:creationId xmlns:a16="http://schemas.microsoft.com/office/drawing/2014/main" id="{0E6BC154-D708-4A1A-ACF1-4B453A6DED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tc>
      </w:tr>
      <w:tr w:rsidR="00B501A1" w:rsidRPr="00B501A1" w14:paraId="5C65902F" w14:textId="77777777" w:rsidTr="00451B38">
        <w:tc>
          <w:tcPr>
            <w:tcW w:w="8838" w:type="dxa"/>
            <w:gridSpan w:val="2"/>
          </w:tcPr>
          <w:p w14:paraId="0EF8693C" w14:textId="7C43E0A6" w:rsidR="00B501A1" w:rsidRPr="00B501A1" w:rsidRDefault="00B501A1" w:rsidP="00CB0BEF">
            <w:pPr>
              <w:jc w:val="center"/>
              <w:rPr>
                <w:rFonts w:eastAsiaTheme="minorHAnsi"/>
                <w:b/>
                <w:bCs/>
                <w:lang w:val="es-ES" w:eastAsia="en-US"/>
              </w:rPr>
            </w:pPr>
            <w:r w:rsidRPr="00B501A1">
              <w:rPr>
                <w:rFonts w:eastAsiaTheme="minorHAnsi"/>
                <w:b/>
                <w:bCs/>
                <w:lang w:val="es-ES" w:eastAsia="en-US"/>
              </w:rPr>
              <w:t xml:space="preserve">Gasto </w:t>
            </w:r>
            <w:r w:rsidR="00D31CC8">
              <w:rPr>
                <w:rFonts w:eastAsiaTheme="minorHAnsi"/>
                <w:b/>
                <w:bCs/>
                <w:lang w:val="es-ES" w:eastAsia="en-US"/>
              </w:rPr>
              <w:t>p</w:t>
            </w:r>
            <w:r w:rsidRPr="00B501A1">
              <w:rPr>
                <w:rFonts w:eastAsiaTheme="minorHAnsi"/>
                <w:b/>
                <w:bCs/>
                <w:lang w:val="es-ES" w:eastAsia="en-US"/>
              </w:rPr>
              <w:t xml:space="preserve">úblico: </w:t>
            </w:r>
            <w:r w:rsidR="00D31CC8">
              <w:rPr>
                <w:rFonts w:eastAsiaTheme="minorHAnsi"/>
                <w:b/>
                <w:bCs/>
                <w:lang w:val="es-ES" w:eastAsia="en-US"/>
              </w:rPr>
              <w:t>d</w:t>
            </w:r>
            <w:r w:rsidRPr="00B501A1">
              <w:rPr>
                <w:rFonts w:eastAsiaTheme="minorHAnsi"/>
                <w:b/>
                <w:bCs/>
                <w:lang w:val="es-ES" w:eastAsia="en-US"/>
              </w:rPr>
              <w:t>istribución de errores de pronóstico</w:t>
            </w:r>
          </w:p>
          <w:p w14:paraId="6AE9CC01" w14:textId="77777777" w:rsidR="00B501A1" w:rsidRPr="00B501A1" w:rsidRDefault="00B501A1" w:rsidP="00B501A1">
            <w:pPr>
              <w:jc w:val="center"/>
              <w:rPr>
                <w:rFonts w:eastAsiaTheme="minorHAnsi"/>
                <w:sz w:val="20"/>
                <w:szCs w:val="20"/>
                <w:lang w:val="es-ES" w:eastAsia="en-US"/>
              </w:rPr>
            </w:pPr>
            <w:r w:rsidRPr="00B501A1">
              <w:rPr>
                <w:rFonts w:eastAsiaTheme="minorHAnsi"/>
                <w:sz w:val="20"/>
                <w:szCs w:val="20"/>
                <w:lang w:val="es-ES" w:eastAsia="en-US"/>
              </w:rPr>
              <w:t>(en porcentajes del PIB)</w:t>
            </w:r>
          </w:p>
          <w:p w14:paraId="26443ED2" w14:textId="77777777" w:rsidR="00B501A1" w:rsidRPr="00B501A1" w:rsidRDefault="00B501A1" w:rsidP="00B501A1">
            <w:pPr>
              <w:jc w:val="center"/>
              <w:rPr>
                <w:rFonts w:eastAsiaTheme="minorHAnsi"/>
                <w:sz w:val="20"/>
                <w:szCs w:val="20"/>
                <w:lang w:val="es-ES" w:eastAsia="en-US"/>
              </w:rPr>
            </w:pPr>
            <w:r w:rsidRPr="00B501A1">
              <w:rPr>
                <w:rFonts w:asciiTheme="minorHAnsi" w:eastAsiaTheme="minorHAnsi" w:hAnsiTheme="minorHAnsi" w:cstheme="minorBidi"/>
                <w:noProof/>
                <w:sz w:val="22"/>
                <w:szCs w:val="22"/>
                <w:lang w:eastAsia="en-US"/>
              </w:rPr>
              <mc:AlternateContent>
                <mc:Choice Requires="cx1">
                  <w:drawing>
                    <wp:inline distT="0" distB="0" distL="0" distR="0" wp14:anchorId="1369647A" wp14:editId="478B8916">
                      <wp:extent cx="4972050" cy="1971923"/>
                      <wp:effectExtent l="0" t="0" r="0" b="9525"/>
                      <wp:docPr id="100" name="Gráfico 100">
                        <a:extLst xmlns:a="http://schemas.openxmlformats.org/drawingml/2006/main">
                          <a:ext uri="{FF2B5EF4-FFF2-40B4-BE49-F238E27FC236}">
                            <a16:creationId xmlns:a16="http://schemas.microsoft.com/office/drawing/2014/main" id="{885CD466-34DC-492F-903D-2B955A93DDA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22"/>
                        </a:graphicData>
                      </a:graphic>
                    </wp:inline>
                  </w:drawing>
                </mc:Choice>
                <mc:Fallback>
                  <w:drawing>
                    <wp:inline distT="0" distB="0" distL="0" distR="0" wp14:anchorId="1369647A" wp14:editId="478B8916">
                      <wp:extent cx="4972050" cy="1971923"/>
                      <wp:effectExtent l="0" t="0" r="0" b="9525"/>
                      <wp:docPr id="100" name="Gráfico 100">
                        <a:extLst xmlns:a="http://schemas.openxmlformats.org/drawingml/2006/main">
                          <a:ext uri="{FF2B5EF4-FFF2-40B4-BE49-F238E27FC236}">
                            <a16:creationId xmlns:a16="http://schemas.microsoft.com/office/drawing/2014/main" id="{885CD466-34DC-492F-903D-2B955A93DDA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0" name="Gráfico 100">
                                <a:extLst>
                                  <a:ext uri="{FF2B5EF4-FFF2-40B4-BE49-F238E27FC236}">
                                    <a16:creationId xmlns:a16="http://schemas.microsoft.com/office/drawing/2014/main" id="{885CD466-34DC-492F-903D-2B955A93DDA3}"/>
                                  </a:ext>
                                </a:extLst>
                              </pic:cNvPr>
                              <pic:cNvPicPr>
                                <a:picLocks noGrp="1" noRot="1" noChangeAspect="1" noMove="1" noResize="1" noEditPoints="1" noAdjustHandles="1" noChangeArrowheads="1" noChangeShapeType="1"/>
                              </pic:cNvPicPr>
                            </pic:nvPicPr>
                            <pic:blipFill>
                              <a:blip r:embed="rId123"/>
                              <a:stretch>
                                <a:fillRect/>
                              </a:stretch>
                            </pic:blipFill>
                            <pic:spPr>
                              <a:xfrm>
                                <a:off x="0" y="0"/>
                                <a:ext cx="4972050" cy="1971675"/>
                              </a:xfrm>
                              <a:prstGeom prst="rect">
                                <a:avLst/>
                              </a:prstGeom>
                            </pic:spPr>
                          </pic:pic>
                        </a:graphicData>
                      </a:graphic>
                    </wp:inline>
                  </w:drawing>
                </mc:Fallback>
              </mc:AlternateContent>
            </w:r>
          </w:p>
          <w:p w14:paraId="232ACCE4" w14:textId="77777777" w:rsidR="00B501A1" w:rsidRPr="00B501A1" w:rsidRDefault="00B501A1" w:rsidP="00B501A1">
            <w:pPr>
              <w:rPr>
                <w:rFonts w:eastAsiaTheme="minorHAnsi"/>
                <w:sz w:val="16"/>
                <w:szCs w:val="16"/>
                <w:lang w:val="es-ES" w:eastAsia="en-US"/>
              </w:rPr>
            </w:pPr>
            <w:r w:rsidRPr="00B501A1">
              <w:rPr>
                <w:rFonts w:eastAsiaTheme="minorHAnsi"/>
                <w:sz w:val="16"/>
                <w:szCs w:val="16"/>
                <w:lang w:val="es-ES" w:eastAsia="en-US"/>
              </w:rPr>
              <w:t>Fuente: Dirección de Análisis y Política Fiscal</w:t>
            </w:r>
          </w:p>
          <w:p w14:paraId="3C030F0F" w14:textId="77777777" w:rsidR="00B501A1" w:rsidRPr="00B501A1" w:rsidRDefault="00B501A1" w:rsidP="00B501A1">
            <w:pPr>
              <w:rPr>
                <w:rFonts w:eastAsiaTheme="minorHAnsi"/>
                <w:sz w:val="16"/>
                <w:szCs w:val="16"/>
                <w:lang w:val="es-ES" w:eastAsia="en-US"/>
              </w:rPr>
            </w:pPr>
          </w:p>
        </w:tc>
      </w:tr>
    </w:tbl>
    <w:p w14:paraId="3F593DD4" w14:textId="5B1F1EC3" w:rsidR="00B501A1" w:rsidRPr="0049039C" w:rsidRDefault="00B501A1" w:rsidP="0049039C">
      <w:pPr>
        <w:pStyle w:val="Prrafodelista"/>
        <w:numPr>
          <w:ilvl w:val="2"/>
          <w:numId w:val="3"/>
        </w:numPr>
        <w:jc w:val="both"/>
        <w:outlineLvl w:val="1"/>
        <w:rPr>
          <w:b/>
          <w:bCs/>
        </w:rPr>
      </w:pPr>
      <w:bookmarkStart w:id="160" w:name="_Toc143865834"/>
      <w:r w:rsidRPr="0049039C">
        <w:rPr>
          <w:b/>
          <w:bCs/>
        </w:rPr>
        <w:t xml:space="preserve">Déficit </w:t>
      </w:r>
      <w:r w:rsidR="00D31CC8" w:rsidRPr="0049039C">
        <w:rPr>
          <w:b/>
          <w:bCs/>
        </w:rPr>
        <w:t>f</w:t>
      </w:r>
      <w:r w:rsidRPr="0049039C">
        <w:rPr>
          <w:b/>
          <w:bCs/>
        </w:rPr>
        <w:t>iscal</w:t>
      </w:r>
      <w:bookmarkEnd w:id="160"/>
    </w:p>
    <w:p w14:paraId="0C2172E4" w14:textId="77777777" w:rsidR="005814D8" w:rsidRPr="005814D8" w:rsidRDefault="005814D8" w:rsidP="00B501A1">
      <w:pPr>
        <w:spacing w:after="160" w:line="259" w:lineRule="auto"/>
        <w:jc w:val="both"/>
        <w:rPr>
          <w:rFonts w:eastAsiaTheme="minorHAnsi"/>
          <w:sz w:val="10"/>
          <w:szCs w:val="10"/>
          <w:lang w:val="es-ES" w:eastAsia="en-US"/>
        </w:rPr>
      </w:pPr>
    </w:p>
    <w:p w14:paraId="5DA5D74A" w14:textId="0E35E5B5" w:rsidR="00B501A1" w:rsidRDefault="00B501A1" w:rsidP="00CB0BEF">
      <w:pPr>
        <w:jc w:val="both"/>
        <w:rPr>
          <w:rFonts w:eastAsiaTheme="minorHAnsi"/>
          <w:lang w:val="es-ES" w:eastAsia="en-US"/>
        </w:rPr>
      </w:pPr>
      <w:r w:rsidRPr="00B501A1">
        <w:rPr>
          <w:rFonts w:eastAsiaTheme="minorHAnsi"/>
          <w:lang w:val="es-ES" w:eastAsia="en-US"/>
        </w:rPr>
        <w:t>Como resultado de la proyección de ingresos prevista, y con base en la asignación de techos presupuestarios, para responder a las necesidades de la sociedad guatemalteca y tomando en consideración los compromisos ineludibles del Estado, se tiene al final de cada ejercicio fiscal un resultado deficitario.</w:t>
      </w:r>
    </w:p>
    <w:p w14:paraId="44BA0128" w14:textId="77777777" w:rsidR="00CB0BEF" w:rsidRPr="00B501A1" w:rsidRDefault="00CB0BEF" w:rsidP="00CB0BEF">
      <w:pPr>
        <w:jc w:val="both"/>
        <w:rPr>
          <w:rFonts w:eastAsiaTheme="minorHAnsi"/>
          <w:lang w:val="es-ES" w:eastAsia="en-US"/>
        </w:rPr>
      </w:pPr>
    </w:p>
    <w:p w14:paraId="3E411397" w14:textId="2ECB4269" w:rsidR="00B501A1" w:rsidRDefault="00B501A1" w:rsidP="00CB0BEF">
      <w:pPr>
        <w:jc w:val="both"/>
        <w:rPr>
          <w:rFonts w:eastAsiaTheme="minorHAnsi"/>
          <w:lang w:val="es-ES" w:eastAsia="en-US"/>
        </w:rPr>
      </w:pPr>
      <w:r w:rsidRPr="00B501A1">
        <w:rPr>
          <w:rFonts w:eastAsiaTheme="minorHAnsi"/>
          <w:lang w:val="es-ES" w:eastAsia="en-US"/>
        </w:rPr>
        <w:t xml:space="preserve">En el déficit fiscal se observa que los mayores errores de pronóstico se dieron en 2020 y 2021, se esperaba que el déficit fiscal tuviera un comportamiento decreciente, esto como resultado de la reducción gradual que se tenía prevista en el gasto público en el mediano plazo, así como a la mejora de la recaudación tributaria producto de las medidas administrativas que tendría que tener la SAT. No obstante, esta previsión de déficit no se cumplió, para 2020 el déficit fiscal fue el más alto de la serie, como resultado de la atención a la crisis del COVID-19, el gasto público fue altamente expansivo por los programas temporales creados para la atención de la crisis, en medio de una caída de los ingresos del gobierno. </w:t>
      </w:r>
    </w:p>
    <w:p w14:paraId="46BF78AE" w14:textId="77777777" w:rsidR="00CB0BEF" w:rsidRPr="00B501A1" w:rsidRDefault="00CB0BEF" w:rsidP="00CB0BEF">
      <w:pPr>
        <w:jc w:val="both"/>
        <w:rPr>
          <w:rFonts w:eastAsiaTheme="minorHAnsi"/>
          <w:lang w:val="es-ES" w:eastAsia="en-US"/>
        </w:rPr>
      </w:pPr>
    </w:p>
    <w:p w14:paraId="61995C4C" w14:textId="3A859071" w:rsidR="00B501A1" w:rsidRDefault="00B501A1" w:rsidP="00CB0BEF">
      <w:pPr>
        <w:jc w:val="both"/>
        <w:rPr>
          <w:rFonts w:eastAsiaTheme="minorHAnsi"/>
          <w:lang w:val="es-ES" w:eastAsia="en-US"/>
        </w:rPr>
      </w:pPr>
      <w:r w:rsidRPr="00B501A1">
        <w:rPr>
          <w:rFonts w:eastAsiaTheme="minorHAnsi"/>
          <w:lang w:val="es-ES" w:eastAsia="en-US"/>
        </w:rPr>
        <w:t xml:space="preserve">En 2021, aun prevalecía en el ambiente la incertidumbre en torno al COVID-19, las proyecciones de déficit fiscal estuvieron sesgadas hacia el alza, es decir, se sobreestimó la magnitud del impacto que tendría la crisis del COVID-19. Por ello, se observa una sobreestimación, especialmente para el presupuesto multianual 2021-2025, se esperaba que el déficit fiscal fuera similar al observado en el año previo, no obstante, los ingresos tributarios se recuperaron, el gasto público se moderó, y el proceso de vacunación avanzó, lo que permitió el retorno a una nueva normalidad y la disminución gradual de las medidas gubernamentales restrictivas. </w:t>
      </w:r>
    </w:p>
    <w:p w14:paraId="310301BD" w14:textId="77777777" w:rsidR="00CB0BEF" w:rsidRPr="00B501A1" w:rsidRDefault="00CB0BEF" w:rsidP="00CB0BEF">
      <w:pPr>
        <w:jc w:val="both"/>
        <w:rPr>
          <w:rFonts w:eastAsiaTheme="minorHAnsi"/>
          <w:lang w:val="es-ES" w:eastAsia="en-US"/>
        </w:rPr>
      </w:pPr>
    </w:p>
    <w:p w14:paraId="5376C4A6" w14:textId="5B667C76" w:rsidR="00B501A1" w:rsidRDefault="00B501A1" w:rsidP="00CB0BEF">
      <w:pPr>
        <w:jc w:val="both"/>
        <w:rPr>
          <w:rFonts w:eastAsiaTheme="minorHAnsi"/>
          <w:lang w:val="es-ES" w:eastAsia="en-US"/>
        </w:rPr>
      </w:pPr>
      <w:r w:rsidRPr="00B501A1">
        <w:rPr>
          <w:rFonts w:eastAsiaTheme="minorHAnsi"/>
          <w:lang w:val="es-ES" w:eastAsia="en-US"/>
        </w:rPr>
        <w:t xml:space="preserve">El manejo del déficit fiscal en el año posterior a la crisis se consideraba un hito, derivado que el ajuste en el déficit fiscal fue inmediato, siendo determinante contar durante el año con los resultados positivos de las medidas administrativas que la SAT estaba implementando, ya que, para todos los meses del año, la recaudación superó la meta establecida. </w:t>
      </w:r>
    </w:p>
    <w:p w14:paraId="05C19BAE" w14:textId="77777777" w:rsidR="00CB0BEF" w:rsidRPr="00B501A1" w:rsidRDefault="00CB0BEF" w:rsidP="00CB0BEF">
      <w:pPr>
        <w:jc w:val="both"/>
        <w:rPr>
          <w:rFonts w:eastAsiaTheme="minorHAnsi"/>
          <w:lang w:val="es-ES" w:eastAsia="en-US"/>
        </w:rPr>
      </w:pPr>
    </w:p>
    <w:p w14:paraId="0E62E382" w14:textId="6F7E0965" w:rsidR="00B501A1" w:rsidRDefault="00B501A1" w:rsidP="00CB0BEF">
      <w:pPr>
        <w:jc w:val="both"/>
        <w:rPr>
          <w:rFonts w:eastAsiaTheme="minorHAnsi"/>
          <w:lang w:val="es-ES" w:eastAsia="en-US"/>
        </w:rPr>
      </w:pPr>
      <w:r w:rsidRPr="00B501A1">
        <w:rPr>
          <w:rFonts w:eastAsiaTheme="minorHAnsi"/>
          <w:lang w:val="es-ES" w:eastAsia="en-US"/>
        </w:rPr>
        <w:t>Para 2022, se observa nuevamente una sobreestimación del déficit fiscal en cada uno de los ejercicios de presupuesto multianual, nuevamente la recaudación tributaria en cada uno de los meses superó la meta establecida y esto permitió un déficit fiscal menor al proyectado.</w:t>
      </w:r>
    </w:p>
    <w:p w14:paraId="513B67D1" w14:textId="77777777" w:rsidR="00CB0BEF" w:rsidRPr="00B501A1" w:rsidRDefault="00CB0BEF" w:rsidP="00CB0BEF">
      <w:pPr>
        <w:jc w:val="both"/>
        <w:rPr>
          <w:rFonts w:eastAsiaTheme="minorHAnsi"/>
          <w:lang w:val="es-ES" w:eastAsia="en-US"/>
        </w:rPr>
      </w:pPr>
    </w:p>
    <w:p w14:paraId="02BEA57B" w14:textId="057BDF8F" w:rsidR="00B501A1" w:rsidRPr="00DF7D59" w:rsidRDefault="00DF7D59" w:rsidP="00DF7D59">
      <w:pPr>
        <w:pStyle w:val="Descripcin"/>
        <w:spacing w:after="0"/>
        <w:jc w:val="center"/>
        <w:rPr>
          <w:rFonts w:eastAsiaTheme="minorEastAsia"/>
          <w:b/>
          <w:bCs/>
          <w:i w:val="0"/>
          <w:iCs w:val="0"/>
          <w:color w:val="auto"/>
          <w:kern w:val="24"/>
          <w:sz w:val="24"/>
          <w:szCs w:val="24"/>
        </w:rPr>
      </w:pPr>
      <w:bookmarkStart w:id="161" w:name="_Toc143870733"/>
      <w:r w:rsidRPr="00DF7D59">
        <w:rPr>
          <w:b/>
          <w:bCs/>
          <w:i w:val="0"/>
          <w:iCs w:val="0"/>
          <w:color w:val="auto"/>
          <w:sz w:val="24"/>
          <w:szCs w:val="24"/>
        </w:rPr>
        <w:t xml:space="preserve">Gráfico </w:t>
      </w:r>
      <w:r w:rsidRPr="00DF7D59">
        <w:rPr>
          <w:b/>
          <w:bCs/>
          <w:i w:val="0"/>
          <w:iCs w:val="0"/>
          <w:color w:val="auto"/>
          <w:sz w:val="24"/>
          <w:szCs w:val="24"/>
        </w:rPr>
        <w:fldChar w:fldCharType="begin"/>
      </w:r>
      <w:r w:rsidRPr="00DF7D59">
        <w:rPr>
          <w:b/>
          <w:bCs/>
          <w:i w:val="0"/>
          <w:iCs w:val="0"/>
          <w:color w:val="auto"/>
          <w:sz w:val="24"/>
          <w:szCs w:val="24"/>
        </w:rPr>
        <w:instrText xml:space="preserve"> SEQ Gráfico \* ARABIC </w:instrText>
      </w:r>
      <w:r w:rsidRPr="00DF7D59">
        <w:rPr>
          <w:b/>
          <w:bCs/>
          <w:i w:val="0"/>
          <w:iCs w:val="0"/>
          <w:color w:val="auto"/>
          <w:sz w:val="24"/>
          <w:szCs w:val="24"/>
        </w:rPr>
        <w:fldChar w:fldCharType="separate"/>
      </w:r>
      <w:r w:rsidR="006622B2">
        <w:rPr>
          <w:b/>
          <w:bCs/>
          <w:i w:val="0"/>
          <w:iCs w:val="0"/>
          <w:noProof/>
          <w:color w:val="auto"/>
          <w:sz w:val="24"/>
          <w:szCs w:val="24"/>
        </w:rPr>
        <w:t>66</w:t>
      </w:r>
      <w:r w:rsidRPr="00DF7D59">
        <w:rPr>
          <w:b/>
          <w:bCs/>
          <w:i w:val="0"/>
          <w:iCs w:val="0"/>
          <w:color w:val="auto"/>
          <w:sz w:val="24"/>
          <w:szCs w:val="24"/>
        </w:rPr>
        <w:fldChar w:fldCharType="end"/>
      </w:r>
      <w:r w:rsidRPr="00DF7D59">
        <w:rPr>
          <w:b/>
          <w:bCs/>
          <w:i w:val="0"/>
          <w:iCs w:val="0"/>
          <w:color w:val="auto"/>
          <w:sz w:val="24"/>
          <w:szCs w:val="24"/>
        </w:rPr>
        <w:t>.  Déficit fiscal: error de pronóstico</w:t>
      </w:r>
      <w:bookmarkEnd w:id="161"/>
    </w:p>
    <w:p w14:paraId="66DF1C73" w14:textId="77777777" w:rsidR="00B501A1" w:rsidRPr="00B501A1" w:rsidRDefault="00B501A1" w:rsidP="00B501A1">
      <w:pPr>
        <w:jc w:val="center"/>
        <w:textAlignment w:val="baseline"/>
        <w:rPr>
          <w:rFonts w:eastAsiaTheme="minorEastAsia"/>
          <w:kern w:val="24"/>
          <w:sz w:val="21"/>
          <w:szCs w:val="21"/>
        </w:rPr>
      </w:pPr>
      <w:r w:rsidRPr="00B501A1">
        <w:rPr>
          <w:rFonts w:eastAsiaTheme="minorEastAsia"/>
          <w:kern w:val="24"/>
          <w:sz w:val="21"/>
          <w:szCs w:val="21"/>
        </w:rPr>
        <w:t>(en porcentajes del PIB)</w:t>
      </w:r>
    </w:p>
    <w:p w14:paraId="18534D89" w14:textId="77777777" w:rsidR="00B501A1" w:rsidRPr="00B501A1" w:rsidRDefault="00B501A1" w:rsidP="00CB0BEF">
      <w:pPr>
        <w:rPr>
          <w:rFonts w:eastAsiaTheme="minorHAnsi"/>
          <w:b/>
          <w:bCs/>
          <w:sz w:val="22"/>
          <w:szCs w:val="22"/>
          <w:lang w:eastAsia="en-US"/>
        </w:rPr>
      </w:pPr>
      <w:r w:rsidRPr="00B501A1">
        <w:rPr>
          <w:rFonts w:asciiTheme="minorHAnsi" w:eastAsiaTheme="minorHAnsi" w:hAnsiTheme="minorHAnsi" w:cstheme="minorBidi"/>
          <w:noProof/>
          <w:sz w:val="22"/>
          <w:szCs w:val="22"/>
          <w:lang w:eastAsia="en-US"/>
        </w:rPr>
        <w:drawing>
          <wp:inline distT="0" distB="0" distL="0" distR="0" wp14:anchorId="3B4A085B" wp14:editId="18C06AF2">
            <wp:extent cx="5598795" cy="2136039"/>
            <wp:effectExtent l="0" t="0" r="1905" b="0"/>
            <wp:docPr id="110" name="Gráfico 110">
              <a:extLst xmlns:a="http://schemas.openxmlformats.org/drawingml/2006/main">
                <a:ext uri="{FF2B5EF4-FFF2-40B4-BE49-F238E27FC236}">
                  <a16:creationId xmlns:a16="http://schemas.microsoft.com/office/drawing/2014/main" id="{9BB153FA-C124-4E37-8725-7201477B19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4ED23E83" w14:textId="77777777" w:rsidR="00B501A1" w:rsidRPr="00B501A1" w:rsidRDefault="00B501A1" w:rsidP="00B501A1">
      <w:pPr>
        <w:spacing w:after="160" w:line="259" w:lineRule="auto"/>
        <w:rPr>
          <w:rFonts w:eastAsiaTheme="minorHAnsi"/>
          <w:sz w:val="16"/>
          <w:szCs w:val="16"/>
          <w:lang w:val="es-ES" w:eastAsia="en-US"/>
        </w:rPr>
      </w:pPr>
      <w:r w:rsidRPr="00B501A1">
        <w:rPr>
          <w:rFonts w:eastAsiaTheme="minorHAnsi"/>
          <w:sz w:val="16"/>
          <w:szCs w:val="16"/>
          <w:lang w:val="es-ES" w:eastAsia="en-US"/>
        </w:rPr>
        <w:t>Fuente: Dirección de Análisis y Política Fiscal</w:t>
      </w:r>
    </w:p>
    <w:p w14:paraId="72B4F4D7" w14:textId="1F61B446" w:rsidR="00B501A1" w:rsidRPr="00B501A1" w:rsidRDefault="00B501A1" w:rsidP="00875D00">
      <w:pPr>
        <w:jc w:val="both"/>
        <w:rPr>
          <w:rFonts w:eastAsiaTheme="minorHAnsi"/>
          <w:lang w:val="es-ES" w:eastAsia="en-US"/>
        </w:rPr>
      </w:pPr>
      <w:bookmarkStart w:id="162" w:name="_Hlk138770291"/>
      <w:r w:rsidRPr="00B501A1">
        <w:rPr>
          <w:rFonts w:eastAsiaTheme="minorHAnsi"/>
          <w:lang w:val="es-ES" w:eastAsia="en-US"/>
        </w:rPr>
        <w:t xml:space="preserve">Respecto al error promedio absoluto de pronóstico, se observa que en el año presupuestario </w:t>
      </w:r>
      <w:r w:rsidR="003313A7">
        <w:rPr>
          <w:rFonts w:eastAsiaTheme="minorHAnsi"/>
          <w:lang w:val="es-ES" w:eastAsia="en-US"/>
        </w:rPr>
        <w:t>éste</w:t>
      </w:r>
      <w:r w:rsidRPr="00B501A1">
        <w:rPr>
          <w:rFonts w:eastAsiaTheme="minorHAnsi"/>
          <w:lang w:val="es-ES" w:eastAsia="en-US"/>
        </w:rPr>
        <w:t xml:space="preserve"> es de 0.97% del PIB, en el año presupuestario +1 es de 0.69% del PIB y en el año presupuestario +2 es de 0.73% del PIB. Como se comentó anteriormente, en el presupuesto multianual 2021-</w:t>
      </w:r>
      <w:r w:rsidRPr="00490943">
        <w:rPr>
          <w:rFonts w:eastAsiaTheme="minorHAnsi"/>
          <w:lang w:val="es-ES" w:eastAsia="en-US"/>
        </w:rPr>
        <w:t xml:space="preserve">2025, el error de pronóstico es más alto, </w:t>
      </w:r>
      <w:r w:rsidR="00490943" w:rsidRPr="00490943">
        <w:rPr>
          <w:rFonts w:eastAsiaTheme="minorHAnsi"/>
          <w:lang w:val="es-ES" w:eastAsia="en-US"/>
        </w:rPr>
        <w:t>provocado principalmente porque en el primer año de estimación el error es mayo</w:t>
      </w:r>
      <w:r w:rsidRPr="00490943">
        <w:rPr>
          <w:rFonts w:eastAsiaTheme="minorHAnsi"/>
          <w:lang w:val="es-ES" w:eastAsia="en-US"/>
        </w:rPr>
        <w:t>. En el</w:t>
      </w:r>
      <w:r w:rsidRPr="00B501A1">
        <w:rPr>
          <w:rFonts w:eastAsiaTheme="minorHAnsi"/>
          <w:lang w:val="es-ES" w:eastAsia="en-US"/>
        </w:rPr>
        <w:t xml:space="preserve"> caso del déficit fiscal, se considera positivo que contrario a lo esperado, el déficit fiscal sea bajo y tenga una tendencia hacia la reducción, se espera que los resultados positivos en recaudación tributaria sean sostenibles y respondan a cimientos sólidos, lo cual continuará permitiendo la obtención de déficit fiscales moderados y sostenibles.</w:t>
      </w:r>
    </w:p>
    <w:tbl>
      <w:tblPr>
        <w:tblStyle w:val="Tablaconcuadrcu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905"/>
        <w:gridCol w:w="3933"/>
      </w:tblGrid>
      <w:tr w:rsidR="00B501A1" w:rsidRPr="00B501A1" w14:paraId="5774815D" w14:textId="77777777" w:rsidTr="00451B38">
        <w:tc>
          <w:tcPr>
            <w:tcW w:w="4905" w:type="dxa"/>
          </w:tcPr>
          <w:p w14:paraId="2321C05D" w14:textId="294B319D" w:rsidR="00B501A1" w:rsidRPr="00DF7D59" w:rsidRDefault="00DF7D59" w:rsidP="00DF7D59">
            <w:pPr>
              <w:pStyle w:val="Descripcin"/>
              <w:spacing w:after="0"/>
              <w:jc w:val="center"/>
              <w:rPr>
                <w:rFonts w:eastAsiaTheme="minorHAnsi"/>
                <w:b/>
                <w:bCs/>
                <w:i w:val="0"/>
                <w:iCs w:val="0"/>
                <w:color w:val="auto"/>
                <w:sz w:val="24"/>
                <w:szCs w:val="24"/>
                <w:lang w:val="es-ES" w:eastAsia="en-US"/>
              </w:rPr>
            </w:pPr>
            <w:bookmarkStart w:id="163" w:name="_Toc143870734"/>
            <w:bookmarkStart w:id="164" w:name="_Hlk137821582"/>
            <w:bookmarkEnd w:id="162"/>
            <w:r w:rsidRPr="00DF7D59">
              <w:rPr>
                <w:b/>
                <w:bCs/>
                <w:i w:val="0"/>
                <w:iCs w:val="0"/>
                <w:color w:val="auto"/>
                <w:sz w:val="24"/>
                <w:szCs w:val="24"/>
              </w:rPr>
              <w:t xml:space="preserve">Gráfico </w:t>
            </w:r>
            <w:r w:rsidRPr="00DF7D59">
              <w:rPr>
                <w:b/>
                <w:bCs/>
                <w:i w:val="0"/>
                <w:iCs w:val="0"/>
                <w:color w:val="auto"/>
                <w:sz w:val="24"/>
                <w:szCs w:val="24"/>
              </w:rPr>
              <w:fldChar w:fldCharType="begin"/>
            </w:r>
            <w:r w:rsidRPr="00DF7D59">
              <w:rPr>
                <w:b/>
                <w:bCs/>
                <w:i w:val="0"/>
                <w:iCs w:val="0"/>
                <w:color w:val="auto"/>
                <w:sz w:val="24"/>
                <w:szCs w:val="24"/>
              </w:rPr>
              <w:instrText xml:space="preserve"> SEQ Gráfico \* ARABIC </w:instrText>
            </w:r>
            <w:r w:rsidRPr="00DF7D59">
              <w:rPr>
                <w:b/>
                <w:bCs/>
                <w:i w:val="0"/>
                <w:iCs w:val="0"/>
                <w:color w:val="auto"/>
                <w:sz w:val="24"/>
                <w:szCs w:val="24"/>
              </w:rPr>
              <w:fldChar w:fldCharType="separate"/>
            </w:r>
            <w:r w:rsidR="006622B2">
              <w:rPr>
                <w:b/>
                <w:bCs/>
                <w:i w:val="0"/>
                <w:iCs w:val="0"/>
                <w:noProof/>
                <w:color w:val="auto"/>
                <w:sz w:val="24"/>
                <w:szCs w:val="24"/>
              </w:rPr>
              <w:t>67</w:t>
            </w:r>
            <w:r w:rsidRPr="00DF7D59">
              <w:rPr>
                <w:b/>
                <w:bCs/>
                <w:i w:val="0"/>
                <w:iCs w:val="0"/>
                <w:color w:val="auto"/>
                <w:sz w:val="24"/>
                <w:szCs w:val="24"/>
              </w:rPr>
              <w:fldChar w:fldCharType="end"/>
            </w:r>
            <w:r w:rsidRPr="00DF7D59">
              <w:rPr>
                <w:b/>
                <w:bCs/>
                <w:i w:val="0"/>
                <w:iCs w:val="0"/>
                <w:color w:val="auto"/>
                <w:sz w:val="24"/>
                <w:szCs w:val="24"/>
              </w:rPr>
              <w:t xml:space="preserve"> Déficit fiscal: error de pronóstico promedio</w:t>
            </w:r>
            <w:bookmarkEnd w:id="163"/>
            <w:r w:rsidRPr="00DF7D59">
              <w:rPr>
                <w:b/>
                <w:bCs/>
                <w:i w:val="0"/>
                <w:iCs w:val="0"/>
                <w:color w:val="auto"/>
                <w:sz w:val="24"/>
                <w:szCs w:val="24"/>
              </w:rPr>
              <w:t xml:space="preserve"> </w:t>
            </w:r>
          </w:p>
          <w:p w14:paraId="60DD64C2" w14:textId="77777777" w:rsidR="00B501A1" w:rsidRPr="00B501A1" w:rsidRDefault="00B501A1" w:rsidP="00B501A1">
            <w:pPr>
              <w:jc w:val="center"/>
              <w:rPr>
                <w:rFonts w:eastAsiaTheme="minorHAnsi"/>
                <w:sz w:val="20"/>
                <w:szCs w:val="20"/>
                <w:lang w:val="es-ES" w:eastAsia="en-US"/>
              </w:rPr>
            </w:pPr>
            <w:r w:rsidRPr="00B501A1">
              <w:rPr>
                <w:rFonts w:eastAsiaTheme="minorHAnsi"/>
                <w:sz w:val="20"/>
                <w:szCs w:val="20"/>
                <w:lang w:val="es-ES" w:eastAsia="en-US"/>
              </w:rPr>
              <w:t>(en porcentajes del PIB)</w:t>
            </w:r>
          </w:p>
          <w:p w14:paraId="516D394B" w14:textId="77777777" w:rsidR="00B501A1" w:rsidRPr="00B501A1" w:rsidRDefault="00B501A1" w:rsidP="00B501A1">
            <w:pPr>
              <w:ind w:right="77"/>
              <w:rPr>
                <w:rFonts w:eastAsiaTheme="minorHAnsi"/>
                <w:sz w:val="16"/>
                <w:szCs w:val="16"/>
                <w:lang w:val="es-ES" w:eastAsia="en-US"/>
              </w:rPr>
            </w:pPr>
            <w:r w:rsidRPr="00B501A1">
              <w:rPr>
                <w:rFonts w:asciiTheme="minorHAnsi" w:eastAsiaTheme="minorHAnsi" w:hAnsiTheme="minorHAnsi" w:cstheme="minorBidi"/>
                <w:noProof/>
                <w:sz w:val="22"/>
                <w:szCs w:val="22"/>
                <w:lang w:eastAsia="en-US"/>
              </w:rPr>
              <w:drawing>
                <wp:inline distT="0" distB="0" distL="0" distR="0" wp14:anchorId="0BEEA362" wp14:editId="000B8E15">
                  <wp:extent cx="3176270" cy="1590261"/>
                  <wp:effectExtent l="0" t="0" r="5080" b="0"/>
                  <wp:docPr id="111" name="Gráfico 111">
                    <a:extLst xmlns:a="http://schemas.openxmlformats.org/drawingml/2006/main">
                      <a:ext uri="{FF2B5EF4-FFF2-40B4-BE49-F238E27FC236}">
                        <a16:creationId xmlns:a16="http://schemas.microsoft.com/office/drawing/2014/main" id="{FBC6F300-9548-4FCB-A2F8-A7F002E900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tc>
        <w:tc>
          <w:tcPr>
            <w:tcW w:w="3933" w:type="dxa"/>
          </w:tcPr>
          <w:p w14:paraId="663BC7F6" w14:textId="180CEDFE" w:rsidR="00B501A1" w:rsidRPr="00B501A1" w:rsidRDefault="00B501A1" w:rsidP="00B501A1">
            <w:pPr>
              <w:jc w:val="center"/>
              <w:rPr>
                <w:rFonts w:eastAsiaTheme="minorHAnsi"/>
                <w:b/>
                <w:bCs/>
                <w:lang w:val="es-ES" w:eastAsia="en-US"/>
              </w:rPr>
            </w:pPr>
            <w:r w:rsidRPr="00B501A1">
              <w:rPr>
                <w:rFonts w:eastAsiaTheme="minorHAnsi"/>
                <w:b/>
                <w:bCs/>
                <w:lang w:val="es-ES" w:eastAsia="en-US"/>
              </w:rPr>
              <w:t xml:space="preserve">Déficit </w:t>
            </w:r>
            <w:r w:rsidR="00D31CC8">
              <w:rPr>
                <w:rFonts w:eastAsiaTheme="minorHAnsi"/>
                <w:b/>
                <w:bCs/>
                <w:lang w:val="es-ES" w:eastAsia="en-US"/>
              </w:rPr>
              <w:t>f</w:t>
            </w:r>
            <w:r w:rsidRPr="00B501A1">
              <w:rPr>
                <w:rFonts w:eastAsiaTheme="minorHAnsi"/>
                <w:b/>
                <w:bCs/>
                <w:lang w:val="es-ES" w:eastAsia="en-US"/>
              </w:rPr>
              <w:t xml:space="preserve">iscal: </w:t>
            </w:r>
            <w:r w:rsidR="00D31CC8">
              <w:rPr>
                <w:rFonts w:eastAsiaTheme="minorHAnsi"/>
                <w:b/>
                <w:bCs/>
                <w:lang w:val="es-ES" w:eastAsia="en-US"/>
              </w:rPr>
              <w:t>e</w:t>
            </w:r>
            <w:r w:rsidRPr="00B501A1">
              <w:rPr>
                <w:rFonts w:eastAsiaTheme="minorHAnsi"/>
                <w:b/>
                <w:bCs/>
                <w:lang w:val="es-ES" w:eastAsia="en-US"/>
              </w:rPr>
              <w:t>rror promedio absoluto de pronóstico</w:t>
            </w:r>
          </w:p>
          <w:p w14:paraId="1E7320C8" w14:textId="77777777" w:rsidR="00B501A1" w:rsidRPr="00B501A1" w:rsidRDefault="00B501A1" w:rsidP="00B501A1">
            <w:pPr>
              <w:jc w:val="center"/>
              <w:rPr>
                <w:rFonts w:eastAsiaTheme="minorHAnsi"/>
                <w:sz w:val="20"/>
                <w:szCs w:val="20"/>
                <w:lang w:val="es-ES" w:eastAsia="en-US"/>
              </w:rPr>
            </w:pPr>
            <w:r w:rsidRPr="00B501A1">
              <w:rPr>
                <w:rFonts w:eastAsiaTheme="minorHAnsi"/>
                <w:sz w:val="20"/>
                <w:szCs w:val="20"/>
                <w:lang w:val="es-ES" w:eastAsia="en-US"/>
              </w:rPr>
              <w:t>(en porcentajes del PIB)</w:t>
            </w:r>
          </w:p>
          <w:p w14:paraId="15862CE1" w14:textId="77777777" w:rsidR="00B501A1" w:rsidRPr="00B501A1" w:rsidRDefault="00B501A1" w:rsidP="00B501A1">
            <w:pPr>
              <w:rPr>
                <w:rFonts w:eastAsiaTheme="minorHAnsi"/>
                <w:sz w:val="16"/>
                <w:szCs w:val="16"/>
                <w:lang w:val="es-ES" w:eastAsia="en-US"/>
              </w:rPr>
            </w:pPr>
            <w:r w:rsidRPr="00B501A1">
              <w:rPr>
                <w:rFonts w:asciiTheme="minorHAnsi" w:eastAsiaTheme="minorHAnsi" w:hAnsiTheme="minorHAnsi" w:cstheme="minorBidi"/>
                <w:noProof/>
                <w:sz w:val="22"/>
                <w:szCs w:val="22"/>
                <w:lang w:eastAsia="en-US"/>
              </w:rPr>
              <w:drawing>
                <wp:inline distT="0" distB="0" distL="0" distR="0" wp14:anchorId="2C8F7847" wp14:editId="4C96F441">
                  <wp:extent cx="2570480" cy="1510747"/>
                  <wp:effectExtent l="0" t="0" r="1270" b="0"/>
                  <wp:docPr id="112" name="Gráfico 112">
                    <a:extLst xmlns:a="http://schemas.openxmlformats.org/drawingml/2006/main">
                      <a:ext uri="{FF2B5EF4-FFF2-40B4-BE49-F238E27FC236}">
                        <a16:creationId xmlns:a16="http://schemas.microsoft.com/office/drawing/2014/main" id="{64020003-811C-4DA0-AEC4-351AAC8035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tc>
      </w:tr>
      <w:tr w:rsidR="00B501A1" w:rsidRPr="00B501A1" w14:paraId="21B71D46" w14:textId="77777777" w:rsidTr="00451B38">
        <w:tc>
          <w:tcPr>
            <w:tcW w:w="8838" w:type="dxa"/>
            <w:gridSpan w:val="2"/>
          </w:tcPr>
          <w:p w14:paraId="2B93AD85" w14:textId="6FCCF248" w:rsidR="00B501A1" w:rsidRPr="00B501A1" w:rsidRDefault="00B501A1" w:rsidP="00B501A1">
            <w:pPr>
              <w:jc w:val="center"/>
              <w:rPr>
                <w:rFonts w:eastAsiaTheme="minorHAnsi"/>
                <w:b/>
                <w:bCs/>
                <w:lang w:val="es-ES" w:eastAsia="en-US"/>
              </w:rPr>
            </w:pPr>
            <w:r w:rsidRPr="00B501A1">
              <w:rPr>
                <w:rFonts w:eastAsiaTheme="minorHAnsi"/>
                <w:b/>
                <w:bCs/>
                <w:lang w:val="es-ES" w:eastAsia="en-US"/>
              </w:rPr>
              <w:t xml:space="preserve">Déficit </w:t>
            </w:r>
            <w:r w:rsidR="00D31CC8">
              <w:rPr>
                <w:rFonts w:eastAsiaTheme="minorHAnsi"/>
                <w:b/>
                <w:bCs/>
                <w:lang w:val="es-ES" w:eastAsia="en-US"/>
              </w:rPr>
              <w:t>f</w:t>
            </w:r>
            <w:r w:rsidRPr="00B501A1">
              <w:rPr>
                <w:rFonts w:eastAsiaTheme="minorHAnsi"/>
                <w:b/>
                <w:bCs/>
                <w:lang w:val="es-ES" w:eastAsia="en-US"/>
              </w:rPr>
              <w:t xml:space="preserve">iscal: </w:t>
            </w:r>
            <w:r w:rsidR="00D31CC8">
              <w:rPr>
                <w:rFonts w:eastAsiaTheme="minorHAnsi"/>
                <w:b/>
                <w:bCs/>
                <w:lang w:val="es-ES" w:eastAsia="en-US"/>
              </w:rPr>
              <w:t>d</w:t>
            </w:r>
            <w:r w:rsidRPr="00B501A1">
              <w:rPr>
                <w:rFonts w:eastAsiaTheme="minorHAnsi"/>
                <w:b/>
                <w:bCs/>
                <w:lang w:val="es-ES" w:eastAsia="en-US"/>
              </w:rPr>
              <w:t>istribución de errores de pronóstico</w:t>
            </w:r>
          </w:p>
          <w:p w14:paraId="5B748DE6" w14:textId="77777777" w:rsidR="00B501A1" w:rsidRPr="00B501A1" w:rsidRDefault="00B501A1" w:rsidP="00B501A1">
            <w:pPr>
              <w:jc w:val="center"/>
              <w:rPr>
                <w:rFonts w:eastAsiaTheme="minorHAnsi"/>
                <w:sz w:val="20"/>
                <w:szCs w:val="20"/>
                <w:lang w:val="es-ES" w:eastAsia="en-US"/>
              </w:rPr>
            </w:pPr>
            <w:r w:rsidRPr="00B501A1">
              <w:rPr>
                <w:rFonts w:eastAsiaTheme="minorHAnsi"/>
                <w:sz w:val="20"/>
                <w:szCs w:val="20"/>
                <w:lang w:val="es-ES" w:eastAsia="en-US"/>
              </w:rPr>
              <w:t>(en porcentajes del PIB)</w:t>
            </w:r>
          </w:p>
          <w:p w14:paraId="21748E71" w14:textId="77777777" w:rsidR="00B501A1" w:rsidRPr="00B501A1" w:rsidRDefault="00B501A1" w:rsidP="00B501A1">
            <w:pPr>
              <w:jc w:val="center"/>
              <w:rPr>
                <w:rFonts w:eastAsiaTheme="minorHAnsi"/>
                <w:sz w:val="20"/>
                <w:szCs w:val="20"/>
                <w:lang w:val="es-ES" w:eastAsia="en-US"/>
              </w:rPr>
            </w:pPr>
            <w:r w:rsidRPr="00B501A1">
              <w:rPr>
                <w:rFonts w:asciiTheme="minorHAnsi" w:eastAsiaTheme="minorHAnsi" w:hAnsiTheme="minorHAnsi" w:cstheme="minorBidi"/>
                <w:noProof/>
                <w:sz w:val="22"/>
                <w:szCs w:val="22"/>
                <w:lang w:eastAsia="en-US"/>
              </w:rPr>
              <mc:AlternateContent>
                <mc:Choice Requires="cx1">
                  <w:drawing>
                    <wp:inline distT="0" distB="0" distL="0" distR="0" wp14:anchorId="5DD22C88" wp14:editId="7875C2CB">
                      <wp:extent cx="4981575" cy="2138900"/>
                      <wp:effectExtent l="0" t="0" r="9525" b="13970"/>
                      <wp:docPr id="114" name="Gráfico 114">
                        <a:extLst xmlns:a="http://schemas.openxmlformats.org/drawingml/2006/main">
                          <a:ext uri="{FF2B5EF4-FFF2-40B4-BE49-F238E27FC236}">
                            <a16:creationId xmlns:a16="http://schemas.microsoft.com/office/drawing/2014/main" id="{DA351038-91E2-40B0-9F5B-186E80D4500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27"/>
                        </a:graphicData>
                      </a:graphic>
                    </wp:inline>
                  </w:drawing>
                </mc:Choice>
                <mc:Fallback>
                  <w:drawing>
                    <wp:inline distT="0" distB="0" distL="0" distR="0" wp14:anchorId="5DD22C88" wp14:editId="7875C2CB">
                      <wp:extent cx="4981575" cy="2138900"/>
                      <wp:effectExtent l="0" t="0" r="9525" b="13970"/>
                      <wp:docPr id="114" name="Gráfico 114">
                        <a:extLst xmlns:a="http://schemas.openxmlformats.org/drawingml/2006/main">
                          <a:ext uri="{FF2B5EF4-FFF2-40B4-BE49-F238E27FC236}">
                            <a16:creationId xmlns:a16="http://schemas.microsoft.com/office/drawing/2014/main" id="{DA351038-91E2-40B0-9F5B-186E80D4500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4" name="Gráfico 114">
                                <a:extLst>
                                  <a:ext uri="{FF2B5EF4-FFF2-40B4-BE49-F238E27FC236}">
                                    <a16:creationId xmlns:a16="http://schemas.microsoft.com/office/drawing/2014/main" id="{DA351038-91E2-40B0-9F5B-186E80D4500A}"/>
                                  </a:ext>
                                </a:extLst>
                              </pic:cNvPr>
                              <pic:cNvPicPr>
                                <a:picLocks noGrp="1" noRot="1" noChangeAspect="1" noMove="1" noResize="1" noEditPoints="1" noAdjustHandles="1" noChangeArrowheads="1" noChangeShapeType="1"/>
                              </pic:cNvPicPr>
                            </pic:nvPicPr>
                            <pic:blipFill>
                              <a:blip r:embed="rId128"/>
                              <a:stretch>
                                <a:fillRect/>
                              </a:stretch>
                            </pic:blipFill>
                            <pic:spPr>
                              <a:xfrm>
                                <a:off x="0" y="0"/>
                                <a:ext cx="4981575" cy="2138680"/>
                              </a:xfrm>
                              <a:prstGeom prst="rect">
                                <a:avLst/>
                              </a:prstGeom>
                            </pic:spPr>
                          </pic:pic>
                        </a:graphicData>
                      </a:graphic>
                    </wp:inline>
                  </w:drawing>
                </mc:Fallback>
              </mc:AlternateContent>
            </w:r>
          </w:p>
          <w:p w14:paraId="15209657" w14:textId="77777777" w:rsidR="00B501A1" w:rsidRDefault="00B501A1" w:rsidP="00B501A1">
            <w:pPr>
              <w:rPr>
                <w:rFonts w:eastAsiaTheme="minorHAnsi"/>
                <w:sz w:val="16"/>
                <w:szCs w:val="16"/>
                <w:lang w:val="es-ES" w:eastAsia="en-US"/>
              </w:rPr>
            </w:pPr>
            <w:r w:rsidRPr="00B501A1">
              <w:rPr>
                <w:rFonts w:eastAsiaTheme="minorHAnsi"/>
                <w:sz w:val="16"/>
                <w:szCs w:val="16"/>
                <w:lang w:val="es-ES" w:eastAsia="en-US"/>
              </w:rPr>
              <w:t>Fuente: Dirección de Análisis y Política Fiscal</w:t>
            </w:r>
          </w:p>
          <w:p w14:paraId="0F894F62" w14:textId="505CD9E9" w:rsidR="00E707F3" w:rsidRPr="00E707F3" w:rsidRDefault="00E707F3" w:rsidP="00B501A1">
            <w:pPr>
              <w:rPr>
                <w:rFonts w:eastAsiaTheme="minorHAnsi"/>
                <w:lang w:val="es-ES" w:eastAsia="en-US"/>
              </w:rPr>
            </w:pPr>
          </w:p>
        </w:tc>
      </w:tr>
    </w:tbl>
    <w:p w14:paraId="31355C15" w14:textId="50D90D00" w:rsidR="00B501A1" w:rsidRPr="0049039C" w:rsidRDefault="00B501A1" w:rsidP="0049039C">
      <w:pPr>
        <w:pStyle w:val="Prrafodelista"/>
        <w:numPr>
          <w:ilvl w:val="2"/>
          <w:numId w:val="3"/>
        </w:numPr>
        <w:jc w:val="both"/>
        <w:outlineLvl w:val="1"/>
        <w:rPr>
          <w:b/>
          <w:bCs/>
        </w:rPr>
      </w:pPr>
      <w:bookmarkStart w:id="165" w:name="_Toc143865835"/>
      <w:bookmarkEnd w:id="164"/>
      <w:r w:rsidRPr="0049039C">
        <w:rPr>
          <w:b/>
          <w:bCs/>
        </w:rPr>
        <w:t xml:space="preserve">Techos </w:t>
      </w:r>
      <w:r w:rsidR="00D31CC8" w:rsidRPr="0049039C">
        <w:rPr>
          <w:b/>
          <w:bCs/>
        </w:rPr>
        <w:t>i</w:t>
      </w:r>
      <w:r w:rsidRPr="0049039C">
        <w:rPr>
          <w:b/>
          <w:bCs/>
        </w:rPr>
        <w:t>ndicativos</w:t>
      </w:r>
      <w:bookmarkEnd w:id="165"/>
    </w:p>
    <w:p w14:paraId="54C2400B" w14:textId="77777777" w:rsidR="005814D8" w:rsidRPr="005814D8" w:rsidRDefault="005814D8" w:rsidP="00E707F3">
      <w:pPr>
        <w:jc w:val="both"/>
        <w:rPr>
          <w:sz w:val="10"/>
          <w:szCs w:val="10"/>
        </w:rPr>
      </w:pPr>
    </w:p>
    <w:p w14:paraId="671A5D74" w14:textId="5CB0F391" w:rsidR="00B501A1" w:rsidRDefault="00B501A1" w:rsidP="00E707F3">
      <w:pPr>
        <w:jc w:val="both"/>
      </w:pPr>
      <w:r w:rsidRPr="00B501A1">
        <w:t xml:space="preserve">Las desviaciones que se observan entre los techos indicativos de presupuesto propuestos en los diferentes presupuestos multianuales y la asignación real, tienen su explicación por un alto componente político, por la decisión del Congreso de la República de aprobar o no el presupuesto presentado por el Organismo Ejecutivo. En los últimos 25 años, en 8 oportunidades no fue aprobado el presupuesto del Estado por parte del Congreso de la República. </w:t>
      </w:r>
    </w:p>
    <w:p w14:paraId="0B7CF1FF" w14:textId="77777777" w:rsidR="00E707F3" w:rsidRPr="00B501A1" w:rsidRDefault="00E707F3" w:rsidP="00E707F3">
      <w:pPr>
        <w:jc w:val="both"/>
      </w:pPr>
    </w:p>
    <w:p w14:paraId="79802472" w14:textId="2AEF53F2" w:rsidR="00B501A1" w:rsidRPr="00B501A1" w:rsidRDefault="00B501A1" w:rsidP="00E707F3">
      <w:pPr>
        <w:jc w:val="both"/>
      </w:pPr>
      <w:r w:rsidRPr="00B501A1">
        <w:t xml:space="preserve">En 2020 con el inicio de una nueva administración pública no se aprobó el presupuesto y de manera consecutiva se imprueba el presupuesto </w:t>
      </w:r>
      <w:r w:rsidR="00C22470">
        <w:t>de</w:t>
      </w:r>
      <w:r w:rsidR="00C22470" w:rsidRPr="00B501A1">
        <w:t xml:space="preserve"> </w:t>
      </w:r>
      <w:r w:rsidRPr="00B501A1">
        <w:t>2021. El techo de presupuesto para 2020 se planteaba en Q91,900 millones. No obstante, el 2020 arrancó con un presupuesto no aprobado, entrando en vigencia el presupuesto de 2019 de Q87,715.1 millones, por ello se observa en la gráfica que el presupuesto fue sobreestimado y realmente el inicial del ejercicio fue menor al considerado en cada uno de los ejercicios de presupuestos multianuales, adicionalmente</w:t>
      </w:r>
      <w:r w:rsidR="00C22470">
        <w:t>,</w:t>
      </w:r>
      <w:r w:rsidRPr="00B501A1">
        <w:t xml:space="preserve"> dadas las particularidades de 2020, se terminó el año con un presupuesto elevado de Q107,760.7 millones, por todas las ampliaciones que tuvieron lugar en el año derivadas de la crisis del COVID-19.</w:t>
      </w:r>
    </w:p>
    <w:p w14:paraId="1EED72B7" w14:textId="77777777" w:rsidR="00E707F3" w:rsidRDefault="00E707F3" w:rsidP="00E707F3">
      <w:pPr>
        <w:contextualSpacing/>
        <w:jc w:val="both"/>
      </w:pPr>
    </w:p>
    <w:p w14:paraId="44032C8A" w14:textId="535C81D4" w:rsidR="00B501A1" w:rsidRPr="00B501A1" w:rsidRDefault="00B501A1" w:rsidP="00E707F3">
      <w:pPr>
        <w:contextualSpacing/>
        <w:jc w:val="both"/>
      </w:pPr>
      <w:r w:rsidRPr="00B501A1">
        <w:t xml:space="preserve">Para el siguiente año (2021), primero se tenía una propuesta de techo de presupuesto de Q95,786.5 millones (presupuesto multianual 2020-2024) y posteriormente de Q99,700 millones (presupuesto multianual 2021-2025), sin embargo, el Presupuesto General para el Ejercicio Fiscal 2021 no fue aprobado en el término que establece la Constitución Política de la República de Guatemala y, por lo tanto, pasó a regir de nuevo el presupuesto en vigencia del ejercicio fiscal anterior. De tal cuenta, el presupuesto de 2021, es el aprobado por el Congreso de la República de Guatemala mediante Decreto Número 25-2018, más las ampliaciones que fueron autorizadas mediante Decretos 12-2020, 13-2020 y 20-2020 del Organismo Legislativo. </w:t>
      </w:r>
    </w:p>
    <w:p w14:paraId="48D07F2D" w14:textId="77777777" w:rsidR="00B501A1" w:rsidRPr="00B501A1" w:rsidRDefault="00B501A1" w:rsidP="00E707F3">
      <w:pPr>
        <w:contextualSpacing/>
        <w:jc w:val="both"/>
      </w:pPr>
    </w:p>
    <w:p w14:paraId="01ABC169" w14:textId="3A74243C" w:rsidR="00B501A1" w:rsidRPr="00B501A1" w:rsidRDefault="00B501A1" w:rsidP="00E707F3">
      <w:pPr>
        <w:contextualSpacing/>
        <w:jc w:val="both"/>
      </w:pPr>
      <w:r w:rsidRPr="00B501A1">
        <w:t>Por lo anterior, se observa en la gráfica que el presupuesto estuvo subestimado en cada ejercicio, y en 2021 se tuvo un presupuesto inflado, aunque desfinanciado, lo que obligó a adoptar un presupuesto operativo</w:t>
      </w:r>
      <w:r w:rsidRPr="00B501A1">
        <w:rPr>
          <w:rFonts w:asciiTheme="minorHAnsi" w:eastAsiaTheme="minorHAnsi" w:hAnsiTheme="minorHAnsi" w:cstheme="minorBidi"/>
          <w:lang w:eastAsia="en-US"/>
        </w:rPr>
        <w:t xml:space="preserve"> </w:t>
      </w:r>
      <w:r w:rsidRPr="00B501A1">
        <w:t>de Q94,354.0 millones con el fin de eliminar virtualmente los recursos que no podían ser ejecutados en el año 2021 por carecer de financiamiento y así viabilizar la ejecución.</w:t>
      </w:r>
    </w:p>
    <w:p w14:paraId="35278760" w14:textId="77777777" w:rsidR="00B501A1" w:rsidRPr="00B501A1" w:rsidRDefault="00B501A1" w:rsidP="00E707F3">
      <w:pPr>
        <w:ind w:left="567"/>
        <w:contextualSpacing/>
        <w:jc w:val="both"/>
      </w:pPr>
    </w:p>
    <w:p w14:paraId="48814A7D" w14:textId="66B092DE" w:rsidR="00B501A1" w:rsidRPr="00B501A1" w:rsidRDefault="00B501A1" w:rsidP="00E707F3">
      <w:pPr>
        <w:contextualSpacing/>
        <w:jc w:val="both"/>
      </w:pPr>
      <w:r w:rsidRPr="00B501A1">
        <w:t>Para 2022, se tuvieron diferentes propuestas</w:t>
      </w:r>
      <w:r w:rsidR="00C22470">
        <w:t xml:space="preserve"> de presupuesto</w:t>
      </w:r>
      <w:r w:rsidRPr="00B501A1">
        <w:t>, de Q103,160.2 millones (presupuesto multianual 2020-2024), bajó a Q96,830.9 millones (presupuesto multianual 2021-2025) y subió nuevamente a Q103,992.5 millones (presupuesto multianual 2022-2026), finalmente fue aprobado en Q106,229.5 millones. Esto se debió a que, los ingresos corrientes tuvieron un incremento de Q1,947.0 millones respecto al Proyecto de Presupuesto</w:t>
      </w:r>
      <w:r w:rsidR="00C22470">
        <w:t>,</w:t>
      </w:r>
      <w:r w:rsidRPr="00B501A1">
        <w:t xml:space="preserve"> derivado del incremento que se acordó en la meta de recaudación de la SAT. Asimismo, se contemplaron Q6,235.3 millones por disminución de caja y bancos, de los cuales una parte estaría explicada por el desempeño favorable de la recaudación tributaria de 2021 que dejó recursos en caja para el 2022.</w:t>
      </w:r>
    </w:p>
    <w:p w14:paraId="23137B5F" w14:textId="77777777" w:rsidR="00B501A1" w:rsidRPr="00B501A1" w:rsidRDefault="00B501A1" w:rsidP="00E707F3">
      <w:pPr>
        <w:ind w:left="567"/>
        <w:contextualSpacing/>
        <w:jc w:val="both"/>
      </w:pPr>
    </w:p>
    <w:p w14:paraId="3D70BCCF" w14:textId="1656A203" w:rsidR="00B501A1" w:rsidRDefault="00B501A1" w:rsidP="00E707F3">
      <w:pPr>
        <w:jc w:val="both"/>
      </w:pPr>
      <w:r w:rsidRPr="00B501A1">
        <w:t>Para la elaboración de los presupuestos multianuales futuros, el planteamiento de techos debe responder a los compromisos emanados en las prioridades estratégicas que sean planteadas por el gobierno en turno, las cuales deben estar alineados a los instrumentos de planificación estratégica, al mismo tiempo se espera que las decisiones políticas no afecten el desempeño de la política fiscal.</w:t>
      </w:r>
    </w:p>
    <w:p w14:paraId="55D32926" w14:textId="77777777" w:rsidR="00875D00" w:rsidRPr="00B501A1" w:rsidRDefault="00875D00" w:rsidP="00E707F3">
      <w:pPr>
        <w:jc w:val="both"/>
        <w:rPr>
          <w:rFonts w:eastAsiaTheme="minorHAnsi"/>
          <w:b/>
          <w:bCs/>
          <w:sz w:val="22"/>
          <w:szCs w:val="22"/>
          <w:lang w:val="es-ES" w:eastAsia="en-US"/>
        </w:rPr>
      </w:pPr>
    </w:p>
    <w:p w14:paraId="29082E1D" w14:textId="6CF3A737" w:rsidR="00B501A1" w:rsidRPr="00DF7D59" w:rsidRDefault="00DF7D59" w:rsidP="00DF7D59">
      <w:pPr>
        <w:pStyle w:val="Descripcin"/>
        <w:spacing w:after="0"/>
        <w:jc w:val="center"/>
        <w:rPr>
          <w:rFonts w:eastAsiaTheme="minorEastAsia"/>
          <w:b/>
          <w:bCs/>
          <w:i w:val="0"/>
          <w:iCs w:val="0"/>
          <w:color w:val="auto"/>
          <w:kern w:val="24"/>
          <w:sz w:val="24"/>
          <w:szCs w:val="24"/>
        </w:rPr>
      </w:pPr>
      <w:bookmarkStart w:id="166" w:name="_Toc143870735"/>
      <w:r w:rsidRPr="00DF7D59">
        <w:rPr>
          <w:b/>
          <w:bCs/>
          <w:i w:val="0"/>
          <w:iCs w:val="0"/>
          <w:color w:val="auto"/>
          <w:sz w:val="24"/>
          <w:szCs w:val="24"/>
        </w:rPr>
        <w:t xml:space="preserve">Gráfico </w:t>
      </w:r>
      <w:r w:rsidRPr="00DF7D59">
        <w:rPr>
          <w:b/>
          <w:bCs/>
          <w:i w:val="0"/>
          <w:iCs w:val="0"/>
          <w:color w:val="auto"/>
          <w:sz w:val="24"/>
          <w:szCs w:val="24"/>
        </w:rPr>
        <w:fldChar w:fldCharType="begin"/>
      </w:r>
      <w:r w:rsidRPr="00DF7D59">
        <w:rPr>
          <w:b/>
          <w:bCs/>
          <w:i w:val="0"/>
          <w:iCs w:val="0"/>
          <w:color w:val="auto"/>
          <w:sz w:val="24"/>
          <w:szCs w:val="24"/>
        </w:rPr>
        <w:instrText xml:space="preserve"> SEQ Gráfico \* ARABIC </w:instrText>
      </w:r>
      <w:r w:rsidRPr="00DF7D59">
        <w:rPr>
          <w:b/>
          <w:bCs/>
          <w:i w:val="0"/>
          <w:iCs w:val="0"/>
          <w:color w:val="auto"/>
          <w:sz w:val="24"/>
          <w:szCs w:val="24"/>
        </w:rPr>
        <w:fldChar w:fldCharType="separate"/>
      </w:r>
      <w:r w:rsidR="006622B2">
        <w:rPr>
          <w:b/>
          <w:bCs/>
          <w:i w:val="0"/>
          <w:iCs w:val="0"/>
          <w:noProof/>
          <w:color w:val="auto"/>
          <w:sz w:val="24"/>
          <w:szCs w:val="24"/>
        </w:rPr>
        <w:t>68</w:t>
      </w:r>
      <w:r w:rsidRPr="00DF7D59">
        <w:rPr>
          <w:b/>
          <w:bCs/>
          <w:i w:val="0"/>
          <w:iCs w:val="0"/>
          <w:color w:val="auto"/>
          <w:sz w:val="24"/>
          <w:szCs w:val="24"/>
        </w:rPr>
        <w:fldChar w:fldCharType="end"/>
      </w:r>
      <w:r w:rsidRPr="00DF7D59">
        <w:rPr>
          <w:b/>
          <w:bCs/>
          <w:i w:val="0"/>
          <w:iCs w:val="0"/>
          <w:color w:val="auto"/>
          <w:sz w:val="24"/>
          <w:szCs w:val="24"/>
        </w:rPr>
        <w:t>.  Techos indicativos: error de pronóstico</w:t>
      </w:r>
      <w:bookmarkEnd w:id="166"/>
    </w:p>
    <w:p w14:paraId="39DDCB01" w14:textId="77777777" w:rsidR="00B501A1" w:rsidRPr="00B501A1" w:rsidRDefault="00B501A1" w:rsidP="00B501A1">
      <w:pPr>
        <w:jc w:val="center"/>
        <w:textAlignment w:val="baseline"/>
        <w:rPr>
          <w:rFonts w:eastAsiaTheme="minorEastAsia"/>
          <w:kern w:val="24"/>
          <w:sz w:val="21"/>
          <w:szCs w:val="21"/>
        </w:rPr>
      </w:pPr>
      <w:r w:rsidRPr="00B501A1">
        <w:rPr>
          <w:rFonts w:eastAsiaTheme="minorEastAsia"/>
          <w:kern w:val="24"/>
          <w:sz w:val="21"/>
          <w:szCs w:val="21"/>
        </w:rPr>
        <w:t>(en porcentajes del PIB)</w:t>
      </w:r>
    </w:p>
    <w:p w14:paraId="0CC1AF3F" w14:textId="77777777" w:rsidR="00B501A1" w:rsidRPr="00B501A1" w:rsidRDefault="00B501A1" w:rsidP="00B501A1">
      <w:pPr>
        <w:jc w:val="center"/>
        <w:textAlignment w:val="baseline"/>
        <w:rPr>
          <w:rFonts w:eastAsiaTheme="minorEastAsia"/>
          <w:kern w:val="24"/>
          <w:sz w:val="21"/>
          <w:szCs w:val="21"/>
        </w:rPr>
      </w:pPr>
      <w:r w:rsidRPr="00B501A1">
        <w:rPr>
          <w:noProof/>
        </w:rPr>
        <w:drawing>
          <wp:inline distT="0" distB="0" distL="0" distR="0" wp14:anchorId="11E629F6" wp14:editId="7EEC4467">
            <wp:extent cx="5587365" cy="2138901"/>
            <wp:effectExtent l="0" t="0" r="0" b="0"/>
            <wp:docPr id="115" name="Gráfico 115">
              <a:extLst xmlns:a="http://schemas.openxmlformats.org/drawingml/2006/main">
                <a:ext uri="{FF2B5EF4-FFF2-40B4-BE49-F238E27FC236}">
                  <a16:creationId xmlns:a16="http://schemas.microsoft.com/office/drawing/2014/main" id="{A1E3684A-ED3E-44A4-9989-2A1B836286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7D6CBB1B" w14:textId="77777777" w:rsidR="00B501A1" w:rsidRPr="00B501A1" w:rsidRDefault="00B501A1" w:rsidP="00B501A1">
      <w:pPr>
        <w:spacing w:after="160" w:line="259" w:lineRule="auto"/>
        <w:rPr>
          <w:rFonts w:eastAsiaTheme="minorHAnsi"/>
          <w:sz w:val="16"/>
          <w:szCs w:val="16"/>
          <w:lang w:val="es-ES" w:eastAsia="en-US"/>
        </w:rPr>
      </w:pPr>
      <w:r w:rsidRPr="00B501A1">
        <w:rPr>
          <w:rFonts w:eastAsiaTheme="minorHAnsi"/>
          <w:sz w:val="16"/>
          <w:szCs w:val="16"/>
          <w:lang w:val="es-ES" w:eastAsia="en-US"/>
        </w:rPr>
        <w:t>Fuente: Dirección de Análisis y Política Fiscal</w:t>
      </w:r>
    </w:p>
    <w:p w14:paraId="4F52F5FD" w14:textId="6C1BC0E1" w:rsidR="00B501A1" w:rsidRDefault="00B501A1" w:rsidP="00E707F3">
      <w:pPr>
        <w:jc w:val="both"/>
        <w:rPr>
          <w:rFonts w:eastAsiaTheme="minorHAnsi"/>
          <w:lang w:val="es-ES" w:eastAsia="en-US"/>
        </w:rPr>
      </w:pPr>
      <w:r w:rsidRPr="00B501A1">
        <w:rPr>
          <w:rFonts w:eastAsiaTheme="minorHAnsi"/>
          <w:lang w:val="es-ES" w:eastAsia="en-US"/>
        </w:rPr>
        <w:t>Respecto al error promedio absoluto de pronóstico, se observa que en el año presupuestario el error es de 0.53% del PIB, siendo menor que en el año presupuestario +1 (0.89% del PIB) y año presupuestario +2 (0.79% del PIB). En el caso del presupuesto multianual 2021-2025, se esperaba para cada uno de los años un presupuesto menor al aprobado, mientras que en 2021 y 2022 respondió a factores políticos por la no aprobación del presupuesto.</w:t>
      </w:r>
    </w:p>
    <w:p w14:paraId="7FC35F49" w14:textId="77777777" w:rsidR="00E707F3" w:rsidRPr="00B501A1" w:rsidRDefault="00E707F3" w:rsidP="00E707F3">
      <w:pPr>
        <w:jc w:val="both"/>
        <w:rPr>
          <w:rFonts w:eastAsiaTheme="minorHAnsi"/>
          <w:lang w:val="es-ES" w:eastAsia="en-US"/>
        </w:rPr>
      </w:pPr>
    </w:p>
    <w:tbl>
      <w:tblPr>
        <w:tblStyle w:val="Tablaconcuadrcu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516"/>
        <w:gridCol w:w="4322"/>
      </w:tblGrid>
      <w:tr w:rsidR="00B501A1" w:rsidRPr="00B501A1" w14:paraId="15C004EF" w14:textId="77777777" w:rsidTr="00451B38">
        <w:tc>
          <w:tcPr>
            <w:tcW w:w="4508" w:type="dxa"/>
          </w:tcPr>
          <w:p w14:paraId="033DABCA" w14:textId="45C7D941" w:rsidR="00DF7D59" w:rsidRPr="00DF7D59" w:rsidRDefault="00DF7D59" w:rsidP="00DF7D59">
            <w:pPr>
              <w:pStyle w:val="Descripcin"/>
              <w:spacing w:after="0"/>
              <w:jc w:val="center"/>
              <w:rPr>
                <w:b/>
                <w:bCs/>
                <w:i w:val="0"/>
                <w:iCs w:val="0"/>
                <w:color w:val="auto"/>
                <w:sz w:val="24"/>
                <w:szCs w:val="24"/>
              </w:rPr>
            </w:pPr>
            <w:bookmarkStart w:id="167" w:name="_Toc143870736"/>
            <w:r w:rsidRPr="00DF7D59">
              <w:rPr>
                <w:b/>
                <w:bCs/>
                <w:i w:val="0"/>
                <w:iCs w:val="0"/>
                <w:color w:val="auto"/>
                <w:sz w:val="24"/>
                <w:szCs w:val="24"/>
              </w:rPr>
              <w:t xml:space="preserve">Gráfico </w:t>
            </w:r>
            <w:r w:rsidRPr="00DF7D59">
              <w:rPr>
                <w:b/>
                <w:bCs/>
                <w:i w:val="0"/>
                <w:iCs w:val="0"/>
                <w:color w:val="auto"/>
                <w:sz w:val="24"/>
                <w:szCs w:val="24"/>
              </w:rPr>
              <w:fldChar w:fldCharType="begin"/>
            </w:r>
            <w:r w:rsidRPr="00DF7D59">
              <w:rPr>
                <w:b/>
                <w:bCs/>
                <w:i w:val="0"/>
                <w:iCs w:val="0"/>
                <w:color w:val="auto"/>
                <w:sz w:val="24"/>
                <w:szCs w:val="24"/>
              </w:rPr>
              <w:instrText xml:space="preserve"> SEQ Gráfico \* ARABIC </w:instrText>
            </w:r>
            <w:r w:rsidRPr="00DF7D59">
              <w:rPr>
                <w:b/>
                <w:bCs/>
                <w:i w:val="0"/>
                <w:iCs w:val="0"/>
                <w:color w:val="auto"/>
                <w:sz w:val="24"/>
                <w:szCs w:val="24"/>
              </w:rPr>
              <w:fldChar w:fldCharType="separate"/>
            </w:r>
            <w:r w:rsidR="006622B2">
              <w:rPr>
                <w:b/>
                <w:bCs/>
                <w:i w:val="0"/>
                <w:iCs w:val="0"/>
                <w:noProof/>
                <w:color w:val="auto"/>
                <w:sz w:val="24"/>
                <w:szCs w:val="24"/>
              </w:rPr>
              <w:t>69</w:t>
            </w:r>
            <w:r w:rsidRPr="00DF7D59">
              <w:rPr>
                <w:b/>
                <w:bCs/>
                <w:i w:val="0"/>
                <w:iCs w:val="0"/>
                <w:color w:val="auto"/>
                <w:sz w:val="24"/>
                <w:szCs w:val="24"/>
              </w:rPr>
              <w:fldChar w:fldCharType="end"/>
            </w:r>
            <w:r w:rsidRPr="00DF7D59">
              <w:rPr>
                <w:b/>
                <w:bCs/>
                <w:i w:val="0"/>
                <w:iCs w:val="0"/>
                <w:color w:val="auto"/>
                <w:sz w:val="24"/>
                <w:szCs w:val="24"/>
              </w:rPr>
              <w:t>.  Techos indicativos: error de pronóstico promedio</w:t>
            </w:r>
            <w:bookmarkEnd w:id="167"/>
          </w:p>
          <w:p w14:paraId="5B1C228E" w14:textId="77777777" w:rsidR="00B501A1" w:rsidRPr="00B501A1" w:rsidRDefault="00B501A1" w:rsidP="00B501A1">
            <w:pPr>
              <w:jc w:val="center"/>
              <w:rPr>
                <w:rFonts w:eastAsiaTheme="minorHAnsi"/>
                <w:sz w:val="20"/>
                <w:szCs w:val="20"/>
                <w:lang w:val="es-ES" w:eastAsia="en-US"/>
              </w:rPr>
            </w:pPr>
            <w:r w:rsidRPr="00B501A1">
              <w:rPr>
                <w:rFonts w:eastAsiaTheme="minorHAnsi"/>
                <w:sz w:val="20"/>
                <w:szCs w:val="20"/>
                <w:lang w:val="es-ES" w:eastAsia="en-US"/>
              </w:rPr>
              <w:t>(en porcentajes del PIB)</w:t>
            </w:r>
          </w:p>
          <w:p w14:paraId="33D9136D" w14:textId="77777777" w:rsidR="00B501A1" w:rsidRPr="00B501A1" w:rsidRDefault="00B501A1" w:rsidP="00B501A1">
            <w:pPr>
              <w:rPr>
                <w:rFonts w:eastAsiaTheme="minorHAnsi"/>
                <w:sz w:val="16"/>
                <w:szCs w:val="16"/>
                <w:lang w:val="es-ES" w:eastAsia="en-US"/>
              </w:rPr>
            </w:pPr>
            <w:r w:rsidRPr="00B501A1">
              <w:rPr>
                <w:rFonts w:asciiTheme="minorHAnsi" w:eastAsiaTheme="minorHAnsi" w:hAnsiTheme="minorHAnsi" w:cstheme="minorBidi"/>
                <w:noProof/>
                <w:sz w:val="22"/>
                <w:szCs w:val="22"/>
                <w:lang w:eastAsia="en-US"/>
              </w:rPr>
              <w:drawing>
                <wp:inline distT="0" distB="0" distL="0" distR="0" wp14:anchorId="694488BB" wp14:editId="1D4C45E2">
                  <wp:extent cx="2813050" cy="1637969"/>
                  <wp:effectExtent l="0" t="0" r="6350" b="635"/>
                  <wp:docPr id="116" name="Gráfico 116">
                    <a:extLst xmlns:a="http://schemas.openxmlformats.org/drawingml/2006/main">
                      <a:ext uri="{FF2B5EF4-FFF2-40B4-BE49-F238E27FC236}">
                        <a16:creationId xmlns:a16="http://schemas.microsoft.com/office/drawing/2014/main" id="{93F425AF-0988-4C14-9AC1-7615CB5290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tc>
        <w:tc>
          <w:tcPr>
            <w:tcW w:w="4330" w:type="dxa"/>
          </w:tcPr>
          <w:p w14:paraId="29CB080D" w14:textId="60BD7A82" w:rsidR="00B501A1" w:rsidRPr="00B501A1" w:rsidRDefault="00B501A1" w:rsidP="00B501A1">
            <w:pPr>
              <w:jc w:val="center"/>
              <w:rPr>
                <w:rFonts w:eastAsiaTheme="minorHAnsi"/>
                <w:b/>
                <w:bCs/>
                <w:lang w:val="es-ES" w:eastAsia="en-US"/>
              </w:rPr>
            </w:pPr>
            <w:r w:rsidRPr="00B501A1">
              <w:rPr>
                <w:rFonts w:eastAsiaTheme="minorHAnsi"/>
                <w:b/>
                <w:bCs/>
                <w:lang w:val="es-ES" w:eastAsia="en-US"/>
              </w:rPr>
              <w:t xml:space="preserve">Techos indicativos: </w:t>
            </w:r>
            <w:r w:rsidR="00D31CC8">
              <w:rPr>
                <w:rFonts w:eastAsiaTheme="minorHAnsi"/>
                <w:b/>
                <w:bCs/>
                <w:lang w:val="es-ES" w:eastAsia="en-US"/>
              </w:rPr>
              <w:t>e</w:t>
            </w:r>
            <w:r w:rsidRPr="00B501A1">
              <w:rPr>
                <w:rFonts w:eastAsiaTheme="minorHAnsi"/>
                <w:b/>
                <w:bCs/>
                <w:lang w:val="es-ES" w:eastAsia="en-US"/>
              </w:rPr>
              <w:t>rror promedio absoluto de pronóstico</w:t>
            </w:r>
          </w:p>
          <w:p w14:paraId="6D00B130" w14:textId="77777777" w:rsidR="00B501A1" w:rsidRPr="00B501A1" w:rsidRDefault="00B501A1" w:rsidP="00B501A1">
            <w:pPr>
              <w:jc w:val="center"/>
              <w:rPr>
                <w:rFonts w:eastAsiaTheme="minorHAnsi"/>
                <w:sz w:val="20"/>
                <w:szCs w:val="20"/>
                <w:lang w:val="es-ES" w:eastAsia="en-US"/>
              </w:rPr>
            </w:pPr>
            <w:r w:rsidRPr="00B501A1">
              <w:rPr>
                <w:rFonts w:eastAsiaTheme="minorHAnsi"/>
                <w:sz w:val="20"/>
                <w:szCs w:val="20"/>
                <w:lang w:val="es-ES" w:eastAsia="en-US"/>
              </w:rPr>
              <w:t>(en porcentajes del PIB)</w:t>
            </w:r>
          </w:p>
          <w:p w14:paraId="4E9A6FCE" w14:textId="77777777" w:rsidR="00B501A1" w:rsidRPr="00B501A1" w:rsidRDefault="00B501A1" w:rsidP="00B501A1">
            <w:pPr>
              <w:rPr>
                <w:rFonts w:eastAsiaTheme="minorHAnsi"/>
                <w:sz w:val="16"/>
                <w:szCs w:val="16"/>
                <w:lang w:val="es-ES" w:eastAsia="en-US"/>
              </w:rPr>
            </w:pPr>
            <w:r w:rsidRPr="00B501A1">
              <w:rPr>
                <w:rFonts w:asciiTheme="minorHAnsi" w:eastAsiaTheme="minorHAnsi" w:hAnsiTheme="minorHAnsi" w:cstheme="minorBidi"/>
                <w:noProof/>
                <w:sz w:val="22"/>
                <w:szCs w:val="22"/>
                <w:lang w:eastAsia="en-US"/>
              </w:rPr>
              <w:drawing>
                <wp:inline distT="0" distB="0" distL="0" distR="0" wp14:anchorId="471CA600" wp14:editId="0D9A9D70">
                  <wp:extent cx="2705100" cy="1677725"/>
                  <wp:effectExtent l="0" t="0" r="0" b="0"/>
                  <wp:docPr id="117" name="Gráfico 117">
                    <a:extLst xmlns:a="http://schemas.openxmlformats.org/drawingml/2006/main">
                      <a:ext uri="{FF2B5EF4-FFF2-40B4-BE49-F238E27FC236}">
                        <a16:creationId xmlns:a16="http://schemas.microsoft.com/office/drawing/2014/main" id="{5A5FE42A-A35E-4AB2-BF76-2B16F61E8F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tc>
      </w:tr>
      <w:tr w:rsidR="00B501A1" w:rsidRPr="00B501A1" w14:paraId="2D4D497C" w14:textId="77777777" w:rsidTr="00451B38">
        <w:tc>
          <w:tcPr>
            <w:tcW w:w="8838" w:type="dxa"/>
            <w:gridSpan w:val="2"/>
            <w:vAlign w:val="center"/>
          </w:tcPr>
          <w:p w14:paraId="028A092A" w14:textId="219BF955" w:rsidR="00B501A1" w:rsidRPr="00B501A1" w:rsidRDefault="00B501A1" w:rsidP="00B501A1">
            <w:pPr>
              <w:jc w:val="center"/>
              <w:rPr>
                <w:rFonts w:eastAsiaTheme="minorHAnsi"/>
                <w:b/>
                <w:bCs/>
                <w:lang w:val="es-ES" w:eastAsia="en-US"/>
              </w:rPr>
            </w:pPr>
            <w:r w:rsidRPr="00B501A1">
              <w:rPr>
                <w:rFonts w:eastAsiaTheme="minorHAnsi"/>
                <w:b/>
                <w:bCs/>
                <w:lang w:val="es-ES" w:eastAsia="en-US"/>
              </w:rPr>
              <w:t xml:space="preserve">Techos indicativos: </w:t>
            </w:r>
            <w:r w:rsidR="00D31CC8">
              <w:rPr>
                <w:rFonts w:eastAsiaTheme="minorHAnsi"/>
                <w:b/>
                <w:bCs/>
                <w:lang w:val="es-ES" w:eastAsia="en-US"/>
              </w:rPr>
              <w:t>d</w:t>
            </w:r>
            <w:r w:rsidRPr="00B501A1">
              <w:rPr>
                <w:rFonts w:eastAsiaTheme="minorHAnsi"/>
                <w:b/>
                <w:bCs/>
                <w:lang w:val="es-ES" w:eastAsia="en-US"/>
              </w:rPr>
              <w:t>istribución de errores de pronóstico</w:t>
            </w:r>
          </w:p>
          <w:p w14:paraId="048E368D" w14:textId="77777777" w:rsidR="00B501A1" w:rsidRPr="00B501A1" w:rsidRDefault="00B501A1" w:rsidP="00B501A1">
            <w:pPr>
              <w:jc w:val="center"/>
              <w:rPr>
                <w:rFonts w:eastAsiaTheme="minorHAnsi"/>
                <w:sz w:val="20"/>
                <w:szCs w:val="20"/>
                <w:lang w:val="es-ES" w:eastAsia="en-US"/>
              </w:rPr>
            </w:pPr>
            <w:r w:rsidRPr="00B501A1">
              <w:rPr>
                <w:rFonts w:eastAsiaTheme="minorHAnsi"/>
                <w:sz w:val="20"/>
                <w:szCs w:val="20"/>
                <w:lang w:val="es-ES" w:eastAsia="en-US"/>
              </w:rPr>
              <w:t>(en porcentajes del PIB)</w:t>
            </w:r>
          </w:p>
          <w:p w14:paraId="5ECF6BBB" w14:textId="77777777" w:rsidR="00B501A1" w:rsidRPr="00B501A1" w:rsidRDefault="00B501A1" w:rsidP="00B501A1">
            <w:pPr>
              <w:jc w:val="center"/>
              <w:rPr>
                <w:rFonts w:eastAsiaTheme="minorHAnsi"/>
                <w:sz w:val="16"/>
                <w:szCs w:val="16"/>
                <w:lang w:val="es-ES" w:eastAsia="en-US"/>
              </w:rPr>
            </w:pPr>
            <w:r w:rsidRPr="00B501A1">
              <w:rPr>
                <w:rFonts w:asciiTheme="minorHAnsi" w:eastAsiaTheme="minorHAnsi" w:hAnsiTheme="minorHAnsi" w:cstheme="minorBidi"/>
                <w:noProof/>
                <w:sz w:val="22"/>
                <w:szCs w:val="22"/>
                <w:lang w:eastAsia="en-US"/>
              </w:rPr>
              <mc:AlternateContent>
                <mc:Choice Requires="cx1">
                  <w:drawing>
                    <wp:inline distT="0" distB="0" distL="0" distR="0" wp14:anchorId="2B2EAAE5" wp14:editId="7FC7C08F">
                      <wp:extent cx="5143500" cy="2266122"/>
                      <wp:effectExtent l="0" t="0" r="0" b="1270"/>
                      <wp:docPr id="118" name="Gráfico 118">
                        <a:extLst xmlns:a="http://schemas.openxmlformats.org/drawingml/2006/main">
                          <a:ext uri="{FF2B5EF4-FFF2-40B4-BE49-F238E27FC236}">
                            <a16:creationId xmlns:a16="http://schemas.microsoft.com/office/drawing/2014/main" id="{82C07C46-96C3-4404-BC0D-601FBB48B26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2"/>
                        </a:graphicData>
                      </a:graphic>
                    </wp:inline>
                  </w:drawing>
                </mc:Choice>
                <mc:Fallback>
                  <w:drawing>
                    <wp:inline distT="0" distB="0" distL="0" distR="0" wp14:anchorId="2B2EAAE5" wp14:editId="7FC7C08F">
                      <wp:extent cx="5143500" cy="2266122"/>
                      <wp:effectExtent l="0" t="0" r="0" b="1270"/>
                      <wp:docPr id="118" name="Gráfico 118">
                        <a:extLst xmlns:a="http://schemas.openxmlformats.org/drawingml/2006/main">
                          <a:ext uri="{FF2B5EF4-FFF2-40B4-BE49-F238E27FC236}">
                            <a16:creationId xmlns:a16="http://schemas.microsoft.com/office/drawing/2014/main" id="{82C07C46-96C3-4404-BC0D-601FBB48B26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8" name="Gráfico 118">
                                <a:extLst>
                                  <a:ext uri="{FF2B5EF4-FFF2-40B4-BE49-F238E27FC236}">
                                    <a16:creationId xmlns:a16="http://schemas.microsoft.com/office/drawing/2014/main" id="{82C07C46-96C3-4404-BC0D-601FBB48B261}"/>
                                  </a:ext>
                                </a:extLst>
                              </pic:cNvPr>
                              <pic:cNvPicPr>
                                <a:picLocks noGrp="1" noRot="1" noChangeAspect="1" noMove="1" noResize="1" noEditPoints="1" noAdjustHandles="1" noChangeArrowheads="1" noChangeShapeType="1"/>
                              </pic:cNvPicPr>
                            </pic:nvPicPr>
                            <pic:blipFill>
                              <a:blip r:embed="rId133"/>
                              <a:stretch>
                                <a:fillRect/>
                              </a:stretch>
                            </pic:blipFill>
                            <pic:spPr>
                              <a:xfrm>
                                <a:off x="0" y="0"/>
                                <a:ext cx="5143500" cy="2265680"/>
                              </a:xfrm>
                              <a:prstGeom prst="rect">
                                <a:avLst/>
                              </a:prstGeom>
                            </pic:spPr>
                          </pic:pic>
                        </a:graphicData>
                      </a:graphic>
                    </wp:inline>
                  </w:drawing>
                </mc:Fallback>
              </mc:AlternateContent>
            </w:r>
          </w:p>
          <w:p w14:paraId="5664D1B8" w14:textId="4F7B46B5" w:rsidR="00B501A1" w:rsidRDefault="00B501A1" w:rsidP="00B501A1">
            <w:pPr>
              <w:rPr>
                <w:rFonts w:eastAsiaTheme="minorHAnsi"/>
                <w:sz w:val="16"/>
                <w:szCs w:val="16"/>
                <w:lang w:val="es-ES" w:eastAsia="en-US"/>
              </w:rPr>
            </w:pPr>
            <w:r w:rsidRPr="00B501A1">
              <w:rPr>
                <w:rFonts w:eastAsiaTheme="minorHAnsi"/>
                <w:sz w:val="16"/>
                <w:szCs w:val="16"/>
                <w:lang w:val="es-ES" w:eastAsia="en-US"/>
              </w:rPr>
              <w:t>Fuente: Dirección de Análisis y Política Fiscal</w:t>
            </w:r>
          </w:p>
          <w:p w14:paraId="47546F03" w14:textId="0D339717" w:rsidR="006C707E" w:rsidRDefault="006C707E" w:rsidP="00B501A1">
            <w:pPr>
              <w:rPr>
                <w:rFonts w:eastAsiaTheme="minorHAnsi"/>
                <w:sz w:val="16"/>
                <w:szCs w:val="16"/>
                <w:lang w:val="es-ES" w:eastAsia="en-US"/>
              </w:rPr>
            </w:pPr>
          </w:p>
          <w:p w14:paraId="0F380E66" w14:textId="748D05A4" w:rsidR="006C707E" w:rsidRDefault="006C707E" w:rsidP="00B501A1">
            <w:pPr>
              <w:rPr>
                <w:rFonts w:eastAsiaTheme="minorHAnsi"/>
                <w:sz w:val="16"/>
                <w:szCs w:val="16"/>
                <w:lang w:val="es-ES" w:eastAsia="en-US"/>
              </w:rPr>
            </w:pPr>
          </w:p>
          <w:p w14:paraId="4F7B5C47" w14:textId="071422C0" w:rsidR="006C707E" w:rsidRPr="006C707E" w:rsidRDefault="006C707E" w:rsidP="006C707E">
            <w:pPr>
              <w:numPr>
                <w:ilvl w:val="0"/>
                <w:numId w:val="3"/>
              </w:numPr>
              <w:contextualSpacing/>
              <w:jc w:val="both"/>
              <w:outlineLvl w:val="0"/>
              <w:rPr>
                <w:b/>
                <w:bCs/>
              </w:rPr>
            </w:pPr>
            <w:bookmarkStart w:id="168" w:name="_Toc143865836"/>
            <w:r w:rsidRPr="006C707E">
              <w:rPr>
                <w:b/>
                <w:bCs/>
              </w:rPr>
              <w:t xml:space="preserve">Desempeño de la política fiscal a junio de 2023 </w:t>
            </w:r>
            <w:bookmarkEnd w:id="168"/>
          </w:p>
          <w:p w14:paraId="4A8FFD90" w14:textId="77777777" w:rsidR="006C707E" w:rsidRPr="006C707E" w:rsidRDefault="006C707E" w:rsidP="006C707E">
            <w:pPr>
              <w:jc w:val="both"/>
            </w:pPr>
          </w:p>
          <w:p w14:paraId="10FF5B20" w14:textId="77777777" w:rsidR="006C707E" w:rsidRPr="006C707E" w:rsidRDefault="006C707E" w:rsidP="006C707E">
            <w:pPr>
              <w:numPr>
                <w:ilvl w:val="1"/>
                <w:numId w:val="3"/>
              </w:numPr>
              <w:contextualSpacing/>
              <w:jc w:val="both"/>
              <w:outlineLvl w:val="1"/>
              <w:rPr>
                <w:b/>
                <w:bCs/>
              </w:rPr>
            </w:pPr>
            <w:bookmarkStart w:id="169" w:name="_Toc143865837"/>
            <w:r w:rsidRPr="006C707E">
              <w:rPr>
                <w:b/>
                <w:bCs/>
              </w:rPr>
              <w:t>Ingresos fiscales</w:t>
            </w:r>
            <w:bookmarkEnd w:id="169"/>
          </w:p>
          <w:p w14:paraId="2F579DFD" w14:textId="77777777" w:rsidR="006C707E" w:rsidRPr="006C707E" w:rsidRDefault="006C707E" w:rsidP="006C707E">
            <w:pPr>
              <w:jc w:val="both"/>
            </w:pPr>
          </w:p>
          <w:p w14:paraId="4F54B1B3" w14:textId="149EE9EA" w:rsidR="006C707E" w:rsidRPr="006C707E" w:rsidRDefault="006C707E" w:rsidP="006C707E">
            <w:pPr>
              <w:jc w:val="both"/>
            </w:pPr>
            <w:r w:rsidRPr="006C707E">
              <w:t xml:space="preserve">El comportamiento de la recaudación tributaria a lo largo de los meses transcurridos del año se ha caracterizado por superar la meta </w:t>
            </w:r>
            <w:r w:rsidR="00C92089">
              <w:t>presupuestaria mensual de forma consecutiva durante el primer semestre 2023</w:t>
            </w:r>
            <w:r w:rsidRPr="006C707E">
              <w:t xml:space="preserve">, atribuido principalmente por el buen desempeño de la recaudación del Impuesto Sobre la Renta y del Impuesto al Valor Agregado Doméstico, por medio de los esfuerzos implementados en el fortalecimiento de la administración tributaria. </w:t>
            </w:r>
          </w:p>
          <w:p w14:paraId="7F32021B" w14:textId="77777777" w:rsidR="006C707E" w:rsidRPr="006C707E" w:rsidRDefault="006C707E" w:rsidP="006C707E">
            <w:pPr>
              <w:jc w:val="both"/>
            </w:pPr>
          </w:p>
          <w:p w14:paraId="3C87BD18" w14:textId="77777777" w:rsidR="006C707E" w:rsidRPr="006C707E" w:rsidRDefault="006C707E" w:rsidP="006C707E">
            <w:pPr>
              <w:jc w:val="both"/>
            </w:pPr>
            <w:r w:rsidRPr="006C707E">
              <w:t>A junio la recaudación tributaria continúa superando la meta y por lo tanto ampliándose la brecha por una dinámica positiva, principalmente, en el Impuesto Sobre la Renta (ISR), Impuesto al Valor Agregado (IVA) y el Impuesto a los Derivados del Petróleo.</w:t>
            </w:r>
          </w:p>
          <w:p w14:paraId="3E6E2227" w14:textId="77777777" w:rsidR="006C707E" w:rsidRPr="006C707E" w:rsidRDefault="006C707E" w:rsidP="006C707E">
            <w:pPr>
              <w:jc w:val="both"/>
            </w:pPr>
          </w:p>
          <w:p w14:paraId="2221033E" w14:textId="77777777" w:rsidR="006C707E" w:rsidRPr="006C707E" w:rsidRDefault="006C707E" w:rsidP="006C707E">
            <w:pPr>
              <w:jc w:val="both"/>
            </w:pPr>
            <w:r w:rsidRPr="006C707E">
              <w:t>La recaudación tributaria total neta acumulada a junio experimentó una brecha positiva acumulada de Q4,470.4 millones respecto a la meta de presupuesto, siendo los impuestos que contribuyen en mayor cuantía el ISR, ISO, IVA total, Derechos Arancelarios a la Importación (DAI), Derivados del Petróleo (IDP), IPRIMA, Bebidas, Tabacos, Cemento y el Impuesto de Salidas del País. Las Regalías e Hidrocarburos compartibles generan brecha negativa de Q43.7 millones.</w:t>
            </w:r>
          </w:p>
          <w:p w14:paraId="72D11C86" w14:textId="77777777" w:rsidR="006C707E" w:rsidRPr="006C707E" w:rsidRDefault="006C707E" w:rsidP="006C707E">
            <w:pPr>
              <w:jc w:val="both"/>
            </w:pPr>
          </w:p>
          <w:p w14:paraId="20F40F3D" w14:textId="366FC5A0" w:rsidR="006C707E" w:rsidRPr="006C707E" w:rsidRDefault="006C707E" w:rsidP="006C707E">
            <w:pPr>
              <w:jc w:val="center"/>
              <w:rPr>
                <w:b/>
                <w:bCs/>
                <w:lang w:eastAsia="en-US"/>
              </w:rPr>
            </w:pPr>
            <w:bookmarkStart w:id="170" w:name="_Toc143870737"/>
            <w:r w:rsidRPr="006C707E">
              <w:rPr>
                <w:b/>
                <w:bCs/>
              </w:rPr>
              <w:t xml:space="preserve">Gráfico </w:t>
            </w:r>
            <w:r w:rsidRPr="006C707E">
              <w:rPr>
                <w:b/>
                <w:bCs/>
              </w:rPr>
              <w:fldChar w:fldCharType="begin"/>
            </w:r>
            <w:r w:rsidRPr="006C707E">
              <w:rPr>
                <w:b/>
                <w:bCs/>
              </w:rPr>
              <w:instrText xml:space="preserve"> SEQ Gráfico \* ARABIC </w:instrText>
            </w:r>
            <w:r w:rsidRPr="006C707E">
              <w:rPr>
                <w:b/>
                <w:bCs/>
              </w:rPr>
              <w:fldChar w:fldCharType="separate"/>
            </w:r>
            <w:r w:rsidR="006622B2">
              <w:rPr>
                <w:b/>
                <w:bCs/>
                <w:noProof/>
              </w:rPr>
              <w:t>70</w:t>
            </w:r>
            <w:r w:rsidRPr="006C707E">
              <w:rPr>
                <w:b/>
                <w:bCs/>
              </w:rPr>
              <w:fldChar w:fldCharType="end"/>
            </w:r>
            <w:r w:rsidRPr="006C707E">
              <w:rPr>
                <w:b/>
                <w:bCs/>
              </w:rPr>
              <w:t xml:space="preserve">. </w:t>
            </w:r>
            <w:r w:rsidRPr="006C707E">
              <w:rPr>
                <w:b/>
                <w:bCs/>
                <w:lang w:eastAsia="en-US"/>
              </w:rPr>
              <w:t>Brecha mensual de recaudación 2023 respecto a presupuesto</w:t>
            </w:r>
            <w:bookmarkEnd w:id="170"/>
          </w:p>
          <w:p w14:paraId="4DF95FEA" w14:textId="77777777" w:rsidR="006C707E" w:rsidRPr="006C707E" w:rsidRDefault="006C707E" w:rsidP="006C707E">
            <w:pPr>
              <w:jc w:val="center"/>
              <w:rPr>
                <w:sz w:val="22"/>
                <w:szCs w:val="22"/>
                <w:lang w:eastAsia="en-US"/>
              </w:rPr>
            </w:pPr>
            <w:r w:rsidRPr="006C707E">
              <w:rPr>
                <w:sz w:val="22"/>
                <w:szCs w:val="22"/>
                <w:lang w:eastAsia="en-US"/>
              </w:rPr>
              <w:t>En millones de quetzales</w:t>
            </w:r>
          </w:p>
          <w:p w14:paraId="72E17C28" w14:textId="7D4F73BE" w:rsidR="006C707E" w:rsidRPr="006C707E" w:rsidRDefault="006C707E" w:rsidP="006C707E">
            <w:pPr>
              <w:spacing w:after="160" w:line="259" w:lineRule="auto"/>
              <w:jc w:val="both"/>
              <w:rPr>
                <w:sz w:val="22"/>
                <w:szCs w:val="22"/>
                <w:lang w:eastAsia="en-US"/>
              </w:rPr>
            </w:pPr>
            <w:r w:rsidRPr="006C707E">
              <w:rPr>
                <w:noProof/>
              </w:rPr>
              <w:drawing>
                <wp:anchor distT="0" distB="2540" distL="114300" distR="114300" simplePos="0" relativeHeight="251799552" behindDoc="0" locked="0" layoutInCell="1" allowOverlap="1" wp14:anchorId="44A2D610" wp14:editId="435C5523">
                  <wp:simplePos x="0" y="0"/>
                  <wp:positionH relativeFrom="column">
                    <wp:posOffset>-3810</wp:posOffset>
                  </wp:positionH>
                  <wp:positionV relativeFrom="paragraph">
                    <wp:posOffset>28575</wp:posOffset>
                  </wp:positionV>
                  <wp:extent cx="5534025" cy="2416810"/>
                  <wp:effectExtent l="0" t="0" r="0" b="2540"/>
                  <wp:wrapNone/>
                  <wp:docPr id="193" name="Gráfico 1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14:sizeRelH relativeFrom="margin">
                    <wp14:pctWidth>0</wp14:pctWidth>
                  </wp14:sizeRelH>
                  <wp14:sizeRelV relativeFrom="margin">
                    <wp14:pctHeight>0</wp14:pctHeight>
                  </wp14:sizeRelV>
                </wp:anchor>
              </w:drawing>
            </w:r>
          </w:p>
          <w:p w14:paraId="4F64F6CD" w14:textId="77777777" w:rsidR="006C707E" w:rsidRPr="006C707E" w:rsidRDefault="006C707E" w:rsidP="006C707E">
            <w:pPr>
              <w:spacing w:after="160" w:line="259" w:lineRule="auto"/>
              <w:jc w:val="both"/>
              <w:rPr>
                <w:sz w:val="22"/>
                <w:szCs w:val="22"/>
                <w:lang w:eastAsia="en-US"/>
              </w:rPr>
            </w:pPr>
          </w:p>
          <w:p w14:paraId="6F5D0271" w14:textId="77777777" w:rsidR="006C707E" w:rsidRPr="006C707E" w:rsidRDefault="006C707E" w:rsidP="006C707E">
            <w:pPr>
              <w:spacing w:after="160" w:line="259" w:lineRule="auto"/>
              <w:jc w:val="both"/>
              <w:rPr>
                <w:sz w:val="22"/>
                <w:szCs w:val="22"/>
                <w:lang w:eastAsia="en-US"/>
              </w:rPr>
            </w:pPr>
          </w:p>
          <w:p w14:paraId="5E339F70" w14:textId="77777777" w:rsidR="006C707E" w:rsidRPr="006C707E" w:rsidRDefault="006C707E" w:rsidP="006C707E">
            <w:pPr>
              <w:spacing w:after="160" w:line="259" w:lineRule="auto"/>
              <w:jc w:val="both"/>
              <w:rPr>
                <w:sz w:val="22"/>
                <w:szCs w:val="22"/>
                <w:lang w:eastAsia="en-US"/>
              </w:rPr>
            </w:pPr>
          </w:p>
          <w:p w14:paraId="7D786539" w14:textId="77777777" w:rsidR="006C707E" w:rsidRPr="006C707E" w:rsidRDefault="006C707E" w:rsidP="006C707E">
            <w:pPr>
              <w:spacing w:after="160" w:line="259" w:lineRule="auto"/>
              <w:jc w:val="both"/>
              <w:rPr>
                <w:sz w:val="22"/>
                <w:szCs w:val="22"/>
                <w:lang w:eastAsia="en-US"/>
              </w:rPr>
            </w:pPr>
          </w:p>
          <w:p w14:paraId="0ED03E3C" w14:textId="77777777" w:rsidR="006C707E" w:rsidRPr="006C707E" w:rsidRDefault="006C707E" w:rsidP="006C707E">
            <w:pPr>
              <w:spacing w:after="160" w:line="259" w:lineRule="auto"/>
              <w:jc w:val="both"/>
              <w:rPr>
                <w:sz w:val="22"/>
                <w:szCs w:val="22"/>
                <w:lang w:eastAsia="en-US"/>
              </w:rPr>
            </w:pPr>
          </w:p>
          <w:p w14:paraId="65F04775" w14:textId="77777777" w:rsidR="006C707E" w:rsidRPr="006C707E" w:rsidRDefault="006C707E" w:rsidP="006C707E">
            <w:pPr>
              <w:spacing w:after="160" w:line="259" w:lineRule="auto"/>
              <w:jc w:val="both"/>
              <w:rPr>
                <w:b/>
                <w:bCs/>
                <w:lang w:eastAsia="en-US"/>
              </w:rPr>
            </w:pPr>
          </w:p>
          <w:p w14:paraId="68AD896D" w14:textId="77777777" w:rsidR="00E707F3" w:rsidRDefault="00E707F3" w:rsidP="006C707E">
            <w:pPr>
              <w:jc w:val="both"/>
              <w:rPr>
                <w:sz w:val="18"/>
                <w:szCs w:val="18"/>
                <w:lang w:eastAsia="en-US"/>
              </w:rPr>
            </w:pPr>
          </w:p>
          <w:p w14:paraId="52309AAA" w14:textId="02738EEB" w:rsidR="00E707F3" w:rsidRDefault="00E707F3" w:rsidP="006C707E">
            <w:pPr>
              <w:jc w:val="both"/>
              <w:rPr>
                <w:sz w:val="18"/>
                <w:szCs w:val="18"/>
                <w:lang w:eastAsia="en-US"/>
              </w:rPr>
            </w:pPr>
          </w:p>
          <w:p w14:paraId="263E76BC" w14:textId="455DC7F7" w:rsidR="00875D00" w:rsidRDefault="00875D00" w:rsidP="006C707E">
            <w:pPr>
              <w:jc w:val="both"/>
              <w:rPr>
                <w:sz w:val="18"/>
                <w:szCs w:val="18"/>
                <w:lang w:eastAsia="en-US"/>
              </w:rPr>
            </w:pPr>
          </w:p>
          <w:p w14:paraId="39CD2C04" w14:textId="77777777" w:rsidR="00875D00" w:rsidRDefault="00875D00" w:rsidP="006C707E">
            <w:pPr>
              <w:jc w:val="both"/>
              <w:rPr>
                <w:sz w:val="18"/>
                <w:szCs w:val="18"/>
                <w:lang w:eastAsia="en-US"/>
              </w:rPr>
            </w:pPr>
          </w:p>
          <w:p w14:paraId="4DF22E2B" w14:textId="647E091D" w:rsidR="006C707E" w:rsidRPr="006C707E" w:rsidRDefault="006C707E" w:rsidP="006C707E">
            <w:pPr>
              <w:jc w:val="both"/>
              <w:rPr>
                <w:sz w:val="18"/>
                <w:szCs w:val="18"/>
                <w:lang w:eastAsia="en-US"/>
              </w:rPr>
            </w:pPr>
            <w:r w:rsidRPr="006C707E">
              <w:rPr>
                <w:sz w:val="18"/>
                <w:szCs w:val="18"/>
                <w:lang w:eastAsia="en-US"/>
              </w:rPr>
              <w:t xml:space="preserve">             Fuente: Dirección de Análisis y Política Fiscal.</w:t>
            </w:r>
          </w:p>
          <w:p w14:paraId="5EE1F937" w14:textId="77777777" w:rsidR="006C707E" w:rsidRPr="006C707E" w:rsidRDefault="006C707E" w:rsidP="006C707E">
            <w:pPr>
              <w:jc w:val="both"/>
              <w:rPr>
                <w:lang w:eastAsia="en-US"/>
              </w:rPr>
            </w:pPr>
          </w:p>
          <w:p w14:paraId="1E22ABC4" w14:textId="77777777" w:rsidR="006C707E" w:rsidRPr="006C707E" w:rsidRDefault="006C707E" w:rsidP="006C707E">
            <w:pPr>
              <w:jc w:val="both"/>
            </w:pPr>
            <w:r w:rsidRPr="006C707E">
              <w:t>A junio, la recaudación asociada al comercio exterior genera una brecha positiva respecto a la meta en Q645.6 millones, respecto a lo observado en 2022 la brecha es negativa en Q34.1 millones.  Este resultado combina por una parte el seguimiento de las medidas implementadas por la SAT en el ramo de aduanas mediante acciones para combatir la defraudación y el contrabando que redundan en mayor eficiencia del control aduanero, a la simplificación, automatización y transparencia en el ingreso y salida de la carga vía aérea, fortalecimiento de la gestión de riesgo, operativos interinstitucionales en aduanas aéreas, terrestres, marítimas, puestos fronterizos, depósitos aduaneros y zonas francas, fortalecimiento del intercambio de información con otros Estados Parte entre otras y nuevas acciones como la puesta en marcha del modelo para análisis de operaciones aduaneras la cual consiste en mayores controles en los recintos aduaneros principalmente en los marítimos que permitirán darle trazabilidad de información en tiempo real del inventario de contenedores en los patios de los puertos y su despacho.</w:t>
            </w:r>
          </w:p>
          <w:p w14:paraId="3324508D" w14:textId="77777777" w:rsidR="006C707E" w:rsidRPr="006C707E" w:rsidRDefault="006C707E" w:rsidP="006C707E">
            <w:pPr>
              <w:jc w:val="both"/>
            </w:pPr>
          </w:p>
          <w:p w14:paraId="1332FC9B" w14:textId="77777777" w:rsidR="006C707E" w:rsidRPr="006C707E" w:rsidRDefault="006C707E" w:rsidP="006C707E">
            <w:pPr>
              <w:numPr>
                <w:ilvl w:val="2"/>
                <w:numId w:val="3"/>
              </w:numPr>
              <w:ind w:left="1134" w:hanging="645"/>
              <w:contextualSpacing/>
              <w:jc w:val="both"/>
              <w:outlineLvl w:val="2"/>
              <w:rPr>
                <w:b/>
                <w:bCs/>
              </w:rPr>
            </w:pPr>
            <w:bookmarkStart w:id="171" w:name="_Toc143865838"/>
            <w:r w:rsidRPr="006C707E">
              <w:rPr>
                <w:b/>
                <w:bCs/>
              </w:rPr>
              <w:t>El Impuesto Sobre la Renta -ISR- y el Impuesto de Solidaridad -ISO-</w:t>
            </w:r>
            <w:bookmarkEnd w:id="171"/>
          </w:p>
          <w:p w14:paraId="26116F72" w14:textId="77777777" w:rsidR="006C707E" w:rsidRPr="006C707E" w:rsidRDefault="006C707E" w:rsidP="006C707E">
            <w:pPr>
              <w:jc w:val="both"/>
            </w:pPr>
          </w:p>
          <w:p w14:paraId="05ED378B" w14:textId="77777777" w:rsidR="006C707E" w:rsidRPr="006C707E" w:rsidRDefault="006C707E" w:rsidP="006C707E">
            <w:pPr>
              <w:jc w:val="both"/>
            </w:pPr>
            <w:r w:rsidRPr="006C707E">
              <w:t>De manera acumulada ambos impuestos generaron una brecha positiva de Q2,564.7 millones con respecto a la meta de presupuesto, determinada principalmente por el ISR que contribuyó de manera positiva en Q2,046.1 millones.  Aspectos relevantes que contribuyen con el desempeño del ISR son las medidas que ha implementado la Superintendencia de Administración Tributaria -SAT- mediante fiscalización por sector económico y la inclusión de nuevos anexos al formulario de declaración.</w:t>
            </w:r>
          </w:p>
          <w:p w14:paraId="78787BC7" w14:textId="77777777" w:rsidR="006C707E" w:rsidRPr="006C707E" w:rsidRDefault="006C707E" w:rsidP="006C707E">
            <w:pPr>
              <w:jc w:val="both"/>
            </w:pPr>
          </w:p>
          <w:p w14:paraId="4131688B" w14:textId="77777777" w:rsidR="006C707E" w:rsidRPr="006C707E" w:rsidRDefault="006C707E" w:rsidP="006C707E">
            <w:pPr>
              <w:numPr>
                <w:ilvl w:val="3"/>
                <w:numId w:val="3"/>
              </w:numPr>
              <w:tabs>
                <w:tab w:val="left" w:pos="1701"/>
              </w:tabs>
              <w:ind w:left="1418"/>
              <w:contextualSpacing/>
              <w:jc w:val="both"/>
              <w:outlineLvl w:val="2"/>
              <w:rPr>
                <w:b/>
                <w:bCs/>
              </w:rPr>
            </w:pPr>
            <w:bookmarkStart w:id="172" w:name="_Toc143865839"/>
            <w:r w:rsidRPr="006C707E">
              <w:rPr>
                <w:b/>
                <w:bCs/>
              </w:rPr>
              <w:t>ISR por actividad económica</w:t>
            </w:r>
            <w:bookmarkEnd w:id="172"/>
          </w:p>
          <w:p w14:paraId="1F848207" w14:textId="77777777" w:rsidR="006C707E" w:rsidRPr="006C707E" w:rsidRDefault="006C707E" w:rsidP="006C707E">
            <w:pPr>
              <w:jc w:val="both"/>
            </w:pPr>
          </w:p>
          <w:p w14:paraId="397CFEBD" w14:textId="77777777" w:rsidR="006C707E" w:rsidRPr="006C707E" w:rsidRDefault="006C707E" w:rsidP="006C707E">
            <w:pPr>
              <w:jc w:val="both"/>
            </w:pPr>
            <w:r w:rsidRPr="006C707E">
              <w:t>A junio la recaudación por ISR con apertura de actividad económica publicada por SAT da cuenta que el 81.2% de la recaudación tributaria de este impuesto esta explicada por 8 actividades Económicas de 21 que tiene determinadas SAT.</w:t>
            </w:r>
          </w:p>
          <w:p w14:paraId="0B457B58" w14:textId="77777777" w:rsidR="006C707E" w:rsidRPr="006C707E" w:rsidRDefault="006C707E" w:rsidP="006C707E">
            <w:pPr>
              <w:jc w:val="both"/>
            </w:pPr>
          </w:p>
          <w:p w14:paraId="03999AEA" w14:textId="77777777" w:rsidR="006C707E" w:rsidRPr="006C707E" w:rsidRDefault="006C707E" w:rsidP="006C707E">
            <w:pPr>
              <w:jc w:val="both"/>
            </w:pPr>
            <w:r w:rsidRPr="006C707E">
              <w:t>Sobresale que de estas 8 actividades la que más aporta es la relacionada a Comercio al por Mayor y al por Menor; Reparación de Vehículos Automotores y Motocicletas en 23.8%, seguida por las Industrias Manufactureras que aportan 18.5% y las Actividades Financieras y de Seguros 15.2%.</w:t>
            </w:r>
          </w:p>
          <w:p w14:paraId="36D8C279" w14:textId="77777777" w:rsidR="006C707E" w:rsidRPr="006C707E" w:rsidRDefault="006C707E" w:rsidP="006C707E">
            <w:pPr>
              <w:jc w:val="both"/>
            </w:pPr>
          </w:p>
          <w:p w14:paraId="34A97007" w14:textId="77777777" w:rsidR="006C707E" w:rsidRPr="006C707E" w:rsidRDefault="006C707E" w:rsidP="006C707E">
            <w:pPr>
              <w:jc w:val="both"/>
            </w:pPr>
            <w:r w:rsidRPr="006C707E">
              <w:t>De la variación interanual de las 21 actividades económicas de la recaudación del ISR destaca que las Actividades de alojamiento y de servicio de comidas,  Actividades de los hogares como empleadores y Actividades artísticas, de entretenimiento y recreativas son las que tienen el mayor crecimiento interanual y Actividades de minas y canteras, Actividades de agricultura, ganadería, silvicultura y pesca y Actividades de organizaciones y órganos extraterritoriales, presentaron caída respecto a lo observado en 2022.</w:t>
            </w:r>
          </w:p>
          <w:p w14:paraId="633B8EBD" w14:textId="77777777" w:rsidR="006C707E" w:rsidRPr="006C707E" w:rsidRDefault="006C707E" w:rsidP="006C707E">
            <w:pPr>
              <w:jc w:val="both"/>
            </w:pPr>
          </w:p>
          <w:p w14:paraId="7EDFCC76" w14:textId="16AA6D76" w:rsidR="006C707E" w:rsidRPr="006C707E" w:rsidRDefault="006C707E" w:rsidP="006C707E">
            <w:pPr>
              <w:jc w:val="center"/>
              <w:rPr>
                <w:b/>
                <w:bCs/>
              </w:rPr>
            </w:pPr>
            <w:bookmarkStart w:id="173" w:name="_Toc143870738"/>
            <w:r w:rsidRPr="006C707E">
              <w:rPr>
                <w:b/>
                <w:bCs/>
              </w:rPr>
              <w:t xml:space="preserve">Gráfico </w:t>
            </w:r>
            <w:r w:rsidRPr="006C707E">
              <w:rPr>
                <w:b/>
                <w:bCs/>
              </w:rPr>
              <w:fldChar w:fldCharType="begin"/>
            </w:r>
            <w:r w:rsidRPr="006C707E">
              <w:rPr>
                <w:b/>
                <w:bCs/>
              </w:rPr>
              <w:instrText xml:space="preserve"> SEQ Gráfico \* ARABIC </w:instrText>
            </w:r>
            <w:r w:rsidRPr="006C707E">
              <w:rPr>
                <w:b/>
                <w:bCs/>
              </w:rPr>
              <w:fldChar w:fldCharType="separate"/>
            </w:r>
            <w:r w:rsidR="006622B2">
              <w:rPr>
                <w:b/>
                <w:bCs/>
                <w:noProof/>
              </w:rPr>
              <w:t>71</w:t>
            </w:r>
            <w:r w:rsidRPr="006C707E">
              <w:rPr>
                <w:b/>
                <w:bCs/>
              </w:rPr>
              <w:fldChar w:fldCharType="end"/>
            </w:r>
            <w:r w:rsidRPr="006C707E">
              <w:rPr>
                <w:b/>
                <w:bCs/>
              </w:rPr>
              <w:t xml:space="preserve">.  </w:t>
            </w:r>
            <w:r w:rsidRPr="006C707E">
              <w:rPr>
                <w:b/>
                <w:bCs/>
                <w:lang w:val="es-MX" w:eastAsia="en-US"/>
              </w:rPr>
              <w:t>Variación interanual acumulada a junio de ISR por actividad económica</w:t>
            </w:r>
            <w:bookmarkEnd w:id="173"/>
            <w:r w:rsidRPr="006C707E">
              <w:rPr>
                <w:b/>
                <w:bCs/>
                <w:lang w:val="es-MX" w:eastAsia="en-US"/>
              </w:rPr>
              <w:t xml:space="preserve"> </w:t>
            </w:r>
          </w:p>
          <w:p w14:paraId="6AB3C8F8" w14:textId="77777777" w:rsidR="006C707E" w:rsidRPr="006C707E" w:rsidRDefault="006C707E" w:rsidP="006C707E">
            <w:pPr>
              <w:jc w:val="center"/>
              <w:rPr>
                <w:color w:val="000000"/>
                <w:sz w:val="16"/>
                <w:szCs w:val="18"/>
                <w:lang w:val="es-MX" w:eastAsia="en-US"/>
              </w:rPr>
            </w:pPr>
          </w:p>
          <w:p w14:paraId="0E31C6E9" w14:textId="31030603" w:rsidR="006C707E" w:rsidRPr="006C707E" w:rsidRDefault="006C707E" w:rsidP="006C707E">
            <w:pPr>
              <w:jc w:val="center"/>
              <w:rPr>
                <w:color w:val="000000"/>
                <w:sz w:val="16"/>
                <w:szCs w:val="18"/>
                <w:lang w:val="es-MX" w:eastAsia="en-US"/>
              </w:rPr>
            </w:pPr>
            <w:r w:rsidRPr="006C707E">
              <w:rPr>
                <w:noProof/>
                <w:color w:val="000000" w:themeColor="text1"/>
                <w:sz w:val="16"/>
                <w:szCs w:val="18"/>
                <w:lang w:val="es-MX"/>
              </w:rPr>
              <w:drawing>
                <wp:inline distT="0" distB="0" distL="0" distR="0" wp14:anchorId="35FAEEE4" wp14:editId="71BDF02D">
                  <wp:extent cx="5565775" cy="3347499"/>
                  <wp:effectExtent l="0" t="0" r="0" b="5715"/>
                  <wp:docPr id="192" name="Gráfico 1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26A892F1" w14:textId="77777777" w:rsidR="006C707E" w:rsidRPr="006C707E" w:rsidRDefault="006C707E" w:rsidP="006C707E">
            <w:pPr>
              <w:jc w:val="both"/>
              <w:rPr>
                <w:color w:val="000000"/>
                <w:sz w:val="16"/>
                <w:szCs w:val="18"/>
                <w:lang w:val="es-MX" w:eastAsia="en-US"/>
              </w:rPr>
            </w:pPr>
            <w:r w:rsidRPr="006C707E">
              <w:rPr>
                <w:color w:val="000000"/>
                <w:sz w:val="16"/>
                <w:szCs w:val="18"/>
                <w:lang w:val="es-MX" w:eastAsia="en-US"/>
              </w:rPr>
              <w:t>Fuente: Dirección de Análisis y Política Fiscal.</w:t>
            </w:r>
          </w:p>
          <w:p w14:paraId="2C19E72B" w14:textId="77777777" w:rsidR="006C707E" w:rsidRPr="006C707E" w:rsidRDefault="006C707E" w:rsidP="006C707E">
            <w:pPr>
              <w:jc w:val="both"/>
              <w:rPr>
                <w:color w:val="000000"/>
                <w:sz w:val="16"/>
                <w:szCs w:val="18"/>
                <w:lang w:val="es-MX" w:eastAsia="en-US"/>
              </w:rPr>
            </w:pPr>
          </w:p>
          <w:p w14:paraId="78C61843" w14:textId="77777777" w:rsidR="006C707E" w:rsidRPr="006C707E" w:rsidRDefault="006C707E" w:rsidP="006C707E">
            <w:pPr>
              <w:jc w:val="both"/>
              <w:rPr>
                <w:color w:val="000000"/>
                <w:sz w:val="16"/>
                <w:szCs w:val="18"/>
                <w:lang w:val="es-MX" w:eastAsia="en-US"/>
              </w:rPr>
            </w:pPr>
          </w:p>
          <w:p w14:paraId="629DB2A8" w14:textId="77777777" w:rsidR="006C707E" w:rsidRPr="006C707E" w:rsidRDefault="006C707E" w:rsidP="006C707E">
            <w:pPr>
              <w:numPr>
                <w:ilvl w:val="2"/>
                <w:numId w:val="3"/>
              </w:numPr>
              <w:contextualSpacing/>
              <w:jc w:val="both"/>
              <w:outlineLvl w:val="2"/>
              <w:rPr>
                <w:b/>
                <w:bCs/>
              </w:rPr>
            </w:pPr>
            <w:bookmarkStart w:id="174" w:name="_Toc143865840"/>
            <w:r w:rsidRPr="006C707E">
              <w:rPr>
                <w:b/>
                <w:bCs/>
              </w:rPr>
              <w:t>El Impuesto al Valor Agregado -IVA-</w:t>
            </w:r>
            <w:bookmarkEnd w:id="174"/>
          </w:p>
          <w:p w14:paraId="56DBBBA9" w14:textId="77777777" w:rsidR="006C707E" w:rsidRPr="006C707E" w:rsidRDefault="006C707E" w:rsidP="006C707E">
            <w:pPr>
              <w:jc w:val="both"/>
            </w:pPr>
          </w:p>
          <w:p w14:paraId="46BB1A10" w14:textId="77777777" w:rsidR="006C707E" w:rsidRPr="006C707E" w:rsidRDefault="006C707E" w:rsidP="006C707E">
            <w:pPr>
              <w:jc w:val="both"/>
            </w:pPr>
            <w:r w:rsidRPr="006C707E">
              <w:t>De manera acumulada, el IVA total generó una brecha positiva de Q1,582.9 millones respecto a la meta de presupuesto y de Q1,585.3 millones respecto a lo observado al mismo mes en 2022, destacando que la recaudación del impuesto asociado al consumo interno mantiene el mayor aporte, reflejando crecimientos de 10.9% respecto a la meta de presupuesto y 19.9% respecto a lo observado en 2022.</w:t>
            </w:r>
          </w:p>
          <w:p w14:paraId="12E39F39" w14:textId="77777777" w:rsidR="006C707E" w:rsidRPr="006C707E" w:rsidRDefault="006C707E" w:rsidP="006C707E">
            <w:pPr>
              <w:jc w:val="both"/>
            </w:pPr>
          </w:p>
          <w:p w14:paraId="41600527" w14:textId="77777777" w:rsidR="006C707E" w:rsidRPr="006C707E" w:rsidRDefault="006C707E" w:rsidP="006C707E">
            <w:pPr>
              <w:jc w:val="both"/>
            </w:pPr>
            <w:r w:rsidRPr="006C707E">
              <w:t>De manera interanual, el IVA total acumulado creció 7.7%, contrario a lo observado en 2022.  En el presente año el impulso positivo se atribuye principalmente a lo recaudado por el IVA asociado al consumo interno que creció en 19.9%.   La recaudación por concepto del IVA asociado al comercio exterior mostró una caída de 1.3% respecto a lo observado en 2022.  Como referencia en la caída en el IVA asociado al comercio exterior, se asume que está influenciada por el cambio de precio del barril de petróleo. En junio 2022 el precio del barril era de US$114.34 dólares y en 2023 se ubica en US$70.27 dólares, según U.S. Energy Information Administration.</w:t>
            </w:r>
          </w:p>
          <w:p w14:paraId="1BB292E5" w14:textId="77777777" w:rsidR="006C707E" w:rsidRPr="006C707E" w:rsidRDefault="006C707E" w:rsidP="006C707E">
            <w:pPr>
              <w:jc w:val="both"/>
            </w:pPr>
          </w:p>
          <w:p w14:paraId="2CBA19FC" w14:textId="0808E41C" w:rsidR="006C707E" w:rsidRPr="006C707E" w:rsidRDefault="006C707E" w:rsidP="006C707E">
            <w:pPr>
              <w:keepNext/>
              <w:jc w:val="center"/>
              <w:rPr>
                <w:b/>
                <w:bCs/>
                <w:lang w:eastAsia="en-US"/>
              </w:rPr>
            </w:pPr>
            <w:bookmarkStart w:id="175" w:name="_Toc143870739"/>
            <w:r w:rsidRPr="006C707E">
              <w:rPr>
                <w:b/>
                <w:bCs/>
              </w:rPr>
              <w:t xml:space="preserve">Gráfico </w:t>
            </w:r>
            <w:r w:rsidRPr="006C707E">
              <w:rPr>
                <w:b/>
                <w:bCs/>
              </w:rPr>
              <w:fldChar w:fldCharType="begin"/>
            </w:r>
            <w:r w:rsidRPr="006C707E">
              <w:rPr>
                <w:b/>
                <w:bCs/>
              </w:rPr>
              <w:instrText xml:space="preserve"> SEQ Gráfico \* ARABIC </w:instrText>
            </w:r>
            <w:r w:rsidRPr="006C707E">
              <w:rPr>
                <w:b/>
                <w:bCs/>
              </w:rPr>
              <w:fldChar w:fldCharType="separate"/>
            </w:r>
            <w:r w:rsidR="006622B2">
              <w:rPr>
                <w:b/>
                <w:bCs/>
                <w:noProof/>
              </w:rPr>
              <w:t>72</w:t>
            </w:r>
            <w:r w:rsidRPr="006C707E">
              <w:rPr>
                <w:b/>
                <w:bCs/>
              </w:rPr>
              <w:fldChar w:fldCharType="end"/>
            </w:r>
            <w:r w:rsidRPr="006C707E">
              <w:rPr>
                <w:b/>
                <w:bCs/>
              </w:rPr>
              <w:t xml:space="preserve">. </w:t>
            </w:r>
            <w:r w:rsidRPr="006C707E">
              <w:rPr>
                <w:b/>
                <w:bCs/>
                <w:lang w:eastAsia="en-US"/>
              </w:rPr>
              <w:t>IVA doméstico e importaciones</w:t>
            </w:r>
            <w:bookmarkEnd w:id="175"/>
          </w:p>
          <w:p w14:paraId="7A839443" w14:textId="77777777" w:rsidR="006C707E" w:rsidRPr="006C707E" w:rsidRDefault="006C707E" w:rsidP="006C707E">
            <w:pPr>
              <w:spacing w:after="160" w:line="259" w:lineRule="auto"/>
              <w:jc w:val="center"/>
              <w:rPr>
                <w:b/>
                <w:bCs/>
                <w:lang w:eastAsia="en-US"/>
              </w:rPr>
            </w:pPr>
            <w:r w:rsidRPr="006C707E">
              <w:rPr>
                <w:lang w:eastAsia="en-US"/>
              </w:rPr>
              <w:t>M</w:t>
            </w:r>
            <w:r w:rsidRPr="006C707E">
              <w:rPr>
                <w:sz w:val="22"/>
                <w:szCs w:val="22"/>
                <w:lang w:eastAsia="en-US"/>
              </w:rPr>
              <w:t>illones de quetzales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9"/>
              <w:gridCol w:w="4349"/>
            </w:tblGrid>
            <w:tr w:rsidR="006C707E" w:rsidRPr="006C707E" w14:paraId="1BE01E06" w14:textId="77777777" w:rsidTr="001A6003">
              <w:tc>
                <w:tcPr>
                  <w:tcW w:w="4414" w:type="dxa"/>
                </w:tcPr>
                <w:p w14:paraId="24DBC5A1" w14:textId="5C5B7ED9" w:rsidR="006C707E" w:rsidRPr="006C707E" w:rsidRDefault="006C707E" w:rsidP="00E707F3">
                  <w:pPr>
                    <w:spacing w:line="259" w:lineRule="auto"/>
                    <w:rPr>
                      <w:b/>
                      <w:bCs/>
                      <w:lang w:eastAsia="en-US"/>
                    </w:rPr>
                  </w:pPr>
                  <w:r w:rsidRPr="006C707E">
                    <w:rPr>
                      <w:b/>
                      <w:noProof/>
                      <w:lang w:eastAsia="en-US"/>
                    </w:rPr>
                    <w:drawing>
                      <wp:inline distT="0" distB="0" distL="0" distR="0" wp14:anchorId="76AB7AD0" wp14:editId="7B4180C7">
                        <wp:extent cx="2727325" cy="2138901"/>
                        <wp:effectExtent l="0" t="0" r="0" b="0"/>
                        <wp:docPr id="127" name="Gráfico 1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tc>
              <w:tc>
                <w:tcPr>
                  <w:tcW w:w="4414" w:type="dxa"/>
                </w:tcPr>
                <w:p w14:paraId="1E396B8F" w14:textId="3C0A8C03" w:rsidR="006C707E" w:rsidRPr="006C707E" w:rsidRDefault="006C707E" w:rsidP="006C707E">
                  <w:pPr>
                    <w:spacing w:after="160" w:line="259" w:lineRule="auto"/>
                    <w:rPr>
                      <w:b/>
                      <w:bCs/>
                      <w:lang w:eastAsia="en-US"/>
                    </w:rPr>
                  </w:pPr>
                  <w:r w:rsidRPr="006C707E">
                    <w:rPr>
                      <w:b/>
                      <w:noProof/>
                      <w:lang w:eastAsia="en-US"/>
                    </w:rPr>
                    <w:drawing>
                      <wp:inline distT="0" distB="0" distL="0" distR="0" wp14:anchorId="2B938389" wp14:editId="2890E893">
                        <wp:extent cx="2727325" cy="2178658"/>
                        <wp:effectExtent l="0" t="0" r="0" b="0"/>
                        <wp:docPr id="126" name="Gráfico 1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tc>
            </w:tr>
          </w:tbl>
          <w:p w14:paraId="7FEC942F" w14:textId="77777777" w:rsidR="006C707E" w:rsidRPr="006C707E" w:rsidRDefault="006C707E" w:rsidP="006C707E">
            <w:pPr>
              <w:jc w:val="both"/>
            </w:pPr>
            <w:r w:rsidRPr="006C707E">
              <w:rPr>
                <w:sz w:val="16"/>
                <w:szCs w:val="16"/>
                <w:lang w:eastAsia="en-US"/>
              </w:rPr>
              <w:t>Fuente: Dirección de Análisis y Política Fiscal.</w:t>
            </w:r>
          </w:p>
          <w:p w14:paraId="31FDBE45" w14:textId="77777777" w:rsidR="006C707E" w:rsidRPr="006C707E" w:rsidRDefault="006C707E" w:rsidP="006C707E">
            <w:pPr>
              <w:jc w:val="both"/>
            </w:pPr>
          </w:p>
          <w:p w14:paraId="6E7925D2" w14:textId="77777777" w:rsidR="006C707E" w:rsidRPr="006C707E" w:rsidRDefault="006C707E" w:rsidP="006C707E">
            <w:pPr>
              <w:numPr>
                <w:ilvl w:val="3"/>
                <w:numId w:val="3"/>
              </w:numPr>
              <w:contextualSpacing/>
              <w:jc w:val="both"/>
              <w:outlineLvl w:val="2"/>
              <w:rPr>
                <w:b/>
                <w:bCs/>
              </w:rPr>
            </w:pPr>
            <w:bookmarkStart w:id="176" w:name="_Toc143865841"/>
            <w:r w:rsidRPr="006C707E">
              <w:rPr>
                <w:b/>
                <w:bCs/>
              </w:rPr>
              <w:t>IVA por actividad económica</w:t>
            </w:r>
            <w:bookmarkEnd w:id="176"/>
          </w:p>
          <w:p w14:paraId="38ACD171" w14:textId="77777777" w:rsidR="006C707E" w:rsidRPr="006C707E" w:rsidRDefault="006C707E" w:rsidP="006C707E">
            <w:pPr>
              <w:jc w:val="both"/>
            </w:pPr>
          </w:p>
          <w:p w14:paraId="58EBA21C" w14:textId="77777777" w:rsidR="006C707E" w:rsidRPr="006C707E" w:rsidRDefault="006C707E" w:rsidP="006C707E">
            <w:pPr>
              <w:jc w:val="both"/>
            </w:pPr>
            <w:r w:rsidRPr="006C707E">
              <w:t>A junio las principales actividades económicas que aportan el 86.7% al IVA asociado al consumo interno son el Comercio al por mayor y al por menor (23.9%), Actividades financieras y de seguros (14.2%), las industrias manufactureras (12.8%) y las actividades de servicios administrativos y de apoyo (10.7%). Adicionalmente, las actividades que crecieron más fueron el Comercio al por mayor y menor y Suministro de electricidad y gas que aportan en conjunto un 27% de la recaudación total de este impuesto.</w:t>
            </w:r>
          </w:p>
          <w:p w14:paraId="62B6DFA4" w14:textId="5A370D5E" w:rsidR="006C707E" w:rsidRDefault="006C707E" w:rsidP="006C707E">
            <w:pPr>
              <w:jc w:val="both"/>
            </w:pPr>
          </w:p>
          <w:p w14:paraId="0D08B14F" w14:textId="2186D53B" w:rsidR="00875D00" w:rsidRDefault="00875D00" w:rsidP="006C707E">
            <w:pPr>
              <w:jc w:val="both"/>
            </w:pPr>
          </w:p>
          <w:p w14:paraId="406F29EA" w14:textId="77777777" w:rsidR="00875D00" w:rsidRPr="006C707E" w:rsidRDefault="00875D00" w:rsidP="006C707E">
            <w:pPr>
              <w:jc w:val="both"/>
            </w:pPr>
          </w:p>
          <w:p w14:paraId="1CAE7DC2" w14:textId="452C0192" w:rsidR="006C707E" w:rsidRPr="006C707E" w:rsidRDefault="006C707E" w:rsidP="006C707E">
            <w:pPr>
              <w:jc w:val="center"/>
              <w:rPr>
                <w:b/>
                <w:bCs/>
                <w:lang w:val="es-MX" w:eastAsia="en-US"/>
              </w:rPr>
            </w:pPr>
            <w:bookmarkStart w:id="177" w:name="_Toc143870740"/>
            <w:r w:rsidRPr="006C707E">
              <w:rPr>
                <w:b/>
                <w:bCs/>
              </w:rPr>
              <w:t xml:space="preserve">Gráfico </w:t>
            </w:r>
            <w:r w:rsidRPr="006C707E">
              <w:rPr>
                <w:b/>
                <w:bCs/>
              </w:rPr>
              <w:fldChar w:fldCharType="begin"/>
            </w:r>
            <w:r w:rsidRPr="006C707E">
              <w:rPr>
                <w:b/>
                <w:bCs/>
              </w:rPr>
              <w:instrText xml:space="preserve"> SEQ Gráfico \* ARABIC </w:instrText>
            </w:r>
            <w:r w:rsidRPr="006C707E">
              <w:rPr>
                <w:b/>
                <w:bCs/>
              </w:rPr>
              <w:fldChar w:fldCharType="separate"/>
            </w:r>
            <w:r w:rsidR="006622B2">
              <w:rPr>
                <w:b/>
                <w:bCs/>
                <w:noProof/>
              </w:rPr>
              <w:t>73</w:t>
            </w:r>
            <w:r w:rsidRPr="006C707E">
              <w:rPr>
                <w:b/>
                <w:bCs/>
              </w:rPr>
              <w:fldChar w:fldCharType="end"/>
            </w:r>
            <w:r w:rsidRPr="006C707E">
              <w:rPr>
                <w:b/>
                <w:bCs/>
              </w:rPr>
              <w:t xml:space="preserve">. </w:t>
            </w:r>
            <w:r w:rsidRPr="006C707E">
              <w:rPr>
                <w:b/>
                <w:bCs/>
                <w:lang w:val="es-MX" w:eastAsia="en-US"/>
              </w:rPr>
              <w:t>Variación interanual acumulada a junio de actividades económicas que aportan el 86.7% a la recaudación del IVA Doméstico</w:t>
            </w:r>
            <w:bookmarkEnd w:id="177"/>
          </w:p>
          <w:p w14:paraId="6D1B3385" w14:textId="1F73BDDB" w:rsidR="006C707E" w:rsidRPr="006C707E" w:rsidRDefault="006C707E" w:rsidP="006C707E">
            <w:pPr>
              <w:jc w:val="center"/>
              <w:rPr>
                <w:b/>
                <w:bCs/>
                <w:lang w:val="es-MX" w:eastAsia="en-US"/>
              </w:rPr>
            </w:pPr>
            <w:r w:rsidRPr="006C707E">
              <w:rPr>
                <w:noProof/>
                <w:color w:val="000000" w:themeColor="text1"/>
                <w:sz w:val="16"/>
                <w:szCs w:val="18"/>
                <w:lang w:val="es-MX"/>
              </w:rPr>
              <w:drawing>
                <wp:inline distT="0" distB="0" distL="0" distR="0" wp14:anchorId="5529EFEA" wp14:editId="6BC8078A">
                  <wp:extent cx="5565775" cy="2122998"/>
                  <wp:effectExtent l="0" t="0" r="0" b="0"/>
                  <wp:docPr id="125" name="Gráfico 1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4794706C" w14:textId="77777777" w:rsidR="006C707E" w:rsidRPr="006C707E" w:rsidRDefault="006C707E" w:rsidP="006C707E">
            <w:pPr>
              <w:spacing w:after="160" w:line="259" w:lineRule="auto"/>
              <w:rPr>
                <w:sz w:val="22"/>
                <w:szCs w:val="22"/>
                <w:lang w:val="es-MX" w:eastAsia="en-US"/>
              </w:rPr>
            </w:pPr>
            <w:r w:rsidRPr="006C707E">
              <w:rPr>
                <w:sz w:val="16"/>
                <w:szCs w:val="16"/>
                <w:lang w:eastAsia="en-US"/>
              </w:rPr>
              <w:t>Fuente: Dirección de Análisis y Política Fiscal.</w:t>
            </w:r>
          </w:p>
          <w:p w14:paraId="24A9C9DC" w14:textId="77777777" w:rsidR="006C707E" w:rsidRPr="006C707E" w:rsidRDefault="006C707E" w:rsidP="006C707E">
            <w:pPr>
              <w:jc w:val="both"/>
            </w:pPr>
            <w:r w:rsidRPr="006C707E">
              <w:t>Por aparte, el Impuesto al Valor Agregado a las importaciones el 63% de su recaudación esta explicada por la actividad del comercio al por mayor y al por menor que creció 2.7% dentro de esta actividad tiene relevancia el 40.8% que corresponde a la venta al por mayor de combustibles</w:t>
            </w:r>
          </w:p>
          <w:p w14:paraId="20B1C29C" w14:textId="77777777" w:rsidR="006C707E" w:rsidRPr="006C707E" w:rsidRDefault="006C707E" w:rsidP="006C707E">
            <w:pPr>
              <w:jc w:val="center"/>
              <w:rPr>
                <w:b/>
                <w:bCs/>
                <w:color w:val="000000"/>
                <w:lang w:val="es-MX" w:eastAsia="en-US"/>
              </w:rPr>
            </w:pPr>
          </w:p>
          <w:p w14:paraId="5E838B4C" w14:textId="7FF04194" w:rsidR="006C707E" w:rsidRPr="006C707E" w:rsidRDefault="006C707E" w:rsidP="006C707E">
            <w:pPr>
              <w:keepNext/>
              <w:jc w:val="center"/>
              <w:rPr>
                <w:b/>
                <w:bCs/>
                <w:lang w:val="es-MX" w:eastAsia="en-US"/>
              </w:rPr>
            </w:pPr>
            <w:bookmarkStart w:id="178" w:name="_Toc143870741"/>
            <w:r w:rsidRPr="006C707E">
              <w:t>G</w:t>
            </w:r>
            <w:r w:rsidRPr="006C707E">
              <w:rPr>
                <w:b/>
                <w:bCs/>
              </w:rPr>
              <w:t xml:space="preserve">ráfico </w:t>
            </w:r>
            <w:r w:rsidRPr="006C707E">
              <w:rPr>
                <w:b/>
                <w:bCs/>
              </w:rPr>
              <w:fldChar w:fldCharType="begin"/>
            </w:r>
            <w:r w:rsidRPr="006C707E">
              <w:rPr>
                <w:b/>
                <w:bCs/>
              </w:rPr>
              <w:instrText xml:space="preserve"> SEQ Gráfico \* ARABIC </w:instrText>
            </w:r>
            <w:r w:rsidRPr="006C707E">
              <w:rPr>
                <w:b/>
                <w:bCs/>
              </w:rPr>
              <w:fldChar w:fldCharType="separate"/>
            </w:r>
            <w:r w:rsidR="006622B2">
              <w:rPr>
                <w:b/>
                <w:bCs/>
                <w:noProof/>
              </w:rPr>
              <w:t>74</w:t>
            </w:r>
            <w:r w:rsidRPr="006C707E">
              <w:rPr>
                <w:b/>
                <w:bCs/>
              </w:rPr>
              <w:fldChar w:fldCharType="end"/>
            </w:r>
            <w:r w:rsidRPr="006C707E">
              <w:rPr>
                <w:b/>
                <w:bCs/>
              </w:rPr>
              <w:t xml:space="preserve">.  </w:t>
            </w:r>
            <w:r w:rsidRPr="006C707E">
              <w:rPr>
                <w:b/>
                <w:bCs/>
                <w:lang w:val="es-MX" w:eastAsia="en-US"/>
              </w:rPr>
              <w:t>Variación interanual acumulada a junio de actividades económicas que aportan el 95.1% a la recaudación del IVA de Importaciones</w:t>
            </w:r>
            <w:bookmarkEnd w:id="178"/>
          </w:p>
          <w:p w14:paraId="7783DE63" w14:textId="6CDFC64D" w:rsidR="006C707E" w:rsidRPr="006C707E" w:rsidRDefault="006C707E" w:rsidP="006C707E">
            <w:pPr>
              <w:keepNext/>
              <w:jc w:val="center"/>
              <w:rPr>
                <w:b/>
                <w:bCs/>
                <w:lang w:val="es-MX" w:eastAsia="en-US"/>
              </w:rPr>
            </w:pPr>
            <w:r w:rsidRPr="006C707E">
              <w:rPr>
                <w:noProof/>
                <w:color w:val="000000" w:themeColor="text1"/>
                <w:sz w:val="16"/>
                <w:szCs w:val="18"/>
                <w:lang w:val="es-MX"/>
              </w:rPr>
              <w:drawing>
                <wp:inline distT="0" distB="0" distL="0" distR="0" wp14:anchorId="44E5D958" wp14:editId="679AC123">
                  <wp:extent cx="5565775" cy="2713939"/>
                  <wp:effectExtent l="0" t="0" r="0" b="0"/>
                  <wp:docPr id="124" name="Gráfico 1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69CACAB6" w14:textId="77777777" w:rsidR="006C707E" w:rsidRPr="006C707E" w:rsidRDefault="006C707E" w:rsidP="006C707E">
            <w:pPr>
              <w:jc w:val="both"/>
              <w:rPr>
                <w:sz w:val="16"/>
                <w:szCs w:val="16"/>
                <w:lang w:eastAsia="en-US"/>
              </w:rPr>
            </w:pPr>
            <w:r w:rsidRPr="006C707E">
              <w:rPr>
                <w:sz w:val="16"/>
                <w:szCs w:val="16"/>
                <w:lang w:eastAsia="en-US"/>
              </w:rPr>
              <w:t>Fuente: Dirección de Análisis y Política Fiscal.</w:t>
            </w:r>
          </w:p>
          <w:p w14:paraId="23CF8D92" w14:textId="77777777" w:rsidR="006C707E" w:rsidRPr="006C707E" w:rsidRDefault="006C707E" w:rsidP="006C707E">
            <w:pPr>
              <w:jc w:val="both"/>
              <w:rPr>
                <w:sz w:val="16"/>
                <w:szCs w:val="16"/>
                <w:lang w:eastAsia="en-US"/>
              </w:rPr>
            </w:pPr>
          </w:p>
          <w:p w14:paraId="6C76F1A1" w14:textId="77777777" w:rsidR="006C707E" w:rsidRPr="006C707E" w:rsidRDefault="006C707E" w:rsidP="006C707E">
            <w:pPr>
              <w:numPr>
                <w:ilvl w:val="2"/>
                <w:numId w:val="3"/>
              </w:numPr>
              <w:ind w:left="1134" w:hanging="645"/>
              <w:contextualSpacing/>
              <w:jc w:val="both"/>
              <w:outlineLvl w:val="2"/>
              <w:rPr>
                <w:b/>
                <w:bCs/>
              </w:rPr>
            </w:pPr>
            <w:bookmarkStart w:id="179" w:name="_Toc143865842"/>
            <w:r w:rsidRPr="006C707E">
              <w:rPr>
                <w:b/>
                <w:bCs/>
              </w:rPr>
              <w:t>Recaudación tributaria en aduanas</w:t>
            </w:r>
            <w:bookmarkEnd w:id="179"/>
          </w:p>
          <w:p w14:paraId="2A20944B" w14:textId="77777777" w:rsidR="006C707E" w:rsidRPr="006C707E" w:rsidRDefault="006C707E" w:rsidP="006C707E">
            <w:pPr>
              <w:jc w:val="both"/>
            </w:pPr>
          </w:p>
          <w:p w14:paraId="3EE5BCD1" w14:textId="77777777" w:rsidR="006C707E" w:rsidRPr="006C707E" w:rsidRDefault="006C707E" w:rsidP="006C707E">
            <w:pPr>
              <w:jc w:val="both"/>
              <w:rPr>
                <w:color w:val="000000" w:themeColor="text1"/>
                <w:sz w:val="40"/>
                <w:szCs w:val="40"/>
              </w:rPr>
            </w:pPr>
            <w:r w:rsidRPr="006C707E">
              <w:rPr>
                <w:color w:val="000000" w:themeColor="text1"/>
                <w:lang w:val="es-US"/>
              </w:rPr>
              <w:t>Según información de la Superintendencia de Administración Tributaria -SAT-, a junio el 89.2% de la recaudación tributaria proveniente de aduanas se focaliza en 6 aduanas siendo estas la Aduana Puerto Quetzal (40.2%), Express Aéreo (13.4%), Santo Tomás (12.4%), Puerto Barrios (6.9%), Tecún Umán II (8.2%) y Aduana Central (8.1%), este grupo de aduanas aportan a la recaudación de impuestos asociados al comercio exterior en términos brutos Q12,976.59 millones, el resto de aduanas a pesar que algunas tuvieron crecimientos importantes respecto a 2022 su aporte a la recaudación asociada al comercio exterior es menor.</w:t>
            </w:r>
          </w:p>
          <w:p w14:paraId="30F75B16" w14:textId="77777777" w:rsidR="00E707F3" w:rsidRPr="006C707E" w:rsidRDefault="00E707F3" w:rsidP="006C707E">
            <w:pPr>
              <w:jc w:val="both"/>
            </w:pPr>
          </w:p>
          <w:p w14:paraId="4757B352" w14:textId="0BB1CB1F" w:rsidR="006C707E" w:rsidRPr="006C707E" w:rsidRDefault="006C707E" w:rsidP="006C707E">
            <w:pPr>
              <w:jc w:val="center"/>
              <w:rPr>
                <w:b/>
                <w:bCs/>
                <w:lang w:eastAsia="en-US"/>
              </w:rPr>
            </w:pPr>
            <w:bookmarkStart w:id="180" w:name="_Toc143870742"/>
            <w:r w:rsidRPr="006C707E">
              <w:rPr>
                <w:b/>
                <w:bCs/>
              </w:rPr>
              <w:t xml:space="preserve">Gráfico </w:t>
            </w:r>
            <w:r w:rsidRPr="006C707E">
              <w:rPr>
                <w:b/>
                <w:bCs/>
              </w:rPr>
              <w:fldChar w:fldCharType="begin"/>
            </w:r>
            <w:r w:rsidRPr="006C707E">
              <w:rPr>
                <w:b/>
                <w:bCs/>
              </w:rPr>
              <w:instrText xml:space="preserve"> SEQ Gráfico \* ARABIC </w:instrText>
            </w:r>
            <w:r w:rsidRPr="006C707E">
              <w:rPr>
                <w:b/>
                <w:bCs/>
              </w:rPr>
              <w:fldChar w:fldCharType="separate"/>
            </w:r>
            <w:r w:rsidR="006622B2">
              <w:rPr>
                <w:b/>
                <w:bCs/>
                <w:noProof/>
              </w:rPr>
              <w:t>75</w:t>
            </w:r>
            <w:r w:rsidRPr="006C707E">
              <w:rPr>
                <w:b/>
                <w:bCs/>
              </w:rPr>
              <w:fldChar w:fldCharType="end"/>
            </w:r>
            <w:r w:rsidRPr="006C707E">
              <w:rPr>
                <w:b/>
                <w:bCs/>
              </w:rPr>
              <w:t xml:space="preserve">.  </w:t>
            </w:r>
            <w:r w:rsidRPr="006C707E">
              <w:rPr>
                <w:b/>
                <w:bCs/>
                <w:lang w:eastAsia="en-US"/>
              </w:rPr>
              <w:t>Variación interanual acumulada a junio de 2023 de impuestos asociados</w:t>
            </w:r>
            <w:bookmarkEnd w:id="180"/>
            <w:r w:rsidRPr="006C707E">
              <w:rPr>
                <w:b/>
                <w:bCs/>
                <w:lang w:eastAsia="en-US"/>
              </w:rPr>
              <w:t xml:space="preserve"> </w:t>
            </w:r>
          </w:p>
          <w:p w14:paraId="0A87211E" w14:textId="77777777" w:rsidR="006C707E" w:rsidRPr="006C707E" w:rsidRDefault="006C707E" w:rsidP="006C707E">
            <w:pPr>
              <w:keepNext/>
              <w:jc w:val="center"/>
              <w:rPr>
                <w:b/>
                <w:bCs/>
              </w:rPr>
            </w:pPr>
            <w:r w:rsidRPr="006C707E">
              <w:rPr>
                <w:b/>
                <w:bCs/>
                <w:lang w:eastAsia="en-US"/>
              </w:rPr>
              <w:t>al comercio exterior (términos brutos)</w:t>
            </w:r>
          </w:p>
          <w:p w14:paraId="7D0E2495" w14:textId="77777777" w:rsidR="006C707E" w:rsidRPr="006C707E" w:rsidRDefault="006C707E" w:rsidP="006C707E">
            <w:pPr>
              <w:jc w:val="center"/>
              <w:rPr>
                <w:sz w:val="20"/>
                <w:szCs w:val="20"/>
                <w:lang w:eastAsia="en-US"/>
              </w:rPr>
            </w:pPr>
            <w:r w:rsidRPr="006C707E">
              <w:rPr>
                <w:sz w:val="20"/>
                <w:szCs w:val="20"/>
                <w:lang w:eastAsia="en-US"/>
              </w:rPr>
              <w:t>Porcentajes (2023/2022)</w:t>
            </w:r>
          </w:p>
          <w:p w14:paraId="2FF60F25" w14:textId="3A1B95DB" w:rsidR="006C707E" w:rsidRPr="006C707E" w:rsidRDefault="006C707E" w:rsidP="006C707E">
            <w:pPr>
              <w:jc w:val="center"/>
              <w:rPr>
                <w:sz w:val="20"/>
                <w:szCs w:val="20"/>
                <w:lang w:eastAsia="en-US"/>
              </w:rPr>
            </w:pPr>
            <w:r w:rsidRPr="006C707E">
              <w:rPr>
                <w:noProof/>
                <w:lang w:val="es-US"/>
              </w:rPr>
              <w:drawing>
                <wp:inline distT="0" distB="0" distL="0" distR="0" wp14:anchorId="40CFF00B" wp14:editId="5521B0F7">
                  <wp:extent cx="5423586" cy="5727802"/>
                  <wp:effectExtent l="0" t="0" r="5715" b="6350"/>
                  <wp:docPr id="122" name="Imagen 122" descr="Mapa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43" descr="MapaDescripción generada automáticamente"/>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37907" cy="5742926"/>
                          </a:xfrm>
                          <a:prstGeom prst="rect">
                            <a:avLst/>
                          </a:prstGeom>
                          <a:noFill/>
                          <a:ln>
                            <a:noFill/>
                          </a:ln>
                        </pic:spPr>
                      </pic:pic>
                    </a:graphicData>
                  </a:graphic>
                </wp:inline>
              </w:drawing>
            </w:r>
          </w:p>
          <w:p w14:paraId="0DAFCB06" w14:textId="77777777" w:rsidR="006C707E" w:rsidRPr="006C707E" w:rsidRDefault="006C707E" w:rsidP="006C707E">
            <w:pPr>
              <w:jc w:val="center"/>
              <w:rPr>
                <w:sz w:val="22"/>
                <w:szCs w:val="22"/>
                <w:lang w:eastAsia="en-US"/>
              </w:rPr>
            </w:pPr>
          </w:p>
          <w:p w14:paraId="2C0C4AB8" w14:textId="77777777" w:rsidR="006C707E" w:rsidRPr="006C707E" w:rsidRDefault="006C707E" w:rsidP="006C707E">
            <w:pPr>
              <w:ind w:left="516" w:firstLine="708"/>
              <w:rPr>
                <w:sz w:val="16"/>
                <w:szCs w:val="22"/>
                <w:lang w:eastAsia="en-US"/>
              </w:rPr>
            </w:pPr>
            <w:r w:rsidRPr="006C707E">
              <w:rPr>
                <w:sz w:val="16"/>
                <w:szCs w:val="22"/>
                <w:lang w:eastAsia="en-US"/>
              </w:rPr>
              <w:t>Fuente: Dirección de Análisis y Política Fiscal.</w:t>
            </w:r>
          </w:p>
          <w:p w14:paraId="59C7EFD2" w14:textId="77777777" w:rsidR="00875D00" w:rsidRPr="006C707E" w:rsidRDefault="00875D00" w:rsidP="006C707E">
            <w:pPr>
              <w:jc w:val="both"/>
              <w:rPr>
                <w:sz w:val="20"/>
                <w:szCs w:val="20"/>
              </w:rPr>
            </w:pPr>
          </w:p>
          <w:p w14:paraId="5729411E" w14:textId="77777777" w:rsidR="006C707E" w:rsidRPr="006C707E" w:rsidRDefault="006C707E" w:rsidP="006C707E">
            <w:pPr>
              <w:numPr>
                <w:ilvl w:val="2"/>
                <w:numId w:val="3"/>
              </w:numPr>
              <w:contextualSpacing/>
              <w:jc w:val="both"/>
              <w:outlineLvl w:val="2"/>
              <w:rPr>
                <w:b/>
                <w:bCs/>
              </w:rPr>
            </w:pPr>
            <w:bookmarkStart w:id="181" w:name="_Toc143865843"/>
            <w:r w:rsidRPr="006C707E">
              <w:rPr>
                <w:b/>
                <w:bCs/>
              </w:rPr>
              <w:t>Estructura de la recaudación tributaria acumulada</w:t>
            </w:r>
            <w:bookmarkEnd w:id="181"/>
          </w:p>
          <w:p w14:paraId="64B3F13D" w14:textId="77777777" w:rsidR="006C707E" w:rsidRPr="006C707E" w:rsidRDefault="006C707E" w:rsidP="006C707E">
            <w:pPr>
              <w:jc w:val="both"/>
              <w:rPr>
                <w:sz w:val="20"/>
                <w:szCs w:val="20"/>
              </w:rPr>
            </w:pPr>
          </w:p>
          <w:p w14:paraId="663AAD17" w14:textId="77777777" w:rsidR="006C707E" w:rsidRPr="006C707E" w:rsidRDefault="006C707E" w:rsidP="006C707E">
            <w:pPr>
              <w:jc w:val="both"/>
            </w:pPr>
            <w:r w:rsidRPr="006C707E">
              <w:t>El resultado de la recaudación tributaria 2023 a junio está explicado principalmente por el desempeño positivo en impuestos como el ISR, el ISO, el IVA, cuya recaudación agrupa al 86.7% del total de ingresos tributarios.</w:t>
            </w:r>
          </w:p>
          <w:p w14:paraId="0690E421" w14:textId="7F28C184" w:rsidR="006C707E" w:rsidRPr="006C707E" w:rsidRDefault="006C707E" w:rsidP="006C707E">
            <w:pPr>
              <w:keepNext/>
              <w:jc w:val="center"/>
              <w:rPr>
                <w:b/>
                <w:bCs/>
                <w:lang w:eastAsia="en-US"/>
              </w:rPr>
            </w:pPr>
            <w:bookmarkStart w:id="182" w:name="_Toc143870743"/>
            <w:r w:rsidRPr="006C707E">
              <w:rPr>
                <w:b/>
                <w:bCs/>
              </w:rPr>
              <w:t xml:space="preserve">Gráfico </w:t>
            </w:r>
            <w:r w:rsidRPr="006C707E">
              <w:rPr>
                <w:b/>
                <w:bCs/>
              </w:rPr>
              <w:fldChar w:fldCharType="begin"/>
            </w:r>
            <w:r w:rsidRPr="006C707E">
              <w:rPr>
                <w:b/>
                <w:bCs/>
              </w:rPr>
              <w:instrText xml:space="preserve"> SEQ Gráfico \* ARABIC </w:instrText>
            </w:r>
            <w:r w:rsidRPr="006C707E">
              <w:rPr>
                <w:b/>
                <w:bCs/>
              </w:rPr>
              <w:fldChar w:fldCharType="separate"/>
            </w:r>
            <w:r w:rsidR="006622B2">
              <w:rPr>
                <w:b/>
                <w:bCs/>
                <w:noProof/>
              </w:rPr>
              <w:t>76</w:t>
            </w:r>
            <w:r w:rsidRPr="006C707E">
              <w:rPr>
                <w:b/>
                <w:bCs/>
              </w:rPr>
              <w:fldChar w:fldCharType="end"/>
            </w:r>
            <w:r w:rsidRPr="006C707E">
              <w:rPr>
                <w:b/>
                <w:bCs/>
              </w:rPr>
              <w:t xml:space="preserve">.  </w:t>
            </w:r>
            <w:r w:rsidRPr="006C707E">
              <w:rPr>
                <w:b/>
                <w:bCs/>
                <w:lang w:eastAsia="en-US"/>
              </w:rPr>
              <w:t>Aporte por impuesto a la recaudación tributaria acumulada a junio de 2023</w:t>
            </w:r>
            <w:bookmarkEnd w:id="182"/>
          </w:p>
          <w:p w14:paraId="7F8C7EDB" w14:textId="77777777" w:rsidR="006C707E" w:rsidRPr="006C707E" w:rsidRDefault="006C707E" w:rsidP="006C707E">
            <w:pPr>
              <w:jc w:val="center"/>
              <w:rPr>
                <w:sz w:val="22"/>
                <w:szCs w:val="22"/>
                <w:lang w:eastAsia="en-US"/>
              </w:rPr>
            </w:pPr>
            <w:r w:rsidRPr="006C707E">
              <w:rPr>
                <w:sz w:val="22"/>
                <w:szCs w:val="22"/>
                <w:lang w:eastAsia="en-US"/>
              </w:rPr>
              <w:t>Porcentaje</w:t>
            </w:r>
          </w:p>
          <w:p w14:paraId="4BEB9297" w14:textId="00AE623B" w:rsidR="006C707E" w:rsidRPr="006C707E" w:rsidRDefault="006C707E" w:rsidP="006C707E">
            <w:pPr>
              <w:jc w:val="center"/>
              <w:rPr>
                <w:sz w:val="22"/>
                <w:szCs w:val="22"/>
                <w:lang w:eastAsia="en-US"/>
              </w:rPr>
            </w:pPr>
            <w:r w:rsidRPr="006C707E">
              <w:rPr>
                <w:noProof/>
              </w:rPr>
              <w:drawing>
                <wp:inline distT="0" distB="0" distL="0" distR="0" wp14:anchorId="04389F21" wp14:editId="5F55CD92">
                  <wp:extent cx="4897755" cy="2414016"/>
                  <wp:effectExtent l="0" t="0" r="0" b="5715"/>
                  <wp:docPr id="121" name="Gráfico 1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3161E144" w14:textId="77777777" w:rsidR="006C707E" w:rsidRPr="006C707E" w:rsidRDefault="006C707E" w:rsidP="006C707E">
            <w:pPr>
              <w:ind w:left="708" w:firstLine="708"/>
              <w:jc w:val="both"/>
              <w:rPr>
                <w:sz w:val="16"/>
                <w:szCs w:val="16"/>
                <w:lang w:eastAsia="en-US"/>
              </w:rPr>
            </w:pPr>
            <w:r w:rsidRPr="006C707E">
              <w:rPr>
                <w:sz w:val="16"/>
                <w:szCs w:val="16"/>
                <w:lang w:eastAsia="en-US"/>
              </w:rPr>
              <w:t>Fuente: Dirección de Análisis y Política Fiscal.</w:t>
            </w:r>
          </w:p>
          <w:p w14:paraId="130BC034" w14:textId="77777777" w:rsidR="006C707E" w:rsidRPr="006C707E" w:rsidRDefault="006C707E" w:rsidP="006C707E">
            <w:pPr>
              <w:jc w:val="both"/>
            </w:pPr>
          </w:p>
          <w:p w14:paraId="44D93DD8" w14:textId="77777777" w:rsidR="006C707E" w:rsidRPr="006C707E" w:rsidRDefault="006C707E" w:rsidP="006C707E">
            <w:pPr>
              <w:jc w:val="both"/>
            </w:pPr>
            <w:r w:rsidRPr="006C707E">
              <w:t>En cuanto a la recaudación por actividad económica al mes de junio, se observa que las actividades económicas que más aportan a la recaudación tributaria acumulada son comercio al por mayor y al por menor; reparación de vehículos automotores y motocicletas (41.0%) industrias manufactureras (19.8%) y actividades financieras y de seguros (8.5%), que en conjunto representan el 69.2% de la recaudación tributaria acumulada. Vale indicar que estas actividades crecen en 9.8%, 4.5% y 18.7%, respectivamente, medidos respecto a la recaudación observada a junio de 2022.</w:t>
            </w:r>
          </w:p>
          <w:p w14:paraId="5D264EB9" w14:textId="77777777" w:rsidR="006C707E" w:rsidRPr="006C707E" w:rsidRDefault="006C707E" w:rsidP="006C707E">
            <w:pPr>
              <w:jc w:val="both"/>
            </w:pPr>
          </w:p>
          <w:p w14:paraId="21A70572" w14:textId="1F1F3A84" w:rsidR="006C707E" w:rsidRPr="006C707E" w:rsidRDefault="006C707E" w:rsidP="006C707E">
            <w:pPr>
              <w:keepNext/>
              <w:jc w:val="center"/>
              <w:rPr>
                <w:b/>
                <w:bCs/>
              </w:rPr>
            </w:pPr>
            <w:bookmarkStart w:id="183" w:name="_Toc143870744"/>
            <w:r w:rsidRPr="006C707E">
              <w:rPr>
                <w:b/>
                <w:bCs/>
              </w:rPr>
              <w:t xml:space="preserve">Gráfico </w:t>
            </w:r>
            <w:r w:rsidRPr="006C707E">
              <w:rPr>
                <w:b/>
                <w:bCs/>
              </w:rPr>
              <w:fldChar w:fldCharType="begin"/>
            </w:r>
            <w:r w:rsidRPr="006C707E">
              <w:rPr>
                <w:b/>
                <w:bCs/>
              </w:rPr>
              <w:instrText xml:space="preserve"> SEQ Gráfico \* ARABIC </w:instrText>
            </w:r>
            <w:r w:rsidRPr="006C707E">
              <w:rPr>
                <w:b/>
                <w:bCs/>
              </w:rPr>
              <w:fldChar w:fldCharType="separate"/>
            </w:r>
            <w:r w:rsidR="006622B2">
              <w:rPr>
                <w:b/>
                <w:bCs/>
                <w:noProof/>
              </w:rPr>
              <w:t>77</w:t>
            </w:r>
            <w:r w:rsidRPr="006C707E">
              <w:rPr>
                <w:b/>
                <w:bCs/>
              </w:rPr>
              <w:fldChar w:fldCharType="end"/>
            </w:r>
            <w:r w:rsidRPr="006C707E">
              <w:rPr>
                <w:b/>
                <w:bCs/>
              </w:rPr>
              <w:t xml:space="preserve">.  </w:t>
            </w:r>
            <w:r w:rsidRPr="006C707E">
              <w:rPr>
                <w:b/>
                <w:bCs/>
                <w:lang w:eastAsia="en-US"/>
              </w:rPr>
              <w:t>Variación Interanual de recaudación tributaria por actividad económica</w:t>
            </w:r>
            <w:bookmarkEnd w:id="183"/>
          </w:p>
          <w:p w14:paraId="1F88B205" w14:textId="77777777" w:rsidR="006C707E" w:rsidRPr="006C707E" w:rsidRDefault="006C707E" w:rsidP="006C707E">
            <w:pPr>
              <w:jc w:val="center"/>
              <w:rPr>
                <w:b/>
                <w:bCs/>
                <w:sz w:val="22"/>
                <w:szCs w:val="22"/>
                <w:lang w:eastAsia="en-US"/>
              </w:rPr>
            </w:pPr>
            <w:r w:rsidRPr="006C707E">
              <w:rPr>
                <w:b/>
                <w:bCs/>
                <w:sz w:val="22"/>
                <w:szCs w:val="22"/>
                <w:lang w:eastAsia="en-US"/>
              </w:rPr>
              <w:t>A junio (2023/2022)</w:t>
            </w:r>
          </w:p>
          <w:p w14:paraId="5A2227DB" w14:textId="2C2664EC" w:rsidR="006C707E" w:rsidRPr="006C707E" w:rsidRDefault="006C707E" w:rsidP="006C707E">
            <w:pPr>
              <w:jc w:val="center"/>
              <w:rPr>
                <w:b/>
                <w:bCs/>
                <w:lang w:eastAsia="en-US"/>
              </w:rPr>
            </w:pPr>
            <w:r w:rsidRPr="006C707E">
              <w:rPr>
                <w:b/>
                <w:noProof/>
                <w:lang w:eastAsia="en-US"/>
              </w:rPr>
              <w:drawing>
                <wp:inline distT="0" distB="0" distL="0" distR="0" wp14:anchorId="0B3D7342" wp14:editId="3D4C1DF7">
                  <wp:extent cx="5486400" cy="2934335"/>
                  <wp:effectExtent l="0" t="0" r="0" b="0"/>
                  <wp:docPr id="120" name="Gráfico 1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6B5FE5AE" w14:textId="77777777" w:rsidR="006C707E" w:rsidRPr="006C707E" w:rsidRDefault="006C707E" w:rsidP="006C707E">
            <w:pPr>
              <w:spacing w:line="259" w:lineRule="auto"/>
              <w:rPr>
                <w:sz w:val="16"/>
                <w:szCs w:val="22"/>
                <w:lang w:eastAsia="en-US"/>
              </w:rPr>
            </w:pPr>
            <w:r w:rsidRPr="006C707E">
              <w:rPr>
                <w:sz w:val="16"/>
                <w:szCs w:val="22"/>
                <w:lang w:eastAsia="en-US"/>
              </w:rPr>
              <w:t>Fuente: Dirección de Análisis y Política Fiscal.</w:t>
            </w:r>
          </w:p>
          <w:p w14:paraId="58FB3E58" w14:textId="77777777" w:rsidR="006C707E" w:rsidRPr="006C707E" w:rsidRDefault="006C707E" w:rsidP="006C707E">
            <w:pPr>
              <w:spacing w:line="259" w:lineRule="auto"/>
              <w:rPr>
                <w:sz w:val="16"/>
                <w:szCs w:val="22"/>
                <w:lang w:eastAsia="en-US"/>
              </w:rPr>
            </w:pPr>
          </w:p>
          <w:p w14:paraId="399392CE" w14:textId="77777777" w:rsidR="006C707E" w:rsidRPr="006C707E" w:rsidRDefault="006C707E" w:rsidP="006C707E">
            <w:pPr>
              <w:numPr>
                <w:ilvl w:val="2"/>
                <w:numId w:val="3"/>
              </w:numPr>
              <w:contextualSpacing/>
              <w:jc w:val="both"/>
              <w:outlineLvl w:val="2"/>
            </w:pPr>
            <w:bookmarkStart w:id="184" w:name="_Toc142059331"/>
            <w:bookmarkStart w:id="185" w:name="_Toc143865844"/>
            <w:r w:rsidRPr="006C707E">
              <w:rPr>
                <w:b/>
                <w:bCs/>
              </w:rPr>
              <w:t>Otros factores que afectan la recaudación tributaria.</w:t>
            </w:r>
            <w:bookmarkEnd w:id="184"/>
            <w:bookmarkEnd w:id="185"/>
          </w:p>
          <w:p w14:paraId="6D73C4B2" w14:textId="77777777" w:rsidR="006C707E" w:rsidRPr="006C707E" w:rsidRDefault="006C707E" w:rsidP="006C707E"/>
          <w:p w14:paraId="0D4DD508" w14:textId="77777777" w:rsidR="006C707E" w:rsidRPr="006C707E" w:rsidRDefault="006C707E" w:rsidP="006C707E">
            <w:pPr>
              <w:ind w:left="1"/>
              <w:jc w:val="both"/>
            </w:pPr>
            <w:r w:rsidRPr="006C707E">
              <w:t>Dentro de los principales factores que afectan la recaudación tributaria se pueden citar las fluctuaciones del tipo de cambio y el precio internacional del petróleo, a junio 2023 la recaudación asociada al comercio exterior se vio afectada de manera positiva en Q259.0 millones de los cuales por Derechos Arancelarios a la Importación fueron Q30.5 millones y por el IVA asociado a las importaciones Q228.5 millones.</w:t>
            </w:r>
          </w:p>
          <w:p w14:paraId="7DF24AD3" w14:textId="77777777" w:rsidR="006C707E" w:rsidRPr="006C707E" w:rsidRDefault="006C707E" w:rsidP="006C707E">
            <w:pPr>
              <w:ind w:left="1"/>
              <w:jc w:val="both"/>
            </w:pPr>
          </w:p>
          <w:p w14:paraId="532D8653" w14:textId="0FB201DB" w:rsidR="006C707E" w:rsidRDefault="006C707E" w:rsidP="006C707E">
            <w:pPr>
              <w:ind w:left="1"/>
              <w:jc w:val="both"/>
            </w:pPr>
            <w:r w:rsidRPr="006C707E">
              <w:t>Para el caso del impacto del precio internacional del petróleo vale indicar que este ha sido negativo en Q206.4 millones los cuales se descomponen por efectos en el cambio de volumen y en el precio, los montos para cada uno de estos impactos fue positivo, para el volumen Q271.0 millones y negativo en el precio Q477.4 millones, los impactos en la recaudación tributaria de tipo de cambio y precio del petróleo fueron cuantificados por la Superintendencia de Administración Tributaria SAT y se encuentran publicados en su portal</w:t>
            </w:r>
            <w:r w:rsidRPr="006C707E">
              <w:rPr>
                <w:vertAlign w:val="superscript"/>
              </w:rPr>
              <w:footnoteReference w:id="3"/>
            </w:r>
            <w:r w:rsidRPr="006C707E">
              <w:t>.</w:t>
            </w:r>
          </w:p>
          <w:p w14:paraId="74CE66DE" w14:textId="77777777" w:rsidR="00B501A1" w:rsidRPr="00B501A1" w:rsidRDefault="00B501A1" w:rsidP="00B501A1">
            <w:pPr>
              <w:jc w:val="center"/>
              <w:rPr>
                <w:rFonts w:eastAsiaTheme="minorHAnsi"/>
                <w:sz w:val="16"/>
                <w:szCs w:val="16"/>
                <w:lang w:val="es-ES" w:eastAsia="en-US"/>
              </w:rPr>
            </w:pPr>
          </w:p>
        </w:tc>
      </w:tr>
    </w:tbl>
    <w:p w14:paraId="7551B4F4" w14:textId="12E17885" w:rsidR="00707448" w:rsidRDefault="00707448" w:rsidP="00531A1B">
      <w:pPr>
        <w:pStyle w:val="Prrafodelista"/>
        <w:numPr>
          <w:ilvl w:val="1"/>
          <w:numId w:val="3"/>
        </w:numPr>
        <w:jc w:val="both"/>
        <w:outlineLvl w:val="1"/>
        <w:rPr>
          <w:b/>
          <w:bCs/>
        </w:rPr>
      </w:pPr>
      <w:bookmarkStart w:id="186" w:name="_Toc143865845"/>
      <w:r w:rsidRPr="00707448">
        <w:rPr>
          <w:b/>
          <w:bCs/>
        </w:rPr>
        <w:t xml:space="preserve">Ejecución del </w:t>
      </w:r>
      <w:r w:rsidR="00D31CC8">
        <w:rPr>
          <w:b/>
          <w:bCs/>
        </w:rPr>
        <w:t>g</w:t>
      </w:r>
      <w:r w:rsidRPr="00707448">
        <w:rPr>
          <w:b/>
          <w:bCs/>
        </w:rPr>
        <w:t xml:space="preserve">asto </w:t>
      </w:r>
      <w:r w:rsidR="00D31CC8">
        <w:rPr>
          <w:b/>
          <w:bCs/>
        </w:rPr>
        <w:t>p</w:t>
      </w:r>
      <w:r w:rsidRPr="00707448">
        <w:rPr>
          <w:b/>
          <w:bCs/>
        </w:rPr>
        <w:t>úblico</w:t>
      </w:r>
      <w:bookmarkEnd w:id="186"/>
    </w:p>
    <w:p w14:paraId="737ABA38" w14:textId="43A06E87" w:rsidR="00707448" w:rsidRDefault="00707448" w:rsidP="00707448">
      <w:pPr>
        <w:rPr>
          <w:b/>
          <w:bCs/>
        </w:rPr>
      </w:pPr>
    </w:p>
    <w:p w14:paraId="38844EF3" w14:textId="70958E97" w:rsidR="00707448" w:rsidRPr="00707448" w:rsidRDefault="00707448" w:rsidP="00707448">
      <w:pPr>
        <w:jc w:val="both"/>
      </w:pPr>
      <w:r w:rsidRPr="00707448">
        <w:t>En lo que respecta a la dinámica de la ejecución del gasto, enero inició con un alto dinamismo, siendo el crecimiento superior al del año anterior</w:t>
      </w:r>
      <w:r w:rsidR="00BD41A8">
        <w:t>. E</w:t>
      </w:r>
      <w:r w:rsidRPr="00707448">
        <w:t>l 2023 arrancó siendo el segundo año consecutivo con presupuesto aprobado luego de dos años de no contar con un presupuesto propio.</w:t>
      </w:r>
      <w:r w:rsidR="00BD41A8">
        <w:t xml:space="preserve">  </w:t>
      </w:r>
      <w:r w:rsidRPr="00707448">
        <w:t>Esto es bastante favorable para la política fiscal y el manejo de la misma, dado que las entidades cuentan con un presupuesto que es congruente con su planificación y los objetivos propuestos para el ejercicio fiscal. El presupuesto aprobado para el ejercicio alcanza los Q115,443.7 millones.</w:t>
      </w:r>
    </w:p>
    <w:p w14:paraId="46D5A1E9" w14:textId="77777777" w:rsidR="00707448" w:rsidRPr="00707448" w:rsidRDefault="00707448" w:rsidP="00707448">
      <w:pPr>
        <w:jc w:val="both"/>
      </w:pPr>
    </w:p>
    <w:p w14:paraId="187BCC24" w14:textId="740FE156" w:rsidR="00925ADB" w:rsidRDefault="00707448" w:rsidP="00707448">
      <w:pPr>
        <w:jc w:val="both"/>
      </w:pPr>
      <w:r w:rsidRPr="00707448">
        <w:t xml:space="preserve">Con este escenario, el gasto público registró un crecimiento interanual dinámico hasta el mes de abril, </w:t>
      </w:r>
      <w:r w:rsidR="00925ADB">
        <w:t>a partir del</w:t>
      </w:r>
      <w:r w:rsidRPr="00707448">
        <w:t xml:space="preserve"> primer cuatrimestre, el gasto público</w:t>
      </w:r>
      <w:r w:rsidR="00925ADB">
        <w:t xml:space="preserve"> disminuye su </w:t>
      </w:r>
      <w:r w:rsidRPr="00707448">
        <w:t>di</w:t>
      </w:r>
      <w:r w:rsidR="00925ADB">
        <w:t>namismo</w:t>
      </w:r>
      <w:r w:rsidRPr="00707448">
        <w:t xml:space="preserve">, </w:t>
      </w:r>
      <w:r w:rsidR="00925ADB">
        <w:t>l</w:t>
      </w:r>
      <w:r w:rsidR="00925ADB" w:rsidRPr="00925ADB">
        <w:t>a ejecución del gasto público a junio, sin incluir las amortizaciones de la deuda pública, se ubicó en Q53,450.8 millones, con una variación interanual de 16.0% (equivalente a Q7,362.8 millones). Por segundo mes consecutivo se muestra una desaceleración en la ejecución del gasto público respecto a abril</w:t>
      </w:r>
      <w:r w:rsidR="00925ADB">
        <w:t>.</w:t>
      </w:r>
    </w:p>
    <w:p w14:paraId="75500385" w14:textId="20448360" w:rsidR="00925ADB" w:rsidRDefault="00925ADB" w:rsidP="00707448">
      <w:pPr>
        <w:jc w:val="both"/>
      </w:pPr>
    </w:p>
    <w:p w14:paraId="5E7B4346" w14:textId="6FCFC485" w:rsidR="00707448" w:rsidRPr="00707448" w:rsidRDefault="00925ADB" w:rsidP="00707448">
      <w:pPr>
        <w:jc w:val="both"/>
      </w:pPr>
      <w:r>
        <w:t xml:space="preserve">Hasta junio se mantuvo el </w:t>
      </w:r>
      <w:r w:rsidR="00707448" w:rsidRPr="00707448">
        <w:t xml:space="preserve">paquete de medidas de alivio temporal que habían sido implementadas ante el incremento de los precios, las medidas aprobadas son el subsidio al gas propano y la ampliación de la tarifa social de energía eléctrica. </w:t>
      </w:r>
    </w:p>
    <w:p w14:paraId="39D0B191" w14:textId="77777777" w:rsidR="00707448" w:rsidRPr="00707448" w:rsidRDefault="00707448" w:rsidP="00707448">
      <w:pPr>
        <w:jc w:val="both"/>
      </w:pPr>
    </w:p>
    <w:p w14:paraId="1638D90D" w14:textId="77777777" w:rsidR="00707448" w:rsidRPr="00707448" w:rsidRDefault="00707448" w:rsidP="00707448">
      <w:pPr>
        <w:jc w:val="both"/>
      </w:pPr>
      <w:r w:rsidRPr="00707448">
        <w:t xml:space="preserve">Asimismo, en 2022 ha cobrado especial relevancia, los proyectos de infraestructura vial estratégica, del Decreto Número 21-2022 “Ley para fortalecer el mantenimiento y construcción de infraestructura estratégica” que quedaron pendientes por la temporada lluviosa de 2022 y que habían sido pospuestos. </w:t>
      </w:r>
    </w:p>
    <w:p w14:paraId="1DEB853E" w14:textId="77777777" w:rsidR="00707448" w:rsidRPr="00707448" w:rsidRDefault="00707448" w:rsidP="00707448">
      <w:pPr>
        <w:jc w:val="both"/>
      </w:pPr>
    </w:p>
    <w:p w14:paraId="42E41E34" w14:textId="1467D33E" w:rsidR="00925ADB" w:rsidRDefault="00707448" w:rsidP="00707448">
      <w:pPr>
        <w:jc w:val="both"/>
      </w:pPr>
      <w:r w:rsidRPr="00707448">
        <w:t xml:space="preserve">A nivel de rubro de cuenta económica, el mayor crecimiento se reporta en los bienes y servicios. </w:t>
      </w:r>
      <w:r w:rsidR="0019212C" w:rsidRPr="0019212C">
        <w:t>Estos reportan un crecimiento interanual de 52.7%, equivalente a Q2,949.9 millones, explicado en su mayoría por el gasto que está realizando el Ministerio de Comunicaciones, Infraestructura y Vivienda, con una ejecución mayor en Q2,115.6 millones por el mantenimiento y reparación de bienes que son de uso común como carreteras y puentes, en accesorios y repuestos en general y los servicios de ingeniería, arquitectura y supervisión de obras.</w:t>
      </w:r>
    </w:p>
    <w:p w14:paraId="51003399" w14:textId="77777777" w:rsidR="00925ADB" w:rsidRDefault="00925ADB" w:rsidP="00707448">
      <w:pPr>
        <w:jc w:val="both"/>
      </w:pPr>
    </w:p>
    <w:p w14:paraId="15CB1080" w14:textId="528115C6" w:rsidR="00925ADB" w:rsidRDefault="0019212C" w:rsidP="00707448">
      <w:pPr>
        <w:jc w:val="both"/>
      </w:pPr>
      <w:r w:rsidRPr="0019212C">
        <w:t>En lo que respecta al Ministerio de Gobernación, también reporta dinamismo en los bienes y servicios, siendo su ejecución mayor en Q442.9 millones, respecto al año anterior, por materiales y equipos diversos, primas y gastos de seguros y fianzas y alimentos para personas.</w:t>
      </w:r>
    </w:p>
    <w:p w14:paraId="28E82FEF" w14:textId="77777777" w:rsidR="00925ADB" w:rsidRDefault="00925ADB" w:rsidP="00707448">
      <w:pPr>
        <w:jc w:val="both"/>
      </w:pPr>
    </w:p>
    <w:p w14:paraId="7509C2A9" w14:textId="77777777" w:rsidR="00841C40" w:rsidRDefault="00841C40" w:rsidP="00841C40">
      <w:pPr>
        <w:jc w:val="both"/>
      </w:pPr>
      <w:r>
        <w:t xml:space="preserve">Respecto a las remuneraciones, estas reportan un aumento de Q1,171.7 millones (crecimiento interanual de 8.6%). Siendo la entidad con mayor aumento el Ministerio de Educación, principalmente por los derechos escalafonarios, el personal permanente y el personal supernumerario. Asimismo, las Obligaciones del Estado reporta un aumento de Q204 millones explicado en buena medida por el aporte patronal al IGSS el cual tiene un aumento de Q188.9 millones. Adicionalmente, el Ministerio de Salud Pública y Asistencia Social reporta un aumento de Q170.8 millones, explicado por los complementos específicos al personal permanente. </w:t>
      </w:r>
    </w:p>
    <w:p w14:paraId="127DB686" w14:textId="77777777" w:rsidR="00841C40" w:rsidRDefault="00841C40" w:rsidP="00841C40">
      <w:pPr>
        <w:jc w:val="both"/>
      </w:pPr>
    </w:p>
    <w:p w14:paraId="7BCFE028" w14:textId="77777777" w:rsidR="00841C40" w:rsidRDefault="00841C40" w:rsidP="00841C40">
      <w:pPr>
        <w:jc w:val="both"/>
      </w:pPr>
      <w:r>
        <w:t xml:space="preserve">En las transferencias de capital se reporta un aumento de Q886.5 millones, equivalente a un crecimiento interanual de 14.7%. Esto se explica porque las transferencias que se realizan hacia el sector público, las cuales aumentan Q978.5 millones, principalmente por las transferencias a las municipalidades, las cuales aumentaron en Q627.1 millones, mientras que las transferencias que reciben los Consejos de Desarrollo Urbano y Rural reportan un aumento de Q444.9 millones. </w:t>
      </w:r>
    </w:p>
    <w:p w14:paraId="70D7688C" w14:textId="77777777" w:rsidR="00841C40" w:rsidRDefault="00841C40" w:rsidP="00841C40">
      <w:pPr>
        <w:jc w:val="both"/>
      </w:pPr>
    </w:p>
    <w:p w14:paraId="12D2B32E" w14:textId="77777777" w:rsidR="00841C40" w:rsidRDefault="00841C40" w:rsidP="00841C40">
      <w:pPr>
        <w:jc w:val="both"/>
      </w:pPr>
      <w:r>
        <w:t>Por su parte, la inversión real directa, reporta un aumento de Q672.4 millones, con un crecimiento de 38.4%, asociado a mayores intervenciones en la formación bruta de capital fijo por parte del Ministerio de Comunicaciones, Infraestructura y Vivienda que muestra mayor ejecución en el programa de desarrollo de la infraestructura vial y la construcción de obra pública.</w:t>
      </w:r>
    </w:p>
    <w:p w14:paraId="3830A9FA" w14:textId="77777777" w:rsidR="00841C40" w:rsidRDefault="00841C40" w:rsidP="00841C40">
      <w:pPr>
        <w:jc w:val="both"/>
      </w:pPr>
    </w:p>
    <w:p w14:paraId="3DF5B37D" w14:textId="77777777" w:rsidR="00841C40" w:rsidRDefault="00841C40" w:rsidP="00841C40">
      <w:pPr>
        <w:jc w:val="both"/>
      </w:pPr>
      <w:r>
        <w:t>Es precisamente el Ministerio de Comunicaciones, la entidad que reporta el mayor crecimiento interanual con 113.3% y el segundo con mayor grado de ejecución con 69.5%.</w:t>
      </w:r>
    </w:p>
    <w:p w14:paraId="15F389D2" w14:textId="77777777" w:rsidR="00841C40" w:rsidRDefault="00841C40" w:rsidP="00841C40">
      <w:pPr>
        <w:jc w:val="both"/>
      </w:pPr>
    </w:p>
    <w:p w14:paraId="09D1729D" w14:textId="77777777" w:rsidR="008477DD" w:rsidRDefault="00841C40" w:rsidP="008477DD">
      <w:pPr>
        <w:jc w:val="both"/>
      </w:pPr>
      <w:r>
        <w:t>Por su parte, las transferencias corrientes reportan un crecimiento de 5.9% con respecto a junio del año previo, equivalente a Q611.8 millones, siendo explicadas por las</w:t>
      </w:r>
      <w:r w:rsidR="008477DD">
        <w:t xml:space="preserve"> transferencias al sector público, las cuales se encuentran creciendo en Q1,045.1 millones explicadas por la transferencia al Tribunal Supremo Electoral (TSE), la cual es mayor en Q332.4 millones a la reportada en 2022, es relevante indicar que las elecciones generales de Guatemala se llevaron a cabo el pasado 25 de junio, siendo importante esta transferencia dado que contribuye a consolidar el proceso democrático, dado que con las elecciones generales se elige al presidente y vicepresidente, 160 diputados al Congreso de la República, 340 alcaldes municipales y 20 diputados al Parlamento Centroamericano. </w:t>
      </w:r>
    </w:p>
    <w:p w14:paraId="4326A9FB" w14:textId="77777777" w:rsidR="008477DD" w:rsidRDefault="008477DD" w:rsidP="008477DD">
      <w:pPr>
        <w:jc w:val="both"/>
      </w:pPr>
    </w:p>
    <w:p w14:paraId="3D53DDD2" w14:textId="77777777" w:rsidR="008477DD" w:rsidRDefault="008477DD" w:rsidP="008477DD">
      <w:pPr>
        <w:jc w:val="both"/>
      </w:pPr>
      <w:r>
        <w:t xml:space="preserve">Asimismo, resalta la transferencia que recibe la Universidad de San Carlos, la cual reporta un aumento de Q255 millones, seguidamente se encuentra el aporte del Organismo Judicial con un aumento interanual de Q173.3 millones. </w:t>
      </w:r>
    </w:p>
    <w:p w14:paraId="5571A0BF" w14:textId="77777777" w:rsidR="008477DD" w:rsidRDefault="008477DD" w:rsidP="008477DD">
      <w:pPr>
        <w:jc w:val="both"/>
      </w:pPr>
    </w:p>
    <w:p w14:paraId="0330A8F7" w14:textId="77777777" w:rsidR="008477DD" w:rsidRDefault="008477DD" w:rsidP="008477DD">
      <w:pPr>
        <w:jc w:val="both"/>
      </w:pPr>
      <w:r>
        <w:t>Vale la pena resaltar el aporte del Instituto Nacional de Electrificación (INDE) muestra un aumento de Q136 millones, en la cual además del aporte recurrente, se incluye la ampliación del aporte social de la tarifa eléctrica, aprobado por medio del Decreto número 1-2023 del Congreso de la República “Ley de Fortalecimiento al Aporte Social de la Tarifa Eléctrica” la cual es financiada con recursos de caja.</w:t>
      </w:r>
    </w:p>
    <w:p w14:paraId="7CCEBC95" w14:textId="77777777" w:rsidR="008477DD" w:rsidRDefault="008477DD" w:rsidP="008477DD">
      <w:pPr>
        <w:jc w:val="both"/>
      </w:pPr>
    </w:p>
    <w:p w14:paraId="22258A75" w14:textId="77777777" w:rsidR="008477DD" w:rsidRDefault="008477DD" w:rsidP="008477DD">
      <w:pPr>
        <w:jc w:val="both"/>
      </w:pPr>
      <w:r>
        <w:t xml:space="preserve">En el año anterior, las transferencias corrientes al sector privado era el rubro con mayor crecimiento, derivado de los apoyos temporales que se encontraban vigentes a las gasolinas y combustibles. Mientras que, en 2023, se registra una ejecución menor en Q459.1 millones, que posiblemente continué aumentando. </w:t>
      </w:r>
    </w:p>
    <w:p w14:paraId="153D6B52" w14:textId="77777777" w:rsidR="008477DD" w:rsidRDefault="008477DD" w:rsidP="008477DD">
      <w:pPr>
        <w:jc w:val="both"/>
      </w:pPr>
    </w:p>
    <w:p w14:paraId="4B6F7E34" w14:textId="36BCEDAC" w:rsidR="00925ADB" w:rsidRDefault="008477DD" w:rsidP="008477DD">
      <w:pPr>
        <w:jc w:val="both"/>
      </w:pPr>
      <w:r>
        <w:t>Es importante destacar que desde mediados de junio finalizó el subsidio al gas propano, adicionalmente también finalizó el subsidio a la energía eléctrica. Existen iniciativas en el Congreso de la República para ampliar ambos subsidios, sin embargo, la discusión no ha avanzado.</w:t>
      </w:r>
    </w:p>
    <w:p w14:paraId="0CC46E4D" w14:textId="77777777" w:rsidR="00925ADB" w:rsidRDefault="00925ADB" w:rsidP="00707448">
      <w:pPr>
        <w:jc w:val="both"/>
      </w:pPr>
    </w:p>
    <w:p w14:paraId="4C4B3EE3" w14:textId="77777777" w:rsidR="008477DD" w:rsidRDefault="008477DD" w:rsidP="008477DD">
      <w:pPr>
        <w:jc w:val="both"/>
      </w:pPr>
      <w:r>
        <w:t>En lo que respecta a los intereses de la deuda pública, estos reportan una ejecución mayor con respecto a lo observado en 2022 en Q543.7 millones, mostrando un crecimiento interanual de 9.3%, que es explicado en mayor medida por los intereses de deuda externa y específicamente por los préstamos, debido principalmente al alza en las tasas internacionales que afectan a los préstamos con multilaterales. Asimismo, la deuda interna también reporta mayor pago de intereses en Q237 millones.</w:t>
      </w:r>
    </w:p>
    <w:p w14:paraId="7DB8759C" w14:textId="77777777" w:rsidR="008477DD" w:rsidRDefault="008477DD" w:rsidP="008477DD">
      <w:pPr>
        <w:jc w:val="both"/>
      </w:pPr>
    </w:p>
    <w:p w14:paraId="2A6D48D0" w14:textId="2884D823" w:rsidR="00925ADB" w:rsidRDefault="008477DD" w:rsidP="008477DD">
      <w:pPr>
        <w:jc w:val="both"/>
      </w:pPr>
      <w:r>
        <w:t>Por último, las prestaciones a la seguridad social reportan un crecimiento interanual de 18.1%, equivalente a Q470.6 millones. Es importante recordar que, en 2022, se aprobó un aumento del 10%, para los beneficiarios del régimen de clases pasivas y civiles del Estado, con lo cual el efecto de esta medida se verá reflejado a lo largo de 2023.</w:t>
      </w:r>
    </w:p>
    <w:p w14:paraId="34E54719" w14:textId="27D6C3EB" w:rsidR="00925ADB" w:rsidRDefault="00925ADB" w:rsidP="00707448">
      <w:pPr>
        <w:jc w:val="both"/>
      </w:pPr>
    </w:p>
    <w:p w14:paraId="7526C8E3" w14:textId="27AAD6DC" w:rsidR="008477DD" w:rsidRDefault="008477DD" w:rsidP="00707448">
      <w:pPr>
        <w:jc w:val="both"/>
      </w:pPr>
      <w:r w:rsidRPr="008477DD">
        <w:t>En cuanto al gasto total, el cual incluye amortizaciones de la deuda pública, se situó en Q54,863.3 millones, con un grado de ejecución de 46.4% y una variación interanual de 15.5%. Este grado de ejecución se encuentra por arriba de la ejecución promedio de los últimos 5 años (40.8%).</w:t>
      </w:r>
    </w:p>
    <w:p w14:paraId="4A21D6FA" w14:textId="79AE7563" w:rsidR="008477DD" w:rsidRDefault="008477DD" w:rsidP="00707448">
      <w:pPr>
        <w:jc w:val="both"/>
      </w:pPr>
    </w:p>
    <w:p w14:paraId="59BD6C8B" w14:textId="77777777" w:rsidR="008477DD" w:rsidRDefault="008477DD" w:rsidP="008477DD">
      <w:pPr>
        <w:jc w:val="both"/>
      </w:pPr>
      <w:r>
        <w:t>A nivel del gasto público por entidades, las que muestran el mayor nivel de ejecución son: Energía y Minas (81.4%), Comunicaciones (69.5%), Cultura y Deportes (51.8%), Deuda Pública (48.5%), Agricultura (48.4%), Educación (47.8%), PGN (46.7%) y Presidencia (46.6%), todas estas entidades se encuentran por arriba de la ejecución institucional total (46.4%).</w:t>
      </w:r>
    </w:p>
    <w:p w14:paraId="52F9E9BC" w14:textId="77777777" w:rsidR="008477DD" w:rsidRDefault="008477DD" w:rsidP="008477DD">
      <w:pPr>
        <w:jc w:val="both"/>
      </w:pPr>
    </w:p>
    <w:p w14:paraId="5888B7F3" w14:textId="77777777" w:rsidR="008477DD" w:rsidRDefault="008477DD" w:rsidP="008477DD">
      <w:pPr>
        <w:jc w:val="both"/>
      </w:pPr>
      <w:r>
        <w:t xml:space="preserve">El resto de las entidades se encuentra por debajo de la ejecución institucional total. Resalta el Ministerio de Ambiente y Recursos con una ejecución de 28.9%, estando muy por debajo de la ejecución promedio.  </w:t>
      </w:r>
    </w:p>
    <w:p w14:paraId="1005B946" w14:textId="77777777" w:rsidR="008477DD" w:rsidRDefault="008477DD" w:rsidP="008477DD">
      <w:pPr>
        <w:jc w:val="both"/>
      </w:pPr>
    </w:p>
    <w:p w14:paraId="46A17DA8" w14:textId="77777777" w:rsidR="008477DD" w:rsidRDefault="008477DD" w:rsidP="008477DD">
      <w:pPr>
        <w:jc w:val="both"/>
      </w:pPr>
      <w:r>
        <w:t>El Ministerio de Energía y Minas reporta el mayor nivel de ejecución asociado al subsidio al gas propano que ya concluyó y este representa una proporción importante de su presupuesto, finalizando con una ejecución de 96.3%.</w:t>
      </w:r>
    </w:p>
    <w:p w14:paraId="3C5E7DF5" w14:textId="77777777" w:rsidR="008477DD" w:rsidRDefault="008477DD" w:rsidP="008477DD">
      <w:pPr>
        <w:jc w:val="both"/>
      </w:pPr>
    </w:p>
    <w:p w14:paraId="34DA45EF" w14:textId="1012F760" w:rsidR="008477DD" w:rsidRDefault="008477DD" w:rsidP="008477DD">
      <w:pPr>
        <w:jc w:val="both"/>
      </w:pPr>
      <w:r>
        <w:t>En cuanto al Ministerio de Desarrollo Social tuvo una ampliación de su presupuesto por Q300 millones para cubrir los pagos establecidos en la Ley Temporal de Desarrollo Integral Decreto número 51-2022, cuyo objetivo es la implementación y ejecución de proyectos ambientales y de desarrollo integral con la participación de la tropa que prestó servicio militar durante el conflicto armado interno. Hasta la fecha, dicho programa cuenta con una ejecución de Q107.1 millones.</w:t>
      </w:r>
    </w:p>
    <w:p w14:paraId="547279A7" w14:textId="46B1E2B2" w:rsidR="008477DD" w:rsidRDefault="008477DD" w:rsidP="00707448">
      <w:pPr>
        <w:jc w:val="both"/>
      </w:pPr>
    </w:p>
    <w:p w14:paraId="395F561E" w14:textId="77777777" w:rsidR="00707448" w:rsidRPr="00707448" w:rsidRDefault="00707448" w:rsidP="00707448">
      <w:pPr>
        <w:jc w:val="both"/>
      </w:pPr>
      <w:r w:rsidRPr="00707448">
        <w:t>El “Programa de Desarrollo Integral” incluye los siguientes proyectos:</w:t>
      </w:r>
    </w:p>
    <w:p w14:paraId="19778E59" w14:textId="77777777" w:rsidR="00707448" w:rsidRPr="00707448" w:rsidRDefault="00707448" w:rsidP="00707448">
      <w:pPr>
        <w:jc w:val="both"/>
      </w:pPr>
    </w:p>
    <w:p w14:paraId="1A9CB0D2" w14:textId="6D03B49B" w:rsidR="00707448" w:rsidRDefault="00707448" w:rsidP="00490943">
      <w:pPr>
        <w:pStyle w:val="Prrafodelista"/>
        <w:numPr>
          <w:ilvl w:val="0"/>
          <w:numId w:val="54"/>
        </w:numPr>
        <w:jc w:val="both"/>
      </w:pPr>
      <w:r w:rsidRPr="00707448">
        <w:t>Reforestación, protección y/o conservación de bosque para la protección de fuentes de agua y zonas de recarga hídrica en tierras estatales;</w:t>
      </w:r>
    </w:p>
    <w:p w14:paraId="08381C85" w14:textId="319E2199" w:rsidR="00707448" w:rsidRDefault="00707448" w:rsidP="00490943">
      <w:pPr>
        <w:pStyle w:val="Prrafodelista"/>
        <w:numPr>
          <w:ilvl w:val="0"/>
          <w:numId w:val="54"/>
        </w:numPr>
        <w:jc w:val="both"/>
      </w:pPr>
      <w:r w:rsidRPr="00707448">
        <w:t>Educativos, en materia ambiental para conocer, cuidar, valorar y fomentar la protección al medio ambiente y su entorno;</w:t>
      </w:r>
    </w:p>
    <w:p w14:paraId="6BAABE94" w14:textId="04E3FA4B" w:rsidR="00707448" w:rsidRDefault="00707448" w:rsidP="00490943">
      <w:pPr>
        <w:pStyle w:val="Prrafodelista"/>
        <w:numPr>
          <w:ilvl w:val="0"/>
          <w:numId w:val="54"/>
        </w:numPr>
        <w:jc w:val="both"/>
      </w:pPr>
      <w:r w:rsidRPr="00707448">
        <w:t>De limpieza para la conservación, protección y mantenimiento ambiental;</w:t>
      </w:r>
    </w:p>
    <w:p w14:paraId="105E30AD" w14:textId="4D827967" w:rsidR="00707448" w:rsidRDefault="00707448" w:rsidP="00490943">
      <w:pPr>
        <w:pStyle w:val="Prrafodelista"/>
        <w:numPr>
          <w:ilvl w:val="0"/>
          <w:numId w:val="54"/>
        </w:numPr>
        <w:jc w:val="both"/>
      </w:pPr>
      <w:r w:rsidRPr="00707448">
        <w:t>De clasificación de desechos y reciclaje;</w:t>
      </w:r>
    </w:p>
    <w:p w14:paraId="087E0889" w14:textId="1C873375" w:rsidR="00707448" w:rsidRDefault="00707448" w:rsidP="00490943">
      <w:pPr>
        <w:pStyle w:val="Prrafodelista"/>
        <w:numPr>
          <w:ilvl w:val="0"/>
          <w:numId w:val="54"/>
        </w:numPr>
        <w:jc w:val="both"/>
      </w:pPr>
      <w:r w:rsidRPr="00707448">
        <w:t>De desarrollo integral, en beneficio del Estado de Guatemala; y,</w:t>
      </w:r>
    </w:p>
    <w:p w14:paraId="661A1F46" w14:textId="05534570" w:rsidR="00707448" w:rsidRPr="00707448" w:rsidRDefault="00707448" w:rsidP="00490943">
      <w:pPr>
        <w:pStyle w:val="Prrafodelista"/>
        <w:numPr>
          <w:ilvl w:val="0"/>
          <w:numId w:val="54"/>
        </w:numPr>
        <w:jc w:val="both"/>
      </w:pPr>
      <w:r w:rsidRPr="00707448">
        <w:t>Cualquier otro proyecto de conservación, protección y mejoramiento del medio ambiente.</w:t>
      </w:r>
    </w:p>
    <w:p w14:paraId="132EA06A" w14:textId="77777777" w:rsidR="00707448" w:rsidRPr="00707448" w:rsidRDefault="00707448" w:rsidP="00707448">
      <w:pPr>
        <w:jc w:val="both"/>
      </w:pPr>
    </w:p>
    <w:p w14:paraId="7ECCD021" w14:textId="4B01A14F" w:rsidR="00707448" w:rsidRDefault="00707448" w:rsidP="00707448">
      <w:pPr>
        <w:jc w:val="both"/>
      </w:pPr>
      <w:r w:rsidRPr="00707448">
        <w:t>Siendo las autoridades responsables del cumplimiento de la ley:</w:t>
      </w:r>
    </w:p>
    <w:p w14:paraId="18963D20" w14:textId="77777777" w:rsidR="002D4BE1" w:rsidRPr="00707448" w:rsidRDefault="002D4BE1" w:rsidP="00707448">
      <w:pPr>
        <w:jc w:val="both"/>
      </w:pPr>
    </w:p>
    <w:p w14:paraId="12598916" w14:textId="0FC5D64E" w:rsidR="00707448" w:rsidRDefault="00707448" w:rsidP="00354A9C">
      <w:pPr>
        <w:pStyle w:val="Prrafodelista"/>
        <w:numPr>
          <w:ilvl w:val="0"/>
          <w:numId w:val="49"/>
        </w:numPr>
        <w:ind w:left="567"/>
        <w:jc w:val="both"/>
      </w:pPr>
      <w:r w:rsidRPr="00707448">
        <w:t>El Ministerio de la Defensa Nacional, teniendo que elaborar los listados de beneficiarios del programa, los cuales se entregaran certificados al Ministerio de Desarrollo Social</w:t>
      </w:r>
      <w:r>
        <w:t>.</w:t>
      </w:r>
    </w:p>
    <w:p w14:paraId="0FECD7A7" w14:textId="032D5709" w:rsidR="00707448" w:rsidRDefault="00707448" w:rsidP="00354A9C">
      <w:pPr>
        <w:pStyle w:val="Prrafodelista"/>
        <w:numPr>
          <w:ilvl w:val="0"/>
          <w:numId w:val="49"/>
        </w:numPr>
        <w:ind w:left="567"/>
        <w:jc w:val="both"/>
      </w:pPr>
      <w:r w:rsidRPr="00707448">
        <w:t>El Ministerio de Ambiente y Recursos Naturales, creará e implementará en su caso, los programas ambientales con las actividades relacionadas en esta ley y coordinará con los demás ministerio o dependencias del Estado, los programas o necesidades que surjan; así mismo, verificará e informará al Ministerio de Desarrollo Social el cumplimiento del servicio por los beneficiarios, de conformidad con el reglamento.</w:t>
      </w:r>
    </w:p>
    <w:p w14:paraId="0C19E029" w14:textId="28E50B9A" w:rsidR="00707448" w:rsidRPr="00707448" w:rsidRDefault="00707448" w:rsidP="00354A9C">
      <w:pPr>
        <w:pStyle w:val="Prrafodelista"/>
        <w:numPr>
          <w:ilvl w:val="0"/>
          <w:numId w:val="49"/>
        </w:numPr>
        <w:ind w:left="567"/>
        <w:jc w:val="both"/>
      </w:pPr>
      <w:r w:rsidRPr="00707448">
        <w:t>El Ministerio de Desarrollo Social, será el responsable de efectuar los pagos del “Programa de Desarrollo Integral” de conformidad con el reglamento.</w:t>
      </w:r>
    </w:p>
    <w:p w14:paraId="57B94B1A" w14:textId="77777777" w:rsidR="00707448" w:rsidRPr="00707448" w:rsidRDefault="00707448" w:rsidP="00707448">
      <w:pPr>
        <w:jc w:val="both"/>
      </w:pPr>
    </w:p>
    <w:p w14:paraId="7A8305D9" w14:textId="68274A2D" w:rsidR="00707448" w:rsidRPr="00707448" w:rsidRDefault="00707448" w:rsidP="00707448">
      <w:pPr>
        <w:jc w:val="both"/>
      </w:pPr>
      <w:r w:rsidRPr="00707448">
        <w:t xml:space="preserve">El programa consiste en la erogación de Q36,000 para cada beneficiario, el cual se ejecutará en un período de tres años con una asignación mensual de Q1,000 por la participación activa en el “Programa de Desarrollo Integral”. </w:t>
      </w:r>
    </w:p>
    <w:p w14:paraId="0F845B22" w14:textId="623B86EA" w:rsidR="00707448" w:rsidRDefault="00707448" w:rsidP="00707448">
      <w:pPr>
        <w:jc w:val="both"/>
      </w:pPr>
    </w:p>
    <w:p w14:paraId="7B66AE73" w14:textId="77777777" w:rsidR="00CD0066" w:rsidRDefault="00CD0066" w:rsidP="00CD0066">
      <w:pPr>
        <w:jc w:val="both"/>
      </w:pPr>
      <w:r>
        <w:t>Es destacable el alto nivel de ejecución en el Ministerio de Cultura y Deportes, dado que por lo general esta entidad ha reportado niveles de ejecución modestos, al evaluar la ejecución resalta el dinamismo en la construcción, ampliación y mejoramiento de instalaciones deportivas y recreativas, así como en los servicios de administración y protección de parques, sitios arqueológicos y zonas de rescate cultural y natural.</w:t>
      </w:r>
    </w:p>
    <w:p w14:paraId="2D3F5F19" w14:textId="77777777" w:rsidR="00CD0066" w:rsidRDefault="00CD0066" w:rsidP="00CD0066">
      <w:pPr>
        <w:jc w:val="both"/>
      </w:pPr>
    </w:p>
    <w:p w14:paraId="73301C85" w14:textId="77777777" w:rsidR="00CD0066" w:rsidRDefault="00CD0066" w:rsidP="00CD0066">
      <w:pPr>
        <w:jc w:val="both"/>
      </w:pPr>
      <w:r>
        <w:t>En el Ministerio de Trabajo, es importante comentar que se amplió el techo presupuestario, para fortalecer el programa de Aporte Económico al Adulto Mayor. Este fue aprobado por medio del Decreto número 10-2023 “Ampliación del Programa de Aporte Económico al Adulto Mayor” viabilizando el traslado de recursos financieros no utilizados de la atención de la pandemia COVID-19, para el fortalecimiento de dicho programa.</w:t>
      </w:r>
    </w:p>
    <w:p w14:paraId="17C2FD60" w14:textId="77777777" w:rsidR="00CD0066" w:rsidRDefault="00CD0066" w:rsidP="00CD0066">
      <w:pPr>
        <w:jc w:val="both"/>
      </w:pPr>
    </w:p>
    <w:p w14:paraId="2E7F0472" w14:textId="77777777" w:rsidR="00CD0066" w:rsidRDefault="00CD0066" w:rsidP="00CD0066">
      <w:pPr>
        <w:jc w:val="both"/>
      </w:pPr>
      <w:r>
        <w:t>Adicionalmente, establecería la adhesión de 65 mil adultos mayores para alcanzar hasta 210 mil beneficiarios en 2023, brindando un apoyo económico, el cual consiste en Q500 mensuales para cada beneficiario. De esa cuenta, se observa una baja ejecución en el Ministerio de Trabajo, la cual podría dinamizarse en los próximos meses.</w:t>
      </w:r>
    </w:p>
    <w:p w14:paraId="59DA6892" w14:textId="77777777" w:rsidR="00CD0066" w:rsidRDefault="00CD0066" w:rsidP="00CD0066">
      <w:pPr>
        <w:jc w:val="both"/>
      </w:pPr>
    </w:p>
    <w:p w14:paraId="2AEA9D1B" w14:textId="77777777" w:rsidR="00CD0066" w:rsidRDefault="00CD0066" w:rsidP="00CD0066">
      <w:pPr>
        <w:jc w:val="both"/>
      </w:pPr>
      <w:r>
        <w:t xml:space="preserve">Durante junio se realizó la amortización por el costo de la política monetaria, cambiaria y crediticia por Q54.4 millones, correspondiente al ejercicio fiscal 2021. </w:t>
      </w:r>
    </w:p>
    <w:p w14:paraId="0599D626" w14:textId="77777777" w:rsidR="00CD0066" w:rsidRDefault="00CD0066" w:rsidP="00CD0066">
      <w:pPr>
        <w:jc w:val="both"/>
      </w:pPr>
    </w:p>
    <w:p w14:paraId="20B3AD28" w14:textId="79B93243" w:rsidR="00CD0066" w:rsidRDefault="00CD0066" w:rsidP="00CD0066">
      <w:pPr>
        <w:jc w:val="both"/>
      </w:pPr>
      <w:r>
        <w:t>Hasta la fecha se han dado ampliaciones en el presupuesto de ingresos y egresos del Estado para el ejercicio fiscal 2023 por Q2,716.0 millones, las cuales se explican principalmente por:</w:t>
      </w:r>
    </w:p>
    <w:p w14:paraId="1E20DCA0" w14:textId="6DBCA6C9" w:rsidR="00CD0066" w:rsidRDefault="00CD0066" w:rsidP="00707448">
      <w:pPr>
        <w:jc w:val="both"/>
      </w:pPr>
    </w:p>
    <w:p w14:paraId="39456B52" w14:textId="77777777" w:rsidR="00CD0066" w:rsidRPr="00CD0066" w:rsidRDefault="00CD0066" w:rsidP="00354A9C">
      <w:pPr>
        <w:pStyle w:val="Prrafodelista"/>
        <w:numPr>
          <w:ilvl w:val="0"/>
          <w:numId w:val="44"/>
        </w:numPr>
        <w:spacing w:after="160" w:line="259" w:lineRule="auto"/>
        <w:ind w:left="567"/>
        <w:jc w:val="both"/>
        <w:rPr>
          <w:rFonts w:eastAsia="Calibri"/>
          <w:lang w:eastAsia="en-US"/>
        </w:rPr>
      </w:pPr>
      <w:r w:rsidRPr="00CD0066">
        <w:rPr>
          <w:rFonts w:eastAsia="Calibri"/>
          <w:lang w:eastAsia="en-US"/>
        </w:rPr>
        <w:t>El Ministerio de Comunicaciones, Infraestructura y Vivienda por la reprogramación de obras y asignación de recursos para los proyectos del Decreto número 21-2022 “Ley para fortalecer el mantenimiento y construcción de infraestructura estratégica” que quedaron pendientes por la temporada lluviosa de 2022.</w:t>
      </w:r>
    </w:p>
    <w:p w14:paraId="3732ED93" w14:textId="77777777" w:rsidR="00CD0066" w:rsidRPr="00CD0066" w:rsidRDefault="00CD0066" w:rsidP="00354A9C">
      <w:pPr>
        <w:pStyle w:val="Prrafodelista"/>
        <w:numPr>
          <w:ilvl w:val="0"/>
          <w:numId w:val="44"/>
        </w:numPr>
        <w:spacing w:after="160" w:line="259" w:lineRule="auto"/>
        <w:ind w:left="567"/>
        <w:jc w:val="both"/>
        <w:rPr>
          <w:rFonts w:eastAsia="Calibri"/>
          <w:lang w:eastAsia="en-US"/>
        </w:rPr>
      </w:pPr>
      <w:r w:rsidRPr="00CD0066">
        <w:rPr>
          <w:rFonts w:eastAsia="Calibri"/>
          <w:lang w:eastAsia="en-US"/>
        </w:rPr>
        <w:t>El Fondo Social de Solidaridad con reprogramación de obras, también del Decreto número 21-2022.</w:t>
      </w:r>
    </w:p>
    <w:p w14:paraId="37D0F080" w14:textId="77777777" w:rsidR="00CD0066" w:rsidRPr="00CD0066" w:rsidRDefault="00CD0066" w:rsidP="00354A9C">
      <w:pPr>
        <w:pStyle w:val="Prrafodelista"/>
        <w:numPr>
          <w:ilvl w:val="0"/>
          <w:numId w:val="44"/>
        </w:numPr>
        <w:spacing w:after="160" w:line="259" w:lineRule="auto"/>
        <w:ind w:left="567"/>
        <w:jc w:val="both"/>
        <w:rPr>
          <w:rFonts w:eastAsia="Calibri"/>
          <w:lang w:eastAsia="en-US"/>
        </w:rPr>
      </w:pPr>
      <w:r w:rsidRPr="00CD0066">
        <w:rPr>
          <w:rFonts w:eastAsia="Calibri"/>
          <w:lang w:eastAsia="en-US"/>
        </w:rPr>
        <w:t>El Ministerio de Energía y Minas con una modificación presupuestaria para garantizar el apoyo social temporal a los consumidores del gas propano, establecido en el Decreto número 5-2023.</w:t>
      </w:r>
    </w:p>
    <w:p w14:paraId="65A73F01" w14:textId="77777777" w:rsidR="00CD0066" w:rsidRPr="00CD0066" w:rsidRDefault="00CD0066" w:rsidP="00354A9C">
      <w:pPr>
        <w:pStyle w:val="Prrafodelista"/>
        <w:numPr>
          <w:ilvl w:val="0"/>
          <w:numId w:val="44"/>
        </w:numPr>
        <w:spacing w:after="160" w:line="259" w:lineRule="auto"/>
        <w:ind w:left="567"/>
        <w:jc w:val="both"/>
        <w:rPr>
          <w:rFonts w:eastAsia="Calibri"/>
          <w:lang w:eastAsia="en-US"/>
        </w:rPr>
      </w:pPr>
      <w:r w:rsidRPr="00CD0066">
        <w:rPr>
          <w:rFonts w:eastAsia="Calibri"/>
          <w:lang w:eastAsia="en-US"/>
        </w:rPr>
        <w:t>En las Obligaciones del Estado a Cargo del Tesoro se dio una ampliación de Q197 millones para cumplir con el subsidio a la ampliación de la tarifa social eléctrica, así como una ampliación de Q200 millones para el incremento a las jubilaciones y pensiones del régimen de clases pasivas y civiles del Estado. Además, se han dado ampliaciones en favor de los CODEDES.</w:t>
      </w:r>
    </w:p>
    <w:p w14:paraId="5C2907C4" w14:textId="77777777" w:rsidR="00CD0066" w:rsidRPr="00CD0066" w:rsidRDefault="00CD0066" w:rsidP="00354A9C">
      <w:pPr>
        <w:pStyle w:val="Prrafodelista"/>
        <w:numPr>
          <w:ilvl w:val="0"/>
          <w:numId w:val="44"/>
        </w:numPr>
        <w:spacing w:after="160" w:line="259" w:lineRule="auto"/>
        <w:ind w:left="567"/>
        <w:jc w:val="both"/>
        <w:rPr>
          <w:rFonts w:eastAsia="Calibri"/>
          <w:lang w:eastAsia="en-US"/>
        </w:rPr>
      </w:pPr>
      <w:r w:rsidRPr="00CD0066">
        <w:rPr>
          <w:rFonts w:eastAsia="Calibri"/>
          <w:lang w:eastAsia="en-US"/>
        </w:rPr>
        <w:t>Q300 millones para los beneficiarios del Decreto 51-2022 "Ley Temporal de Desarrollo Integral"</w:t>
      </w:r>
    </w:p>
    <w:p w14:paraId="2D1BD474" w14:textId="77777777" w:rsidR="00CD0066" w:rsidRPr="00CD0066" w:rsidRDefault="00CD0066" w:rsidP="00354A9C">
      <w:pPr>
        <w:pStyle w:val="Prrafodelista"/>
        <w:numPr>
          <w:ilvl w:val="0"/>
          <w:numId w:val="44"/>
        </w:numPr>
        <w:spacing w:after="160" w:line="259" w:lineRule="auto"/>
        <w:ind w:left="567"/>
        <w:jc w:val="both"/>
        <w:rPr>
          <w:rFonts w:eastAsia="Calibri"/>
          <w:lang w:eastAsia="en-US"/>
        </w:rPr>
      </w:pPr>
      <w:r w:rsidRPr="00CD0066">
        <w:rPr>
          <w:rFonts w:eastAsia="Calibri"/>
          <w:lang w:eastAsia="en-US"/>
        </w:rPr>
        <w:t>Q1.6 millones en la Secretaría Presidencial de la Mujer.</w:t>
      </w:r>
    </w:p>
    <w:p w14:paraId="1FB22F59" w14:textId="6F90B3E4" w:rsidR="00CD0066" w:rsidRDefault="00CD0066" w:rsidP="00354A9C">
      <w:pPr>
        <w:pStyle w:val="Prrafodelista"/>
        <w:numPr>
          <w:ilvl w:val="0"/>
          <w:numId w:val="44"/>
        </w:numPr>
        <w:spacing w:after="160" w:line="259" w:lineRule="auto"/>
        <w:ind w:left="567"/>
        <w:jc w:val="both"/>
        <w:rPr>
          <w:rFonts w:eastAsia="Calibri"/>
          <w:lang w:eastAsia="en-US"/>
        </w:rPr>
      </w:pPr>
      <w:r w:rsidRPr="00CD0066">
        <w:rPr>
          <w:rFonts w:eastAsia="Calibri"/>
          <w:lang w:eastAsia="en-US"/>
        </w:rPr>
        <w:t>Q339.9 millones de modificación presupuestaria para el programa de Aporte Económico del Adulto Mayor, según Decreto 10-2023.</w:t>
      </w:r>
    </w:p>
    <w:p w14:paraId="1D522E10" w14:textId="4BC1C90F" w:rsidR="00E707F3" w:rsidRDefault="00E707F3" w:rsidP="00E707F3">
      <w:pPr>
        <w:spacing w:after="160" w:line="259" w:lineRule="auto"/>
        <w:jc w:val="both"/>
        <w:rPr>
          <w:rFonts w:eastAsia="Calibri"/>
          <w:lang w:eastAsia="en-US"/>
        </w:rPr>
      </w:pPr>
    </w:p>
    <w:p w14:paraId="644B222F" w14:textId="316B47D5" w:rsidR="00E707F3" w:rsidRDefault="00E707F3" w:rsidP="00E707F3">
      <w:pPr>
        <w:spacing w:after="160" w:line="259" w:lineRule="auto"/>
        <w:jc w:val="both"/>
        <w:rPr>
          <w:rFonts w:eastAsia="Calibri"/>
          <w:lang w:eastAsia="en-US"/>
        </w:rPr>
      </w:pPr>
    </w:p>
    <w:p w14:paraId="7BAF7949" w14:textId="15CCED98" w:rsidR="00E707F3" w:rsidRDefault="00E707F3" w:rsidP="00E707F3">
      <w:pPr>
        <w:spacing w:after="160" w:line="259" w:lineRule="auto"/>
        <w:jc w:val="both"/>
        <w:rPr>
          <w:rFonts w:eastAsia="Calibri"/>
          <w:lang w:eastAsia="en-US"/>
        </w:rPr>
      </w:pPr>
    </w:p>
    <w:p w14:paraId="71C38E4C" w14:textId="77777777" w:rsidR="00E707F3" w:rsidRPr="00E707F3" w:rsidRDefault="00E707F3" w:rsidP="00E707F3">
      <w:pPr>
        <w:spacing w:after="160" w:line="259" w:lineRule="auto"/>
        <w:jc w:val="both"/>
        <w:rPr>
          <w:rFonts w:eastAsia="Calibri"/>
          <w:lang w:eastAsia="en-US"/>
        </w:rPr>
      </w:pPr>
    </w:p>
    <w:p w14:paraId="22A2C3C2" w14:textId="43559E76" w:rsidR="00B425B8" w:rsidRDefault="00B425B8" w:rsidP="00B425B8">
      <w:pPr>
        <w:spacing w:line="276" w:lineRule="auto"/>
        <w:contextualSpacing/>
        <w:jc w:val="center"/>
        <w:rPr>
          <w:b/>
          <w:bCs/>
        </w:rPr>
      </w:pPr>
      <w:r>
        <w:rPr>
          <w:b/>
          <w:bCs/>
        </w:rPr>
        <w:t>Ampliaciones presupuestarias aprobadas</w:t>
      </w:r>
      <w:r w:rsidR="00CD0066">
        <w:rPr>
          <w:b/>
          <w:bCs/>
        </w:rPr>
        <w:t xml:space="preserve"> hasta junio</w:t>
      </w:r>
    </w:p>
    <w:p w14:paraId="593CB8E6" w14:textId="3EBFAAAF" w:rsidR="00B425B8" w:rsidRPr="003832FD" w:rsidRDefault="00B425B8" w:rsidP="00B425B8">
      <w:pPr>
        <w:spacing w:line="276" w:lineRule="auto"/>
        <w:contextualSpacing/>
        <w:jc w:val="center"/>
        <w:rPr>
          <w:b/>
          <w:bCs/>
        </w:rPr>
      </w:pPr>
      <w:r>
        <w:rPr>
          <w:b/>
          <w:bCs/>
        </w:rPr>
        <w:t>Ejercicio fiscal 2023</w:t>
      </w:r>
      <w:r w:rsidR="00E707F3">
        <w:rPr>
          <w:noProof/>
        </w:rPr>
        <w:drawing>
          <wp:inline distT="0" distB="0" distL="0" distR="0" wp14:anchorId="7DAB01F6" wp14:editId="13C466E3">
            <wp:extent cx="5625389" cy="3298825"/>
            <wp:effectExtent l="0" t="0" r="0" b="0"/>
            <wp:docPr id="8" name="Diagrama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3" r:lo="rId144" r:qs="rId145" r:cs="rId146"/>
              </a:graphicData>
            </a:graphic>
          </wp:inline>
        </w:drawing>
      </w:r>
    </w:p>
    <w:p w14:paraId="5139E3F7" w14:textId="4707D61E" w:rsidR="00B425B8" w:rsidRPr="00707448" w:rsidRDefault="006B06C6" w:rsidP="00B425B8">
      <w:pPr>
        <w:jc w:val="both"/>
      </w:pPr>
      <w:r>
        <w:rPr>
          <w:sz w:val="16"/>
          <w:szCs w:val="16"/>
        </w:rPr>
        <w:t xml:space="preserve">          </w:t>
      </w:r>
      <w:r w:rsidR="00B425B8" w:rsidRPr="003C6696">
        <w:rPr>
          <w:sz w:val="16"/>
          <w:szCs w:val="16"/>
        </w:rPr>
        <w:t>Fuente: Dirección de Análisis y Política Fiscal</w:t>
      </w:r>
    </w:p>
    <w:p w14:paraId="15999A4D" w14:textId="1417596A" w:rsidR="00BD41A8" w:rsidRDefault="00BD41A8" w:rsidP="00B425B8">
      <w:pPr>
        <w:jc w:val="both"/>
      </w:pPr>
    </w:p>
    <w:p w14:paraId="5807AE12" w14:textId="1A369254" w:rsidR="006C707E" w:rsidRDefault="00B425B8" w:rsidP="00B425B8">
      <w:pPr>
        <w:jc w:val="both"/>
      </w:pPr>
      <w:r w:rsidRPr="00B425B8">
        <w:t xml:space="preserve">A diferencia de lo que ocurrió durante 2022, cuando las ampliaciones presupuestarias fueron explicadas en su gran mayoría por los apoyos temporales </w:t>
      </w:r>
      <w:r w:rsidR="000D332B">
        <w:t>otorgados sobre los precios del</w:t>
      </w:r>
      <w:r w:rsidRPr="00B425B8">
        <w:t xml:space="preserve"> gas propano, gasolinas y energía eléctrica, durante 2023 las ampliaciones presupuestarias responden en un </w:t>
      </w:r>
      <w:r w:rsidR="00B25032">
        <w:t>44</w:t>
      </w:r>
      <w:r w:rsidRPr="00B425B8">
        <w:t>.</w:t>
      </w:r>
      <w:r w:rsidR="00B25032">
        <w:t>1</w:t>
      </w:r>
      <w:r w:rsidRPr="00B425B8">
        <w:t>% a las reprogramaciones en el Ministerio de Comunicaciones, Infraestructura y Vivienda para atender los proyectos de infraestructura estratégica, que fueron pospuestos por los diferentes Estados de Calamidad promulgados en 2022.</w:t>
      </w:r>
    </w:p>
    <w:p w14:paraId="5B2647FA" w14:textId="5D920E6E" w:rsidR="006C707E" w:rsidRDefault="006C707E" w:rsidP="00B425B8">
      <w:pPr>
        <w:jc w:val="both"/>
      </w:pPr>
    </w:p>
    <w:p w14:paraId="4AD5A785" w14:textId="47407E9B" w:rsidR="00B425B8" w:rsidRDefault="00E707F3" w:rsidP="00B425B8">
      <w:pPr>
        <w:jc w:val="both"/>
      </w:pPr>
      <w:r w:rsidRPr="007940BC">
        <w:rPr>
          <w:rFonts w:ascii="Calibri" w:hAnsi="Calibri"/>
          <w:noProof/>
          <w:sz w:val="22"/>
          <w:szCs w:val="22"/>
          <w:lang w:eastAsia="en-US"/>
        </w:rPr>
        <mc:AlternateContent>
          <mc:Choice Requires="wps">
            <w:drawing>
              <wp:anchor distT="0" distB="0" distL="114300" distR="114300" simplePos="0" relativeHeight="251765760" behindDoc="0" locked="0" layoutInCell="1" allowOverlap="1" wp14:anchorId="1F91EFB2" wp14:editId="3C2C10B7">
                <wp:simplePos x="0" y="0"/>
                <wp:positionH relativeFrom="page">
                  <wp:posOffset>1023620</wp:posOffset>
                </wp:positionH>
                <wp:positionV relativeFrom="paragraph">
                  <wp:posOffset>92634</wp:posOffset>
                </wp:positionV>
                <wp:extent cx="5683910" cy="2626157"/>
                <wp:effectExtent l="0" t="0" r="12065" b="22225"/>
                <wp:wrapNone/>
                <wp:docPr id="9" name="Rectángulo: esquinas redondeadas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83910" cy="2626157"/>
                        </a:xfrm>
                        <a:prstGeom prst="roundRect">
                          <a:avLst>
                            <a:gd name="adj" fmla="val 5854"/>
                          </a:avLst>
                        </a:prstGeom>
                        <a:solidFill>
                          <a:srgbClr val="4472C4">
                            <a:alpha val="30000"/>
                          </a:srgbClr>
                        </a:solidFill>
                        <a:ln w="12700" cap="flat" cmpd="sng" algn="ctr">
                          <a:solidFill>
                            <a:srgbClr val="4472C4">
                              <a:shade val="50000"/>
                            </a:srgbClr>
                          </a:solidFill>
                          <a:prstDash val="solid"/>
                          <a:miter lim="800000"/>
                        </a:ln>
                        <a:effectLst/>
                      </wps:spPr>
                      <wps:txbx>
                        <w:txbxContent>
                          <w:p w14:paraId="2AF9C295" w14:textId="1578CE08" w:rsidR="00AC3F5D" w:rsidRPr="00AC3F5D" w:rsidRDefault="00AC3F5D" w:rsidP="00AC3F5D">
                            <w:pPr>
                              <w:pStyle w:val="Descripcin"/>
                              <w:spacing w:after="0"/>
                              <w:jc w:val="center"/>
                              <w:rPr>
                                <w:b/>
                                <w:bCs/>
                                <w:i w:val="0"/>
                                <w:iCs w:val="0"/>
                                <w:color w:val="auto"/>
                                <w:sz w:val="22"/>
                                <w:szCs w:val="22"/>
                              </w:rPr>
                            </w:pPr>
                            <w:r w:rsidRPr="00AC3F5D">
                              <w:rPr>
                                <w:b/>
                                <w:bCs/>
                                <w:i w:val="0"/>
                                <w:iCs w:val="0"/>
                                <w:color w:val="auto"/>
                                <w:sz w:val="22"/>
                                <w:szCs w:val="22"/>
                              </w:rPr>
                              <w:t xml:space="preserve">Recuadro </w:t>
                            </w:r>
                            <w:r w:rsidRPr="00AC3F5D">
                              <w:rPr>
                                <w:b/>
                                <w:bCs/>
                                <w:i w:val="0"/>
                                <w:iCs w:val="0"/>
                                <w:color w:val="auto"/>
                                <w:sz w:val="22"/>
                                <w:szCs w:val="22"/>
                              </w:rPr>
                              <w:fldChar w:fldCharType="begin"/>
                            </w:r>
                            <w:r w:rsidRPr="00AC3F5D">
                              <w:rPr>
                                <w:b/>
                                <w:bCs/>
                                <w:i w:val="0"/>
                                <w:iCs w:val="0"/>
                                <w:color w:val="auto"/>
                                <w:sz w:val="22"/>
                                <w:szCs w:val="22"/>
                              </w:rPr>
                              <w:instrText xml:space="preserve"> SEQ Recuadro \* ARABIC </w:instrText>
                            </w:r>
                            <w:r w:rsidRPr="00AC3F5D">
                              <w:rPr>
                                <w:b/>
                                <w:bCs/>
                                <w:i w:val="0"/>
                                <w:iCs w:val="0"/>
                                <w:color w:val="auto"/>
                                <w:sz w:val="22"/>
                                <w:szCs w:val="22"/>
                              </w:rPr>
                              <w:fldChar w:fldCharType="separate"/>
                            </w:r>
                            <w:r w:rsidR="006622B2">
                              <w:rPr>
                                <w:b/>
                                <w:bCs/>
                                <w:i w:val="0"/>
                                <w:iCs w:val="0"/>
                                <w:noProof/>
                                <w:color w:val="auto"/>
                                <w:sz w:val="22"/>
                                <w:szCs w:val="22"/>
                              </w:rPr>
                              <w:t>5</w:t>
                            </w:r>
                            <w:r w:rsidRPr="00AC3F5D">
                              <w:rPr>
                                <w:b/>
                                <w:bCs/>
                                <w:i w:val="0"/>
                                <w:iCs w:val="0"/>
                                <w:color w:val="auto"/>
                                <w:sz w:val="22"/>
                                <w:szCs w:val="22"/>
                              </w:rPr>
                              <w:fldChar w:fldCharType="end"/>
                            </w:r>
                            <w:r w:rsidRPr="00AC3F5D">
                              <w:rPr>
                                <w:b/>
                                <w:bCs/>
                                <w:i w:val="0"/>
                                <w:iCs w:val="0"/>
                                <w:color w:val="auto"/>
                                <w:sz w:val="22"/>
                                <w:szCs w:val="22"/>
                              </w:rPr>
                              <w:t>.  Decretos aprobados en 2023 y otros programas para mitigar</w:t>
                            </w:r>
                          </w:p>
                          <w:p w14:paraId="113A0F0E" w14:textId="261D4773" w:rsidR="00AC3F5D" w:rsidRDefault="00AC3F5D" w:rsidP="00AC3F5D">
                            <w:pPr>
                              <w:pStyle w:val="Descripcin"/>
                              <w:spacing w:after="0"/>
                              <w:jc w:val="center"/>
                              <w:rPr>
                                <w:b/>
                                <w:bCs/>
                                <w:i w:val="0"/>
                                <w:iCs w:val="0"/>
                                <w:color w:val="auto"/>
                                <w:sz w:val="22"/>
                                <w:szCs w:val="22"/>
                              </w:rPr>
                            </w:pPr>
                            <w:r w:rsidRPr="00AC3F5D">
                              <w:rPr>
                                <w:b/>
                                <w:bCs/>
                                <w:i w:val="0"/>
                                <w:iCs w:val="0"/>
                                <w:color w:val="auto"/>
                                <w:sz w:val="22"/>
                                <w:szCs w:val="22"/>
                              </w:rPr>
                              <w:t>el efecto económico sobre la población</w:t>
                            </w:r>
                          </w:p>
                          <w:p w14:paraId="4C4AE0D7" w14:textId="77777777" w:rsidR="00AC3F5D" w:rsidRPr="00AC3F5D" w:rsidRDefault="00AC3F5D" w:rsidP="00AC3F5D"/>
                          <w:p w14:paraId="10CED840" w14:textId="77777777" w:rsidR="002D4BE1" w:rsidRDefault="002D4BE1" w:rsidP="002D4BE1">
                            <w:pPr>
                              <w:jc w:val="both"/>
                              <w:rPr>
                                <w:color w:val="000000"/>
                                <w:sz w:val="18"/>
                                <w:szCs w:val="18"/>
                                <w:lang w:val="es-MX"/>
                              </w:rPr>
                            </w:pPr>
                            <w:r w:rsidRPr="00B425B8">
                              <w:rPr>
                                <w:color w:val="000000"/>
                                <w:sz w:val="18"/>
                                <w:szCs w:val="18"/>
                                <w:lang w:val="es-MX"/>
                              </w:rPr>
                              <w:t xml:space="preserve">El gobierno ha adoptado una serie de medidas de apoyo temporal ante el incremento de precios, las cuales iniciaron a finales de 2021 y tuvieron una mayor relevancia a lo largo de 2022. No obstante, ante la persistente inflación ha sido necesario mantener por más tiempo algunas medidas, siendo el caso del gas propano y el aporte social ampliado a la energía eléctrica. </w:t>
                            </w:r>
                          </w:p>
                          <w:p w14:paraId="6A4ABB88" w14:textId="77777777" w:rsidR="002D4BE1" w:rsidRPr="00B425B8" w:rsidRDefault="002D4BE1" w:rsidP="002D4BE1">
                            <w:pPr>
                              <w:jc w:val="both"/>
                              <w:rPr>
                                <w:color w:val="000000"/>
                                <w:sz w:val="18"/>
                                <w:szCs w:val="18"/>
                                <w:lang w:val="es-MX"/>
                              </w:rPr>
                            </w:pPr>
                          </w:p>
                          <w:p w14:paraId="500937A8" w14:textId="77777777" w:rsidR="002D4BE1" w:rsidRDefault="002D4BE1" w:rsidP="002D4BE1">
                            <w:pPr>
                              <w:jc w:val="both"/>
                              <w:rPr>
                                <w:color w:val="000000"/>
                                <w:sz w:val="18"/>
                                <w:szCs w:val="18"/>
                                <w:lang w:val="es-MX"/>
                              </w:rPr>
                            </w:pPr>
                            <w:r w:rsidRPr="00B425B8">
                              <w:rPr>
                                <w:color w:val="000000"/>
                                <w:sz w:val="18"/>
                                <w:szCs w:val="18"/>
                                <w:lang w:val="es-MX"/>
                              </w:rPr>
                              <w:t xml:space="preserve">El primer decreto aprobado en el 2023, fue el </w:t>
                            </w:r>
                            <w:r w:rsidRPr="00B425B8">
                              <w:rPr>
                                <w:b/>
                                <w:bCs/>
                                <w:color w:val="000000"/>
                                <w:sz w:val="18"/>
                                <w:szCs w:val="18"/>
                                <w:lang w:val="es-MX"/>
                              </w:rPr>
                              <w:t>Decreto número 1-2023 “Ley de Fortalecimiento al Aporte Social de la Tarifa Eléctrica”</w:t>
                            </w:r>
                            <w:r w:rsidRPr="00B425B8">
                              <w:rPr>
                                <w:color w:val="000000"/>
                                <w:sz w:val="18"/>
                                <w:szCs w:val="18"/>
                                <w:lang w:val="es-MX"/>
                              </w:rPr>
                              <w:t xml:space="preserve"> considerando que los productos derivados del petróleo continúan al alza y esto lleva a un aumento en los costos de la cadena de generación y suministro de energía eléctrica, siendo necesario otorgar un aporte social temporal a la tarifa eléctrica por los próximos 6 meses, estando vigente la medida de enero a junio para los consumidores mensuales de 89 kWh hasta 125 kWh.     </w:t>
                            </w:r>
                          </w:p>
                          <w:p w14:paraId="0CA90D6A" w14:textId="77777777" w:rsidR="002D4BE1" w:rsidRPr="00B425B8" w:rsidRDefault="002D4BE1" w:rsidP="002D4BE1">
                            <w:pPr>
                              <w:jc w:val="both"/>
                              <w:rPr>
                                <w:color w:val="000000"/>
                                <w:sz w:val="18"/>
                                <w:szCs w:val="18"/>
                                <w:lang w:val="es-MX"/>
                              </w:rPr>
                            </w:pPr>
                          </w:p>
                          <w:p w14:paraId="6AD46784" w14:textId="7C85A4D0" w:rsidR="002D4BE1" w:rsidRPr="00B425B8" w:rsidRDefault="002D4BE1" w:rsidP="00E707F3">
                            <w:pPr>
                              <w:jc w:val="both"/>
                              <w:rPr>
                                <w:color w:val="000000"/>
                                <w:sz w:val="18"/>
                                <w:szCs w:val="18"/>
                                <w:lang w:val="es-MX"/>
                              </w:rPr>
                            </w:pPr>
                            <w:r w:rsidRPr="00B425B8">
                              <w:rPr>
                                <w:color w:val="000000"/>
                                <w:sz w:val="18"/>
                                <w:szCs w:val="18"/>
                                <w:lang w:val="es-MX"/>
                              </w:rPr>
                              <w:t xml:space="preserve">Para el financiamiento de la medida, fue necesario ampliar el presupuesto por el monto de Q197 millones, siendo la fuente la disminución de caja y bancos. </w:t>
                            </w:r>
                            <w:r w:rsidR="00E707F3">
                              <w:rPr>
                                <w:color w:val="000000"/>
                                <w:sz w:val="18"/>
                                <w:szCs w:val="18"/>
                                <w:lang w:val="es-MX"/>
                              </w:rPr>
                              <w:t xml:space="preserve">  </w:t>
                            </w:r>
                          </w:p>
                          <w:p w14:paraId="4F2AFFA1" w14:textId="2309B3D9" w:rsidR="002D4BE1" w:rsidRPr="007940BC" w:rsidRDefault="002D4BE1" w:rsidP="002D4BE1">
                            <w:pPr>
                              <w:jc w:val="both"/>
                              <w:rPr>
                                <w:color w:val="000000"/>
                                <w:sz w:val="18"/>
                                <w:szCs w:val="18"/>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1F91EFB2" id="Rectángulo: esquinas redondeadas 9" o:spid="_x0000_s1037" style="position:absolute;left:0;text-align:left;margin-left:80.6pt;margin-top:7.3pt;width:447.55pt;height:206.8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arcsize="38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" fillcolor="#4472c4" strokecolor="#2f528f" strokeweight="1pt">
                <v:fill opacity="19789f"/>
                <v:stroke joinstyle="miter"/>
                <v:path arrowok="t"/>
                <v:textbox>
                  <w:txbxContent>
                    <w:p w14:paraId="2AF9C295" w14:textId="1578CE08" w:rsidR="00AC3F5D" w:rsidRPr="00AC3F5D" w:rsidRDefault="00AC3F5D" w:rsidP="00AC3F5D">
                      <w:pPr>
                        <w:pStyle w:val="Descripcin"/>
                        <w:spacing w:after="0"/>
                        <w:jc w:val="center"/>
                        <w:rPr>
                          <w:b/>
                          <w:bCs/>
                          <w:i w:val="0"/>
                          <w:iCs w:val="0"/>
                          <w:color w:val="auto"/>
                          <w:sz w:val="22"/>
                          <w:szCs w:val="22"/>
                        </w:rPr>
                      </w:pPr>
                      <w:r w:rsidRPr="00AC3F5D">
                        <w:rPr>
                          <w:b/>
                          <w:bCs/>
                          <w:i w:val="0"/>
                          <w:iCs w:val="0"/>
                          <w:color w:val="auto"/>
                          <w:sz w:val="22"/>
                          <w:szCs w:val="22"/>
                        </w:rPr>
                        <w:t xml:space="preserve">Recuadro </w:t>
                      </w:r>
                      <w:r w:rsidRPr="00AC3F5D">
                        <w:rPr>
                          <w:b/>
                          <w:bCs/>
                          <w:i w:val="0"/>
                          <w:iCs w:val="0"/>
                          <w:color w:val="auto"/>
                          <w:sz w:val="22"/>
                          <w:szCs w:val="22"/>
                        </w:rPr>
                        <w:fldChar w:fldCharType="begin"/>
                      </w:r>
                      <w:r w:rsidRPr="00AC3F5D">
                        <w:rPr>
                          <w:b/>
                          <w:bCs/>
                          <w:i w:val="0"/>
                          <w:iCs w:val="0"/>
                          <w:color w:val="auto"/>
                          <w:sz w:val="22"/>
                          <w:szCs w:val="22"/>
                        </w:rPr>
                        <w:instrText xml:space="preserve"> SEQ Recuadro \* ARABIC </w:instrText>
                      </w:r>
                      <w:r w:rsidRPr="00AC3F5D">
                        <w:rPr>
                          <w:b/>
                          <w:bCs/>
                          <w:i w:val="0"/>
                          <w:iCs w:val="0"/>
                          <w:color w:val="auto"/>
                          <w:sz w:val="22"/>
                          <w:szCs w:val="22"/>
                        </w:rPr>
                        <w:fldChar w:fldCharType="separate"/>
                      </w:r>
                      <w:r w:rsidR="006622B2">
                        <w:rPr>
                          <w:b/>
                          <w:bCs/>
                          <w:i w:val="0"/>
                          <w:iCs w:val="0"/>
                          <w:noProof/>
                          <w:color w:val="auto"/>
                          <w:sz w:val="22"/>
                          <w:szCs w:val="22"/>
                        </w:rPr>
                        <w:t>5</w:t>
                      </w:r>
                      <w:r w:rsidRPr="00AC3F5D">
                        <w:rPr>
                          <w:b/>
                          <w:bCs/>
                          <w:i w:val="0"/>
                          <w:iCs w:val="0"/>
                          <w:color w:val="auto"/>
                          <w:sz w:val="22"/>
                          <w:szCs w:val="22"/>
                        </w:rPr>
                        <w:fldChar w:fldCharType="end"/>
                      </w:r>
                      <w:r w:rsidRPr="00AC3F5D">
                        <w:rPr>
                          <w:b/>
                          <w:bCs/>
                          <w:i w:val="0"/>
                          <w:iCs w:val="0"/>
                          <w:color w:val="auto"/>
                          <w:sz w:val="22"/>
                          <w:szCs w:val="22"/>
                        </w:rPr>
                        <w:t>.  Decretos aprobados en 2023 y otros programas para mitigar</w:t>
                      </w:r>
                    </w:p>
                    <w:p w14:paraId="113A0F0E" w14:textId="261D4773" w:rsidR="00AC3F5D" w:rsidRDefault="00AC3F5D" w:rsidP="00AC3F5D">
                      <w:pPr>
                        <w:pStyle w:val="Descripcin"/>
                        <w:spacing w:after="0"/>
                        <w:jc w:val="center"/>
                        <w:rPr>
                          <w:b/>
                          <w:bCs/>
                          <w:i w:val="0"/>
                          <w:iCs w:val="0"/>
                          <w:color w:val="auto"/>
                          <w:sz w:val="22"/>
                          <w:szCs w:val="22"/>
                        </w:rPr>
                      </w:pPr>
                      <w:r w:rsidRPr="00AC3F5D">
                        <w:rPr>
                          <w:b/>
                          <w:bCs/>
                          <w:i w:val="0"/>
                          <w:iCs w:val="0"/>
                          <w:color w:val="auto"/>
                          <w:sz w:val="22"/>
                          <w:szCs w:val="22"/>
                        </w:rPr>
                        <w:t>el efecto económico sobre la población</w:t>
                      </w:r>
                    </w:p>
                    <w:p w14:paraId="4C4AE0D7" w14:textId="77777777" w:rsidR="00AC3F5D" w:rsidRPr="00AC3F5D" w:rsidRDefault="00AC3F5D" w:rsidP="00AC3F5D"/>
                    <w:p w14:paraId="10CED840" w14:textId="77777777" w:rsidR="002D4BE1" w:rsidRDefault="002D4BE1" w:rsidP="002D4BE1">
                      <w:pPr>
                        <w:jc w:val="both"/>
                        <w:rPr>
                          <w:color w:val="000000"/>
                          <w:sz w:val="18"/>
                          <w:szCs w:val="18"/>
                          <w:lang w:val="es-MX"/>
                        </w:rPr>
                      </w:pPr>
                      <w:r w:rsidRPr="00B425B8">
                        <w:rPr>
                          <w:color w:val="000000"/>
                          <w:sz w:val="18"/>
                          <w:szCs w:val="18"/>
                          <w:lang w:val="es-MX"/>
                        </w:rPr>
                        <w:t xml:space="preserve">El gobierno ha adoptado una serie de medidas de apoyo temporal ante el incremento de precios, las cuales iniciaron a finales de 2021 y tuvieron una mayor relevancia a lo largo de 2022. No obstante, ante la persistente inflación ha sido necesario mantener por más tiempo algunas medidas, siendo el caso del gas propano y el aporte social ampliado a la energía eléctrica. </w:t>
                      </w:r>
                    </w:p>
                    <w:p w14:paraId="6A4ABB88" w14:textId="77777777" w:rsidR="002D4BE1" w:rsidRPr="00B425B8" w:rsidRDefault="002D4BE1" w:rsidP="002D4BE1">
                      <w:pPr>
                        <w:jc w:val="both"/>
                        <w:rPr>
                          <w:color w:val="000000"/>
                          <w:sz w:val="18"/>
                          <w:szCs w:val="18"/>
                          <w:lang w:val="es-MX"/>
                        </w:rPr>
                      </w:pPr>
                    </w:p>
                    <w:p w14:paraId="500937A8" w14:textId="77777777" w:rsidR="002D4BE1" w:rsidRDefault="002D4BE1" w:rsidP="002D4BE1">
                      <w:pPr>
                        <w:jc w:val="both"/>
                        <w:rPr>
                          <w:color w:val="000000"/>
                          <w:sz w:val="18"/>
                          <w:szCs w:val="18"/>
                          <w:lang w:val="es-MX"/>
                        </w:rPr>
                      </w:pPr>
                      <w:r w:rsidRPr="00B425B8">
                        <w:rPr>
                          <w:color w:val="000000"/>
                          <w:sz w:val="18"/>
                          <w:szCs w:val="18"/>
                          <w:lang w:val="es-MX"/>
                        </w:rPr>
                        <w:t xml:space="preserve">El primer decreto aprobado en el 2023, fue el </w:t>
                      </w:r>
                      <w:r w:rsidRPr="00B425B8">
                        <w:rPr>
                          <w:b/>
                          <w:bCs/>
                          <w:color w:val="000000"/>
                          <w:sz w:val="18"/>
                          <w:szCs w:val="18"/>
                          <w:lang w:val="es-MX"/>
                        </w:rPr>
                        <w:t>Decreto número 1-2023 “Ley de Fortalecimiento al Aporte Social de la Tarifa Eléctrica”</w:t>
                      </w:r>
                      <w:r w:rsidRPr="00B425B8">
                        <w:rPr>
                          <w:color w:val="000000"/>
                          <w:sz w:val="18"/>
                          <w:szCs w:val="18"/>
                          <w:lang w:val="es-MX"/>
                        </w:rPr>
                        <w:t xml:space="preserve"> considerando que los productos derivados del petróleo continúan al alza y esto lleva a un aumento en los costos de la cadena de generación y suministro de energía eléctrica, siendo necesario otorgar un aporte social temporal a la tarifa eléctrica por los próximos 6 meses, estando vigente la medida de enero a junio para los consumidores mensuales de 89 kWh hasta 125 kWh.     </w:t>
                      </w:r>
                    </w:p>
                    <w:p w14:paraId="0CA90D6A" w14:textId="77777777" w:rsidR="002D4BE1" w:rsidRPr="00B425B8" w:rsidRDefault="002D4BE1" w:rsidP="002D4BE1">
                      <w:pPr>
                        <w:jc w:val="both"/>
                        <w:rPr>
                          <w:color w:val="000000"/>
                          <w:sz w:val="18"/>
                          <w:szCs w:val="18"/>
                          <w:lang w:val="es-MX"/>
                        </w:rPr>
                      </w:pPr>
                    </w:p>
                    <w:p w14:paraId="6AD46784" w14:textId="7C85A4D0" w:rsidR="002D4BE1" w:rsidRPr="00B425B8" w:rsidRDefault="002D4BE1" w:rsidP="00E707F3">
                      <w:pPr>
                        <w:jc w:val="both"/>
                        <w:rPr>
                          <w:color w:val="000000"/>
                          <w:sz w:val="18"/>
                          <w:szCs w:val="18"/>
                          <w:lang w:val="es-MX"/>
                        </w:rPr>
                      </w:pPr>
                      <w:r w:rsidRPr="00B425B8">
                        <w:rPr>
                          <w:color w:val="000000"/>
                          <w:sz w:val="18"/>
                          <w:szCs w:val="18"/>
                          <w:lang w:val="es-MX"/>
                        </w:rPr>
                        <w:t xml:space="preserve">Para el financiamiento de la medida, fue necesario ampliar el presupuesto por el monto de Q197 millones, siendo la fuente la disminución de caja y bancos. </w:t>
                      </w:r>
                      <w:r w:rsidR="00E707F3">
                        <w:rPr>
                          <w:color w:val="000000"/>
                          <w:sz w:val="18"/>
                          <w:szCs w:val="18"/>
                          <w:lang w:val="es-MX"/>
                        </w:rPr>
                        <w:t xml:space="preserve">  </w:t>
                      </w:r>
                    </w:p>
                    <w:p w14:paraId="4F2AFFA1" w14:textId="2309B3D9" w:rsidR="002D4BE1" w:rsidRPr="007940BC" w:rsidRDefault="002D4BE1" w:rsidP="002D4BE1">
                      <w:pPr>
                        <w:jc w:val="both"/>
                        <w:rPr>
                          <w:color w:val="000000"/>
                          <w:sz w:val="18"/>
                          <w:szCs w:val="18"/>
                          <w:lang w:val="es-MX"/>
                        </w:rPr>
                      </w:pPr>
                    </w:p>
                  </w:txbxContent>
                </v:textbox>
                <w10:wrap anchorx="page"/>
              </v:roundrect>
            </w:pict>
          </mc:Fallback>
        </mc:AlternateContent>
      </w:r>
    </w:p>
    <w:p w14:paraId="6ABF36D0" w14:textId="7CF13D54" w:rsidR="00B425B8" w:rsidRDefault="00B425B8" w:rsidP="00B425B8">
      <w:pPr>
        <w:jc w:val="both"/>
      </w:pPr>
    </w:p>
    <w:p w14:paraId="4BABB774" w14:textId="1157843F" w:rsidR="00B425B8" w:rsidRDefault="00B425B8" w:rsidP="00B425B8">
      <w:pPr>
        <w:jc w:val="both"/>
      </w:pPr>
    </w:p>
    <w:p w14:paraId="2BB80307" w14:textId="29B0EDB0" w:rsidR="00B425B8" w:rsidRDefault="00B425B8" w:rsidP="00B425B8">
      <w:pPr>
        <w:jc w:val="both"/>
      </w:pPr>
    </w:p>
    <w:p w14:paraId="68FAB5E9" w14:textId="149DB014" w:rsidR="00B425B8" w:rsidRDefault="00B425B8" w:rsidP="00B425B8">
      <w:pPr>
        <w:jc w:val="both"/>
      </w:pPr>
    </w:p>
    <w:p w14:paraId="25D08C44" w14:textId="29165B3A" w:rsidR="00B425B8" w:rsidRDefault="00B425B8" w:rsidP="00B425B8">
      <w:pPr>
        <w:jc w:val="both"/>
      </w:pPr>
    </w:p>
    <w:p w14:paraId="7980BAE4" w14:textId="2DD80538" w:rsidR="00B425B8" w:rsidRDefault="00B425B8" w:rsidP="00B425B8">
      <w:pPr>
        <w:jc w:val="both"/>
      </w:pPr>
    </w:p>
    <w:p w14:paraId="2E8409D9" w14:textId="154EAAEA" w:rsidR="00B425B8" w:rsidRDefault="00B425B8" w:rsidP="00B425B8">
      <w:pPr>
        <w:jc w:val="both"/>
      </w:pPr>
    </w:p>
    <w:p w14:paraId="6B874A71" w14:textId="51AE3F69" w:rsidR="00B425B8" w:rsidRDefault="00B425B8" w:rsidP="00B425B8">
      <w:pPr>
        <w:jc w:val="both"/>
      </w:pPr>
    </w:p>
    <w:p w14:paraId="694EB353" w14:textId="429DA39C" w:rsidR="00B425B8" w:rsidRDefault="00B425B8" w:rsidP="00B425B8">
      <w:pPr>
        <w:jc w:val="both"/>
      </w:pPr>
    </w:p>
    <w:p w14:paraId="0C4379C4" w14:textId="34C679D4" w:rsidR="00B425B8" w:rsidRDefault="00B425B8" w:rsidP="00B425B8">
      <w:pPr>
        <w:jc w:val="both"/>
      </w:pPr>
    </w:p>
    <w:p w14:paraId="6FD7D67A" w14:textId="4276457B" w:rsidR="00B425B8" w:rsidRDefault="00B425B8" w:rsidP="00B425B8">
      <w:pPr>
        <w:jc w:val="both"/>
      </w:pPr>
    </w:p>
    <w:p w14:paraId="6A9257CE" w14:textId="1F2498A7" w:rsidR="00B425B8" w:rsidRDefault="00B425B8" w:rsidP="00B425B8">
      <w:pPr>
        <w:jc w:val="both"/>
      </w:pPr>
    </w:p>
    <w:p w14:paraId="25472DD5" w14:textId="36B5FD2D" w:rsidR="00B425B8" w:rsidRDefault="00B425B8" w:rsidP="00B425B8">
      <w:pPr>
        <w:jc w:val="both"/>
      </w:pPr>
    </w:p>
    <w:p w14:paraId="7EBE750B" w14:textId="7BBEFB7B" w:rsidR="00B425B8" w:rsidRDefault="00B425B8" w:rsidP="00B425B8">
      <w:pPr>
        <w:jc w:val="both"/>
      </w:pPr>
    </w:p>
    <w:p w14:paraId="09096947" w14:textId="491880C4" w:rsidR="00B425B8" w:rsidRDefault="00B425B8" w:rsidP="00B425B8">
      <w:pPr>
        <w:jc w:val="both"/>
      </w:pPr>
    </w:p>
    <w:p w14:paraId="4C10ACFA" w14:textId="36C8E17E" w:rsidR="00B425B8" w:rsidRDefault="00B425B8" w:rsidP="00B425B8">
      <w:pPr>
        <w:jc w:val="both"/>
      </w:pPr>
    </w:p>
    <w:p w14:paraId="537F5D1D" w14:textId="48E20C42" w:rsidR="00B425B8" w:rsidRDefault="00E707F3" w:rsidP="00B425B8">
      <w:pPr>
        <w:jc w:val="both"/>
      </w:pPr>
      <w:r w:rsidRPr="007940BC">
        <w:rPr>
          <w:rFonts w:ascii="Calibri" w:hAnsi="Calibri"/>
          <w:noProof/>
          <w:sz w:val="22"/>
          <w:szCs w:val="22"/>
          <w:lang w:eastAsia="en-US"/>
        </w:rPr>
        <mc:AlternateContent>
          <mc:Choice Requires="wps">
            <w:drawing>
              <wp:anchor distT="0" distB="0" distL="114300" distR="114300" simplePos="0" relativeHeight="251803648" behindDoc="0" locked="0" layoutInCell="1" allowOverlap="1" wp14:anchorId="79261F52" wp14:editId="5AA15EF9">
                <wp:simplePos x="0" y="0"/>
                <wp:positionH relativeFrom="page">
                  <wp:posOffset>1082040</wp:posOffset>
                </wp:positionH>
                <wp:positionV relativeFrom="paragraph">
                  <wp:posOffset>-110033</wp:posOffset>
                </wp:positionV>
                <wp:extent cx="5683885" cy="2684679"/>
                <wp:effectExtent l="0" t="0" r="12065" b="20955"/>
                <wp:wrapNone/>
                <wp:docPr id="23" name="Rectángulo: esquinas redondeadas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83885" cy="2684679"/>
                        </a:xfrm>
                        <a:prstGeom prst="roundRect">
                          <a:avLst>
                            <a:gd name="adj" fmla="val 5854"/>
                          </a:avLst>
                        </a:prstGeom>
                        <a:solidFill>
                          <a:srgbClr val="4472C4">
                            <a:alpha val="30000"/>
                          </a:srgbClr>
                        </a:solidFill>
                        <a:ln w="12700" cap="flat" cmpd="sng" algn="ctr">
                          <a:solidFill>
                            <a:srgbClr val="4472C4">
                              <a:shade val="50000"/>
                            </a:srgbClr>
                          </a:solidFill>
                          <a:prstDash val="solid"/>
                          <a:miter lim="800000"/>
                        </a:ln>
                        <a:effectLst/>
                      </wps:spPr>
                      <wps:txbx>
                        <w:txbxContent>
                          <w:p w14:paraId="1045E8B0" w14:textId="77777777" w:rsidR="00E707F3" w:rsidRDefault="00E707F3" w:rsidP="00E707F3">
                            <w:pPr>
                              <w:jc w:val="both"/>
                              <w:rPr>
                                <w:color w:val="000000"/>
                                <w:sz w:val="18"/>
                                <w:szCs w:val="18"/>
                                <w:lang w:val="es-MX"/>
                              </w:rPr>
                            </w:pPr>
                            <w:r w:rsidRPr="00B425B8">
                              <w:rPr>
                                <w:color w:val="000000"/>
                                <w:sz w:val="18"/>
                                <w:szCs w:val="18"/>
                                <w:lang w:val="es-MX"/>
                              </w:rPr>
                              <w:t xml:space="preserve">Adicionalmente, en febrero fue aprobado el </w:t>
                            </w:r>
                            <w:r w:rsidRPr="00B425B8">
                              <w:rPr>
                                <w:b/>
                                <w:bCs/>
                                <w:color w:val="000000"/>
                                <w:sz w:val="18"/>
                                <w:szCs w:val="18"/>
                                <w:lang w:val="es-MX"/>
                              </w:rPr>
                              <w:t>Decreto número 5-2023 “Ley de Apoyo Social Temporal a los Consumidores de Gas Propano”</w:t>
                            </w:r>
                            <w:r w:rsidRPr="00B425B8">
                              <w:rPr>
                                <w:color w:val="000000"/>
                                <w:sz w:val="18"/>
                                <w:szCs w:val="18"/>
                                <w:lang w:val="es-MX"/>
                              </w:rPr>
                              <w:t xml:space="preserve"> considerando que los precios internacionales de gas propano, aún se encuentran por arriba del promedio de los últimos años y se prevé que se mantenga así por los próximos meses, por lo que es necesario destinar recursos para otorgar un apoyo social temporal, manteniendo las condiciones de los decretos anteriores, en cuanto a capacidad y apoyo social.</w:t>
                            </w:r>
                          </w:p>
                          <w:p w14:paraId="64FC5C63" w14:textId="77777777" w:rsidR="00E707F3" w:rsidRPr="00B425B8" w:rsidRDefault="00E707F3" w:rsidP="00E707F3">
                            <w:pPr>
                              <w:jc w:val="both"/>
                              <w:rPr>
                                <w:color w:val="000000"/>
                                <w:sz w:val="18"/>
                                <w:szCs w:val="18"/>
                                <w:lang w:val="es-MX"/>
                              </w:rPr>
                            </w:pPr>
                          </w:p>
                          <w:p w14:paraId="40712180" w14:textId="77777777" w:rsidR="00E707F3" w:rsidRPr="00E707F3" w:rsidRDefault="00E707F3" w:rsidP="00354A9C">
                            <w:pPr>
                              <w:pStyle w:val="Prrafodelista"/>
                              <w:numPr>
                                <w:ilvl w:val="0"/>
                                <w:numId w:val="50"/>
                              </w:numPr>
                              <w:jc w:val="center"/>
                              <w:rPr>
                                <w:color w:val="000000"/>
                                <w:sz w:val="18"/>
                                <w:szCs w:val="18"/>
                                <w:lang w:val="es-MX"/>
                              </w:rPr>
                            </w:pPr>
                            <w:r w:rsidRPr="00E707F3">
                              <w:rPr>
                                <w:color w:val="000000"/>
                                <w:sz w:val="18"/>
                                <w:szCs w:val="18"/>
                                <w:lang w:val="es-MX"/>
                              </w:rPr>
                              <w:t>10 libras con un apoyo de Q8.0</w:t>
                            </w:r>
                          </w:p>
                          <w:p w14:paraId="4F1EF5AE" w14:textId="77777777" w:rsidR="00E707F3" w:rsidRPr="00E707F3" w:rsidRDefault="00E707F3" w:rsidP="00354A9C">
                            <w:pPr>
                              <w:pStyle w:val="Prrafodelista"/>
                              <w:numPr>
                                <w:ilvl w:val="0"/>
                                <w:numId w:val="50"/>
                              </w:numPr>
                              <w:jc w:val="center"/>
                              <w:rPr>
                                <w:color w:val="000000"/>
                                <w:sz w:val="18"/>
                                <w:szCs w:val="18"/>
                                <w:lang w:val="es-MX"/>
                              </w:rPr>
                            </w:pPr>
                            <w:r w:rsidRPr="00E707F3">
                              <w:rPr>
                                <w:color w:val="000000"/>
                                <w:sz w:val="18"/>
                                <w:szCs w:val="18"/>
                                <w:lang w:val="es-MX"/>
                              </w:rPr>
                              <w:t>20 libras con un apoyo de Q16</w:t>
                            </w:r>
                          </w:p>
                          <w:p w14:paraId="71C3E74E" w14:textId="77777777" w:rsidR="00E707F3" w:rsidRPr="00E707F3" w:rsidRDefault="00E707F3" w:rsidP="00354A9C">
                            <w:pPr>
                              <w:pStyle w:val="Prrafodelista"/>
                              <w:numPr>
                                <w:ilvl w:val="0"/>
                                <w:numId w:val="50"/>
                              </w:numPr>
                              <w:jc w:val="center"/>
                              <w:rPr>
                                <w:color w:val="000000"/>
                                <w:sz w:val="18"/>
                                <w:szCs w:val="18"/>
                                <w:lang w:val="es-MX"/>
                              </w:rPr>
                            </w:pPr>
                            <w:r w:rsidRPr="00E707F3">
                              <w:rPr>
                                <w:color w:val="000000"/>
                                <w:sz w:val="18"/>
                                <w:szCs w:val="18"/>
                                <w:lang w:val="es-MX"/>
                              </w:rPr>
                              <w:t>25 libras con un apoyo de Q20</w:t>
                            </w:r>
                          </w:p>
                          <w:p w14:paraId="038D860A" w14:textId="77777777" w:rsidR="00E707F3" w:rsidRPr="00E707F3" w:rsidRDefault="00E707F3" w:rsidP="00354A9C">
                            <w:pPr>
                              <w:pStyle w:val="Prrafodelista"/>
                              <w:numPr>
                                <w:ilvl w:val="0"/>
                                <w:numId w:val="50"/>
                              </w:numPr>
                              <w:jc w:val="center"/>
                              <w:rPr>
                                <w:color w:val="000000"/>
                                <w:sz w:val="18"/>
                                <w:szCs w:val="18"/>
                                <w:lang w:val="es-MX"/>
                              </w:rPr>
                            </w:pPr>
                            <w:r w:rsidRPr="00E707F3">
                              <w:rPr>
                                <w:color w:val="000000"/>
                                <w:sz w:val="18"/>
                                <w:szCs w:val="18"/>
                                <w:lang w:val="es-MX"/>
                              </w:rPr>
                              <w:t>35 libras con un apoyo de Q35</w:t>
                            </w:r>
                          </w:p>
                          <w:p w14:paraId="3D2262BD" w14:textId="77777777" w:rsidR="00E707F3" w:rsidRPr="00B425B8" w:rsidRDefault="00E707F3" w:rsidP="00E707F3">
                            <w:pPr>
                              <w:rPr>
                                <w:color w:val="000000"/>
                                <w:sz w:val="18"/>
                                <w:szCs w:val="18"/>
                                <w:lang w:val="es-MX"/>
                              </w:rPr>
                            </w:pPr>
                          </w:p>
                          <w:p w14:paraId="6B32CA9E" w14:textId="77777777" w:rsidR="00E707F3" w:rsidRDefault="00E707F3" w:rsidP="00E707F3">
                            <w:pPr>
                              <w:jc w:val="both"/>
                              <w:rPr>
                                <w:color w:val="000000"/>
                                <w:sz w:val="18"/>
                                <w:szCs w:val="18"/>
                                <w:lang w:val="es-MX"/>
                              </w:rPr>
                            </w:pPr>
                            <w:r w:rsidRPr="00B425B8">
                              <w:rPr>
                                <w:color w:val="000000"/>
                                <w:sz w:val="18"/>
                                <w:szCs w:val="18"/>
                                <w:lang w:val="es-MX"/>
                              </w:rPr>
                              <w:t>El apoyo estaría siendo otorgado por 3 meses, siendo la fuente de financiamiento la disminución de caja y bancos con un monto de Q150 millones.</w:t>
                            </w:r>
                          </w:p>
                          <w:p w14:paraId="16940710" w14:textId="77777777" w:rsidR="00E707F3" w:rsidRPr="00B425B8" w:rsidRDefault="00E707F3" w:rsidP="00E707F3">
                            <w:pPr>
                              <w:jc w:val="both"/>
                              <w:rPr>
                                <w:color w:val="000000"/>
                                <w:sz w:val="18"/>
                                <w:szCs w:val="18"/>
                                <w:lang w:val="es-MX"/>
                              </w:rPr>
                            </w:pPr>
                          </w:p>
                          <w:p w14:paraId="7D7A8C61" w14:textId="468A0698" w:rsidR="00E707F3" w:rsidRPr="007940BC" w:rsidRDefault="00E707F3" w:rsidP="00E707F3">
                            <w:pPr>
                              <w:jc w:val="both"/>
                              <w:rPr>
                                <w:color w:val="000000"/>
                                <w:sz w:val="18"/>
                                <w:szCs w:val="18"/>
                                <w:lang w:val="es-MX"/>
                              </w:rPr>
                            </w:pPr>
                            <w:r w:rsidRPr="00B425B8">
                              <w:rPr>
                                <w:color w:val="000000"/>
                                <w:sz w:val="18"/>
                                <w:szCs w:val="18"/>
                                <w:lang w:val="es-MX"/>
                              </w:rPr>
                              <w:t>El Ministerio de Energía y Minas, en coordinación con el Ministerio de Economía, verifican la adecuada implementación del apoyo social temporal. Por último, se está implementando dentro del MAGA el programa de estipendio por acciones, esta iniciativa busca que los productores sean beneficiados con capacitación, asistencia técnica e insumos para el manejo y conservación de los recursos naturales, contando con un presupuesto de Q91.0 millones.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79261F52" id="Rectángulo: esquinas redondeadas 23" o:spid="_x0000_s1038" style="position:absolute;left:0;text-align:left;margin-left:85.2pt;margin-top:-8.65pt;width:447.55pt;height:211.4pt;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arcsize="38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" fillcolor="#4472c4" strokecolor="#2f528f" strokeweight="1pt">
                <v:fill opacity="19789f"/>
                <v:stroke joinstyle="miter"/>
                <v:path arrowok="t"/>
                <v:textbox>
                  <w:txbxContent>
                    <w:p w14:paraId="1045E8B0" w14:textId="77777777" w:rsidR="00E707F3" w:rsidRDefault="00E707F3" w:rsidP="00E707F3">
                      <w:pPr>
                        <w:jc w:val="both"/>
                        <w:rPr>
                          <w:color w:val="000000"/>
                          <w:sz w:val="18"/>
                          <w:szCs w:val="18"/>
                          <w:lang w:val="es-MX"/>
                        </w:rPr>
                      </w:pPr>
                      <w:r w:rsidRPr="00B425B8">
                        <w:rPr>
                          <w:color w:val="000000"/>
                          <w:sz w:val="18"/>
                          <w:szCs w:val="18"/>
                          <w:lang w:val="es-MX"/>
                        </w:rPr>
                        <w:t xml:space="preserve">Adicionalmente, en febrero fue aprobado el </w:t>
                      </w:r>
                      <w:r w:rsidRPr="00B425B8">
                        <w:rPr>
                          <w:b/>
                          <w:bCs/>
                          <w:color w:val="000000"/>
                          <w:sz w:val="18"/>
                          <w:szCs w:val="18"/>
                          <w:lang w:val="es-MX"/>
                        </w:rPr>
                        <w:t>Decreto número 5-2023 “Ley de Apoyo Social Temporal a los Consumidores de Gas Propano”</w:t>
                      </w:r>
                      <w:r w:rsidRPr="00B425B8">
                        <w:rPr>
                          <w:color w:val="000000"/>
                          <w:sz w:val="18"/>
                          <w:szCs w:val="18"/>
                          <w:lang w:val="es-MX"/>
                        </w:rPr>
                        <w:t xml:space="preserve"> considerando que los precios internacionales de gas propano, aún se encuentran por arriba del promedio de los últimos años y se prevé que se mantenga así por los próximos meses, por lo que es necesario destinar recursos para otorgar un apoyo social temporal, manteniendo las condiciones de los decretos anteriores, en cuanto a capacidad y apoyo social.</w:t>
                      </w:r>
                    </w:p>
                    <w:p w14:paraId="64FC5C63" w14:textId="77777777" w:rsidR="00E707F3" w:rsidRPr="00B425B8" w:rsidRDefault="00E707F3" w:rsidP="00E707F3">
                      <w:pPr>
                        <w:jc w:val="both"/>
                        <w:rPr>
                          <w:color w:val="000000"/>
                          <w:sz w:val="18"/>
                          <w:szCs w:val="18"/>
                          <w:lang w:val="es-MX"/>
                        </w:rPr>
                      </w:pPr>
                    </w:p>
                    <w:p w14:paraId="40712180" w14:textId="77777777" w:rsidR="00E707F3" w:rsidRPr="00E707F3" w:rsidRDefault="00E707F3" w:rsidP="00354A9C">
                      <w:pPr>
                        <w:pStyle w:val="Prrafodelista"/>
                        <w:numPr>
                          <w:ilvl w:val="0"/>
                          <w:numId w:val="50"/>
                        </w:numPr>
                        <w:jc w:val="center"/>
                        <w:rPr>
                          <w:color w:val="000000"/>
                          <w:sz w:val="18"/>
                          <w:szCs w:val="18"/>
                          <w:lang w:val="es-MX"/>
                        </w:rPr>
                      </w:pPr>
                      <w:r w:rsidRPr="00E707F3">
                        <w:rPr>
                          <w:color w:val="000000"/>
                          <w:sz w:val="18"/>
                          <w:szCs w:val="18"/>
                          <w:lang w:val="es-MX"/>
                        </w:rPr>
                        <w:t>10 libras con un apoyo de Q8.0</w:t>
                      </w:r>
                    </w:p>
                    <w:p w14:paraId="4F1EF5AE" w14:textId="77777777" w:rsidR="00E707F3" w:rsidRPr="00E707F3" w:rsidRDefault="00E707F3" w:rsidP="00354A9C">
                      <w:pPr>
                        <w:pStyle w:val="Prrafodelista"/>
                        <w:numPr>
                          <w:ilvl w:val="0"/>
                          <w:numId w:val="50"/>
                        </w:numPr>
                        <w:jc w:val="center"/>
                        <w:rPr>
                          <w:color w:val="000000"/>
                          <w:sz w:val="18"/>
                          <w:szCs w:val="18"/>
                          <w:lang w:val="es-MX"/>
                        </w:rPr>
                      </w:pPr>
                      <w:r w:rsidRPr="00E707F3">
                        <w:rPr>
                          <w:color w:val="000000"/>
                          <w:sz w:val="18"/>
                          <w:szCs w:val="18"/>
                          <w:lang w:val="es-MX"/>
                        </w:rPr>
                        <w:t>20 libras con un apoyo de Q16</w:t>
                      </w:r>
                    </w:p>
                    <w:p w14:paraId="71C3E74E" w14:textId="77777777" w:rsidR="00E707F3" w:rsidRPr="00E707F3" w:rsidRDefault="00E707F3" w:rsidP="00354A9C">
                      <w:pPr>
                        <w:pStyle w:val="Prrafodelista"/>
                        <w:numPr>
                          <w:ilvl w:val="0"/>
                          <w:numId w:val="50"/>
                        </w:numPr>
                        <w:jc w:val="center"/>
                        <w:rPr>
                          <w:color w:val="000000"/>
                          <w:sz w:val="18"/>
                          <w:szCs w:val="18"/>
                          <w:lang w:val="es-MX"/>
                        </w:rPr>
                      </w:pPr>
                      <w:r w:rsidRPr="00E707F3">
                        <w:rPr>
                          <w:color w:val="000000"/>
                          <w:sz w:val="18"/>
                          <w:szCs w:val="18"/>
                          <w:lang w:val="es-MX"/>
                        </w:rPr>
                        <w:t>25 libras con un apoyo de Q20</w:t>
                      </w:r>
                    </w:p>
                    <w:p w14:paraId="038D860A" w14:textId="77777777" w:rsidR="00E707F3" w:rsidRPr="00E707F3" w:rsidRDefault="00E707F3" w:rsidP="00354A9C">
                      <w:pPr>
                        <w:pStyle w:val="Prrafodelista"/>
                        <w:numPr>
                          <w:ilvl w:val="0"/>
                          <w:numId w:val="50"/>
                        </w:numPr>
                        <w:jc w:val="center"/>
                        <w:rPr>
                          <w:color w:val="000000"/>
                          <w:sz w:val="18"/>
                          <w:szCs w:val="18"/>
                          <w:lang w:val="es-MX"/>
                        </w:rPr>
                      </w:pPr>
                      <w:r w:rsidRPr="00E707F3">
                        <w:rPr>
                          <w:color w:val="000000"/>
                          <w:sz w:val="18"/>
                          <w:szCs w:val="18"/>
                          <w:lang w:val="es-MX"/>
                        </w:rPr>
                        <w:t>35 libras con un apoyo de Q35</w:t>
                      </w:r>
                    </w:p>
                    <w:p w14:paraId="3D2262BD" w14:textId="77777777" w:rsidR="00E707F3" w:rsidRPr="00B425B8" w:rsidRDefault="00E707F3" w:rsidP="00E707F3">
                      <w:pPr>
                        <w:rPr>
                          <w:color w:val="000000"/>
                          <w:sz w:val="18"/>
                          <w:szCs w:val="18"/>
                          <w:lang w:val="es-MX"/>
                        </w:rPr>
                      </w:pPr>
                    </w:p>
                    <w:p w14:paraId="6B32CA9E" w14:textId="77777777" w:rsidR="00E707F3" w:rsidRDefault="00E707F3" w:rsidP="00E707F3">
                      <w:pPr>
                        <w:jc w:val="both"/>
                        <w:rPr>
                          <w:color w:val="000000"/>
                          <w:sz w:val="18"/>
                          <w:szCs w:val="18"/>
                          <w:lang w:val="es-MX"/>
                        </w:rPr>
                      </w:pPr>
                      <w:r w:rsidRPr="00B425B8">
                        <w:rPr>
                          <w:color w:val="000000"/>
                          <w:sz w:val="18"/>
                          <w:szCs w:val="18"/>
                          <w:lang w:val="es-MX"/>
                        </w:rPr>
                        <w:t>El apoyo estaría siendo otorgado por 3 meses, siendo la fuente de financiamiento la disminución de caja y bancos con un monto de Q150 millones.</w:t>
                      </w:r>
                    </w:p>
                    <w:p w14:paraId="16940710" w14:textId="77777777" w:rsidR="00E707F3" w:rsidRPr="00B425B8" w:rsidRDefault="00E707F3" w:rsidP="00E707F3">
                      <w:pPr>
                        <w:jc w:val="both"/>
                        <w:rPr>
                          <w:color w:val="000000"/>
                          <w:sz w:val="18"/>
                          <w:szCs w:val="18"/>
                          <w:lang w:val="es-MX"/>
                        </w:rPr>
                      </w:pPr>
                    </w:p>
                    <w:p w14:paraId="7D7A8C61" w14:textId="468A0698" w:rsidR="00E707F3" w:rsidRPr="007940BC" w:rsidRDefault="00E707F3" w:rsidP="00E707F3">
                      <w:pPr>
                        <w:jc w:val="both"/>
                        <w:rPr>
                          <w:color w:val="000000"/>
                          <w:sz w:val="18"/>
                          <w:szCs w:val="18"/>
                          <w:lang w:val="es-MX"/>
                        </w:rPr>
                      </w:pPr>
                      <w:r w:rsidRPr="00B425B8">
                        <w:rPr>
                          <w:color w:val="000000"/>
                          <w:sz w:val="18"/>
                          <w:szCs w:val="18"/>
                          <w:lang w:val="es-MX"/>
                        </w:rPr>
                        <w:t>El Ministerio de Energía y Minas, en coordinación con el Ministerio de Economía, verifican la adecuada implementación del apoyo social temporal. Por último, se está implementando dentro del MAGA el programa de estipendio por acciones, esta iniciativa busca que los productores sean beneficiados con capacitación, asistencia técnica e insumos para el manejo y conservación de los recursos naturales, contando con un presupuesto de Q91.0 millones.</w:t>
                      </w:r>
                    </w:p>
                  </w:txbxContent>
                </v:textbox>
                <w10:wrap anchorx="page"/>
              </v:roundrect>
            </w:pict>
          </mc:Fallback>
        </mc:AlternateContent>
      </w:r>
    </w:p>
    <w:p w14:paraId="78275B44" w14:textId="321ACAC7" w:rsidR="00B425B8" w:rsidRDefault="00B425B8" w:rsidP="00B425B8">
      <w:pPr>
        <w:jc w:val="both"/>
      </w:pPr>
    </w:p>
    <w:p w14:paraId="06408500" w14:textId="63A27042" w:rsidR="00B425B8" w:rsidRDefault="00B425B8" w:rsidP="00B425B8">
      <w:pPr>
        <w:jc w:val="both"/>
      </w:pPr>
    </w:p>
    <w:p w14:paraId="147B6CC6" w14:textId="37BC6D6D" w:rsidR="00B425B8" w:rsidRDefault="00B425B8" w:rsidP="00B425B8">
      <w:pPr>
        <w:jc w:val="both"/>
      </w:pPr>
    </w:p>
    <w:p w14:paraId="0E6F11BA" w14:textId="7DEDD854" w:rsidR="00B425B8" w:rsidRDefault="00B425B8" w:rsidP="00B425B8">
      <w:pPr>
        <w:jc w:val="both"/>
      </w:pPr>
    </w:p>
    <w:p w14:paraId="05227E39" w14:textId="0C586D8F" w:rsidR="00B425B8" w:rsidRDefault="00B425B8" w:rsidP="00B425B8">
      <w:pPr>
        <w:jc w:val="both"/>
      </w:pPr>
    </w:p>
    <w:p w14:paraId="17966DB8" w14:textId="39397D86" w:rsidR="00B425B8" w:rsidRDefault="00B425B8" w:rsidP="00B425B8">
      <w:pPr>
        <w:jc w:val="both"/>
      </w:pPr>
    </w:p>
    <w:p w14:paraId="59FDDB19" w14:textId="6067104B" w:rsidR="00B425B8" w:rsidRDefault="00B425B8" w:rsidP="00B425B8">
      <w:pPr>
        <w:jc w:val="both"/>
      </w:pPr>
    </w:p>
    <w:p w14:paraId="5FE6D8F0" w14:textId="0AE0BFDD" w:rsidR="00B425B8" w:rsidRDefault="00B425B8" w:rsidP="00B425B8">
      <w:pPr>
        <w:jc w:val="both"/>
      </w:pPr>
    </w:p>
    <w:p w14:paraId="1CC0E0A1" w14:textId="554F28A3" w:rsidR="00B425B8" w:rsidRDefault="00B425B8" w:rsidP="00B425B8">
      <w:pPr>
        <w:jc w:val="both"/>
      </w:pPr>
    </w:p>
    <w:p w14:paraId="0C8864CC" w14:textId="2D9370AD" w:rsidR="00B425B8" w:rsidRDefault="00B425B8" w:rsidP="00B425B8">
      <w:pPr>
        <w:jc w:val="both"/>
      </w:pPr>
    </w:p>
    <w:p w14:paraId="0C56739E" w14:textId="6B9E34E9" w:rsidR="00E707F3" w:rsidRDefault="00E707F3" w:rsidP="00B425B8">
      <w:pPr>
        <w:jc w:val="both"/>
      </w:pPr>
    </w:p>
    <w:p w14:paraId="2F60B78C" w14:textId="2C6E34BA" w:rsidR="00E707F3" w:rsidRDefault="00E707F3" w:rsidP="00B425B8">
      <w:pPr>
        <w:jc w:val="both"/>
      </w:pPr>
    </w:p>
    <w:p w14:paraId="1AE98642" w14:textId="0BD05EC8" w:rsidR="00E707F3" w:rsidRDefault="00E707F3" w:rsidP="00B425B8">
      <w:pPr>
        <w:jc w:val="both"/>
      </w:pPr>
    </w:p>
    <w:p w14:paraId="0026FBF0" w14:textId="729BC7B2" w:rsidR="00E707F3" w:rsidRDefault="00E707F3" w:rsidP="00B425B8">
      <w:pPr>
        <w:jc w:val="both"/>
      </w:pPr>
    </w:p>
    <w:p w14:paraId="4A85890C" w14:textId="77777777" w:rsidR="003320EB" w:rsidRDefault="003320EB" w:rsidP="00B425B8">
      <w:pPr>
        <w:jc w:val="both"/>
      </w:pPr>
    </w:p>
    <w:p w14:paraId="0FFEFFED" w14:textId="2024EBF3" w:rsidR="00B425B8" w:rsidRPr="00B425B8" w:rsidRDefault="00B425B8" w:rsidP="00531A1B">
      <w:pPr>
        <w:pStyle w:val="Prrafodelista"/>
        <w:numPr>
          <w:ilvl w:val="2"/>
          <w:numId w:val="3"/>
        </w:numPr>
        <w:jc w:val="both"/>
        <w:outlineLvl w:val="2"/>
        <w:rPr>
          <w:b/>
          <w:bCs/>
        </w:rPr>
      </w:pPr>
      <w:bookmarkStart w:id="187" w:name="_Toc143865846"/>
      <w:r w:rsidRPr="00B425B8">
        <w:rPr>
          <w:b/>
          <w:bCs/>
        </w:rPr>
        <w:t>Ejecución de gastos relacionados a emergencias relacionado a emergencias y calamidades públicas</w:t>
      </w:r>
      <w:bookmarkEnd w:id="187"/>
    </w:p>
    <w:p w14:paraId="35B491CD" w14:textId="6B4A2EFA" w:rsidR="00B425B8" w:rsidRDefault="00B425B8" w:rsidP="00B425B8">
      <w:pPr>
        <w:jc w:val="both"/>
      </w:pPr>
    </w:p>
    <w:p w14:paraId="0B1C1844" w14:textId="77777777" w:rsidR="00B25032" w:rsidRPr="00B25032" w:rsidRDefault="00B25032" w:rsidP="00B25032">
      <w:pPr>
        <w:pStyle w:val="Sinespaciado"/>
        <w:jc w:val="both"/>
        <w:rPr>
          <w:rFonts w:ascii="Times New Roman" w:hAnsi="Times New Roman"/>
          <w:sz w:val="24"/>
          <w:szCs w:val="24"/>
        </w:rPr>
      </w:pPr>
      <w:r w:rsidRPr="00B25032">
        <w:rPr>
          <w:rFonts w:ascii="Times New Roman" w:hAnsi="Times New Roman"/>
          <w:sz w:val="24"/>
          <w:szCs w:val="24"/>
          <w:lang w:val="es-MX"/>
        </w:rPr>
        <w:t xml:space="preserve">Del </w:t>
      </w:r>
      <w:r w:rsidRPr="00B25032">
        <w:rPr>
          <w:rFonts w:ascii="Times New Roman" w:hAnsi="Times New Roman"/>
          <w:sz w:val="24"/>
          <w:szCs w:val="24"/>
        </w:rPr>
        <w:t xml:space="preserve">seguimiento a la ejecución del programa de gasto relacionado directamente a la pandemia COVID-19, se tiene una ejecución de Q363.1 millones, correspondientes en su totalidad al Ministerio de Salud Pública y Asistencia Social. Para el 2023, el gasto asociado a la emergencia del COVID-19 cuenta con un presupuesto de Q766.1 millones; el presupuesto inicial para atención del COVID-19 ha descendido en Q533.4 millones, ante la reorientación de prioridades hacia las calamidades públicas relacionadas a desastres por eventos naturales. </w:t>
      </w:r>
    </w:p>
    <w:p w14:paraId="4FDBA53F" w14:textId="77777777" w:rsidR="00B25032" w:rsidRPr="00B25032" w:rsidRDefault="00B25032" w:rsidP="00B25032">
      <w:pPr>
        <w:pStyle w:val="Sinespaciado"/>
        <w:jc w:val="both"/>
        <w:rPr>
          <w:rFonts w:ascii="Times New Roman" w:hAnsi="Times New Roman"/>
          <w:color w:val="FF0000"/>
          <w:sz w:val="20"/>
          <w:szCs w:val="24"/>
        </w:rPr>
      </w:pPr>
      <w:r w:rsidRPr="00B25032">
        <w:rPr>
          <w:rFonts w:ascii="Times New Roman" w:hAnsi="Times New Roman"/>
          <w:color w:val="FF0000"/>
          <w:sz w:val="24"/>
          <w:szCs w:val="24"/>
        </w:rPr>
        <w:t xml:space="preserve"> </w:t>
      </w:r>
    </w:p>
    <w:p w14:paraId="385F32BC" w14:textId="77777777" w:rsidR="00B25032" w:rsidRPr="00B25032" w:rsidRDefault="00B25032" w:rsidP="00B25032">
      <w:pPr>
        <w:pStyle w:val="Sinespaciado"/>
        <w:jc w:val="both"/>
        <w:rPr>
          <w:rFonts w:ascii="Times New Roman" w:hAnsi="Times New Roman"/>
          <w:color w:val="FF0000"/>
          <w:sz w:val="24"/>
          <w:szCs w:val="24"/>
        </w:rPr>
      </w:pPr>
      <w:r w:rsidRPr="00B25032">
        <w:rPr>
          <w:rFonts w:ascii="Times New Roman" w:hAnsi="Times New Roman"/>
          <w:sz w:val="24"/>
          <w:szCs w:val="24"/>
        </w:rPr>
        <w:t>Dentro de estos gastos COVID-19, se encuentra la adquisición de la vacuna COVID-19, con una ejecución de Q71.1 millones y los servicios de prevención y tratamiento de COVID-19, con Q291.9 millones.</w:t>
      </w:r>
      <w:r w:rsidRPr="00B25032">
        <w:rPr>
          <w:rFonts w:ascii="Times New Roman" w:hAnsi="Times New Roman"/>
          <w:color w:val="FF0000"/>
          <w:sz w:val="24"/>
          <w:szCs w:val="24"/>
        </w:rPr>
        <w:t xml:space="preserve"> </w:t>
      </w:r>
    </w:p>
    <w:p w14:paraId="726A5E8D" w14:textId="77777777" w:rsidR="00B25032" w:rsidRDefault="00B25032" w:rsidP="00BC315D">
      <w:pPr>
        <w:keepNext/>
        <w:jc w:val="center"/>
        <w:rPr>
          <w:b/>
          <w:bCs/>
        </w:rPr>
      </w:pPr>
    </w:p>
    <w:p w14:paraId="6EEA9F13" w14:textId="416E199D" w:rsidR="00B425B8" w:rsidRPr="00BC315D" w:rsidRDefault="00BC315D" w:rsidP="00BC315D">
      <w:pPr>
        <w:keepNext/>
        <w:jc w:val="center"/>
        <w:rPr>
          <w:b/>
          <w:bCs/>
        </w:rPr>
      </w:pPr>
      <w:bookmarkStart w:id="188" w:name="_Toc143870745"/>
      <w:r w:rsidRPr="00BC315D">
        <w:rPr>
          <w:b/>
          <w:bCs/>
        </w:rPr>
        <w:t xml:space="preserve">Gráfico </w:t>
      </w:r>
      <w:r w:rsidRPr="00BC315D">
        <w:rPr>
          <w:b/>
          <w:bCs/>
        </w:rPr>
        <w:fldChar w:fldCharType="begin"/>
      </w:r>
      <w:r w:rsidRPr="00BC315D">
        <w:rPr>
          <w:b/>
          <w:bCs/>
        </w:rPr>
        <w:instrText xml:space="preserve"> SEQ Gráfico \* ARABIC </w:instrText>
      </w:r>
      <w:r w:rsidRPr="00BC315D">
        <w:rPr>
          <w:b/>
          <w:bCs/>
        </w:rPr>
        <w:fldChar w:fldCharType="separate"/>
      </w:r>
      <w:r w:rsidR="006622B2">
        <w:rPr>
          <w:b/>
          <w:bCs/>
          <w:noProof/>
        </w:rPr>
        <w:t>78</w:t>
      </w:r>
      <w:r w:rsidRPr="00BC315D">
        <w:rPr>
          <w:b/>
          <w:bCs/>
        </w:rPr>
        <w:fldChar w:fldCharType="end"/>
      </w:r>
      <w:r w:rsidRPr="00BC315D">
        <w:rPr>
          <w:b/>
          <w:bCs/>
        </w:rPr>
        <w:t>.  Ejecución de gastos por COVID-19</w:t>
      </w:r>
      <w:bookmarkEnd w:id="188"/>
    </w:p>
    <w:p w14:paraId="51131EA7" w14:textId="02C1196F" w:rsidR="008D1E6B" w:rsidRDefault="008D1E6B" w:rsidP="002D4BE1">
      <w:pPr>
        <w:jc w:val="center"/>
      </w:pPr>
      <w:r>
        <w:t>Cifras en millones de quetzales</w:t>
      </w:r>
    </w:p>
    <w:p w14:paraId="6957DAC6" w14:textId="6C624535" w:rsidR="00B425B8" w:rsidRDefault="00BC315D" w:rsidP="002D4BE1">
      <w:pPr>
        <w:jc w:val="center"/>
      </w:pPr>
      <w:r w:rsidRPr="00BC315D">
        <w:rPr>
          <w:b/>
          <w:bCs/>
          <w:noProof/>
        </w:rPr>
        <w:drawing>
          <wp:anchor distT="0" distB="0" distL="114300" distR="114300" simplePos="0" relativeHeight="251702272" behindDoc="0" locked="0" layoutInCell="1" allowOverlap="1" wp14:anchorId="04D32960" wp14:editId="0D1DAD32">
            <wp:simplePos x="0" y="0"/>
            <wp:positionH relativeFrom="column">
              <wp:posOffset>9525</wp:posOffset>
            </wp:positionH>
            <wp:positionV relativeFrom="paragraph">
              <wp:posOffset>182880</wp:posOffset>
            </wp:positionV>
            <wp:extent cx="5533390" cy="2274570"/>
            <wp:effectExtent l="0" t="0" r="0" b="4445"/>
            <wp:wrapSquare wrapText="bothSides"/>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14:sizeRelH relativeFrom="page">
              <wp14:pctWidth>0</wp14:pctWidth>
            </wp14:sizeRelH>
            <wp14:sizeRelV relativeFrom="page">
              <wp14:pctHeight>0</wp14:pctHeight>
            </wp14:sizeRelV>
          </wp:anchor>
        </w:drawing>
      </w:r>
      <w:r w:rsidR="00B425B8">
        <w:t xml:space="preserve">Al 30 </w:t>
      </w:r>
      <w:r w:rsidR="00B425B8" w:rsidRPr="00C63807">
        <w:t xml:space="preserve">de </w:t>
      </w:r>
      <w:r w:rsidR="00B25032">
        <w:t>junio</w:t>
      </w:r>
      <w:r w:rsidR="00B425B8">
        <w:t xml:space="preserve"> 2023</w:t>
      </w:r>
    </w:p>
    <w:p w14:paraId="68E25876" w14:textId="2711E14F" w:rsidR="00B425B8" w:rsidRPr="00B425B8" w:rsidRDefault="00B425B8" w:rsidP="00B425B8">
      <w:pPr>
        <w:jc w:val="both"/>
        <w:rPr>
          <w:sz w:val="18"/>
          <w:szCs w:val="18"/>
        </w:rPr>
      </w:pPr>
      <w:r w:rsidRPr="00B425B8">
        <w:rPr>
          <w:sz w:val="18"/>
          <w:szCs w:val="18"/>
        </w:rPr>
        <w:t>Fuente: Dirección de Análisis y Política Fiscal.</w:t>
      </w:r>
    </w:p>
    <w:p w14:paraId="564EEFD1" w14:textId="77777777" w:rsidR="00677AAE" w:rsidRPr="00677AAE" w:rsidRDefault="00677AAE" w:rsidP="00677AAE">
      <w:pPr>
        <w:pStyle w:val="Sinespaciado"/>
        <w:jc w:val="both"/>
        <w:rPr>
          <w:rFonts w:ascii="Times New Roman" w:hAnsi="Times New Roman"/>
          <w:sz w:val="24"/>
          <w:szCs w:val="24"/>
        </w:rPr>
      </w:pPr>
      <w:r w:rsidRPr="00677AAE">
        <w:rPr>
          <w:rFonts w:ascii="Times New Roman" w:hAnsi="Times New Roman"/>
          <w:sz w:val="24"/>
          <w:szCs w:val="24"/>
        </w:rPr>
        <w:t xml:space="preserve">Por su parte, del Estado de Calamidad Pública por los efectos de la época lluviosa y el ciclón tropical Julia se han ejecutado Q427.1 millones; del Estado de Calamidad Pública por época lluviosa y temporada ciclónica y sistemas de baja presión se han ejecutado Q90.7 millones, correspondientes a intervenciones realizadas y construcción, ampliación, reposición y mejoramiento de carreteras y puentes; por último, de la depresión tropical ETA se reporta una ejecución de Q94.5 millones correspondientes al mantenimiento y reparación de edificios y de los bienes de uso común como carreteras y puentes por parte del Ministerio de Comunicaciones, Infraestructura y Vivienda. </w:t>
      </w:r>
    </w:p>
    <w:p w14:paraId="16E7226B" w14:textId="77777777" w:rsidR="006B06C6" w:rsidRDefault="006B06C6" w:rsidP="00B425B8">
      <w:pPr>
        <w:jc w:val="both"/>
      </w:pPr>
    </w:p>
    <w:p w14:paraId="5B4AFF71" w14:textId="58F68AF2" w:rsidR="00B425B8" w:rsidRPr="00BC315D" w:rsidRDefault="00BC315D" w:rsidP="00BC315D">
      <w:pPr>
        <w:pStyle w:val="Descripcin"/>
        <w:keepNext/>
        <w:spacing w:after="0"/>
        <w:jc w:val="center"/>
        <w:rPr>
          <w:b/>
          <w:bCs/>
          <w:i w:val="0"/>
          <w:iCs w:val="0"/>
          <w:sz w:val="24"/>
          <w:szCs w:val="24"/>
        </w:rPr>
      </w:pPr>
      <w:bookmarkStart w:id="189" w:name="_Toc143871221"/>
      <w:r w:rsidRPr="00BC315D">
        <w:rPr>
          <w:b/>
          <w:bCs/>
          <w:i w:val="0"/>
          <w:iCs w:val="0"/>
          <w:color w:val="auto"/>
          <w:sz w:val="24"/>
          <w:szCs w:val="24"/>
        </w:rPr>
        <w:t xml:space="preserve">Tabla </w:t>
      </w:r>
      <w:r w:rsidRPr="00BC315D">
        <w:rPr>
          <w:b/>
          <w:bCs/>
          <w:i w:val="0"/>
          <w:iCs w:val="0"/>
          <w:color w:val="auto"/>
          <w:sz w:val="24"/>
          <w:szCs w:val="24"/>
        </w:rPr>
        <w:fldChar w:fldCharType="begin"/>
      </w:r>
      <w:r w:rsidRPr="00BC315D">
        <w:rPr>
          <w:b/>
          <w:bCs/>
          <w:i w:val="0"/>
          <w:iCs w:val="0"/>
          <w:color w:val="auto"/>
          <w:sz w:val="24"/>
          <w:szCs w:val="24"/>
        </w:rPr>
        <w:instrText xml:space="preserve"> SEQ Tabla \* ARABIC </w:instrText>
      </w:r>
      <w:r w:rsidRPr="00BC315D">
        <w:rPr>
          <w:b/>
          <w:bCs/>
          <w:i w:val="0"/>
          <w:iCs w:val="0"/>
          <w:color w:val="auto"/>
          <w:sz w:val="24"/>
          <w:szCs w:val="24"/>
        </w:rPr>
        <w:fldChar w:fldCharType="separate"/>
      </w:r>
      <w:r w:rsidR="006622B2">
        <w:rPr>
          <w:b/>
          <w:bCs/>
          <w:i w:val="0"/>
          <w:iCs w:val="0"/>
          <w:noProof/>
          <w:color w:val="auto"/>
          <w:sz w:val="24"/>
          <w:szCs w:val="24"/>
        </w:rPr>
        <w:t>14</w:t>
      </w:r>
      <w:r w:rsidRPr="00BC315D">
        <w:rPr>
          <w:b/>
          <w:bCs/>
          <w:i w:val="0"/>
          <w:iCs w:val="0"/>
          <w:color w:val="auto"/>
          <w:sz w:val="24"/>
          <w:szCs w:val="24"/>
        </w:rPr>
        <w:fldChar w:fldCharType="end"/>
      </w:r>
      <w:r w:rsidRPr="00BC315D">
        <w:rPr>
          <w:b/>
          <w:bCs/>
          <w:i w:val="0"/>
          <w:iCs w:val="0"/>
          <w:color w:val="auto"/>
          <w:sz w:val="24"/>
          <w:szCs w:val="24"/>
        </w:rPr>
        <w:t xml:space="preserve">.  </w:t>
      </w:r>
      <w:r w:rsidR="00B425B8" w:rsidRPr="00BC315D">
        <w:rPr>
          <w:b/>
          <w:bCs/>
          <w:i w:val="0"/>
          <w:iCs w:val="0"/>
          <w:color w:val="auto"/>
          <w:sz w:val="24"/>
          <w:szCs w:val="24"/>
        </w:rPr>
        <w:t xml:space="preserve">Seguimiento de </w:t>
      </w:r>
      <w:r w:rsidR="00D31CC8">
        <w:rPr>
          <w:b/>
          <w:bCs/>
          <w:i w:val="0"/>
          <w:iCs w:val="0"/>
          <w:color w:val="auto"/>
          <w:sz w:val="24"/>
          <w:szCs w:val="24"/>
        </w:rPr>
        <w:t>p</w:t>
      </w:r>
      <w:r w:rsidR="00B425B8" w:rsidRPr="00BC315D">
        <w:rPr>
          <w:b/>
          <w:bCs/>
          <w:i w:val="0"/>
          <w:iCs w:val="0"/>
          <w:color w:val="auto"/>
          <w:sz w:val="24"/>
          <w:szCs w:val="24"/>
        </w:rPr>
        <w:t xml:space="preserve">rogramas en atención a los </w:t>
      </w:r>
      <w:r w:rsidR="00D31CC8">
        <w:rPr>
          <w:b/>
          <w:bCs/>
          <w:i w:val="0"/>
          <w:iCs w:val="0"/>
          <w:color w:val="auto"/>
          <w:sz w:val="24"/>
          <w:szCs w:val="24"/>
        </w:rPr>
        <w:t>e</w:t>
      </w:r>
      <w:r w:rsidR="00B425B8" w:rsidRPr="00BC315D">
        <w:rPr>
          <w:b/>
          <w:bCs/>
          <w:i w:val="0"/>
          <w:iCs w:val="0"/>
          <w:color w:val="auto"/>
          <w:sz w:val="24"/>
          <w:szCs w:val="24"/>
        </w:rPr>
        <w:t xml:space="preserve">stados de </w:t>
      </w:r>
      <w:r w:rsidR="00D31CC8">
        <w:rPr>
          <w:b/>
          <w:bCs/>
          <w:i w:val="0"/>
          <w:iCs w:val="0"/>
          <w:color w:val="auto"/>
          <w:sz w:val="24"/>
          <w:szCs w:val="24"/>
        </w:rPr>
        <w:t>c</w:t>
      </w:r>
      <w:r w:rsidR="00B425B8" w:rsidRPr="00BC315D">
        <w:rPr>
          <w:b/>
          <w:bCs/>
          <w:i w:val="0"/>
          <w:iCs w:val="0"/>
          <w:color w:val="auto"/>
          <w:sz w:val="24"/>
          <w:szCs w:val="24"/>
        </w:rPr>
        <w:t xml:space="preserve">alamidad </w:t>
      </w:r>
      <w:r w:rsidR="00D31CC8">
        <w:rPr>
          <w:b/>
          <w:bCs/>
          <w:i w:val="0"/>
          <w:iCs w:val="0"/>
          <w:color w:val="auto"/>
          <w:sz w:val="24"/>
          <w:szCs w:val="24"/>
        </w:rPr>
        <w:t>p</w:t>
      </w:r>
      <w:r w:rsidR="00B425B8" w:rsidRPr="00BC315D">
        <w:rPr>
          <w:b/>
          <w:bCs/>
          <w:i w:val="0"/>
          <w:iCs w:val="0"/>
          <w:color w:val="auto"/>
          <w:sz w:val="24"/>
          <w:szCs w:val="24"/>
        </w:rPr>
        <w:t>ública</w:t>
      </w:r>
      <w:bookmarkEnd w:id="189"/>
    </w:p>
    <w:p w14:paraId="673668F7" w14:textId="4E5DC175" w:rsidR="00B425B8" w:rsidRPr="00327D34" w:rsidRDefault="00B425B8" w:rsidP="00B425B8">
      <w:pPr>
        <w:jc w:val="center"/>
        <w:rPr>
          <w:sz w:val="20"/>
          <w:szCs w:val="20"/>
        </w:rPr>
      </w:pPr>
      <w:r w:rsidRPr="00327D34">
        <w:rPr>
          <w:sz w:val="20"/>
          <w:szCs w:val="20"/>
        </w:rPr>
        <w:t xml:space="preserve">A </w:t>
      </w:r>
      <w:r w:rsidR="00677AAE">
        <w:rPr>
          <w:sz w:val="20"/>
          <w:szCs w:val="20"/>
        </w:rPr>
        <w:t>junio</w:t>
      </w:r>
      <w:r w:rsidRPr="00327D34">
        <w:rPr>
          <w:sz w:val="20"/>
          <w:szCs w:val="20"/>
        </w:rPr>
        <w:t xml:space="preserve"> 2023</w:t>
      </w:r>
    </w:p>
    <w:p w14:paraId="2D65C08C" w14:textId="77777777" w:rsidR="00B425B8" w:rsidRPr="00327D34" w:rsidRDefault="00B425B8" w:rsidP="00B425B8">
      <w:pPr>
        <w:jc w:val="center"/>
        <w:rPr>
          <w:sz w:val="20"/>
          <w:szCs w:val="20"/>
        </w:rPr>
      </w:pPr>
      <w:r w:rsidRPr="00327D34">
        <w:rPr>
          <w:sz w:val="20"/>
          <w:szCs w:val="20"/>
        </w:rPr>
        <w:t>Cifras en millones de quetzales y porcentajes</w:t>
      </w:r>
    </w:p>
    <w:tbl>
      <w:tblPr>
        <w:tblW w:w="8637" w:type="dxa"/>
        <w:jc w:val="center"/>
        <w:tblCellMar>
          <w:left w:w="70" w:type="dxa"/>
          <w:right w:w="70" w:type="dxa"/>
        </w:tblCellMar>
        <w:tblLook w:val="04A0" w:firstRow="1" w:lastRow="0" w:firstColumn="1" w:lastColumn="0" w:noHBand="0" w:noVBand="1"/>
      </w:tblPr>
      <w:tblGrid>
        <w:gridCol w:w="5235"/>
        <w:gridCol w:w="1418"/>
        <w:gridCol w:w="992"/>
        <w:gridCol w:w="992"/>
      </w:tblGrid>
      <w:tr w:rsidR="00B425B8" w:rsidRPr="00D03F0C" w14:paraId="135D15BC" w14:textId="77777777" w:rsidTr="003320EB">
        <w:trPr>
          <w:trHeight w:val="270"/>
          <w:jc w:val="center"/>
        </w:trPr>
        <w:tc>
          <w:tcPr>
            <w:tcW w:w="5235" w:type="dxa"/>
            <w:vMerge w:val="restart"/>
            <w:tcBorders>
              <w:top w:val="single" w:sz="8" w:space="0" w:color="auto"/>
              <w:left w:val="single" w:sz="8" w:space="0" w:color="auto"/>
              <w:bottom w:val="single" w:sz="8" w:space="0" w:color="000000"/>
              <w:right w:val="single" w:sz="8" w:space="0" w:color="auto"/>
            </w:tcBorders>
            <w:shd w:val="clear" w:color="000000" w:fill="1F4E78"/>
            <w:noWrap/>
            <w:vAlign w:val="center"/>
            <w:hideMark/>
          </w:tcPr>
          <w:p w14:paraId="33987528" w14:textId="77777777" w:rsidR="00B425B8" w:rsidRPr="003320EB" w:rsidRDefault="00B425B8" w:rsidP="00582CA7">
            <w:pPr>
              <w:jc w:val="center"/>
              <w:rPr>
                <w:b/>
                <w:bCs/>
                <w:color w:val="FFFFFF"/>
                <w:sz w:val="18"/>
                <w:szCs w:val="18"/>
              </w:rPr>
            </w:pPr>
            <w:r w:rsidRPr="003320EB">
              <w:rPr>
                <w:b/>
                <w:bCs/>
                <w:color w:val="FFFFFF"/>
                <w:sz w:val="18"/>
                <w:szCs w:val="18"/>
              </w:rPr>
              <w:t>Actividades</w:t>
            </w:r>
          </w:p>
        </w:tc>
        <w:tc>
          <w:tcPr>
            <w:tcW w:w="2410" w:type="dxa"/>
            <w:gridSpan w:val="2"/>
            <w:tcBorders>
              <w:top w:val="single" w:sz="8" w:space="0" w:color="auto"/>
              <w:left w:val="nil"/>
              <w:bottom w:val="single" w:sz="8" w:space="0" w:color="auto"/>
              <w:right w:val="single" w:sz="8" w:space="0" w:color="000000"/>
            </w:tcBorders>
            <w:shd w:val="clear" w:color="000000" w:fill="1F4E78"/>
            <w:noWrap/>
            <w:vAlign w:val="center"/>
            <w:hideMark/>
          </w:tcPr>
          <w:p w14:paraId="7AD33F24" w14:textId="77777777" w:rsidR="00B425B8" w:rsidRPr="003320EB" w:rsidRDefault="00B425B8" w:rsidP="00582CA7">
            <w:pPr>
              <w:jc w:val="center"/>
              <w:rPr>
                <w:b/>
                <w:bCs/>
                <w:color w:val="FFFFFF"/>
                <w:sz w:val="18"/>
                <w:szCs w:val="18"/>
              </w:rPr>
            </w:pPr>
            <w:r w:rsidRPr="003320EB">
              <w:rPr>
                <w:b/>
                <w:bCs/>
                <w:color w:val="FFFFFF"/>
                <w:sz w:val="18"/>
                <w:szCs w:val="18"/>
              </w:rPr>
              <w:t>2023</w:t>
            </w:r>
          </w:p>
        </w:tc>
        <w:tc>
          <w:tcPr>
            <w:tcW w:w="992" w:type="dxa"/>
            <w:vMerge w:val="restart"/>
            <w:tcBorders>
              <w:top w:val="single" w:sz="8" w:space="0" w:color="auto"/>
              <w:left w:val="nil"/>
              <w:bottom w:val="single" w:sz="8" w:space="0" w:color="000000"/>
              <w:right w:val="single" w:sz="8" w:space="0" w:color="auto"/>
            </w:tcBorders>
            <w:shd w:val="clear" w:color="000000" w:fill="1F4E78"/>
            <w:vAlign w:val="center"/>
            <w:hideMark/>
          </w:tcPr>
          <w:p w14:paraId="152A5073" w14:textId="77777777" w:rsidR="00B425B8" w:rsidRPr="003320EB" w:rsidRDefault="00B425B8" w:rsidP="00582CA7">
            <w:pPr>
              <w:jc w:val="center"/>
              <w:rPr>
                <w:b/>
                <w:bCs/>
                <w:color w:val="FFFFFF"/>
                <w:sz w:val="18"/>
                <w:szCs w:val="18"/>
              </w:rPr>
            </w:pPr>
            <w:r w:rsidRPr="003320EB">
              <w:rPr>
                <w:b/>
                <w:bCs/>
                <w:color w:val="FFFFFF"/>
                <w:sz w:val="18"/>
                <w:szCs w:val="18"/>
              </w:rPr>
              <w:t>% de Ejecución</w:t>
            </w:r>
          </w:p>
        </w:tc>
      </w:tr>
      <w:tr w:rsidR="00B425B8" w:rsidRPr="00D03F0C" w14:paraId="5B32D201" w14:textId="77777777" w:rsidTr="003320EB">
        <w:trPr>
          <w:trHeight w:val="574"/>
          <w:jc w:val="center"/>
        </w:trPr>
        <w:tc>
          <w:tcPr>
            <w:tcW w:w="5235" w:type="dxa"/>
            <w:vMerge/>
            <w:tcBorders>
              <w:top w:val="single" w:sz="8" w:space="0" w:color="auto"/>
              <w:left w:val="single" w:sz="8" w:space="0" w:color="auto"/>
              <w:bottom w:val="single" w:sz="8" w:space="0" w:color="000000"/>
              <w:right w:val="single" w:sz="8" w:space="0" w:color="auto"/>
            </w:tcBorders>
            <w:vAlign w:val="center"/>
            <w:hideMark/>
          </w:tcPr>
          <w:p w14:paraId="75178B7C" w14:textId="77777777" w:rsidR="00B425B8" w:rsidRPr="003320EB" w:rsidRDefault="00B425B8" w:rsidP="00582CA7">
            <w:pPr>
              <w:rPr>
                <w:b/>
                <w:bCs/>
                <w:color w:val="FFFFFF"/>
                <w:sz w:val="18"/>
                <w:szCs w:val="18"/>
              </w:rPr>
            </w:pPr>
          </w:p>
        </w:tc>
        <w:tc>
          <w:tcPr>
            <w:tcW w:w="1418" w:type="dxa"/>
            <w:tcBorders>
              <w:top w:val="nil"/>
              <w:left w:val="nil"/>
              <w:bottom w:val="single" w:sz="8" w:space="0" w:color="auto"/>
              <w:right w:val="single" w:sz="8" w:space="0" w:color="auto"/>
            </w:tcBorders>
            <w:shd w:val="clear" w:color="000000" w:fill="1F4E78"/>
            <w:vAlign w:val="center"/>
            <w:hideMark/>
          </w:tcPr>
          <w:p w14:paraId="234F0B1C" w14:textId="77777777" w:rsidR="00B425B8" w:rsidRPr="003320EB" w:rsidRDefault="00B425B8" w:rsidP="00582CA7">
            <w:pPr>
              <w:jc w:val="center"/>
              <w:rPr>
                <w:b/>
                <w:bCs/>
                <w:color w:val="FFFFFF"/>
                <w:sz w:val="18"/>
                <w:szCs w:val="18"/>
              </w:rPr>
            </w:pPr>
            <w:r w:rsidRPr="003320EB">
              <w:rPr>
                <w:b/>
                <w:bCs/>
                <w:color w:val="FFFFFF"/>
                <w:sz w:val="18"/>
                <w:szCs w:val="18"/>
              </w:rPr>
              <w:t>Presupuesto Vigente</w:t>
            </w:r>
          </w:p>
        </w:tc>
        <w:tc>
          <w:tcPr>
            <w:tcW w:w="992" w:type="dxa"/>
            <w:tcBorders>
              <w:top w:val="nil"/>
              <w:left w:val="nil"/>
              <w:bottom w:val="single" w:sz="8" w:space="0" w:color="auto"/>
              <w:right w:val="single" w:sz="8" w:space="0" w:color="auto"/>
            </w:tcBorders>
            <w:shd w:val="clear" w:color="000000" w:fill="1F4E78"/>
            <w:noWrap/>
            <w:vAlign w:val="center"/>
            <w:hideMark/>
          </w:tcPr>
          <w:p w14:paraId="2A69FCC7" w14:textId="77777777" w:rsidR="00B425B8" w:rsidRPr="003320EB" w:rsidRDefault="00B425B8" w:rsidP="00582CA7">
            <w:pPr>
              <w:jc w:val="center"/>
              <w:rPr>
                <w:b/>
                <w:bCs/>
                <w:color w:val="FFFFFF"/>
                <w:sz w:val="18"/>
                <w:szCs w:val="18"/>
              </w:rPr>
            </w:pPr>
            <w:r w:rsidRPr="003320EB">
              <w:rPr>
                <w:b/>
                <w:bCs/>
                <w:color w:val="FFFFFF"/>
                <w:sz w:val="18"/>
                <w:szCs w:val="18"/>
              </w:rPr>
              <w:t>Ejecución</w:t>
            </w:r>
          </w:p>
        </w:tc>
        <w:tc>
          <w:tcPr>
            <w:tcW w:w="992" w:type="dxa"/>
            <w:vMerge/>
            <w:tcBorders>
              <w:top w:val="single" w:sz="8" w:space="0" w:color="auto"/>
              <w:left w:val="nil"/>
              <w:bottom w:val="single" w:sz="8" w:space="0" w:color="000000"/>
              <w:right w:val="single" w:sz="8" w:space="0" w:color="auto"/>
            </w:tcBorders>
            <w:vAlign w:val="center"/>
            <w:hideMark/>
          </w:tcPr>
          <w:p w14:paraId="3F131C55" w14:textId="77777777" w:rsidR="00B425B8" w:rsidRPr="003320EB" w:rsidRDefault="00B425B8" w:rsidP="00582CA7">
            <w:pPr>
              <w:rPr>
                <w:b/>
                <w:bCs/>
                <w:color w:val="FFFFFF"/>
                <w:sz w:val="18"/>
                <w:szCs w:val="18"/>
              </w:rPr>
            </w:pPr>
          </w:p>
        </w:tc>
      </w:tr>
      <w:tr w:rsidR="00677AAE" w:rsidRPr="00D03F0C" w14:paraId="54E6AA43" w14:textId="77777777" w:rsidTr="00270A4E">
        <w:trPr>
          <w:trHeight w:val="334"/>
          <w:jc w:val="center"/>
        </w:trPr>
        <w:tc>
          <w:tcPr>
            <w:tcW w:w="5235" w:type="dxa"/>
            <w:tcBorders>
              <w:top w:val="nil"/>
              <w:left w:val="single" w:sz="8" w:space="0" w:color="auto"/>
              <w:bottom w:val="nil"/>
              <w:right w:val="nil"/>
            </w:tcBorders>
            <w:shd w:val="clear" w:color="auto" w:fill="auto"/>
            <w:noWrap/>
            <w:vAlign w:val="center"/>
            <w:hideMark/>
          </w:tcPr>
          <w:p w14:paraId="47AF4422" w14:textId="77777777" w:rsidR="00677AAE" w:rsidRPr="003320EB" w:rsidRDefault="00677AAE" w:rsidP="00677AAE">
            <w:pPr>
              <w:jc w:val="center"/>
              <w:rPr>
                <w:b/>
                <w:bCs/>
                <w:sz w:val="16"/>
                <w:szCs w:val="16"/>
              </w:rPr>
            </w:pPr>
            <w:r w:rsidRPr="003320EB">
              <w:rPr>
                <w:b/>
                <w:bCs/>
                <w:sz w:val="16"/>
                <w:szCs w:val="16"/>
              </w:rPr>
              <w:t>Total</w:t>
            </w:r>
          </w:p>
        </w:tc>
        <w:tc>
          <w:tcPr>
            <w:tcW w:w="1418" w:type="dxa"/>
            <w:tcBorders>
              <w:top w:val="nil"/>
              <w:left w:val="single" w:sz="8" w:space="0" w:color="auto"/>
              <w:bottom w:val="nil"/>
              <w:right w:val="single" w:sz="8" w:space="0" w:color="auto"/>
            </w:tcBorders>
            <w:shd w:val="clear" w:color="auto" w:fill="auto"/>
            <w:vAlign w:val="center"/>
            <w:hideMark/>
          </w:tcPr>
          <w:p w14:paraId="29D5A90A" w14:textId="78F10032" w:rsidR="00677AAE" w:rsidRPr="00677AAE" w:rsidRDefault="00677AAE" w:rsidP="00677AAE">
            <w:pPr>
              <w:jc w:val="center"/>
              <w:rPr>
                <w:b/>
                <w:bCs/>
                <w:sz w:val="16"/>
                <w:szCs w:val="16"/>
              </w:rPr>
            </w:pPr>
            <w:r w:rsidRPr="00677AAE">
              <w:rPr>
                <w:b/>
                <w:bCs/>
                <w:sz w:val="16"/>
                <w:szCs w:val="16"/>
              </w:rPr>
              <w:t>1,436.2</w:t>
            </w:r>
          </w:p>
        </w:tc>
        <w:tc>
          <w:tcPr>
            <w:tcW w:w="992" w:type="dxa"/>
            <w:tcBorders>
              <w:top w:val="nil"/>
              <w:left w:val="nil"/>
              <w:bottom w:val="nil"/>
              <w:right w:val="single" w:sz="8" w:space="0" w:color="auto"/>
            </w:tcBorders>
            <w:shd w:val="clear" w:color="auto" w:fill="auto"/>
            <w:vAlign w:val="center"/>
            <w:hideMark/>
          </w:tcPr>
          <w:p w14:paraId="04C2B290" w14:textId="5EDE4971" w:rsidR="00677AAE" w:rsidRPr="00677AAE" w:rsidRDefault="00677AAE" w:rsidP="00677AAE">
            <w:pPr>
              <w:jc w:val="center"/>
              <w:rPr>
                <w:b/>
                <w:bCs/>
                <w:sz w:val="16"/>
                <w:szCs w:val="16"/>
              </w:rPr>
            </w:pPr>
            <w:r w:rsidRPr="00677AAE">
              <w:rPr>
                <w:b/>
                <w:bCs/>
                <w:sz w:val="16"/>
                <w:szCs w:val="16"/>
              </w:rPr>
              <w:t>975.4</w:t>
            </w:r>
          </w:p>
        </w:tc>
        <w:tc>
          <w:tcPr>
            <w:tcW w:w="992" w:type="dxa"/>
            <w:tcBorders>
              <w:top w:val="nil"/>
              <w:left w:val="nil"/>
              <w:bottom w:val="nil"/>
              <w:right w:val="single" w:sz="8" w:space="0" w:color="auto"/>
            </w:tcBorders>
            <w:shd w:val="clear" w:color="auto" w:fill="auto"/>
            <w:noWrap/>
            <w:vAlign w:val="center"/>
            <w:hideMark/>
          </w:tcPr>
          <w:p w14:paraId="3C48EE31" w14:textId="7383EE50" w:rsidR="00677AAE" w:rsidRPr="00677AAE" w:rsidRDefault="00677AAE" w:rsidP="00677AAE">
            <w:pPr>
              <w:jc w:val="center"/>
              <w:rPr>
                <w:b/>
                <w:bCs/>
                <w:sz w:val="16"/>
                <w:szCs w:val="16"/>
              </w:rPr>
            </w:pPr>
            <w:r w:rsidRPr="00677AAE">
              <w:rPr>
                <w:b/>
                <w:bCs/>
                <w:sz w:val="16"/>
                <w:szCs w:val="16"/>
              </w:rPr>
              <w:t>67.9</w:t>
            </w:r>
          </w:p>
        </w:tc>
      </w:tr>
      <w:tr w:rsidR="00677AAE" w:rsidRPr="00D03F0C" w14:paraId="5574BD8F" w14:textId="77777777" w:rsidTr="003320EB">
        <w:trPr>
          <w:trHeight w:val="232"/>
          <w:jc w:val="center"/>
        </w:trPr>
        <w:tc>
          <w:tcPr>
            <w:tcW w:w="5235" w:type="dxa"/>
            <w:tcBorders>
              <w:top w:val="single" w:sz="8" w:space="0" w:color="auto"/>
              <w:left w:val="single" w:sz="8" w:space="0" w:color="auto"/>
              <w:bottom w:val="single" w:sz="8" w:space="0" w:color="auto"/>
              <w:right w:val="nil"/>
            </w:tcBorders>
            <w:shd w:val="clear" w:color="000000" w:fill="D9D9D9"/>
            <w:vAlign w:val="center"/>
            <w:hideMark/>
          </w:tcPr>
          <w:p w14:paraId="301EABBA" w14:textId="77777777" w:rsidR="00677AAE" w:rsidRPr="003320EB" w:rsidRDefault="00677AAE" w:rsidP="00677AAE">
            <w:pPr>
              <w:jc w:val="center"/>
              <w:rPr>
                <w:b/>
                <w:bCs/>
                <w:sz w:val="16"/>
                <w:szCs w:val="16"/>
              </w:rPr>
            </w:pPr>
            <w:r w:rsidRPr="003320EB">
              <w:rPr>
                <w:b/>
                <w:bCs/>
                <w:sz w:val="16"/>
                <w:szCs w:val="16"/>
              </w:rPr>
              <w:t xml:space="preserve">Subprograma 09 Estado de Calamidad Pública por emergencia COVID-19 </w:t>
            </w:r>
          </w:p>
        </w:tc>
        <w:tc>
          <w:tcPr>
            <w:tcW w:w="1418"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23AEBAD1" w14:textId="50CBCE7E" w:rsidR="00677AAE" w:rsidRPr="00677AAE" w:rsidRDefault="00677AAE" w:rsidP="00677AAE">
            <w:pPr>
              <w:jc w:val="center"/>
              <w:rPr>
                <w:b/>
                <w:bCs/>
                <w:sz w:val="16"/>
                <w:szCs w:val="16"/>
              </w:rPr>
            </w:pPr>
            <w:r w:rsidRPr="00677AAE">
              <w:rPr>
                <w:b/>
                <w:bCs/>
                <w:sz w:val="16"/>
                <w:szCs w:val="16"/>
              </w:rPr>
              <w:t>766.1</w:t>
            </w:r>
          </w:p>
        </w:tc>
        <w:tc>
          <w:tcPr>
            <w:tcW w:w="992" w:type="dxa"/>
            <w:tcBorders>
              <w:top w:val="single" w:sz="8" w:space="0" w:color="auto"/>
              <w:left w:val="nil"/>
              <w:bottom w:val="single" w:sz="8" w:space="0" w:color="auto"/>
              <w:right w:val="single" w:sz="8" w:space="0" w:color="auto"/>
            </w:tcBorders>
            <w:shd w:val="clear" w:color="000000" w:fill="D9D9D9"/>
            <w:noWrap/>
            <w:vAlign w:val="center"/>
            <w:hideMark/>
          </w:tcPr>
          <w:p w14:paraId="014198E7" w14:textId="437CB1BC" w:rsidR="00677AAE" w:rsidRPr="00677AAE" w:rsidRDefault="00677AAE" w:rsidP="00677AAE">
            <w:pPr>
              <w:jc w:val="center"/>
              <w:rPr>
                <w:b/>
                <w:bCs/>
                <w:sz w:val="16"/>
                <w:szCs w:val="16"/>
              </w:rPr>
            </w:pPr>
            <w:r w:rsidRPr="00677AAE">
              <w:rPr>
                <w:b/>
                <w:bCs/>
                <w:sz w:val="16"/>
                <w:szCs w:val="16"/>
              </w:rPr>
              <w:t>363.1</w:t>
            </w:r>
          </w:p>
        </w:tc>
        <w:tc>
          <w:tcPr>
            <w:tcW w:w="992" w:type="dxa"/>
            <w:tcBorders>
              <w:top w:val="single" w:sz="8" w:space="0" w:color="auto"/>
              <w:left w:val="nil"/>
              <w:bottom w:val="single" w:sz="8" w:space="0" w:color="auto"/>
              <w:right w:val="single" w:sz="8" w:space="0" w:color="auto"/>
            </w:tcBorders>
            <w:shd w:val="clear" w:color="000000" w:fill="D9D9D9"/>
            <w:noWrap/>
            <w:vAlign w:val="center"/>
            <w:hideMark/>
          </w:tcPr>
          <w:p w14:paraId="4C939981" w14:textId="2A5198D0" w:rsidR="00677AAE" w:rsidRPr="00677AAE" w:rsidRDefault="00677AAE" w:rsidP="00677AAE">
            <w:pPr>
              <w:jc w:val="center"/>
              <w:rPr>
                <w:b/>
                <w:bCs/>
                <w:sz w:val="16"/>
                <w:szCs w:val="16"/>
              </w:rPr>
            </w:pPr>
            <w:r w:rsidRPr="00677AAE">
              <w:rPr>
                <w:b/>
                <w:bCs/>
                <w:sz w:val="16"/>
                <w:szCs w:val="16"/>
              </w:rPr>
              <w:t>47.4</w:t>
            </w:r>
          </w:p>
        </w:tc>
      </w:tr>
      <w:tr w:rsidR="00677AAE" w:rsidRPr="00D03F0C" w14:paraId="37E49BC6" w14:textId="77777777" w:rsidTr="003320EB">
        <w:trPr>
          <w:trHeight w:val="242"/>
          <w:jc w:val="center"/>
        </w:trPr>
        <w:tc>
          <w:tcPr>
            <w:tcW w:w="5235" w:type="dxa"/>
            <w:tcBorders>
              <w:top w:val="nil"/>
              <w:left w:val="single" w:sz="8" w:space="0" w:color="auto"/>
              <w:bottom w:val="nil"/>
              <w:right w:val="nil"/>
            </w:tcBorders>
            <w:shd w:val="clear" w:color="auto" w:fill="auto"/>
            <w:vAlign w:val="center"/>
            <w:hideMark/>
          </w:tcPr>
          <w:p w14:paraId="7A98F821" w14:textId="77777777" w:rsidR="00677AAE" w:rsidRPr="003320EB" w:rsidRDefault="00677AAE" w:rsidP="00677AAE">
            <w:pPr>
              <w:ind w:firstLineChars="200" w:firstLine="320"/>
              <w:rPr>
                <w:color w:val="000000"/>
                <w:sz w:val="16"/>
                <w:szCs w:val="16"/>
              </w:rPr>
            </w:pPr>
            <w:r w:rsidRPr="003320EB">
              <w:rPr>
                <w:color w:val="000000"/>
                <w:sz w:val="16"/>
                <w:szCs w:val="16"/>
              </w:rPr>
              <w:t>Ministerio de Salud Pública y Asistencia Social</w:t>
            </w:r>
          </w:p>
        </w:tc>
        <w:tc>
          <w:tcPr>
            <w:tcW w:w="1418" w:type="dxa"/>
            <w:tcBorders>
              <w:top w:val="nil"/>
              <w:left w:val="single" w:sz="8" w:space="0" w:color="auto"/>
              <w:bottom w:val="nil"/>
              <w:right w:val="single" w:sz="8" w:space="0" w:color="auto"/>
            </w:tcBorders>
            <w:shd w:val="clear" w:color="auto" w:fill="auto"/>
            <w:vAlign w:val="center"/>
            <w:hideMark/>
          </w:tcPr>
          <w:p w14:paraId="5973FA61" w14:textId="5D5AC10D" w:rsidR="00677AAE" w:rsidRPr="00677AAE" w:rsidRDefault="00677AAE" w:rsidP="00677AAE">
            <w:pPr>
              <w:jc w:val="center"/>
              <w:rPr>
                <w:sz w:val="16"/>
                <w:szCs w:val="16"/>
              </w:rPr>
            </w:pPr>
            <w:r w:rsidRPr="00677AAE">
              <w:rPr>
                <w:sz w:val="16"/>
                <w:szCs w:val="16"/>
              </w:rPr>
              <w:t>766.1</w:t>
            </w:r>
          </w:p>
        </w:tc>
        <w:tc>
          <w:tcPr>
            <w:tcW w:w="992" w:type="dxa"/>
            <w:tcBorders>
              <w:top w:val="nil"/>
              <w:left w:val="nil"/>
              <w:bottom w:val="nil"/>
              <w:right w:val="single" w:sz="8" w:space="0" w:color="auto"/>
            </w:tcBorders>
            <w:shd w:val="clear" w:color="auto" w:fill="auto"/>
            <w:vAlign w:val="center"/>
            <w:hideMark/>
          </w:tcPr>
          <w:p w14:paraId="515946C2" w14:textId="713AC06F" w:rsidR="00677AAE" w:rsidRPr="00677AAE" w:rsidRDefault="00677AAE" w:rsidP="00677AAE">
            <w:pPr>
              <w:jc w:val="center"/>
              <w:rPr>
                <w:sz w:val="16"/>
                <w:szCs w:val="16"/>
              </w:rPr>
            </w:pPr>
            <w:r w:rsidRPr="00677AAE">
              <w:rPr>
                <w:sz w:val="16"/>
                <w:szCs w:val="16"/>
              </w:rPr>
              <w:t>363.1</w:t>
            </w:r>
          </w:p>
        </w:tc>
        <w:tc>
          <w:tcPr>
            <w:tcW w:w="992" w:type="dxa"/>
            <w:tcBorders>
              <w:top w:val="nil"/>
              <w:left w:val="nil"/>
              <w:bottom w:val="nil"/>
              <w:right w:val="single" w:sz="8" w:space="0" w:color="auto"/>
            </w:tcBorders>
            <w:shd w:val="clear" w:color="auto" w:fill="auto"/>
            <w:noWrap/>
            <w:vAlign w:val="center"/>
            <w:hideMark/>
          </w:tcPr>
          <w:p w14:paraId="68FC736A" w14:textId="5FCC3E11" w:rsidR="00677AAE" w:rsidRPr="00677AAE" w:rsidRDefault="00677AAE" w:rsidP="00677AAE">
            <w:pPr>
              <w:jc w:val="center"/>
              <w:rPr>
                <w:sz w:val="16"/>
                <w:szCs w:val="16"/>
              </w:rPr>
            </w:pPr>
            <w:r w:rsidRPr="00677AAE">
              <w:rPr>
                <w:sz w:val="16"/>
                <w:szCs w:val="16"/>
              </w:rPr>
              <w:t>47.4</w:t>
            </w:r>
          </w:p>
        </w:tc>
      </w:tr>
      <w:tr w:rsidR="00677AAE" w:rsidRPr="00D03F0C" w14:paraId="7E161DE5" w14:textId="77777777" w:rsidTr="003320EB">
        <w:trPr>
          <w:trHeight w:val="344"/>
          <w:jc w:val="center"/>
        </w:trPr>
        <w:tc>
          <w:tcPr>
            <w:tcW w:w="5235" w:type="dxa"/>
            <w:tcBorders>
              <w:top w:val="single" w:sz="8" w:space="0" w:color="auto"/>
              <w:left w:val="single" w:sz="8" w:space="0" w:color="auto"/>
              <w:bottom w:val="single" w:sz="8" w:space="0" w:color="auto"/>
              <w:right w:val="nil"/>
            </w:tcBorders>
            <w:shd w:val="clear" w:color="000000" w:fill="D9D9D9"/>
            <w:vAlign w:val="center"/>
            <w:hideMark/>
          </w:tcPr>
          <w:p w14:paraId="5838D4D8" w14:textId="77777777" w:rsidR="00677AAE" w:rsidRPr="003320EB" w:rsidRDefault="00677AAE" w:rsidP="00677AAE">
            <w:pPr>
              <w:jc w:val="center"/>
              <w:rPr>
                <w:b/>
                <w:bCs/>
                <w:sz w:val="16"/>
                <w:szCs w:val="16"/>
              </w:rPr>
            </w:pPr>
            <w:r w:rsidRPr="003320EB">
              <w:rPr>
                <w:b/>
                <w:bCs/>
                <w:sz w:val="16"/>
                <w:szCs w:val="16"/>
              </w:rPr>
              <w:t>Subprograma 11 Estado de Calamidad Pública por Depresión Tropical ETA (DG 20-2020 y 21-2020)</w:t>
            </w:r>
          </w:p>
        </w:tc>
        <w:tc>
          <w:tcPr>
            <w:tcW w:w="1418"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174A3B1D" w14:textId="7ED7857F" w:rsidR="00677AAE" w:rsidRPr="00677AAE" w:rsidRDefault="00677AAE" w:rsidP="00677AAE">
            <w:pPr>
              <w:jc w:val="center"/>
              <w:rPr>
                <w:b/>
                <w:bCs/>
                <w:sz w:val="16"/>
                <w:szCs w:val="16"/>
              </w:rPr>
            </w:pPr>
            <w:r w:rsidRPr="00677AAE">
              <w:rPr>
                <w:b/>
                <w:bCs/>
                <w:sz w:val="16"/>
                <w:szCs w:val="16"/>
              </w:rPr>
              <w:t>125.9</w:t>
            </w:r>
          </w:p>
        </w:tc>
        <w:tc>
          <w:tcPr>
            <w:tcW w:w="992" w:type="dxa"/>
            <w:tcBorders>
              <w:top w:val="single" w:sz="8" w:space="0" w:color="auto"/>
              <w:left w:val="nil"/>
              <w:bottom w:val="single" w:sz="8" w:space="0" w:color="auto"/>
              <w:right w:val="single" w:sz="8" w:space="0" w:color="auto"/>
            </w:tcBorders>
            <w:shd w:val="clear" w:color="000000" w:fill="D9D9D9"/>
            <w:noWrap/>
            <w:vAlign w:val="center"/>
            <w:hideMark/>
          </w:tcPr>
          <w:p w14:paraId="15CA7671" w14:textId="26AB6C79" w:rsidR="00677AAE" w:rsidRPr="00677AAE" w:rsidRDefault="00677AAE" w:rsidP="00677AAE">
            <w:pPr>
              <w:jc w:val="center"/>
              <w:rPr>
                <w:b/>
                <w:bCs/>
                <w:sz w:val="16"/>
                <w:szCs w:val="16"/>
              </w:rPr>
            </w:pPr>
            <w:r w:rsidRPr="00677AAE">
              <w:rPr>
                <w:b/>
                <w:bCs/>
                <w:sz w:val="16"/>
                <w:szCs w:val="16"/>
              </w:rPr>
              <w:t>94.5</w:t>
            </w:r>
          </w:p>
        </w:tc>
        <w:tc>
          <w:tcPr>
            <w:tcW w:w="992" w:type="dxa"/>
            <w:tcBorders>
              <w:top w:val="single" w:sz="8" w:space="0" w:color="auto"/>
              <w:left w:val="nil"/>
              <w:bottom w:val="single" w:sz="8" w:space="0" w:color="auto"/>
              <w:right w:val="single" w:sz="8" w:space="0" w:color="auto"/>
            </w:tcBorders>
            <w:shd w:val="clear" w:color="000000" w:fill="D9D9D9"/>
            <w:noWrap/>
            <w:vAlign w:val="center"/>
            <w:hideMark/>
          </w:tcPr>
          <w:p w14:paraId="132E9BA7" w14:textId="0DB4C247" w:rsidR="00677AAE" w:rsidRPr="00677AAE" w:rsidRDefault="00677AAE" w:rsidP="00677AAE">
            <w:pPr>
              <w:jc w:val="center"/>
              <w:rPr>
                <w:b/>
                <w:bCs/>
                <w:sz w:val="16"/>
                <w:szCs w:val="16"/>
              </w:rPr>
            </w:pPr>
            <w:r w:rsidRPr="00677AAE">
              <w:rPr>
                <w:b/>
                <w:bCs/>
                <w:sz w:val="16"/>
                <w:szCs w:val="16"/>
              </w:rPr>
              <w:t>75.1</w:t>
            </w:r>
          </w:p>
        </w:tc>
      </w:tr>
      <w:tr w:rsidR="00677AAE" w:rsidRPr="00D03F0C" w14:paraId="3C980D4A" w14:textId="77777777" w:rsidTr="003320EB">
        <w:trPr>
          <w:trHeight w:val="253"/>
          <w:jc w:val="center"/>
        </w:trPr>
        <w:tc>
          <w:tcPr>
            <w:tcW w:w="5235" w:type="dxa"/>
            <w:tcBorders>
              <w:top w:val="nil"/>
              <w:left w:val="single" w:sz="8" w:space="0" w:color="auto"/>
              <w:bottom w:val="nil"/>
              <w:right w:val="nil"/>
            </w:tcBorders>
            <w:shd w:val="clear" w:color="auto" w:fill="auto"/>
            <w:vAlign w:val="center"/>
            <w:hideMark/>
          </w:tcPr>
          <w:p w14:paraId="3185DE4B" w14:textId="77777777" w:rsidR="00677AAE" w:rsidRPr="003320EB" w:rsidRDefault="00677AAE" w:rsidP="00677AAE">
            <w:pPr>
              <w:ind w:firstLineChars="200" w:firstLine="320"/>
              <w:rPr>
                <w:color w:val="000000"/>
                <w:sz w:val="16"/>
                <w:szCs w:val="16"/>
              </w:rPr>
            </w:pPr>
            <w:r w:rsidRPr="003320EB">
              <w:rPr>
                <w:color w:val="000000"/>
                <w:sz w:val="16"/>
                <w:szCs w:val="16"/>
              </w:rPr>
              <w:t>Ministerio de Comunicaciones, Infraestructura y Vivienda</w:t>
            </w:r>
          </w:p>
        </w:tc>
        <w:tc>
          <w:tcPr>
            <w:tcW w:w="1418" w:type="dxa"/>
            <w:tcBorders>
              <w:top w:val="nil"/>
              <w:left w:val="single" w:sz="8" w:space="0" w:color="auto"/>
              <w:bottom w:val="nil"/>
              <w:right w:val="single" w:sz="8" w:space="0" w:color="auto"/>
            </w:tcBorders>
            <w:shd w:val="clear" w:color="auto" w:fill="auto"/>
            <w:vAlign w:val="center"/>
            <w:hideMark/>
          </w:tcPr>
          <w:p w14:paraId="77AD9FB6" w14:textId="5CFE3D1C" w:rsidR="00677AAE" w:rsidRPr="00677AAE" w:rsidRDefault="00677AAE" w:rsidP="00677AAE">
            <w:pPr>
              <w:jc w:val="center"/>
              <w:rPr>
                <w:color w:val="000000"/>
                <w:sz w:val="16"/>
                <w:szCs w:val="16"/>
              </w:rPr>
            </w:pPr>
            <w:r w:rsidRPr="00677AAE">
              <w:rPr>
                <w:color w:val="000000"/>
                <w:sz w:val="16"/>
                <w:szCs w:val="16"/>
              </w:rPr>
              <w:t>125.9</w:t>
            </w:r>
          </w:p>
        </w:tc>
        <w:tc>
          <w:tcPr>
            <w:tcW w:w="992" w:type="dxa"/>
            <w:tcBorders>
              <w:top w:val="nil"/>
              <w:left w:val="nil"/>
              <w:bottom w:val="nil"/>
              <w:right w:val="single" w:sz="8" w:space="0" w:color="auto"/>
            </w:tcBorders>
            <w:shd w:val="clear" w:color="auto" w:fill="auto"/>
            <w:noWrap/>
            <w:vAlign w:val="center"/>
            <w:hideMark/>
          </w:tcPr>
          <w:p w14:paraId="5AD4F95C" w14:textId="32515E64" w:rsidR="00677AAE" w:rsidRPr="00677AAE" w:rsidRDefault="00677AAE" w:rsidP="00677AAE">
            <w:pPr>
              <w:jc w:val="center"/>
              <w:rPr>
                <w:color w:val="000000"/>
                <w:sz w:val="16"/>
                <w:szCs w:val="16"/>
              </w:rPr>
            </w:pPr>
            <w:r w:rsidRPr="00677AAE">
              <w:rPr>
                <w:color w:val="000000"/>
                <w:sz w:val="16"/>
                <w:szCs w:val="16"/>
              </w:rPr>
              <w:t>94.5</w:t>
            </w:r>
          </w:p>
        </w:tc>
        <w:tc>
          <w:tcPr>
            <w:tcW w:w="992" w:type="dxa"/>
            <w:tcBorders>
              <w:top w:val="nil"/>
              <w:left w:val="nil"/>
              <w:bottom w:val="nil"/>
              <w:right w:val="single" w:sz="8" w:space="0" w:color="auto"/>
            </w:tcBorders>
            <w:shd w:val="clear" w:color="auto" w:fill="auto"/>
            <w:noWrap/>
            <w:vAlign w:val="center"/>
            <w:hideMark/>
          </w:tcPr>
          <w:p w14:paraId="376F1C28" w14:textId="4B767837" w:rsidR="00677AAE" w:rsidRPr="00677AAE" w:rsidRDefault="00677AAE" w:rsidP="00677AAE">
            <w:pPr>
              <w:jc w:val="center"/>
              <w:rPr>
                <w:color w:val="000000"/>
                <w:sz w:val="16"/>
                <w:szCs w:val="16"/>
              </w:rPr>
            </w:pPr>
            <w:r w:rsidRPr="00677AAE">
              <w:rPr>
                <w:color w:val="000000"/>
                <w:sz w:val="16"/>
                <w:szCs w:val="16"/>
              </w:rPr>
              <w:t>75.1</w:t>
            </w:r>
          </w:p>
        </w:tc>
      </w:tr>
      <w:tr w:rsidR="00677AAE" w:rsidRPr="00D03F0C" w14:paraId="5868DED2" w14:textId="77777777" w:rsidTr="003320EB">
        <w:trPr>
          <w:trHeight w:val="456"/>
          <w:jc w:val="center"/>
        </w:trPr>
        <w:tc>
          <w:tcPr>
            <w:tcW w:w="5235" w:type="dxa"/>
            <w:tcBorders>
              <w:top w:val="single" w:sz="8" w:space="0" w:color="auto"/>
              <w:left w:val="single" w:sz="8" w:space="0" w:color="auto"/>
              <w:bottom w:val="single" w:sz="8" w:space="0" w:color="auto"/>
              <w:right w:val="nil"/>
            </w:tcBorders>
            <w:shd w:val="clear" w:color="000000" w:fill="D9D9D9"/>
            <w:vAlign w:val="center"/>
            <w:hideMark/>
          </w:tcPr>
          <w:p w14:paraId="304292CC" w14:textId="77777777" w:rsidR="00677AAE" w:rsidRPr="003320EB" w:rsidRDefault="00677AAE" w:rsidP="00677AAE">
            <w:pPr>
              <w:jc w:val="center"/>
              <w:rPr>
                <w:b/>
                <w:bCs/>
                <w:sz w:val="16"/>
                <w:szCs w:val="16"/>
              </w:rPr>
            </w:pPr>
            <w:r w:rsidRPr="003320EB">
              <w:rPr>
                <w:b/>
                <w:bCs/>
                <w:sz w:val="16"/>
                <w:szCs w:val="16"/>
              </w:rPr>
              <w:t xml:space="preserve">Subprograma 14 Estado de Calamidad Pública por época lluviosa, temporada ciclónica y sistemas de baja presión </w:t>
            </w:r>
          </w:p>
        </w:tc>
        <w:tc>
          <w:tcPr>
            <w:tcW w:w="1418" w:type="dxa"/>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05065775" w14:textId="542C0252" w:rsidR="00677AAE" w:rsidRPr="00677AAE" w:rsidRDefault="00677AAE" w:rsidP="00677AAE">
            <w:pPr>
              <w:jc w:val="center"/>
              <w:rPr>
                <w:b/>
                <w:bCs/>
                <w:sz w:val="16"/>
                <w:szCs w:val="16"/>
              </w:rPr>
            </w:pPr>
            <w:r w:rsidRPr="00677AAE">
              <w:rPr>
                <w:b/>
                <w:bCs/>
                <w:sz w:val="16"/>
                <w:szCs w:val="16"/>
              </w:rPr>
              <w:t>97.9</w:t>
            </w:r>
          </w:p>
        </w:tc>
        <w:tc>
          <w:tcPr>
            <w:tcW w:w="992" w:type="dxa"/>
            <w:tcBorders>
              <w:top w:val="single" w:sz="8" w:space="0" w:color="auto"/>
              <w:left w:val="nil"/>
              <w:bottom w:val="single" w:sz="8" w:space="0" w:color="auto"/>
              <w:right w:val="single" w:sz="8" w:space="0" w:color="auto"/>
            </w:tcBorders>
            <w:shd w:val="clear" w:color="000000" w:fill="D9D9D9"/>
            <w:noWrap/>
            <w:vAlign w:val="center"/>
            <w:hideMark/>
          </w:tcPr>
          <w:p w14:paraId="5F55D195" w14:textId="3FB14479" w:rsidR="00677AAE" w:rsidRPr="00677AAE" w:rsidRDefault="00677AAE" w:rsidP="00677AAE">
            <w:pPr>
              <w:jc w:val="center"/>
              <w:rPr>
                <w:b/>
                <w:bCs/>
                <w:sz w:val="16"/>
                <w:szCs w:val="16"/>
              </w:rPr>
            </w:pPr>
            <w:r w:rsidRPr="00677AAE">
              <w:rPr>
                <w:b/>
                <w:bCs/>
                <w:sz w:val="16"/>
                <w:szCs w:val="16"/>
              </w:rPr>
              <w:t>90.7</w:t>
            </w:r>
          </w:p>
        </w:tc>
        <w:tc>
          <w:tcPr>
            <w:tcW w:w="992" w:type="dxa"/>
            <w:tcBorders>
              <w:top w:val="single" w:sz="8" w:space="0" w:color="auto"/>
              <w:left w:val="nil"/>
              <w:bottom w:val="single" w:sz="8" w:space="0" w:color="auto"/>
              <w:right w:val="single" w:sz="8" w:space="0" w:color="auto"/>
            </w:tcBorders>
            <w:shd w:val="clear" w:color="000000" w:fill="D9D9D9"/>
            <w:noWrap/>
            <w:vAlign w:val="center"/>
            <w:hideMark/>
          </w:tcPr>
          <w:p w14:paraId="7A56362A" w14:textId="2A78C926" w:rsidR="00677AAE" w:rsidRPr="00677AAE" w:rsidRDefault="00677AAE" w:rsidP="00677AAE">
            <w:pPr>
              <w:jc w:val="center"/>
              <w:rPr>
                <w:b/>
                <w:bCs/>
                <w:sz w:val="16"/>
                <w:szCs w:val="16"/>
              </w:rPr>
            </w:pPr>
            <w:r w:rsidRPr="00677AAE">
              <w:rPr>
                <w:b/>
                <w:bCs/>
                <w:sz w:val="16"/>
                <w:szCs w:val="16"/>
              </w:rPr>
              <w:t>92.7</w:t>
            </w:r>
          </w:p>
        </w:tc>
      </w:tr>
      <w:tr w:rsidR="00677AAE" w:rsidRPr="00D03F0C" w14:paraId="440A79E7" w14:textId="77777777" w:rsidTr="003320EB">
        <w:trPr>
          <w:trHeight w:val="304"/>
          <w:jc w:val="center"/>
        </w:trPr>
        <w:tc>
          <w:tcPr>
            <w:tcW w:w="5235" w:type="dxa"/>
            <w:tcBorders>
              <w:top w:val="nil"/>
              <w:left w:val="single" w:sz="8" w:space="0" w:color="auto"/>
              <w:bottom w:val="nil"/>
              <w:right w:val="nil"/>
            </w:tcBorders>
            <w:shd w:val="clear" w:color="auto" w:fill="auto"/>
            <w:vAlign w:val="center"/>
            <w:hideMark/>
          </w:tcPr>
          <w:p w14:paraId="4A38F7FA" w14:textId="77777777" w:rsidR="00677AAE" w:rsidRPr="003320EB" w:rsidRDefault="00677AAE" w:rsidP="00677AAE">
            <w:pPr>
              <w:ind w:firstLineChars="200" w:firstLine="320"/>
              <w:rPr>
                <w:sz w:val="16"/>
                <w:szCs w:val="16"/>
              </w:rPr>
            </w:pPr>
            <w:r w:rsidRPr="003320EB">
              <w:rPr>
                <w:sz w:val="16"/>
                <w:szCs w:val="16"/>
              </w:rPr>
              <w:t>Ministerio de Comunicaciones, Infraestructura y Vivienda</w:t>
            </w:r>
          </w:p>
        </w:tc>
        <w:tc>
          <w:tcPr>
            <w:tcW w:w="1418" w:type="dxa"/>
            <w:tcBorders>
              <w:top w:val="nil"/>
              <w:left w:val="single" w:sz="8" w:space="0" w:color="auto"/>
              <w:bottom w:val="nil"/>
              <w:right w:val="single" w:sz="8" w:space="0" w:color="auto"/>
            </w:tcBorders>
            <w:shd w:val="clear" w:color="auto" w:fill="auto"/>
            <w:noWrap/>
            <w:vAlign w:val="center"/>
            <w:hideMark/>
          </w:tcPr>
          <w:p w14:paraId="068E1BEC" w14:textId="29638DCB" w:rsidR="00677AAE" w:rsidRPr="00677AAE" w:rsidRDefault="00677AAE" w:rsidP="00677AAE">
            <w:pPr>
              <w:jc w:val="center"/>
              <w:rPr>
                <w:sz w:val="16"/>
                <w:szCs w:val="16"/>
              </w:rPr>
            </w:pPr>
            <w:r w:rsidRPr="00677AAE">
              <w:rPr>
                <w:sz w:val="16"/>
                <w:szCs w:val="16"/>
              </w:rPr>
              <w:t>97.9</w:t>
            </w:r>
          </w:p>
        </w:tc>
        <w:tc>
          <w:tcPr>
            <w:tcW w:w="992" w:type="dxa"/>
            <w:tcBorders>
              <w:top w:val="nil"/>
              <w:left w:val="nil"/>
              <w:bottom w:val="nil"/>
              <w:right w:val="single" w:sz="8" w:space="0" w:color="auto"/>
            </w:tcBorders>
            <w:shd w:val="clear" w:color="auto" w:fill="auto"/>
            <w:noWrap/>
            <w:vAlign w:val="center"/>
            <w:hideMark/>
          </w:tcPr>
          <w:p w14:paraId="14D1E801" w14:textId="157927E5" w:rsidR="00677AAE" w:rsidRPr="00677AAE" w:rsidRDefault="00677AAE" w:rsidP="00677AAE">
            <w:pPr>
              <w:jc w:val="center"/>
              <w:rPr>
                <w:sz w:val="16"/>
                <w:szCs w:val="16"/>
              </w:rPr>
            </w:pPr>
            <w:r w:rsidRPr="00677AAE">
              <w:rPr>
                <w:sz w:val="16"/>
                <w:szCs w:val="16"/>
              </w:rPr>
              <w:t>90.7</w:t>
            </w:r>
          </w:p>
        </w:tc>
        <w:tc>
          <w:tcPr>
            <w:tcW w:w="992" w:type="dxa"/>
            <w:tcBorders>
              <w:top w:val="nil"/>
              <w:left w:val="nil"/>
              <w:bottom w:val="nil"/>
              <w:right w:val="single" w:sz="8" w:space="0" w:color="auto"/>
            </w:tcBorders>
            <w:shd w:val="clear" w:color="auto" w:fill="auto"/>
            <w:noWrap/>
            <w:vAlign w:val="center"/>
            <w:hideMark/>
          </w:tcPr>
          <w:p w14:paraId="53BE3BD7" w14:textId="5CF70234" w:rsidR="00677AAE" w:rsidRPr="00677AAE" w:rsidRDefault="00677AAE" w:rsidP="00677AAE">
            <w:pPr>
              <w:jc w:val="center"/>
              <w:rPr>
                <w:sz w:val="16"/>
                <w:szCs w:val="16"/>
              </w:rPr>
            </w:pPr>
            <w:r w:rsidRPr="00677AAE">
              <w:rPr>
                <w:sz w:val="16"/>
                <w:szCs w:val="16"/>
              </w:rPr>
              <w:t>92.7</w:t>
            </w:r>
          </w:p>
        </w:tc>
      </w:tr>
      <w:tr w:rsidR="00677AAE" w:rsidRPr="00D03F0C" w14:paraId="12BC3B95" w14:textId="77777777" w:rsidTr="003320EB">
        <w:trPr>
          <w:trHeight w:val="554"/>
          <w:jc w:val="center"/>
        </w:trPr>
        <w:tc>
          <w:tcPr>
            <w:tcW w:w="5235"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60F361BE" w14:textId="77777777" w:rsidR="00677AAE" w:rsidRPr="003320EB" w:rsidRDefault="00677AAE" w:rsidP="00677AAE">
            <w:pPr>
              <w:jc w:val="center"/>
              <w:rPr>
                <w:b/>
                <w:bCs/>
                <w:sz w:val="16"/>
                <w:szCs w:val="16"/>
              </w:rPr>
            </w:pPr>
            <w:r w:rsidRPr="003320EB">
              <w:rPr>
                <w:b/>
                <w:bCs/>
                <w:sz w:val="16"/>
                <w:szCs w:val="16"/>
              </w:rPr>
              <w:t>Subprograma 15 Estado de Calamidad Pública por los efectos de la época lluviosa y el ciclón tropical Julia</w:t>
            </w:r>
          </w:p>
        </w:tc>
        <w:tc>
          <w:tcPr>
            <w:tcW w:w="1418" w:type="dxa"/>
            <w:tcBorders>
              <w:top w:val="single" w:sz="8" w:space="0" w:color="auto"/>
              <w:left w:val="nil"/>
              <w:bottom w:val="single" w:sz="8" w:space="0" w:color="auto"/>
              <w:right w:val="single" w:sz="8" w:space="0" w:color="auto"/>
            </w:tcBorders>
            <w:shd w:val="clear" w:color="000000" w:fill="D9D9D9"/>
            <w:noWrap/>
            <w:vAlign w:val="center"/>
            <w:hideMark/>
          </w:tcPr>
          <w:p w14:paraId="73F99328" w14:textId="5F3F05FE" w:rsidR="00677AAE" w:rsidRPr="00677AAE" w:rsidRDefault="00677AAE" w:rsidP="00677AAE">
            <w:pPr>
              <w:jc w:val="center"/>
              <w:rPr>
                <w:b/>
                <w:bCs/>
                <w:sz w:val="16"/>
                <w:szCs w:val="16"/>
              </w:rPr>
            </w:pPr>
            <w:r w:rsidRPr="00677AAE">
              <w:rPr>
                <w:b/>
                <w:bCs/>
                <w:sz w:val="16"/>
                <w:szCs w:val="16"/>
              </w:rPr>
              <w:t>446.2</w:t>
            </w:r>
          </w:p>
        </w:tc>
        <w:tc>
          <w:tcPr>
            <w:tcW w:w="992" w:type="dxa"/>
            <w:tcBorders>
              <w:top w:val="single" w:sz="8" w:space="0" w:color="auto"/>
              <w:left w:val="nil"/>
              <w:bottom w:val="single" w:sz="8" w:space="0" w:color="auto"/>
              <w:right w:val="single" w:sz="8" w:space="0" w:color="auto"/>
            </w:tcBorders>
            <w:shd w:val="clear" w:color="000000" w:fill="D9D9D9"/>
            <w:noWrap/>
            <w:vAlign w:val="center"/>
            <w:hideMark/>
          </w:tcPr>
          <w:p w14:paraId="488F5D44" w14:textId="1A0CE472" w:rsidR="00677AAE" w:rsidRPr="00677AAE" w:rsidRDefault="00677AAE" w:rsidP="00677AAE">
            <w:pPr>
              <w:jc w:val="center"/>
              <w:rPr>
                <w:b/>
                <w:bCs/>
                <w:sz w:val="16"/>
                <w:szCs w:val="16"/>
              </w:rPr>
            </w:pPr>
            <w:r w:rsidRPr="00677AAE">
              <w:rPr>
                <w:b/>
                <w:bCs/>
                <w:sz w:val="16"/>
                <w:szCs w:val="16"/>
              </w:rPr>
              <w:t>427.1</w:t>
            </w:r>
          </w:p>
        </w:tc>
        <w:tc>
          <w:tcPr>
            <w:tcW w:w="992" w:type="dxa"/>
            <w:tcBorders>
              <w:top w:val="single" w:sz="8" w:space="0" w:color="auto"/>
              <w:left w:val="nil"/>
              <w:bottom w:val="single" w:sz="8" w:space="0" w:color="auto"/>
              <w:right w:val="single" w:sz="8" w:space="0" w:color="auto"/>
            </w:tcBorders>
            <w:shd w:val="clear" w:color="000000" w:fill="D9D9D9"/>
            <w:noWrap/>
            <w:vAlign w:val="center"/>
            <w:hideMark/>
          </w:tcPr>
          <w:p w14:paraId="3EF9DDBC" w14:textId="760F5DE4" w:rsidR="00677AAE" w:rsidRPr="00677AAE" w:rsidRDefault="00677AAE" w:rsidP="00677AAE">
            <w:pPr>
              <w:jc w:val="center"/>
              <w:rPr>
                <w:b/>
                <w:bCs/>
                <w:sz w:val="16"/>
                <w:szCs w:val="16"/>
              </w:rPr>
            </w:pPr>
            <w:r w:rsidRPr="00677AAE">
              <w:rPr>
                <w:b/>
                <w:bCs/>
                <w:sz w:val="16"/>
                <w:szCs w:val="16"/>
              </w:rPr>
              <w:t>95.7</w:t>
            </w:r>
          </w:p>
        </w:tc>
      </w:tr>
      <w:tr w:rsidR="00677AAE" w:rsidRPr="00D03F0C" w14:paraId="5C56B5D3" w14:textId="77777777" w:rsidTr="003320EB">
        <w:trPr>
          <w:trHeight w:val="344"/>
          <w:jc w:val="center"/>
        </w:trPr>
        <w:tc>
          <w:tcPr>
            <w:tcW w:w="5235" w:type="dxa"/>
            <w:tcBorders>
              <w:top w:val="nil"/>
              <w:left w:val="single" w:sz="8" w:space="0" w:color="auto"/>
              <w:bottom w:val="single" w:sz="8" w:space="0" w:color="auto"/>
              <w:right w:val="single" w:sz="8" w:space="0" w:color="auto"/>
            </w:tcBorders>
            <w:shd w:val="clear" w:color="auto" w:fill="auto"/>
            <w:vAlign w:val="center"/>
            <w:hideMark/>
          </w:tcPr>
          <w:p w14:paraId="5A468524" w14:textId="77777777" w:rsidR="00677AAE" w:rsidRPr="003320EB" w:rsidRDefault="00677AAE" w:rsidP="00677AAE">
            <w:pPr>
              <w:ind w:firstLineChars="200" w:firstLine="320"/>
              <w:rPr>
                <w:sz w:val="16"/>
                <w:szCs w:val="16"/>
              </w:rPr>
            </w:pPr>
            <w:r w:rsidRPr="003320EB">
              <w:rPr>
                <w:sz w:val="16"/>
                <w:szCs w:val="16"/>
              </w:rPr>
              <w:t>Ministerio de Comunicaciones, Infraestructura y Vivienda</w:t>
            </w:r>
          </w:p>
        </w:tc>
        <w:tc>
          <w:tcPr>
            <w:tcW w:w="1418" w:type="dxa"/>
            <w:tcBorders>
              <w:top w:val="nil"/>
              <w:left w:val="nil"/>
              <w:bottom w:val="single" w:sz="8" w:space="0" w:color="auto"/>
              <w:right w:val="single" w:sz="8" w:space="0" w:color="auto"/>
            </w:tcBorders>
            <w:shd w:val="clear" w:color="auto" w:fill="auto"/>
            <w:noWrap/>
            <w:vAlign w:val="center"/>
            <w:hideMark/>
          </w:tcPr>
          <w:p w14:paraId="5E6E90E4" w14:textId="69541CC1" w:rsidR="00677AAE" w:rsidRPr="00677AAE" w:rsidRDefault="00677AAE" w:rsidP="00677AAE">
            <w:pPr>
              <w:jc w:val="center"/>
              <w:rPr>
                <w:sz w:val="16"/>
                <w:szCs w:val="16"/>
              </w:rPr>
            </w:pPr>
            <w:r w:rsidRPr="00677AAE">
              <w:rPr>
                <w:sz w:val="16"/>
                <w:szCs w:val="16"/>
              </w:rPr>
              <w:t>446.2</w:t>
            </w:r>
          </w:p>
        </w:tc>
        <w:tc>
          <w:tcPr>
            <w:tcW w:w="992" w:type="dxa"/>
            <w:tcBorders>
              <w:top w:val="nil"/>
              <w:left w:val="nil"/>
              <w:bottom w:val="single" w:sz="8" w:space="0" w:color="auto"/>
              <w:right w:val="single" w:sz="8" w:space="0" w:color="auto"/>
            </w:tcBorders>
            <w:shd w:val="clear" w:color="auto" w:fill="auto"/>
            <w:noWrap/>
            <w:vAlign w:val="center"/>
            <w:hideMark/>
          </w:tcPr>
          <w:p w14:paraId="52B95A5C" w14:textId="5DF87C4D" w:rsidR="00677AAE" w:rsidRPr="00677AAE" w:rsidRDefault="00677AAE" w:rsidP="00677AAE">
            <w:pPr>
              <w:jc w:val="center"/>
              <w:rPr>
                <w:sz w:val="16"/>
                <w:szCs w:val="16"/>
              </w:rPr>
            </w:pPr>
            <w:r w:rsidRPr="00677AAE">
              <w:rPr>
                <w:sz w:val="16"/>
                <w:szCs w:val="16"/>
              </w:rPr>
              <w:t>427.1</w:t>
            </w:r>
          </w:p>
        </w:tc>
        <w:tc>
          <w:tcPr>
            <w:tcW w:w="992" w:type="dxa"/>
            <w:tcBorders>
              <w:top w:val="nil"/>
              <w:left w:val="nil"/>
              <w:bottom w:val="single" w:sz="8" w:space="0" w:color="auto"/>
              <w:right w:val="single" w:sz="8" w:space="0" w:color="auto"/>
            </w:tcBorders>
            <w:shd w:val="clear" w:color="auto" w:fill="auto"/>
            <w:noWrap/>
            <w:vAlign w:val="center"/>
            <w:hideMark/>
          </w:tcPr>
          <w:p w14:paraId="2BCC6BF7" w14:textId="5281A32C" w:rsidR="00677AAE" w:rsidRPr="00677AAE" w:rsidRDefault="00677AAE" w:rsidP="00677AAE">
            <w:pPr>
              <w:jc w:val="center"/>
              <w:rPr>
                <w:sz w:val="16"/>
                <w:szCs w:val="16"/>
              </w:rPr>
            </w:pPr>
            <w:r w:rsidRPr="00677AAE">
              <w:rPr>
                <w:sz w:val="16"/>
                <w:szCs w:val="16"/>
              </w:rPr>
              <w:t>95.7</w:t>
            </w:r>
          </w:p>
        </w:tc>
      </w:tr>
    </w:tbl>
    <w:p w14:paraId="52B05F6C" w14:textId="7BC555D6" w:rsidR="00B425B8" w:rsidRDefault="00B425B8" w:rsidP="00327D34">
      <w:pPr>
        <w:ind w:firstLine="360"/>
        <w:jc w:val="both"/>
        <w:rPr>
          <w:sz w:val="18"/>
          <w:szCs w:val="18"/>
        </w:rPr>
      </w:pPr>
      <w:r w:rsidRPr="00B425B8">
        <w:rPr>
          <w:sz w:val="18"/>
          <w:szCs w:val="18"/>
        </w:rPr>
        <w:t>Fuente: Dirección de Análisis y Política Fiscal.</w:t>
      </w:r>
    </w:p>
    <w:p w14:paraId="5C7AFBB6" w14:textId="77777777" w:rsidR="00E707F3" w:rsidRPr="00B425B8" w:rsidRDefault="00E707F3" w:rsidP="00327D34">
      <w:pPr>
        <w:ind w:firstLine="360"/>
        <w:jc w:val="both"/>
        <w:rPr>
          <w:sz w:val="18"/>
          <w:szCs w:val="18"/>
        </w:rPr>
      </w:pPr>
    </w:p>
    <w:p w14:paraId="06CF8A8B" w14:textId="291F690C" w:rsidR="00B425B8" w:rsidRPr="002F0385" w:rsidRDefault="00B425B8" w:rsidP="00531A1B">
      <w:pPr>
        <w:pStyle w:val="Prrafodelista"/>
        <w:numPr>
          <w:ilvl w:val="1"/>
          <w:numId w:val="3"/>
        </w:numPr>
        <w:jc w:val="both"/>
        <w:outlineLvl w:val="1"/>
        <w:rPr>
          <w:b/>
          <w:bCs/>
        </w:rPr>
      </w:pPr>
      <w:bookmarkStart w:id="190" w:name="_Toc143865847"/>
      <w:r w:rsidRPr="002F0385">
        <w:rPr>
          <w:b/>
          <w:bCs/>
        </w:rPr>
        <w:t>Déficit fiscal y financiamiento</w:t>
      </w:r>
      <w:bookmarkEnd w:id="190"/>
    </w:p>
    <w:p w14:paraId="223A9F1A" w14:textId="17E98FE1" w:rsidR="00B425B8" w:rsidRDefault="00B425B8" w:rsidP="00B425B8">
      <w:pPr>
        <w:jc w:val="both"/>
      </w:pPr>
    </w:p>
    <w:p w14:paraId="0309C145" w14:textId="77777777" w:rsidR="00677AAE" w:rsidRDefault="00677AAE" w:rsidP="00677AAE">
      <w:pPr>
        <w:jc w:val="both"/>
      </w:pPr>
      <w:r>
        <w:t xml:space="preserve">El resultado presupuestario del gobierno muestra un déficit fiscal, al 30 de junio de 2023, de Q5,122.2 millones. En 2020 a la misma fecha se reportaba un alto déficit fiscal, asociado a la caída de los ingresos tributarios por impacto del COVID-19, así como al dinamismo en la ejecución de los programas temporales diseñados para dar respuesta a la crisis. </w:t>
      </w:r>
    </w:p>
    <w:p w14:paraId="284836D4" w14:textId="77777777" w:rsidR="00677AAE" w:rsidRDefault="00677AAE" w:rsidP="00677AAE">
      <w:pPr>
        <w:jc w:val="both"/>
      </w:pPr>
    </w:p>
    <w:p w14:paraId="756C36C9" w14:textId="77777777" w:rsidR="00677AAE" w:rsidRDefault="00677AAE" w:rsidP="00677AAE">
      <w:pPr>
        <w:jc w:val="both"/>
      </w:pPr>
      <w:r>
        <w:t>Mientras que a junio de 2021 y 2022 se reportaba un déficit fiscal más moderado, asociado al buen desempeño mostrado en los ingresos tributarios.</w:t>
      </w:r>
    </w:p>
    <w:p w14:paraId="537EB0B5" w14:textId="77777777" w:rsidR="00677AAE" w:rsidRDefault="00677AAE" w:rsidP="00677AAE">
      <w:pPr>
        <w:jc w:val="both"/>
      </w:pPr>
    </w:p>
    <w:p w14:paraId="3E4DFAFA" w14:textId="77777777" w:rsidR="00677AAE" w:rsidRDefault="00677AAE" w:rsidP="00677AAE">
      <w:pPr>
        <w:jc w:val="both"/>
      </w:pPr>
      <w:r>
        <w:t xml:space="preserve">En 2023, el déficit se debe en gran medida a la desaceleración en la recaudación tributaria, principalmente en el IVA importaciones, así como al dinamismo del gasto público, que, si bien se ha desacelerado respecto a los meses previos, se mantiene bastante alto respecto al grado de ejecución de los años anteriores. </w:t>
      </w:r>
    </w:p>
    <w:p w14:paraId="50A21FE3" w14:textId="77777777" w:rsidR="00677AAE" w:rsidRDefault="00677AAE" w:rsidP="00677AAE">
      <w:pPr>
        <w:jc w:val="both"/>
      </w:pPr>
    </w:p>
    <w:p w14:paraId="76AE23D9" w14:textId="77777777" w:rsidR="00677AAE" w:rsidRDefault="00677AAE" w:rsidP="00677AAE">
      <w:pPr>
        <w:jc w:val="both"/>
      </w:pPr>
      <w:r>
        <w:t xml:space="preserve">El rubro de bienes y servicios continúa apuntalando el gasto público, específicamente en el mantenimiento y reparación de carreteras y puentes, realizadas por el Ministerio de Comunicaciones, Infraestructura y Vivienda, siendo la entidad de la administración pública con el mayor nivel de crecimiento interanual. </w:t>
      </w:r>
    </w:p>
    <w:p w14:paraId="71B0DC0A" w14:textId="77777777" w:rsidR="00677AAE" w:rsidRDefault="00677AAE" w:rsidP="002F0385">
      <w:pPr>
        <w:jc w:val="both"/>
      </w:pPr>
    </w:p>
    <w:p w14:paraId="61AB6700" w14:textId="1AC04079" w:rsidR="002F0385" w:rsidRDefault="00041600" w:rsidP="002F0385">
      <w:pPr>
        <w:jc w:val="both"/>
      </w:pPr>
      <w:r>
        <w:t>E</w:t>
      </w:r>
      <w:r w:rsidR="002F0385">
        <w:t>s importante considerar que el déficit fiscal continuará ampliándose en los próximos meses, dada la dinámica en los ingresos y gastos, se espera un déficit fiscal para finales de año entorno al 1.7% del PIB, siendo igual al observado en 2022 (1.7%).</w:t>
      </w:r>
    </w:p>
    <w:p w14:paraId="079B5614" w14:textId="77777777" w:rsidR="002F0385" w:rsidRDefault="002F0385" w:rsidP="002F0385">
      <w:pPr>
        <w:jc w:val="both"/>
      </w:pPr>
    </w:p>
    <w:p w14:paraId="39A8230A" w14:textId="123DDC76" w:rsidR="00041600" w:rsidRDefault="002F0385" w:rsidP="00041600">
      <w:pPr>
        <w:jc w:val="both"/>
      </w:pPr>
      <w:r>
        <w:t xml:space="preserve">En cuando al financiamiento, al cierre de </w:t>
      </w:r>
      <w:r w:rsidR="00041600">
        <w:t>junio</w:t>
      </w:r>
      <w:r>
        <w:t xml:space="preserve"> se obtuvo un flujo </w:t>
      </w:r>
      <w:r w:rsidR="00041600">
        <w:t>positi</w:t>
      </w:r>
      <w:r>
        <w:t>vo en el endeudamiento externo neto por el equivalente a Q</w:t>
      </w:r>
      <w:r w:rsidR="00041600">
        <w:t>6,982</w:t>
      </w:r>
      <w:r>
        <w:t xml:space="preserve">.8 millones, dado que durante el mes se </w:t>
      </w:r>
      <w:r w:rsidR="00041600">
        <w:t>colocó US$1,000 millones (Q7,833.2 millones) en el mercado internacional por medio de un Eurobono. Esta emisión se realizó a un plazo de 12 años (con vencimiento en el 2035) y una tasa de cupón de 6.60%, en condiciones que todavía se consideran bastante favorables para el país, a pesar del entorno económico internacional y nacional de subida de tasa de política monetaria por parte de los Bancos Centrales como mecanismo para controlar la inflación y por consiguiente de las tasas de interés en los bancos del sistema financiero.</w:t>
      </w:r>
    </w:p>
    <w:p w14:paraId="6A3F65DF" w14:textId="77777777" w:rsidR="00041600" w:rsidRDefault="00041600" w:rsidP="00041600">
      <w:pPr>
        <w:jc w:val="both"/>
      </w:pPr>
    </w:p>
    <w:p w14:paraId="62B02ACC" w14:textId="3FBC83DF" w:rsidR="00041600" w:rsidRDefault="00041600" w:rsidP="00041600">
      <w:pPr>
        <w:jc w:val="both"/>
      </w:pPr>
      <w:r>
        <w:t>La demanda del Eurobono fue bastante significativa, alcanzando los US$3,200 millones, reflejando la confianza que tienen los inversionistas en los títulos de deuda que emite el Estado de Guatemala.</w:t>
      </w:r>
    </w:p>
    <w:p w14:paraId="3E1BCEBD" w14:textId="4BD70280" w:rsidR="00041600" w:rsidRDefault="00041600" w:rsidP="00041600">
      <w:pPr>
        <w:jc w:val="both"/>
      </w:pPr>
    </w:p>
    <w:p w14:paraId="1287BA2D" w14:textId="4C4493DC" w:rsidR="00041600" w:rsidRDefault="00041600" w:rsidP="00041600">
      <w:pPr>
        <w:jc w:val="both"/>
      </w:pPr>
      <w:r>
        <w:t>T</w:t>
      </w:r>
      <w:r w:rsidRPr="00041600">
        <w:t xml:space="preserve">omando en consideración las colocaciones de bonos del tesoro tanto en el mercado doméstico como internacional, hasta </w:t>
      </w:r>
      <w:r>
        <w:t>junio</w:t>
      </w:r>
      <w:r w:rsidRPr="00041600">
        <w:t xml:space="preserve"> se han adjudicado Q8,757.2 millones, de los cuales el 94.5% corresponde a nuevo endeudamiento y 5.5% a roll over, quedando pendientes de colocar Q7,450.1 millones.</w:t>
      </w:r>
    </w:p>
    <w:p w14:paraId="5AD44819" w14:textId="77777777" w:rsidR="00041600" w:rsidRDefault="00041600" w:rsidP="00041600">
      <w:pPr>
        <w:jc w:val="both"/>
      </w:pPr>
    </w:p>
    <w:p w14:paraId="7641772A" w14:textId="71AE61F6" w:rsidR="002F0385" w:rsidRDefault="002F0385" w:rsidP="002F0385">
      <w:pPr>
        <w:jc w:val="both"/>
      </w:pPr>
      <w:r>
        <w:t>Es importante comentar que en el Congreso de la República se encuentran cuatro préstamos en trámite de ser aprobados, del cual únicamente uno cuenta con Dictamen Favorable de la Comisión de Finanzas Públicas y Moneda siendo el Proyecto de Gestión Forestal Sostenible.</w:t>
      </w:r>
    </w:p>
    <w:p w14:paraId="49F11A6B" w14:textId="418F650B" w:rsidR="002F0385" w:rsidRDefault="002F0385" w:rsidP="002F0385">
      <w:pPr>
        <w:jc w:val="both"/>
      </w:pPr>
    </w:p>
    <w:p w14:paraId="47F5C2DB" w14:textId="37EBA559" w:rsidR="002F0385" w:rsidRPr="00BC315D" w:rsidRDefault="00BC315D" w:rsidP="00BC315D">
      <w:pPr>
        <w:pStyle w:val="Descripcin"/>
        <w:keepNext/>
        <w:spacing w:after="0"/>
        <w:jc w:val="center"/>
        <w:rPr>
          <w:b/>
          <w:bCs/>
          <w:i w:val="0"/>
          <w:iCs w:val="0"/>
          <w:color w:val="auto"/>
          <w:sz w:val="24"/>
          <w:szCs w:val="24"/>
        </w:rPr>
      </w:pPr>
      <w:bookmarkStart w:id="191" w:name="_Toc143871222"/>
      <w:r w:rsidRPr="00BC315D">
        <w:rPr>
          <w:b/>
          <w:bCs/>
          <w:i w:val="0"/>
          <w:iCs w:val="0"/>
          <w:color w:val="auto"/>
          <w:sz w:val="24"/>
          <w:szCs w:val="24"/>
        </w:rPr>
        <w:t xml:space="preserve">Tabla </w:t>
      </w:r>
      <w:r w:rsidRPr="00BC315D">
        <w:rPr>
          <w:b/>
          <w:bCs/>
          <w:i w:val="0"/>
          <w:iCs w:val="0"/>
          <w:color w:val="auto"/>
          <w:sz w:val="24"/>
          <w:szCs w:val="24"/>
        </w:rPr>
        <w:fldChar w:fldCharType="begin"/>
      </w:r>
      <w:r w:rsidRPr="00BC315D">
        <w:rPr>
          <w:b/>
          <w:bCs/>
          <w:i w:val="0"/>
          <w:iCs w:val="0"/>
          <w:color w:val="auto"/>
          <w:sz w:val="24"/>
          <w:szCs w:val="24"/>
        </w:rPr>
        <w:instrText xml:space="preserve"> SEQ Tabla \* ARABIC </w:instrText>
      </w:r>
      <w:r w:rsidRPr="00BC315D">
        <w:rPr>
          <w:b/>
          <w:bCs/>
          <w:i w:val="0"/>
          <w:iCs w:val="0"/>
          <w:color w:val="auto"/>
          <w:sz w:val="24"/>
          <w:szCs w:val="24"/>
        </w:rPr>
        <w:fldChar w:fldCharType="separate"/>
      </w:r>
      <w:r w:rsidR="006622B2">
        <w:rPr>
          <w:b/>
          <w:bCs/>
          <w:i w:val="0"/>
          <w:iCs w:val="0"/>
          <w:noProof/>
          <w:color w:val="auto"/>
          <w:sz w:val="24"/>
          <w:szCs w:val="24"/>
        </w:rPr>
        <w:t>15</w:t>
      </w:r>
      <w:r w:rsidRPr="00BC315D">
        <w:rPr>
          <w:b/>
          <w:bCs/>
          <w:i w:val="0"/>
          <w:iCs w:val="0"/>
          <w:color w:val="auto"/>
          <w:sz w:val="24"/>
          <w:szCs w:val="24"/>
        </w:rPr>
        <w:fldChar w:fldCharType="end"/>
      </w:r>
      <w:r w:rsidRPr="00BC315D">
        <w:rPr>
          <w:b/>
          <w:bCs/>
          <w:i w:val="0"/>
          <w:iCs w:val="0"/>
          <w:color w:val="auto"/>
          <w:sz w:val="24"/>
          <w:szCs w:val="24"/>
        </w:rPr>
        <w:t xml:space="preserve">.  </w:t>
      </w:r>
      <w:r w:rsidR="002F0385" w:rsidRPr="00BC315D">
        <w:rPr>
          <w:b/>
          <w:bCs/>
          <w:i w:val="0"/>
          <w:iCs w:val="0"/>
          <w:color w:val="auto"/>
          <w:sz w:val="24"/>
          <w:szCs w:val="24"/>
        </w:rPr>
        <w:t xml:space="preserve">Préstamos </w:t>
      </w:r>
      <w:r w:rsidR="00D31CC8">
        <w:rPr>
          <w:b/>
          <w:bCs/>
          <w:i w:val="0"/>
          <w:iCs w:val="0"/>
          <w:color w:val="auto"/>
          <w:sz w:val="24"/>
          <w:szCs w:val="24"/>
        </w:rPr>
        <w:t>r</w:t>
      </w:r>
      <w:r w:rsidR="002F0385" w:rsidRPr="00BC315D">
        <w:rPr>
          <w:b/>
          <w:bCs/>
          <w:i w:val="0"/>
          <w:iCs w:val="0"/>
          <w:color w:val="auto"/>
          <w:sz w:val="24"/>
          <w:szCs w:val="24"/>
        </w:rPr>
        <w:t xml:space="preserve">elevantes en </w:t>
      </w:r>
      <w:r w:rsidR="00D31CC8">
        <w:rPr>
          <w:b/>
          <w:bCs/>
          <w:i w:val="0"/>
          <w:iCs w:val="0"/>
          <w:color w:val="auto"/>
          <w:sz w:val="24"/>
          <w:szCs w:val="24"/>
        </w:rPr>
        <w:t>t</w:t>
      </w:r>
      <w:r w:rsidR="002F0385" w:rsidRPr="00BC315D">
        <w:rPr>
          <w:b/>
          <w:bCs/>
          <w:i w:val="0"/>
          <w:iCs w:val="0"/>
          <w:color w:val="auto"/>
          <w:sz w:val="24"/>
          <w:szCs w:val="24"/>
        </w:rPr>
        <w:t xml:space="preserve">rámite de </w:t>
      </w:r>
      <w:r w:rsidR="00D31CC8">
        <w:rPr>
          <w:b/>
          <w:bCs/>
          <w:i w:val="0"/>
          <w:iCs w:val="0"/>
          <w:color w:val="auto"/>
          <w:sz w:val="24"/>
          <w:szCs w:val="24"/>
        </w:rPr>
        <w:t>a</w:t>
      </w:r>
      <w:r w:rsidR="002F0385" w:rsidRPr="00BC315D">
        <w:rPr>
          <w:b/>
          <w:bCs/>
          <w:i w:val="0"/>
          <w:iCs w:val="0"/>
          <w:color w:val="auto"/>
          <w:sz w:val="24"/>
          <w:szCs w:val="24"/>
        </w:rPr>
        <w:t>probación</w:t>
      </w:r>
      <w:bookmarkEnd w:id="191"/>
    </w:p>
    <w:p w14:paraId="3A41331C" w14:textId="77777777" w:rsidR="002F0385" w:rsidRPr="00327D34" w:rsidRDefault="002F0385" w:rsidP="002F0385">
      <w:pPr>
        <w:spacing w:line="276" w:lineRule="auto"/>
        <w:ind w:left="562" w:right="1699"/>
        <w:jc w:val="center"/>
        <w:rPr>
          <w:sz w:val="20"/>
          <w:szCs w:val="20"/>
        </w:rPr>
      </w:pPr>
      <w:r w:rsidRPr="00327D34">
        <w:rPr>
          <w:sz w:val="20"/>
          <w:szCs w:val="20"/>
        </w:rPr>
        <w:t>Cifras en millones de US$ dólares</w:t>
      </w:r>
    </w:p>
    <w:tbl>
      <w:tblPr>
        <w:tblW w:w="8789" w:type="dxa"/>
        <w:tblInd w:w="-10" w:type="dxa"/>
        <w:tblCellMar>
          <w:left w:w="70" w:type="dxa"/>
          <w:right w:w="70" w:type="dxa"/>
        </w:tblCellMar>
        <w:tblLook w:val="04A0" w:firstRow="1" w:lastRow="0" w:firstColumn="1" w:lastColumn="0" w:noHBand="0" w:noVBand="1"/>
      </w:tblPr>
      <w:tblGrid>
        <w:gridCol w:w="1114"/>
        <w:gridCol w:w="3706"/>
        <w:gridCol w:w="1276"/>
        <w:gridCol w:w="1559"/>
        <w:gridCol w:w="1134"/>
      </w:tblGrid>
      <w:tr w:rsidR="002F0385" w:rsidRPr="003320EB" w14:paraId="7C65EB78" w14:textId="77777777" w:rsidTr="003320EB">
        <w:trPr>
          <w:trHeight w:val="418"/>
        </w:trPr>
        <w:tc>
          <w:tcPr>
            <w:tcW w:w="1114" w:type="dxa"/>
            <w:tcBorders>
              <w:top w:val="single" w:sz="8" w:space="0" w:color="auto"/>
              <w:left w:val="single" w:sz="8" w:space="0" w:color="auto"/>
              <w:bottom w:val="single" w:sz="8" w:space="0" w:color="auto"/>
              <w:right w:val="nil"/>
            </w:tcBorders>
            <w:shd w:val="clear" w:color="000000" w:fill="203764"/>
            <w:noWrap/>
            <w:vAlign w:val="center"/>
            <w:hideMark/>
          </w:tcPr>
          <w:p w14:paraId="7252940F" w14:textId="77777777" w:rsidR="002F0385" w:rsidRPr="003320EB" w:rsidRDefault="002F0385" w:rsidP="00582CA7">
            <w:pPr>
              <w:jc w:val="center"/>
              <w:rPr>
                <w:b/>
                <w:bCs/>
                <w:color w:val="FFFFFF"/>
                <w:sz w:val="18"/>
                <w:szCs w:val="18"/>
              </w:rPr>
            </w:pPr>
            <w:r w:rsidRPr="003320EB">
              <w:rPr>
                <w:b/>
                <w:bCs/>
                <w:color w:val="FFFFFF"/>
                <w:sz w:val="18"/>
                <w:szCs w:val="18"/>
              </w:rPr>
              <w:t>Iniciativa</w:t>
            </w:r>
          </w:p>
        </w:tc>
        <w:tc>
          <w:tcPr>
            <w:tcW w:w="3706" w:type="dxa"/>
            <w:tcBorders>
              <w:top w:val="single" w:sz="8" w:space="0" w:color="auto"/>
              <w:left w:val="nil"/>
              <w:bottom w:val="single" w:sz="8" w:space="0" w:color="auto"/>
              <w:right w:val="nil"/>
            </w:tcBorders>
            <w:shd w:val="clear" w:color="000000" w:fill="203764"/>
            <w:noWrap/>
            <w:vAlign w:val="center"/>
            <w:hideMark/>
          </w:tcPr>
          <w:p w14:paraId="6506E9F3" w14:textId="77777777" w:rsidR="002F0385" w:rsidRPr="003320EB" w:rsidRDefault="002F0385" w:rsidP="00582CA7">
            <w:pPr>
              <w:jc w:val="center"/>
              <w:rPr>
                <w:b/>
                <w:bCs/>
                <w:color w:val="FFFFFF"/>
                <w:sz w:val="18"/>
                <w:szCs w:val="18"/>
              </w:rPr>
            </w:pPr>
            <w:r w:rsidRPr="003320EB">
              <w:rPr>
                <w:b/>
                <w:bCs/>
                <w:color w:val="FFFFFF"/>
                <w:sz w:val="18"/>
                <w:szCs w:val="18"/>
              </w:rPr>
              <w:t xml:space="preserve">Nombre de Proyecto </w:t>
            </w:r>
          </w:p>
        </w:tc>
        <w:tc>
          <w:tcPr>
            <w:tcW w:w="1276" w:type="dxa"/>
            <w:tcBorders>
              <w:top w:val="single" w:sz="8" w:space="0" w:color="auto"/>
              <w:left w:val="nil"/>
              <w:bottom w:val="single" w:sz="8" w:space="0" w:color="auto"/>
              <w:right w:val="nil"/>
            </w:tcBorders>
            <w:shd w:val="clear" w:color="000000" w:fill="203764"/>
            <w:vAlign w:val="bottom"/>
            <w:hideMark/>
          </w:tcPr>
          <w:p w14:paraId="5549FBB3" w14:textId="77777777" w:rsidR="002F0385" w:rsidRPr="003320EB" w:rsidRDefault="002F0385" w:rsidP="00582CA7">
            <w:pPr>
              <w:jc w:val="center"/>
              <w:rPr>
                <w:b/>
                <w:bCs/>
                <w:color w:val="FFFFFF"/>
                <w:sz w:val="18"/>
                <w:szCs w:val="18"/>
              </w:rPr>
            </w:pPr>
            <w:r w:rsidRPr="003320EB">
              <w:rPr>
                <w:b/>
                <w:bCs/>
                <w:color w:val="FFFFFF"/>
                <w:sz w:val="18"/>
                <w:szCs w:val="18"/>
              </w:rPr>
              <w:t>Agencia Financiera</w:t>
            </w:r>
          </w:p>
        </w:tc>
        <w:tc>
          <w:tcPr>
            <w:tcW w:w="1559" w:type="dxa"/>
            <w:tcBorders>
              <w:top w:val="single" w:sz="8" w:space="0" w:color="auto"/>
              <w:left w:val="nil"/>
              <w:bottom w:val="single" w:sz="8" w:space="0" w:color="auto"/>
              <w:right w:val="nil"/>
            </w:tcBorders>
            <w:shd w:val="clear" w:color="000000" w:fill="203764"/>
            <w:vAlign w:val="bottom"/>
            <w:hideMark/>
          </w:tcPr>
          <w:p w14:paraId="1249D580" w14:textId="77777777" w:rsidR="002F0385" w:rsidRPr="003320EB" w:rsidRDefault="002F0385" w:rsidP="00582CA7">
            <w:pPr>
              <w:jc w:val="center"/>
              <w:rPr>
                <w:b/>
                <w:bCs/>
                <w:color w:val="FFFFFF"/>
                <w:sz w:val="18"/>
                <w:szCs w:val="18"/>
              </w:rPr>
            </w:pPr>
            <w:r w:rsidRPr="003320EB">
              <w:rPr>
                <w:b/>
                <w:bCs/>
                <w:color w:val="FFFFFF"/>
                <w:sz w:val="18"/>
                <w:szCs w:val="18"/>
              </w:rPr>
              <w:t>Entidad Ejecutora</w:t>
            </w:r>
          </w:p>
        </w:tc>
        <w:tc>
          <w:tcPr>
            <w:tcW w:w="1134" w:type="dxa"/>
            <w:tcBorders>
              <w:top w:val="single" w:sz="8" w:space="0" w:color="auto"/>
              <w:left w:val="nil"/>
              <w:bottom w:val="single" w:sz="8" w:space="0" w:color="auto"/>
              <w:right w:val="single" w:sz="8" w:space="0" w:color="auto"/>
            </w:tcBorders>
            <w:shd w:val="clear" w:color="000000" w:fill="203764"/>
            <w:vAlign w:val="bottom"/>
            <w:hideMark/>
          </w:tcPr>
          <w:p w14:paraId="35905050" w14:textId="77777777" w:rsidR="002F0385" w:rsidRPr="003320EB" w:rsidRDefault="002F0385" w:rsidP="00582CA7">
            <w:pPr>
              <w:jc w:val="center"/>
              <w:rPr>
                <w:b/>
                <w:bCs/>
                <w:color w:val="FFFFFF"/>
                <w:sz w:val="18"/>
                <w:szCs w:val="18"/>
              </w:rPr>
            </w:pPr>
            <w:r w:rsidRPr="003320EB">
              <w:rPr>
                <w:b/>
                <w:bCs/>
                <w:color w:val="FFFFFF"/>
                <w:sz w:val="18"/>
                <w:szCs w:val="18"/>
              </w:rPr>
              <w:t>Monto del préstamo</w:t>
            </w:r>
          </w:p>
        </w:tc>
      </w:tr>
      <w:tr w:rsidR="002F0385" w:rsidRPr="003320EB" w14:paraId="27370840" w14:textId="77777777" w:rsidTr="006C707E">
        <w:trPr>
          <w:trHeight w:val="300"/>
        </w:trPr>
        <w:tc>
          <w:tcPr>
            <w:tcW w:w="4820" w:type="dxa"/>
            <w:gridSpan w:val="2"/>
            <w:tcBorders>
              <w:top w:val="nil"/>
              <w:left w:val="single" w:sz="8" w:space="0" w:color="auto"/>
              <w:bottom w:val="nil"/>
              <w:right w:val="nil"/>
            </w:tcBorders>
            <w:shd w:val="clear" w:color="000000" w:fill="ACB9CA"/>
            <w:noWrap/>
            <w:vAlign w:val="center"/>
            <w:hideMark/>
          </w:tcPr>
          <w:p w14:paraId="6D0755B3" w14:textId="4BD927CA" w:rsidR="002F0385" w:rsidRPr="003320EB" w:rsidRDefault="002F0385" w:rsidP="006C707E">
            <w:pPr>
              <w:jc w:val="center"/>
              <w:rPr>
                <w:b/>
                <w:bCs/>
                <w:color w:val="000000"/>
                <w:sz w:val="18"/>
                <w:szCs w:val="18"/>
              </w:rPr>
            </w:pPr>
            <w:r w:rsidRPr="003320EB">
              <w:rPr>
                <w:b/>
                <w:bCs/>
                <w:color w:val="000000"/>
                <w:sz w:val="18"/>
                <w:szCs w:val="18"/>
              </w:rPr>
              <w:t>Total</w:t>
            </w:r>
          </w:p>
        </w:tc>
        <w:tc>
          <w:tcPr>
            <w:tcW w:w="1276" w:type="dxa"/>
            <w:tcBorders>
              <w:top w:val="nil"/>
              <w:left w:val="nil"/>
              <w:bottom w:val="nil"/>
              <w:right w:val="nil"/>
            </w:tcBorders>
            <w:shd w:val="clear" w:color="000000" w:fill="ACB9CA"/>
            <w:noWrap/>
            <w:vAlign w:val="center"/>
            <w:hideMark/>
          </w:tcPr>
          <w:p w14:paraId="4D6F9EA6" w14:textId="64D84773" w:rsidR="002F0385" w:rsidRPr="003320EB" w:rsidRDefault="002F0385" w:rsidP="006C707E">
            <w:pPr>
              <w:jc w:val="center"/>
              <w:rPr>
                <w:color w:val="000000"/>
                <w:sz w:val="18"/>
                <w:szCs w:val="18"/>
              </w:rPr>
            </w:pPr>
          </w:p>
        </w:tc>
        <w:tc>
          <w:tcPr>
            <w:tcW w:w="1559" w:type="dxa"/>
            <w:tcBorders>
              <w:top w:val="nil"/>
              <w:left w:val="nil"/>
              <w:bottom w:val="nil"/>
              <w:right w:val="nil"/>
            </w:tcBorders>
            <w:shd w:val="clear" w:color="000000" w:fill="ACB9CA"/>
            <w:noWrap/>
            <w:vAlign w:val="center"/>
            <w:hideMark/>
          </w:tcPr>
          <w:p w14:paraId="4E26326D" w14:textId="5839E32A" w:rsidR="002F0385" w:rsidRPr="003320EB" w:rsidRDefault="002F0385" w:rsidP="006C707E">
            <w:pPr>
              <w:jc w:val="center"/>
              <w:rPr>
                <w:color w:val="000000"/>
                <w:sz w:val="18"/>
                <w:szCs w:val="18"/>
              </w:rPr>
            </w:pPr>
          </w:p>
        </w:tc>
        <w:tc>
          <w:tcPr>
            <w:tcW w:w="1134" w:type="dxa"/>
            <w:tcBorders>
              <w:top w:val="nil"/>
              <w:left w:val="nil"/>
              <w:bottom w:val="nil"/>
              <w:right w:val="single" w:sz="8" w:space="0" w:color="auto"/>
            </w:tcBorders>
            <w:shd w:val="clear" w:color="000000" w:fill="ACB9CA"/>
            <w:noWrap/>
            <w:vAlign w:val="center"/>
            <w:hideMark/>
          </w:tcPr>
          <w:p w14:paraId="2A695D8F" w14:textId="77777777" w:rsidR="002F0385" w:rsidRPr="003320EB" w:rsidRDefault="002F0385" w:rsidP="006C707E">
            <w:pPr>
              <w:jc w:val="center"/>
              <w:rPr>
                <w:b/>
                <w:bCs/>
                <w:color w:val="000000"/>
                <w:sz w:val="18"/>
                <w:szCs w:val="18"/>
              </w:rPr>
            </w:pPr>
            <w:r w:rsidRPr="003320EB">
              <w:rPr>
                <w:b/>
                <w:bCs/>
                <w:color w:val="000000"/>
                <w:sz w:val="18"/>
                <w:szCs w:val="18"/>
              </w:rPr>
              <w:t>678.5</w:t>
            </w:r>
          </w:p>
        </w:tc>
      </w:tr>
      <w:tr w:rsidR="002F0385" w:rsidRPr="003320EB" w14:paraId="1F8F1A3D" w14:textId="77777777" w:rsidTr="003320EB">
        <w:trPr>
          <w:trHeight w:val="258"/>
        </w:trPr>
        <w:tc>
          <w:tcPr>
            <w:tcW w:w="1114" w:type="dxa"/>
            <w:tcBorders>
              <w:top w:val="nil"/>
              <w:left w:val="single" w:sz="8" w:space="0" w:color="auto"/>
              <w:bottom w:val="single" w:sz="4" w:space="0" w:color="auto"/>
              <w:right w:val="nil"/>
            </w:tcBorders>
            <w:shd w:val="clear" w:color="auto" w:fill="auto"/>
            <w:noWrap/>
            <w:vAlign w:val="center"/>
            <w:hideMark/>
          </w:tcPr>
          <w:p w14:paraId="054435CD" w14:textId="77777777" w:rsidR="002F0385" w:rsidRPr="003320EB" w:rsidRDefault="002F0385" w:rsidP="00582CA7">
            <w:pPr>
              <w:jc w:val="center"/>
              <w:rPr>
                <w:color w:val="000000"/>
                <w:sz w:val="18"/>
                <w:szCs w:val="18"/>
              </w:rPr>
            </w:pPr>
            <w:r w:rsidRPr="003320EB">
              <w:rPr>
                <w:color w:val="000000"/>
                <w:sz w:val="18"/>
                <w:szCs w:val="18"/>
              </w:rPr>
              <w:t>6080</w:t>
            </w:r>
          </w:p>
        </w:tc>
        <w:tc>
          <w:tcPr>
            <w:tcW w:w="3706" w:type="dxa"/>
            <w:tcBorders>
              <w:top w:val="nil"/>
              <w:left w:val="nil"/>
              <w:bottom w:val="single" w:sz="4" w:space="0" w:color="auto"/>
              <w:right w:val="nil"/>
            </w:tcBorders>
            <w:shd w:val="clear" w:color="auto" w:fill="auto"/>
            <w:vAlign w:val="center"/>
            <w:hideMark/>
          </w:tcPr>
          <w:p w14:paraId="24D0B5F1" w14:textId="77777777" w:rsidR="002F0385" w:rsidRPr="003320EB" w:rsidRDefault="002F0385" w:rsidP="00582CA7">
            <w:pPr>
              <w:rPr>
                <w:color w:val="000000"/>
                <w:sz w:val="18"/>
                <w:szCs w:val="18"/>
              </w:rPr>
            </w:pPr>
            <w:r w:rsidRPr="003320EB">
              <w:rPr>
                <w:color w:val="000000"/>
                <w:sz w:val="18"/>
                <w:szCs w:val="18"/>
              </w:rPr>
              <w:t>Proyecto de Gestión Forestal Sostenible (FIP)</w:t>
            </w:r>
          </w:p>
        </w:tc>
        <w:tc>
          <w:tcPr>
            <w:tcW w:w="1276" w:type="dxa"/>
            <w:tcBorders>
              <w:top w:val="nil"/>
              <w:left w:val="nil"/>
              <w:bottom w:val="single" w:sz="4" w:space="0" w:color="auto"/>
              <w:right w:val="nil"/>
            </w:tcBorders>
            <w:shd w:val="clear" w:color="auto" w:fill="auto"/>
            <w:noWrap/>
            <w:vAlign w:val="center"/>
            <w:hideMark/>
          </w:tcPr>
          <w:p w14:paraId="75E0A86D" w14:textId="77777777" w:rsidR="002F0385" w:rsidRPr="003320EB" w:rsidRDefault="002F0385" w:rsidP="00582CA7">
            <w:pPr>
              <w:jc w:val="center"/>
              <w:rPr>
                <w:color w:val="000000"/>
                <w:sz w:val="18"/>
                <w:szCs w:val="18"/>
              </w:rPr>
            </w:pPr>
            <w:r w:rsidRPr="003320EB">
              <w:rPr>
                <w:color w:val="000000"/>
                <w:sz w:val="18"/>
                <w:szCs w:val="18"/>
              </w:rPr>
              <w:t>BID</w:t>
            </w:r>
          </w:p>
        </w:tc>
        <w:tc>
          <w:tcPr>
            <w:tcW w:w="1559" w:type="dxa"/>
            <w:tcBorders>
              <w:top w:val="nil"/>
              <w:left w:val="nil"/>
              <w:bottom w:val="single" w:sz="4" w:space="0" w:color="auto"/>
              <w:right w:val="nil"/>
            </w:tcBorders>
            <w:shd w:val="clear" w:color="auto" w:fill="auto"/>
            <w:noWrap/>
            <w:vAlign w:val="center"/>
            <w:hideMark/>
          </w:tcPr>
          <w:p w14:paraId="46AA618C" w14:textId="77777777" w:rsidR="002F0385" w:rsidRPr="003320EB" w:rsidRDefault="002F0385" w:rsidP="00582CA7">
            <w:pPr>
              <w:jc w:val="center"/>
              <w:rPr>
                <w:color w:val="000000"/>
                <w:sz w:val="18"/>
                <w:szCs w:val="18"/>
              </w:rPr>
            </w:pPr>
            <w:r w:rsidRPr="003320EB">
              <w:rPr>
                <w:color w:val="000000"/>
                <w:sz w:val="18"/>
                <w:szCs w:val="18"/>
              </w:rPr>
              <w:t>INAB</w:t>
            </w:r>
          </w:p>
        </w:tc>
        <w:tc>
          <w:tcPr>
            <w:tcW w:w="1134" w:type="dxa"/>
            <w:tcBorders>
              <w:top w:val="nil"/>
              <w:left w:val="nil"/>
              <w:bottom w:val="single" w:sz="4" w:space="0" w:color="auto"/>
              <w:right w:val="single" w:sz="8" w:space="0" w:color="auto"/>
            </w:tcBorders>
            <w:shd w:val="clear" w:color="auto" w:fill="auto"/>
            <w:noWrap/>
            <w:vAlign w:val="center"/>
            <w:hideMark/>
          </w:tcPr>
          <w:p w14:paraId="116D0CC2" w14:textId="77777777" w:rsidR="002F0385" w:rsidRPr="003320EB" w:rsidRDefault="002F0385" w:rsidP="00582CA7">
            <w:pPr>
              <w:jc w:val="center"/>
              <w:rPr>
                <w:color w:val="000000"/>
                <w:sz w:val="18"/>
                <w:szCs w:val="18"/>
              </w:rPr>
            </w:pPr>
            <w:r w:rsidRPr="003320EB">
              <w:rPr>
                <w:color w:val="000000"/>
                <w:sz w:val="18"/>
                <w:szCs w:val="18"/>
              </w:rPr>
              <w:t>8.5</w:t>
            </w:r>
          </w:p>
        </w:tc>
      </w:tr>
      <w:tr w:rsidR="002F0385" w:rsidRPr="003320EB" w14:paraId="1ACE492B" w14:textId="77777777" w:rsidTr="003320EB">
        <w:trPr>
          <w:trHeight w:val="693"/>
        </w:trPr>
        <w:tc>
          <w:tcPr>
            <w:tcW w:w="1114" w:type="dxa"/>
            <w:tcBorders>
              <w:top w:val="nil"/>
              <w:left w:val="single" w:sz="8" w:space="0" w:color="auto"/>
              <w:bottom w:val="single" w:sz="4" w:space="0" w:color="auto"/>
              <w:right w:val="nil"/>
            </w:tcBorders>
            <w:shd w:val="clear" w:color="auto" w:fill="auto"/>
            <w:noWrap/>
            <w:vAlign w:val="center"/>
            <w:hideMark/>
          </w:tcPr>
          <w:p w14:paraId="4FEE4CA2" w14:textId="77777777" w:rsidR="002F0385" w:rsidRPr="003320EB" w:rsidRDefault="002F0385" w:rsidP="00582CA7">
            <w:pPr>
              <w:jc w:val="center"/>
              <w:rPr>
                <w:color w:val="000000"/>
                <w:sz w:val="18"/>
                <w:szCs w:val="18"/>
              </w:rPr>
            </w:pPr>
            <w:r w:rsidRPr="003320EB">
              <w:rPr>
                <w:color w:val="000000"/>
                <w:sz w:val="18"/>
                <w:szCs w:val="18"/>
              </w:rPr>
              <w:t>6190</w:t>
            </w:r>
          </w:p>
        </w:tc>
        <w:tc>
          <w:tcPr>
            <w:tcW w:w="3706" w:type="dxa"/>
            <w:tcBorders>
              <w:top w:val="nil"/>
              <w:left w:val="nil"/>
              <w:bottom w:val="single" w:sz="4" w:space="0" w:color="auto"/>
              <w:right w:val="nil"/>
            </w:tcBorders>
            <w:shd w:val="clear" w:color="auto" w:fill="auto"/>
            <w:vAlign w:val="center"/>
            <w:hideMark/>
          </w:tcPr>
          <w:p w14:paraId="03FEBEB8" w14:textId="77777777" w:rsidR="002F0385" w:rsidRPr="003320EB" w:rsidRDefault="002F0385" w:rsidP="00582CA7">
            <w:pPr>
              <w:rPr>
                <w:color w:val="000000"/>
                <w:sz w:val="18"/>
                <w:szCs w:val="18"/>
              </w:rPr>
            </w:pPr>
            <w:r w:rsidRPr="003320EB">
              <w:rPr>
                <w:color w:val="000000"/>
                <w:sz w:val="18"/>
                <w:szCs w:val="18"/>
              </w:rPr>
              <w:t>Segundo Préstamo para Políticas de Desarrollo de Respuesta y Recuperación ante la crisis en Guatemala (DPL) 2</w:t>
            </w:r>
          </w:p>
        </w:tc>
        <w:tc>
          <w:tcPr>
            <w:tcW w:w="1276" w:type="dxa"/>
            <w:tcBorders>
              <w:top w:val="nil"/>
              <w:left w:val="nil"/>
              <w:bottom w:val="single" w:sz="4" w:space="0" w:color="auto"/>
              <w:right w:val="nil"/>
            </w:tcBorders>
            <w:shd w:val="clear" w:color="auto" w:fill="auto"/>
            <w:noWrap/>
            <w:vAlign w:val="center"/>
            <w:hideMark/>
          </w:tcPr>
          <w:p w14:paraId="5EE7407B" w14:textId="77777777" w:rsidR="002F0385" w:rsidRPr="003320EB" w:rsidRDefault="002F0385" w:rsidP="00582CA7">
            <w:pPr>
              <w:jc w:val="center"/>
              <w:rPr>
                <w:color w:val="000000"/>
                <w:sz w:val="18"/>
                <w:szCs w:val="18"/>
              </w:rPr>
            </w:pPr>
            <w:r w:rsidRPr="003320EB">
              <w:rPr>
                <w:color w:val="000000"/>
                <w:sz w:val="18"/>
                <w:szCs w:val="18"/>
              </w:rPr>
              <w:t>BIRF</w:t>
            </w:r>
          </w:p>
        </w:tc>
        <w:tc>
          <w:tcPr>
            <w:tcW w:w="1559" w:type="dxa"/>
            <w:tcBorders>
              <w:top w:val="nil"/>
              <w:left w:val="nil"/>
              <w:bottom w:val="single" w:sz="4" w:space="0" w:color="auto"/>
              <w:right w:val="nil"/>
            </w:tcBorders>
            <w:shd w:val="clear" w:color="auto" w:fill="auto"/>
            <w:vAlign w:val="center"/>
            <w:hideMark/>
          </w:tcPr>
          <w:p w14:paraId="68A18BE4" w14:textId="77777777" w:rsidR="002F0385" w:rsidRPr="003320EB" w:rsidRDefault="002F0385" w:rsidP="00582CA7">
            <w:pPr>
              <w:jc w:val="center"/>
              <w:rPr>
                <w:color w:val="000000"/>
                <w:sz w:val="18"/>
                <w:szCs w:val="18"/>
              </w:rPr>
            </w:pPr>
            <w:r w:rsidRPr="003320EB">
              <w:rPr>
                <w:color w:val="000000"/>
                <w:sz w:val="18"/>
                <w:szCs w:val="18"/>
              </w:rPr>
              <w:t>Apoyo presupuestario</w:t>
            </w:r>
          </w:p>
        </w:tc>
        <w:tc>
          <w:tcPr>
            <w:tcW w:w="1134" w:type="dxa"/>
            <w:tcBorders>
              <w:top w:val="nil"/>
              <w:left w:val="nil"/>
              <w:bottom w:val="single" w:sz="4" w:space="0" w:color="auto"/>
              <w:right w:val="single" w:sz="8" w:space="0" w:color="auto"/>
            </w:tcBorders>
            <w:shd w:val="clear" w:color="auto" w:fill="auto"/>
            <w:noWrap/>
            <w:vAlign w:val="center"/>
            <w:hideMark/>
          </w:tcPr>
          <w:p w14:paraId="1880A889" w14:textId="77777777" w:rsidR="002F0385" w:rsidRPr="003320EB" w:rsidRDefault="002F0385" w:rsidP="00582CA7">
            <w:pPr>
              <w:jc w:val="center"/>
              <w:rPr>
                <w:color w:val="000000"/>
                <w:sz w:val="18"/>
                <w:szCs w:val="18"/>
              </w:rPr>
            </w:pPr>
            <w:r w:rsidRPr="003320EB">
              <w:rPr>
                <w:color w:val="000000"/>
                <w:sz w:val="18"/>
                <w:szCs w:val="18"/>
              </w:rPr>
              <w:t>250</w:t>
            </w:r>
          </w:p>
        </w:tc>
      </w:tr>
      <w:tr w:rsidR="002F0385" w:rsidRPr="003320EB" w14:paraId="7FBD15AC" w14:textId="77777777" w:rsidTr="003320EB">
        <w:trPr>
          <w:trHeight w:val="406"/>
        </w:trPr>
        <w:tc>
          <w:tcPr>
            <w:tcW w:w="1114" w:type="dxa"/>
            <w:tcBorders>
              <w:top w:val="nil"/>
              <w:left w:val="single" w:sz="8" w:space="0" w:color="auto"/>
              <w:bottom w:val="single" w:sz="4" w:space="0" w:color="auto"/>
              <w:right w:val="nil"/>
            </w:tcBorders>
            <w:shd w:val="clear" w:color="auto" w:fill="auto"/>
            <w:noWrap/>
            <w:vAlign w:val="center"/>
            <w:hideMark/>
          </w:tcPr>
          <w:p w14:paraId="76D9AF57" w14:textId="77777777" w:rsidR="002F0385" w:rsidRPr="003320EB" w:rsidRDefault="002F0385" w:rsidP="00582CA7">
            <w:pPr>
              <w:jc w:val="center"/>
              <w:rPr>
                <w:color w:val="000000"/>
                <w:sz w:val="18"/>
                <w:szCs w:val="18"/>
              </w:rPr>
            </w:pPr>
            <w:r w:rsidRPr="003320EB">
              <w:rPr>
                <w:color w:val="000000"/>
                <w:sz w:val="18"/>
                <w:szCs w:val="18"/>
              </w:rPr>
              <w:t>6197</w:t>
            </w:r>
          </w:p>
        </w:tc>
        <w:tc>
          <w:tcPr>
            <w:tcW w:w="3706" w:type="dxa"/>
            <w:tcBorders>
              <w:top w:val="nil"/>
              <w:left w:val="nil"/>
              <w:bottom w:val="single" w:sz="4" w:space="0" w:color="auto"/>
              <w:right w:val="nil"/>
            </w:tcBorders>
            <w:shd w:val="clear" w:color="auto" w:fill="auto"/>
            <w:vAlign w:val="center"/>
            <w:hideMark/>
          </w:tcPr>
          <w:p w14:paraId="182889B4" w14:textId="77777777" w:rsidR="002F0385" w:rsidRPr="003320EB" w:rsidRDefault="002F0385" w:rsidP="00582CA7">
            <w:pPr>
              <w:rPr>
                <w:color w:val="000000"/>
                <w:sz w:val="18"/>
                <w:szCs w:val="18"/>
              </w:rPr>
            </w:pPr>
            <w:r w:rsidRPr="003320EB">
              <w:rPr>
                <w:color w:val="000000"/>
                <w:sz w:val="18"/>
                <w:szCs w:val="18"/>
              </w:rPr>
              <w:t xml:space="preserve">Programa de Apoyo a la Mejora de la Calidad del Gasto Social </w:t>
            </w:r>
          </w:p>
        </w:tc>
        <w:tc>
          <w:tcPr>
            <w:tcW w:w="1276" w:type="dxa"/>
            <w:tcBorders>
              <w:top w:val="nil"/>
              <w:left w:val="nil"/>
              <w:bottom w:val="single" w:sz="4" w:space="0" w:color="auto"/>
              <w:right w:val="nil"/>
            </w:tcBorders>
            <w:shd w:val="clear" w:color="auto" w:fill="auto"/>
            <w:noWrap/>
            <w:vAlign w:val="center"/>
            <w:hideMark/>
          </w:tcPr>
          <w:p w14:paraId="663783D9" w14:textId="77777777" w:rsidR="002F0385" w:rsidRPr="003320EB" w:rsidRDefault="002F0385" w:rsidP="00582CA7">
            <w:pPr>
              <w:jc w:val="center"/>
              <w:rPr>
                <w:color w:val="000000"/>
                <w:sz w:val="18"/>
                <w:szCs w:val="18"/>
              </w:rPr>
            </w:pPr>
            <w:r w:rsidRPr="003320EB">
              <w:rPr>
                <w:color w:val="000000"/>
                <w:sz w:val="18"/>
                <w:szCs w:val="18"/>
              </w:rPr>
              <w:t>BID</w:t>
            </w:r>
          </w:p>
        </w:tc>
        <w:tc>
          <w:tcPr>
            <w:tcW w:w="1559" w:type="dxa"/>
            <w:tcBorders>
              <w:top w:val="nil"/>
              <w:left w:val="nil"/>
              <w:bottom w:val="single" w:sz="4" w:space="0" w:color="auto"/>
              <w:right w:val="nil"/>
            </w:tcBorders>
            <w:shd w:val="clear" w:color="auto" w:fill="auto"/>
            <w:vAlign w:val="center"/>
            <w:hideMark/>
          </w:tcPr>
          <w:p w14:paraId="7ACA0447" w14:textId="77777777" w:rsidR="002F0385" w:rsidRPr="003320EB" w:rsidRDefault="002F0385" w:rsidP="00582CA7">
            <w:pPr>
              <w:jc w:val="center"/>
              <w:rPr>
                <w:color w:val="000000"/>
                <w:sz w:val="18"/>
                <w:szCs w:val="18"/>
              </w:rPr>
            </w:pPr>
            <w:r w:rsidRPr="003320EB">
              <w:rPr>
                <w:color w:val="000000"/>
                <w:sz w:val="18"/>
                <w:szCs w:val="18"/>
              </w:rPr>
              <w:t>Apoyo presupuestario</w:t>
            </w:r>
          </w:p>
        </w:tc>
        <w:tc>
          <w:tcPr>
            <w:tcW w:w="1134" w:type="dxa"/>
            <w:tcBorders>
              <w:top w:val="nil"/>
              <w:left w:val="nil"/>
              <w:bottom w:val="single" w:sz="4" w:space="0" w:color="auto"/>
              <w:right w:val="single" w:sz="8" w:space="0" w:color="auto"/>
            </w:tcBorders>
            <w:shd w:val="clear" w:color="auto" w:fill="auto"/>
            <w:noWrap/>
            <w:vAlign w:val="center"/>
            <w:hideMark/>
          </w:tcPr>
          <w:p w14:paraId="33131FF0" w14:textId="77777777" w:rsidR="002F0385" w:rsidRPr="003320EB" w:rsidRDefault="002F0385" w:rsidP="00582CA7">
            <w:pPr>
              <w:jc w:val="center"/>
              <w:rPr>
                <w:color w:val="000000"/>
                <w:sz w:val="18"/>
                <w:szCs w:val="18"/>
              </w:rPr>
            </w:pPr>
            <w:r w:rsidRPr="003320EB">
              <w:rPr>
                <w:color w:val="000000"/>
                <w:sz w:val="18"/>
                <w:szCs w:val="18"/>
              </w:rPr>
              <w:t>300</w:t>
            </w:r>
          </w:p>
        </w:tc>
      </w:tr>
      <w:tr w:rsidR="002F0385" w:rsidRPr="003320EB" w14:paraId="54FB3054" w14:textId="77777777" w:rsidTr="003320EB">
        <w:trPr>
          <w:trHeight w:val="369"/>
        </w:trPr>
        <w:tc>
          <w:tcPr>
            <w:tcW w:w="1114" w:type="dxa"/>
            <w:tcBorders>
              <w:top w:val="nil"/>
              <w:left w:val="single" w:sz="8" w:space="0" w:color="auto"/>
              <w:bottom w:val="single" w:sz="8" w:space="0" w:color="auto"/>
              <w:right w:val="nil"/>
            </w:tcBorders>
            <w:shd w:val="clear" w:color="auto" w:fill="auto"/>
            <w:noWrap/>
            <w:vAlign w:val="center"/>
            <w:hideMark/>
          </w:tcPr>
          <w:p w14:paraId="13F55F5F" w14:textId="77777777" w:rsidR="002F0385" w:rsidRPr="003320EB" w:rsidRDefault="002F0385" w:rsidP="00582CA7">
            <w:pPr>
              <w:jc w:val="center"/>
              <w:rPr>
                <w:color w:val="000000"/>
                <w:sz w:val="18"/>
                <w:szCs w:val="18"/>
              </w:rPr>
            </w:pPr>
            <w:r w:rsidRPr="003320EB">
              <w:rPr>
                <w:color w:val="000000"/>
                <w:sz w:val="18"/>
                <w:szCs w:val="18"/>
              </w:rPr>
              <w:t>6173</w:t>
            </w:r>
          </w:p>
        </w:tc>
        <w:tc>
          <w:tcPr>
            <w:tcW w:w="3706" w:type="dxa"/>
            <w:tcBorders>
              <w:top w:val="nil"/>
              <w:left w:val="nil"/>
              <w:bottom w:val="single" w:sz="8" w:space="0" w:color="auto"/>
              <w:right w:val="nil"/>
            </w:tcBorders>
            <w:shd w:val="clear" w:color="auto" w:fill="auto"/>
            <w:vAlign w:val="center"/>
            <w:hideMark/>
          </w:tcPr>
          <w:p w14:paraId="47588AF7" w14:textId="77777777" w:rsidR="002F0385" w:rsidRPr="003320EB" w:rsidRDefault="002F0385" w:rsidP="00582CA7">
            <w:pPr>
              <w:rPr>
                <w:color w:val="000000"/>
                <w:sz w:val="18"/>
                <w:szCs w:val="18"/>
              </w:rPr>
            </w:pPr>
            <w:r w:rsidRPr="003320EB">
              <w:rPr>
                <w:color w:val="000000"/>
                <w:sz w:val="18"/>
                <w:szCs w:val="18"/>
              </w:rPr>
              <w:t>Programa de Infraestructura para la Electrificación Rural (PIER)</w:t>
            </w:r>
          </w:p>
        </w:tc>
        <w:tc>
          <w:tcPr>
            <w:tcW w:w="1276" w:type="dxa"/>
            <w:tcBorders>
              <w:top w:val="nil"/>
              <w:left w:val="nil"/>
              <w:bottom w:val="single" w:sz="8" w:space="0" w:color="auto"/>
              <w:right w:val="nil"/>
            </w:tcBorders>
            <w:shd w:val="clear" w:color="auto" w:fill="auto"/>
            <w:noWrap/>
            <w:vAlign w:val="center"/>
            <w:hideMark/>
          </w:tcPr>
          <w:p w14:paraId="2AD7FC33" w14:textId="77777777" w:rsidR="002F0385" w:rsidRPr="003320EB" w:rsidRDefault="002F0385" w:rsidP="00582CA7">
            <w:pPr>
              <w:jc w:val="center"/>
              <w:rPr>
                <w:color w:val="000000"/>
                <w:sz w:val="18"/>
                <w:szCs w:val="18"/>
              </w:rPr>
            </w:pPr>
            <w:r w:rsidRPr="003320EB">
              <w:rPr>
                <w:color w:val="000000"/>
                <w:sz w:val="18"/>
                <w:szCs w:val="18"/>
              </w:rPr>
              <w:t>BID</w:t>
            </w:r>
          </w:p>
        </w:tc>
        <w:tc>
          <w:tcPr>
            <w:tcW w:w="1559" w:type="dxa"/>
            <w:tcBorders>
              <w:top w:val="nil"/>
              <w:left w:val="nil"/>
              <w:bottom w:val="single" w:sz="8" w:space="0" w:color="auto"/>
              <w:right w:val="nil"/>
            </w:tcBorders>
            <w:shd w:val="clear" w:color="auto" w:fill="auto"/>
            <w:noWrap/>
            <w:vAlign w:val="center"/>
            <w:hideMark/>
          </w:tcPr>
          <w:p w14:paraId="3AF2FB88" w14:textId="77777777" w:rsidR="002F0385" w:rsidRPr="003320EB" w:rsidRDefault="002F0385" w:rsidP="00582CA7">
            <w:pPr>
              <w:jc w:val="center"/>
              <w:rPr>
                <w:color w:val="000000"/>
                <w:sz w:val="18"/>
                <w:szCs w:val="18"/>
              </w:rPr>
            </w:pPr>
            <w:r w:rsidRPr="003320EB">
              <w:rPr>
                <w:color w:val="000000"/>
                <w:sz w:val="18"/>
                <w:szCs w:val="18"/>
              </w:rPr>
              <w:t>INDE</w:t>
            </w:r>
          </w:p>
        </w:tc>
        <w:tc>
          <w:tcPr>
            <w:tcW w:w="1134" w:type="dxa"/>
            <w:tcBorders>
              <w:top w:val="nil"/>
              <w:left w:val="nil"/>
              <w:bottom w:val="single" w:sz="8" w:space="0" w:color="auto"/>
              <w:right w:val="single" w:sz="8" w:space="0" w:color="auto"/>
            </w:tcBorders>
            <w:shd w:val="clear" w:color="auto" w:fill="auto"/>
            <w:noWrap/>
            <w:vAlign w:val="center"/>
            <w:hideMark/>
          </w:tcPr>
          <w:p w14:paraId="16A8636E" w14:textId="77777777" w:rsidR="002F0385" w:rsidRPr="003320EB" w:rsidRDefault="002F0385" w:rsidP="00582CA7">
            <w:pPr>
              <w:jc w:val="center"/>
              <w:rPr>
                <w:color w:val="000000"/>
                <w:sz w:val="18"/>
                <w:szCs w:val="18"/>
              </w:rPr>
            </w:pPr>
            <w:r w:rsidRPr="003320EB">
              <w:rPr>
                <w:color w:val="000000"/>
                <w:sz w:val="18"/>
                <w:szCs w:val="18"/>
              </w:rPr>
              <w:t>120</w:t>
            </w:r>
          </w:p>
        </w:tc>
      </w:tr>
    </w:tbl>
    <w:p w14:paraId="3677DDB9" w14:textId="0DDC6FF7" w:rsidR="002F0385" w:rsidRDefault="002F0385" w:rsidP="002F0385">
      <w:pPr>
        <w:jc w:val="both"/>
        <w:rPr>
          <w:sz w:val="18"/>
          <w:szCs w:val="18"/>
        </w:rPr>
      </w:pPr>
      <w:r w:rsidRPr="005637C3">
        <w:rPr>
          <w:sz w:val="18"/>
          <w:szCs w:val="18"/>
        </w:rPr>
        <w:t>Fuente: Dirección de Crédito Público</w:t>
      </w:r>
      <w:r>
        <w:rPr>
          <w:sz w:val="18"/>
          <w:szCs w:val="18"/>
        </w:rPr>
        <w:t>.</w:t>
      </w:r>
    </w:p>
    <w:p w14:paraId="7521E151" w14:textId="77777777" w:rsidR="00734876" w:rsidRDefault="00734876" w:rsidP="002F0385">
      <w:pPr>
        <w:jc w:val="both"/>
      </w:pPr>
    </w:p>
    <w:p w14:paraId="14E0F196" w14:textId="29030D4C" w:rsidR="002F0385" w:rsidRPr="002F0385" w:rsidRDefault="002F0385" w:rsidP="002F0385">
      <w:pPr>
        <w:jc w:val="both"/>
      </w:pPr>
      <w:r w:rsidRPr="002F0385">
        <w:t xml:space="preserve">Son de suma </w:t>
      </w:r>
      <w:r w:rsidR="000E2118" w:rsidRPr="002F0385">
        <w:t>importan</w:t>
      </w:r>
      <w:r w:rsidR="000E2118">
        <w:t>cia</w:t>
      </w:r>
      <w:r w:rsidR="000E2118" w:rsidRPr="002F0385">
        <w:t xml:space="preserve"> </w:t>
      </w:r>
      <w:r w:rsidRPr="002F0385">
        <w:t xml:space="preserve">los préstamos de apoyo presupuestario, negociados con el Banco Internacional de Reconstrucción y Fomento (BIRF) por US$250 millones y con el Banco Interamericano de Desarrollo (BID) por US$300 millones, derivado que se incorporarían al Presupuesto el equivalente a los préstamos US$550.0 millones (alrededor de Q4,290 millones), por medio de una sustitución de fuente de financiamiento, liberando recursos de la colocación de bonos del tesoro, todo ello sin incrementar el Presupuesto General de Egresos vigente para el 2023, porque ello no representaría ingresos </w:t>
      </w:r>
      <w:r w:rsidR="000E2118">
        <w:t>ni</w:t>
      </w:r>
      <w:r w:rsidRPr="002F0385">
        <w:t xml:space="preserve"> gastos adicionales. </w:t>
      </w:r>
    </w:p>
    <w:p w14:paraId="14A0D199" w14:textId="77777777" w:rsidR="002F0385" w:rsidRPr="002F0385" w:rsidRDefault="002F0385" w:rsidP="002F0385">
      <w:pPr>
        <w:jc w:val="both"/>
      </w:pPr>
    </w:p>
    <w:p w14:paraId="7895A6B5" w14:textId="77777777" w:rsidR="002F0385" w:rsidRPr="002F0385" w:rsidRDefault="002F0385" w:rsidP="002F0385">
      <w:pPr>
        <w:jc w:val="both"/>
      </w:pPr>
      <w:r w:rsidRPr="002F0385">
        <w:t>En el caso del “Segundo Préstamo para Políticas de Desarrollo de Respuesta y Recuperación ante la Crisis en Guatemala” negociado con el BIRF, se considera relevante por sus condiciones financieras favorables con un plazo de amortización de 17.5 años que incluye hasta 5 años de período de gracia y una tasa de interés variable de 4.59%. Además, incluye el pago de una comisión inicial de hasta 0.25 del 1% y una comisión de compromiso de hasta 0.25 del 1%. Esta sustitución representaría un ahorro de Q984.2 millones en comparación a una emisión local de 20 años.</w:t>
      </w:r>
    </w:p>
    <w:p w14:paraId="20295C93" w14:textId="77777777" w:rsidR="002F0385" w:rsidRPr="002F0385" w:rsidRDefault="002F0385" w:rsidP="002F0385">
      <w:pPr>
        <w:jc w:val="both"/>
      </w:pPr>
    </w:p>
    <w:p w14:paraId="6DD13FC0" w14:textId="77777777" w:rsidR="002F0385" w:rsidRPr="002F0385" w:rsidRDefault="002F0385" w:rsidP="002F0385">
      <w:pPr>
        <w:jc w:val="both"/>
      </w:pPr>
      <w:r w:rsidRPr="002F0385">
        <w:t>Por su parte, el préstamo “Programa de Apoyo a la Mejora de la Calidad del Gasto Social” negociado con el BID, también considera condiciones financieras bastante favorables, con un plazo de amortización de 18 años que incluye hasta 5.375 años de período de gracia y una tasa de interés variable de 5.10%. Además, incluye el pago de una comisión de crédito de hasta 0.75%. Esta sustitución representaría un ahorro de Q1,064.1 millones en comparación a una emisión local de 20 años.</w:t>
      </w:r>
    </w:p>
    <w:p w14:paraId="0F87AC7A" w14:textId="77777777" w:rsidR="002F0385" w:rsidRPr="002F0385" w:rsidRDefault="002F0385" w:rsidP="002F0385">
      <w:pPr>
        <w:jc w:val="both"/>
      </w:pPr>
    </w:p>
    <w:p w14:paraId="62F08462" w14:textId="77777777" w:rsidR="002F0385" w:rsidRPr="002F0385" w:rsidRDefault="002F0385" w:rsidP="002F0385">
      <w:pPr>
        <w:jc w:val="both"/>
      </w:pPr>
      <w:r w:rsidRPr="002F0385">
        <w:t xml:space="preserve">Estos préstamos cobran relevancia, dado el contexto internacional y nacional de subida de tasas de interés, donde las subidas de tasas encarecen el costo financiero para el Estado de realizar estas operaciones en el mercado internacional y doméstico. </w:t>
      </w:r>
    </w:p>
    <w:p w14:paraId="677B5EBA" w14:textId="3377AD48" w:rsidR="00406ABC" w:rsidRDefault="00406ABC" w:rsidP="002F0385">
      <w:pPr>
        <w:jc w:val="both"/>
      </w:pPr>
    </w:p>
    <w:p w14:paraId="6F0F34BD" w14:textId="7D8063C5" w:rsidR="002F0385" w:rsidRPr="00BC315D" w:rsidRDefault="00BC315D" w:rsidP="00BC315D">
      <w:pPr>
        <w:pStyle w:val="Descripcin"/>
        <w:spacing w:after="0"/>
        <w:jc w:val="center"/>
        <w:rPr>
          <w:b/>
          <w:bCs/>
          <w:i w:val="0"/>
          <w:iCs w:val="0"/>
          <w:color w:val="auto"/>
          <w:sz w:val="24"/>
          <w:szCs w:val="24"/>
        </w:rPr>
      </w:pPr>
      <w:bookmarkStart w:id="192" w:name="_Toc143870746"/>
      <w:r w:rsidRPr="00BC315D">
        <w:rPr>
          <w:b/>
          <w:bCs/>
          <w:i w:val="0"/>
          <w:iCs w:val="0"/>
          <w:color w:val="auto"/>
          <w:sz w:val="24"/>
          <w:szCs w:val="24"/>
        </w:rPr>
        <w:t xml:space="preserve">Gráfico </w:t>
      </w:r>
      <w:r w:rsidRPr="00BC315D">
        <w:rPr>
          <w:b/>
          <w:bCs/>
          <w:i w:val="0"/>
          <w:iCs w:val="0"/>
          <w:color w:val="auto"/>
          <w:sz w:val="24"/>
          <w:szCs w:val="24"/>
        </w:rPr>
        <w:fldChar w:fldCharType="begin"/>
      </w:r>
      <w:r w:rsidRPr="00BC315D">
        <w:rPr>
          <w:b/>
          <w:bCs/>
          <w:i w:val="0"/>
          <w:iCs w:val="0"/>
          <w:color w:val="auto"/>
          <w:sz w:val="24"/>
          <w:szCs w:val="24"/>
        </w:rPr>
        <w:instrText xml:space="preserve"> SEQ Gráfico \* ARABIC </w:instrText>
      </w:r>
      <w:r w:rsidRPr="00BC315D">
        <w:rPr>
          <w:b/>
          <w:bCs/>
          <w:i w:val="0"/>
          <w:iCs w:val="0"/>
          <w:color w:val="auto"/>
          <w:sz w:val="24"/>
          <w:szCs w:val="24"/>
        </w:rPr>
        <w:fldChar w:fldCharType="separate"/>
      </w:r>
      <w:r w:rsidR="006622B2">
        <w:rPr>
          <w:b/>
          <w:bCs/>
          <w:i w:val="0"/>
          <w:iCs w:val="0"/>
          <w:noProof/>
          <w:color w:val="auto"/>
          <w:sz w:val="24"/>
          <w:szCs w:val="24"/>
        </w:rPr>
        <w:t>79</w:t>
      </w:r>
      <w:r w:rsidRPr="00BC315D">
        <w:rPr>
          <w:b/>
          <w:bCs/>
          <w:i w:val="0"/>
          <w:iCs w:val="0"/>
          <w:color w:val="auto"/>
          <w:sz w:val="24"/>
          <w:szCs w:val="24"/>
        </w:rPr>
        <w:fldChar w:fldCharType="end"/>
      </w:r>
      <w:r w:rsidRPr="00BC315D">
        <w:rPr>
          <w:b/>
          <w:bCs/>
          <w:i w:val="0"/>
          <w:iCs w:val="0"/>
          <w:color w:val="auto"/>
          <w:sz w:val="24"/>
          <w:szCs w:val="24"/>
        </w:rPr>
        <w:t xml:space="preserve">.  Colocación de </w:t>
      </w:r>
      <w:r w:rsidR="00D31CC8">
        <w:rPr>
          <w:b/>
          <w:bCs/>
          <w:i w:val="0"/>
          <w:iCs w:val="0"/>
          <w:color w:val="auto"/>
          <w:sz w:val="24"/>
          <w:szCs w:val="24"/>
        </w:rPr>
        <w:t>b</w:t>
      </w:r>
      <w:r w:rsidRPr="00BC315D">
        <w:rPr>
          <w:b/>
          <w:bCs/>
          <w:i w:val="0"/>
          <w:iCs w:val="0"/>
          <w:color w:val="auto"/>
          <w:sz w:val="24"/>
          <w:szCs w:val="24"/>
        </w:rPr>
        <w:t xml:space="preserve">onos del </w:t>
      </w:r>
      <w:r w:rsidR="00D31CC8">
        <w:rPr>
          <w:b/>
          <w:bCs/>
          <w:i w:val="0"/>
          <w:iCs w:val="0"/>
          <w:color w:val="auto"/>
          <w:sz w:val="24"/>
          <w:szCs w:val="24"/>
        </w:rPr>
        <w:t>t</w:t>
      </w:r>
      <w:r w:rsidRPr="00BC315D">
        <w:rPr>
          <w:b/>
          <w:bCs/>
          <w:i w:val="0"/>
          <w:iCs w:val="0"/>
          <w:color w:val="auto"/>
          <w:sz w:val="24"/>
          <w:szCs w:val="24"/>
        </w:rPr>
        <w:t xml:space="preserve">esoro a </w:t>
      </w:r>
      <w:r w:rsidR="00734876">
        <w:rPr>
          <w:b/>
          <w:bCs/>
          <w:i w:val="0"/>
          <w:iCs w:val="0"/>
          <w:color w:val="auto"/>
          <w:sz w:val="24"/>
          <w:szCs w:val="24"/>
        </w:rPr>
        <w:t>junio</w:t>
      </w:r>
      <w:r w:rsidRPr="00BC315D">
        <w:rPr>
          <w:b/>
          <w:bCs/>
          <w:i w:val="0"/>
          <w:iCs w:val="0"/>
          <w:color w:val="auto"/>
          <w:sz w:val="24"/>
          <w:szCs w:val="24"/>
        </w:rPr>
        <w:t xml:space="preserve"> 2023</w:t>
      </w:r>
      <w:bookmarkEnd w:id="192"/>
    </w:p>
    <w:p w14:paraId="53BC0D84" w14:textId="0F15C1B5" w:rsidR="002F0385" w:rsidRDefault="002F0385" w:rsidP="002F0385">
      <w:pPr>
        <w:jc w:val="both"/>
      </w:pPr>
      <w:r>
        <w:rPr>
          <w:noProof/>
          <w:sz w:val="15"/>
        </w:rPr>
        <w:drawing>
          <wp:anchor distT="0" distB="0" distL="114300" distR="114300" simplePos="0" relativeHeight="251704320" behindDoc="0" locked="0" layoutInCell="1" allowOverlap="1" wp14:anchorId="50B5013D" wp14:editId="41BC8739">
            <wp:simplePos x="0" y="0"/>
            <wp:positionH relativeFrom="column">
              <wp:posOffset>700405</wp:posOffset>
            </wp:positionH>
            <wp:positionV relativeFrom="paragraph">
              <wp:posOffset>6985</wp:posOffset>
            </wp:positionV>
            <wp:extent cx="4237990" cy="2082800"/>
            <wp:effectExtent l="0" t="0" r="0" b="0"/>
            <wp:wrapSquare wrapText="bothSides"/>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14:sizeRelH relativeFrom="page">
              <wp14:pctWidth>0</wp14:pctWidth>
            </wp14:sizeRelH>
            <wp14:sizeRelV relativeFrom="page">
              <wp14:pctHeight>0</wp14:pctHeight>
            </wp14:sizeRelV>
          </wp:anchor>
        </w:drawing>
      </w:r>
    </w:p>
    <w:p w14:paraId="13ACA09F" w14:textId="609AB1E0" w:rsidR="002F0385" w:rsidRDefault="002F0385" w:rsidP="002F0385">
      <w:pPr>
        <w:jc w:val="both"/>
      </w:pPr>
    </w:p>
    <w:p w14:paraId="29A6CE78" w14:textId="7F4BA13D" w:rsidR="002F0385" w:rsidRDefault="002F0385" w:rsidP="002F0385">
      <w:pPr>
        <w:jc w:val="both"/>
      </w:pPr>
    </w:p>
    <w:p w14:paraId="1375A496" w14:textId="2337D90C" w:rsidR="002F0385" w:rsidRDefault="002F0385" w:rsidP="002F0385">
      <w:pPr>
        <w:jc w:val="both"/>
      </w:pPr>
    </w:p>
    <w:p w14:paraId="308E70EF" w14:textId="77777777" w:rsidR="002F0385" w:rsidRPr="002F0385" w:rsidRDefault="002F0385" w:rsidP="002F0385">
      <w:pPr>
        <w:jc w:val="both"/>
      </w:pPr>
    </w:p>
    <w:p w14:paraId="435DF253" w14:textId="77777777" w:rsidR="002F0385" w:rsidRDefault="002F0385" w:rsidP="002F0385">
      <w:pPr>
        <w:jc w:val="both"/>
      </w:pPr>
    </w:p>
    <w:p w14:paraId="30E63640" w14:textId="0ABC10AB" w:rsidR="00B425B8" w:rsidRDefault="00B425B8" w:rsidP="00B425B8">
      <w:pPr>
        <w:jc w:val="both"/>
      </w:pPr>
    </w:p>
    <w:p w14:paraId="6BD8144F" w14:textId="6F217A1D" w:rsidR="00B425B8" w:rsidRDefault="00B425B8" w:rsidP="00B425B8">
      <w:pPr>
        <w:jc w:val="both"/>
      </w:pPr>
    </w:p>
    <w:p w14:paraId="72569C0C" w14:textId="7FAD7FC0" w:rsidR="002F0385" w:rsidRDefault="002F0385" w:rsidP="00B425B8">
      <w:pPr>
        <w:jc w:val="both"/>
      </w:pPr>
    </w:p>
    <w:p w14:paraId="3E0AF1A5" w14:textId="44E51B63" w:rsidR="002F0385" w:rsidRDefault="002F0385" w:rsidP="00B425B8">
      <w:pPr>
        <w:jc w:val="both"/>
      </w:pPr>
    </w:p>
    <w:p w14:paraId="245873A4" w14:textId="705929C6" w:rsidR="002F0385" w:rsidRDefault="002F0385" w:rsidP="00B425B8">
      <w:pPr>
        <w:jc w:val="both"/>
      </w:pPr>
    </w:p>
    <w:p w14:paraId="27A490E9" w14:textId="4D929733" w:rsidR="002F0385" w:rsidRDefault="002F0385" w:rsidP="00327D34">
      <w:pPr>
        <w:ind w:left="708" w:firstLine="708"/>
        <w:jc w:val="both"/>
        <w:rPr>
          <w:sz w:val="18"/>
          <w:szCs w:val="18"/>
        </w:rPr>
      </w:pPr>
      <w:r w:rsidRPr="002F0385">
        <w:rPr>
          <w:sz w:val="18"/>
          <w:szCs w:val="18"/>
        </w:rPr>
        <w:t>Fuente: Dirección de Crédito Público</w:t>
      </w:r>
      <w:r>
        <w:rPr>
          <w:sz w:val="18"/>
          <w:szCs w:val="18"/>
        </w:rPr>
        <w:t>.</w:t>
      </w:r>
    </w:p>
    <w:p w14:paraId="0BBF4F1B" w14:textId="454A6E8A" w:rsidR="002F0385" w:rsidRPr="002F0385" w:rsidRDefault="002F0385" w:rsidP="00B425B8">
      <w:pPr>
        <w:jc w:val="both"/>
      </w:pPr>
    </w:p>
    <w:p w14:paraId="6C8B578E" w14:textId="77777777" w:rsidR="005D564F" w:rsidRDefault="005D564F" w:rsidP="005D564F">
      <w:pPr>
        <w:jc w:val="both"/>
      </w:pPr>
      <w:r>
        <w:t xml:space="preserve">Es relevante indicar que en la sesión celebrada el 28 de junio, la Junta Monetaria decidió por unanimidad mantener en 5.0% el nivel de la tasa de interés de política monetaria, siendo la tercera vez consecutiva que decide mantener la tasa en dicho nivel. </w:t>
      </w:r>
    </w:p>
    <w:p w14:paraId="4C4518D7" w14:textId="77777777" w:rsidR="005D564F" w:rsidRDefault="005D564F" w:rsidP="005D564F">
      <w:pPr>
        <w:jc w:val="both"/>
      </w:pPr>
    </w:p>
    <w:p w14:paraId="38AADE5E" w14:textId="11D6D689" w:rsidR="005D564F" w:rsidRDefault="005D564F" w:rsidP="005D564F">
      <w:pPr>
        <w:jc w:val="both"/>
      </w:pPr>
      <w:r>
        <w:t>Lo anterior derivado que a nivel internacional las proyecciones de la actividad económica mundial evidencian crecimientos positivos para este año y el siguiente, asimismo, la inflación internacional ha empezado a ceder, particularmente la de los principales socios comerciales de Guatemala, aunque aún se encuentra por encima de las metas de la mayoría de bancos centrales.</w:t>
      </w:r>
    </w:p>
    <w:p w14:paraId="79F104DB" w14:textId="77777777" w:rsidR="005D564F" w:rsidRDefault="005D564F" w:rsidP="005D564F">
      <w:pPr>
        <w:jc w:val="both"/>
      </w:pPr>
    </w:p>
    <w:p w14:paraId="564E1CA4" w14:textId="4360F437" w:rsidR="005D564F" w:rsidRDefault="005D564F" w:rsidP="005D564F">
      <w:pPr>
        <w:jc w:val="both"/>
      </w:pPr>
      <w:r>
        <w:t>La inflación de junio continúo reduciéndose al ubicarse en 4.93% (6.54% en mayo) como resultado del esfuerzo del Banco de Guatemala en mantener ancladas las expectativas inflacionarias con aumentos en la tasa de interés líder de política monetaria. De acuerdo al Banguat, tanto los pronósticos como las expectativas muestran que la inflación mantendría la trayectoria decreciente que convergería a la meta de 4% ±1% para final del año.</w:t>
      </w:r>
    </w:p>
    <w:p w14:paraId="5AD1ADCA" w14:textId="77777777" w:rsidR="005D564F" w:rsidRDefault="005D564F" w:rsidP="002F0385">
      <w:pPr>
        <w:jc w:val="both"/>
      </w:pPr>
    </w:p>
    <w:p w14:paraId="0F577682" w14:textId="15EA6608" w:rsidR="002F0385" w:rsidRDefault="005D564F" w:rsidP="002F0385">
      <w:pPr>
        <w:jc w:val="both"/>
      </w:pPr>
      <w:r>
        <w:t xml:space="preserve">Derivado de los </w:t>
      </w:r>
      <w:r w:rsidR="002F0385">
        <w:t xml:space="preserve">incrementos </w:t>
      </w:r>
      <w:r>
        <w:t xml:space="preserve">anteriores </w:t>
      </w:r>
      <w:r w:rsidR="002F0385">
        <w:t xml:space="preserve">de la tasa líder de política monetaria, los inversionistas </w:t>
      </w:r>
      <w:r>
        <w:t>tienen la expectativa de</w:t>
      </w:r>
      <w:r w:rsidR="002F0385">
        <w:t xml:space="preserve"> aumentar sus rendimientos, pero el costo financiero para el Estado aumenta, cambiando las condiciones financieras favorables que se habían obtenido en años anteriores. </w:t>
      </w:r>
    </w:p>
    <w:p w14:paraId="5C58F13C" w14:textId="77777777" w:rsidR="006A5236" w:rsidRDefault="006A5236" w:rsidP="002F0385">
      <w:pPr>
        <w:jc w:val="both"/>
      </w:pPr>
    </w:p>
    <w:p w14:paraId="537F72A8" w14:textId="412E0FC2" w:rsidR="002F0385" w:rsidRDefault="002F0385" w:rsidP="002F0385">
      <w:pPr>
        <w:jc w:val="both"/>
      </w:pPr>
      <w:r>
        <w:t>La tasa ponderada que se ha alcanzado en moneda nacional asciende a 7.2% siendo el plazo promedio de colocación de 1</w:t>
      </w:r>
      <w:r w:rsidR="006A5236">
        <w:t>5</w:t>
      </w:r>
      <w:r>
        <w:t>.</w:t>
      </w:r>
      <w:r w:rsidR="006A5236">
        <w:t>6</w:t>
      </w:r>
      <w:r>
        <w:t xml:space="preserve"> años, se observa un aumento en la tasa respecto a las colocaciones de años anteriores, siendo la tasa más alta desde 2015. Asimismo, se observa una caída en el plazo de colocación, todo esto presionado por el alza en la tasa líder de política monetaria aplicada por el Banco de Guatemala como consecuencia de la elevada inflación, así como la coyuntura internacional prevaleciente. Por su parte, </w:t>
      </w:r>
      <w:r w:rsidR="006A5236">
        <w:t xml:space="preserve">también </w:t>
      </w:r>
      <w:r>
        <w:t>se han realizado colocaciones en dólares en el mercado doméstico</w:t>
      </w:r>
      <w:r w:rsidR="006A5236">
        <w:t>, aumentando la tasa a 6.0% y manteniendo el plazo promedio de colocación en 15 años.</w:t>
      </w:r>
    </w:p>
    <w:p w14:paraId="28CA339B" w14:textId="77777777" w:rsidR="000E2118" w:rsidRDefault="000E2118" w:rsidP="002F0385">
      <w:pPr>
        <w:jc w:val="both"/>
      </w:pPr>
    </w:p>
    <w:p w14:paraId="0BC45050" w14:textId="4DF298B4" w:rsidR="00BC315D" w:rsidRDefault="00BC315D" w:rsidP="00BC315D">
      <w:pPr>
        <w:pStyle w:val="Descripcin"/>
        <w:spacing w:after="0"/>
        <w:jc w:val="center"/>
        <w:rPr>
          <w:b/>
          <w:bCs/>
          <w:i w:val="0"/>
          <w:iCs w:val="0"/>
          <w:color w:val="auto"/>
          <w:sz w:val="24"/>
          <w:szCs w:val="24"/>
        </w:rPr>
      </w:pPr>
      <w:bookmarkStart w:id="193" w:name="_Toc143870747"/>
      <w:r w:rsidRPr="00BC315D">
        <w:rPr>
          <w:b/>
          <w:bCs/>
          <w:i w:val="0"/>
          <w:iCs w:val="0"/>
          <w:color w:val="auto"/>
          <w:sz w:val="24"/>
          <w:szCs w:val="24"/>
        </w:rPr>
        <w:t xml:space="preserve">Gráfico </w:t>
      </w:r>
      <w:r w:rsidRPr="00BC315D">
        <w:rPr>
          <w:b/>
          <w:bCs/>
          <w:i w:val="0"/>
          <w:iCs w:val="0"/>
          <w:color w:val="auto"/>
          <w:sz w:val="24"/>
          <w:szCs w:val="24"/>
        </w:rPr>
        <w:fldChar w:fldCharType="begin"/>
      </w:r>
      <w:r w:rsidRPr="00BC315D">
        <w:rPr>
          <w:b/>
          <w:bCs/>
          <w:i w:val="0"/>
          <w:iCs w:val="0"/>
          <w:color w:val="auto"/>
          <w:sz w:val="24"/>
          <w:szCs w:val="24"/>
        </w:rPr>
        <w:instrText xml:space="preserve"> SEQ Gráfico \* ARABIC </w:instrText>
      </w:r>
      <w:r w:rsidRPr="00BC315D">
        <w:rPr>
          <w:b/>
          <w:bCs/>
          <w:i w:val="0"/>
          <w:iCs w:val="0"/>
          <w:color w:val="auto"/>
          <w:sz w:val="24"/>
          <w:szCs w:val="24"/>
        </w:rPr>
        <w:fldChar w:fldCharType="separate"/>
      </w:r>
      <w:r w:rsidR="006622B2">
        <w:rPr>
          <w:b/>
          <w:bCs/>
          <w:i w:val="0"/>
          <w:iCs w:val="0"/>
          <w:noProof/>
          <w:color w:val="auto"/>
          <w:sz w:val="24"/>
          <w:szCs w:val="24"/>
        </w:rPr>
        <w:t>80</w:t>
      </w:r>
      <w:r w:rsidRPr="00BC315D">
        <w:rPr>
          <w:b/>
          <w:bCs/>
          <w:i w:val="0"/>
          <w:iCs w:val="0"/>
          <w:color w:val="auto"/>
          <w:sz w:val="24"/>
          <w:szCs w:val="24"/>
        </w:rPr>
        <w:fldChar w:fldCharType="end"/>
      </w:r>
      <w:r w:rsidRPr="00BC315D">
        <w:rPr>
          <w:b/>
          <w:bCs/>
          <w:i w:val="0"/>
          <w:iCs w:val="0"/>
          <w:color w:val="auto"/>
          <w:sz w:val="24"/>
          <w:szCs w:val="24"/>
        </w:rPr>
        <w:t>.  Plazo y rendimiento histórico de la colocación de bonos del tesoro en moneda nacional</w:t>
      </w:r>
      <w:bookmarkEnd w:id="193"/>
    </w:p>
    <w:p w14:paraId="35EB5769" w14:textId="61673E34" w:rsidR="005750AF" w:rsidRPr="005750AF" w:rsidRDefault="005750AF" w:rsidP="005750AF">
      <w:pPr>
        <w:jc w:val="center"/>
      </w:pPr>
      <w:r>
        <w:t>En porcentajes</w:t>
      </w:r>
    </w:p>
    <w:p w14:paraId="40DB1375" w14:textId="3D6D7A06" w:rsidR="00B425B8" w:rsidRPr="002F0385" w:rsidRDefault="002F0385" w:rsidP="002F0385">
      <w:pPr>
        <w:jc w:val="center"/>
        <w:rPr>
          <w:b/>
          <w:bCs/>
        </w:rPr>
      </w:pPr>
      <w:r>
        <w:rPr>
          <w:noProof/>
        </w:rPr>
        <w:drawing>
          <wp:anchor distT="0" distB="0" distL="114300" distR="114300" simplePos="0" relativeHeight="251706368" behindDoc="0" locked="0" layoutInCell="1" allowOverlap="1" wp14:anchorId="401F16C2" wp14:editId="5C44BC19">
            <wp:simplePos x="0" y="0"/>
            <wp:positionH relativeFrom="column">
              <wp:posOffset>0</wp:posOffset>
            </wp:positionH>
            <wp:positionV relativeFrom="paragraph">
              <wp:posOffset>177165</wp:posOffset>
            </wp:positionV>
            <wp:extent cx="5486400" cy="2914650"/>
            <wp:effectExtent l="0" t="0" r="0" b="0"/>
            <wp:wrapSquare wrapText="bothSides"/>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14:sizeRelH relativeFrom="page">
              <wp14:pctWidth>0</wp14:pctWidth>
            </wp14:sizeRelH>
            <wp14:sizeRelV relativeFrom="page">
              <wp14:pctHeight>0</wp14:pctHeight>
            </wp14:sizeRelV>
          </wp:anchor>
        </w:drawing>
      </w:r>
    </w:p>
    <w:p w14:paraId="35FEFFCA" w14:textId="3D3D8305" w:rsidR="002F0385" w:rsidRPr="00406ABC" w:rsidRDefault="002F0385" w:rsidP="00B425B8">
      <w:pPr>
        <w:jc w:val="both"/>
        <w:rPr>
          <w:sz w:val="18"/>
          <w:szCs w:val="18"/>
        </w:rPr>
      </w:pPr>
      <w:r w:rsidRPr="002F0385">
        <w:rPr>
          <w:sz w:val="18"/>
          <w:szCs w:val="18"/>
        </w:rPr>
        <w:t>Incluye la colocación de Q10,645.0 millones con el Banco de Guatemala, Decreto 13-2020.</w:t>
      </w:r>
    </w:p>
    <w:p w14:paraId="5C0C5D96" w14:textId="77777777" w:rsidR="006A5236" w:rsidRDefault="006A5236" w:rsidP="001352A1">
      <w:pPr>
        <w:jc w:val="both"/>
      </w:pPr>
    </w:p>
    <w:p w14:paraId="362AC3F7" w14:textId="53F0E84B" w:rsidR="001352A1" w:rsidRDefault="001352A1" w:rsidP="001352A1">
      <w:pPr>
        <w:jc w:val="both"/>
      </w:pPr>
      <w:r>
        <w:t>Respecto a los pequeños inversionistas, se dispone de un cupo de hasta Q500 millones, aprobado dentro del Presupuesto para el ejercicio 2023. El cupo destinado a este fin tuvo un incremento importante, pasando de Q100 a Q500 millones desde 2022, esto se debió a que en 2021 se logró colocar la totalidad del cupo aprobado (Q100 millones), siendo una opción de inversión para pequeños inversionistas dado que los montos de inversión van desde un mínimo de Q10,000 hasta un máximo de Q500,000, al mismo tiempo que es un mecanismo de diversificación en el financiamiento de las necesidades del Estado.</w:t>
      </w:r>
    </w:p>
    <w:p w14:paraId="21ACA5F6" w14:textId="77777777" w:rsidR="001352A1" w:rsidRDefault="001352A1" w:rsidP="001352A1">
      <w:pPr>
        <w:jc w:val="both"/>
      </w:pPr>
    </w:p>
    <w:p w14:paraId="14D3BB11" w14:textId="3DC1E84C" w:rsidR="001352A1" w:rsidRDefault="006A5236" w:rsidP="001352A1">
      <w:pPr>
        <w:jc w:val="both"/>
      </w:pPr>
      <w:r w:rsidRPr="006A5236">
        <w:t>Los plazos de vencimiento para este segmento son de 1, 2 y 3 años. Para 2024 el rendimiento es de 6.0%, para 2025 el rendimiento es de 6.125% y para 2026 el rendimiento es de 6.250%.</w:t>
      </w:r>
    </w:p>
    <w:p w14:paraId="52F987EC" w14:textId="77777777" w:rsidR="006A5236" w:rsidRDefault="006A5236" w:rsidP="001352A1">
      <w:pPr>
        <w:jc w:val="both"/>
      </w:pPr>
    </w:p>
    <w:p w14:paraId="62BE3531" w14:textId="056C8920" w:rsidR="001352A1" w:rsidRPr="001352A1" w:rsidRDefault="001352A1" w:rsidP="00531A1B">
      <w:pPr>
        <w:pStyle w:val="Prrafodelista"/>
        <w:numPr>
          <w:ilvl w:val="0"/>
          <w:numId w:val="3"/>
        </w:numPr>
        <w:jc w:val="both"/>
        <w:outlineLvl w:val="0"/>
        <w:rPr>
          <w:b/>
          <w:bCs/>
          <w:sz w:val="28"/>
          <w:szCs w:val="28"/>
        </w:rPr>
      </w:pPr>
      <w:bookmarkStart w:id="194" w:name="_Toc143865848"/>
      <w:r w:rsidRPr="001352A1">
        <w:rPr>
          <w:b/>
          <w:bCs/>
        </w:rPr>
        <w:t>Perspectivas de cierre 2023</w:t>
      </w:r>
      <w:bookmarkEnd w:id="194"/>
    </w:p>
    <w:p w14:paraId="62BB6D70" w14:textId="4B625F91" w:rsidR="002F0385" w:rsidRPr="001352A1" w:rsidRDefault="002F0385" w:rsidP="001352A1">
      <w:pPr>
        <w:rPr>
          <w:b/>
          <w:bCs/>
          <w:sz w:val="28"/>
          <w:szCs w:val="28"/>
        </w:rPr>
      </w:pPr>
    </w:p>
    <w:p w14:paraId="17F91D83" w14:textId="6C26D760" w:rsidR="002F0385" w:rsidRDefault="001352A1" w:rsidP="00B425B8">
      <w:pPr>
        <w:jc w:val="both"/>
      </w:pPr>
      <w:r w:rsidRPr="001352A1">
        <w:t>Tomando en consideración los escenarios macroeconómicos actualizados para 2023, así como la estimación de recaudación tributaria revisada conjuntamente con la Superintendencia de Administración Tributaria -SAT-; y, las estimaciones de ingresos no tributarios que perciben diversas Entidades de la Administración Central, así como la estrategia de financiamiento planteada por el Organismo Ejecutivo y los compromisos establecidos en el Presupuesto General de Ingresos del Estado para el Ejercicio Fiscal 2023, se realizó una revisión completa del posible cierre de las cuentas fiscales.</w:t>
      </w:r>
    </w:p>
    <w:p w14:paraId="5B76BED3" w14:textId="77777777" w:rsidR="002259C8" w:rsidRDefault="002259C8" w:rsidP="00B425B8">
      <w:pPr>
        <w:jc w:val="both"/>
      </w:pPr>
    </w:p>
    <w:p w14:paraId="77FDD474" w14:textId="1EA5051B" w:rsidR="001352A1" w:rsidRPr="001352A1" w:rsidRDefault="001352A1" w:rsidP="00531A1B">
      <w:pPr>
        <w:pStyle w:val="Prrafodelista"/>
        <w:numPr>
          <w:ilvl w:val="1"/>
          <w:numId w:val="3"/>
        </w:numPr>
        <w:jc w:val="both"/>
        <w:outlineLvl w:val="1"/>
        <w:rPr>
          <w:b/>
          <w:bCs/>
        </w:rPr>
      </w:pPr>
      <w:bookmarkStart w:id="195" w:name="_Toc143865849"/>
      <w:r w:rsidRPr="001352A1">
        <w:rPr>
          <w:b/>
          <w:bCs/>
        </w:rPr>
        <w:t>Estimación de ingresos fiscales</w:t>
      </w:r>
      <w:bookmarkEnd w:id="195"/>
    </w:p>
    <w:p w14:paraId="24418EC5" w14:textId="020EE167" w:rsidR="002F0385" w:rsidRDefault="002F0385" w:rsidP="00B425B8">
      <w:pPr>
        <w:jc w:val="both"/>
      </w:pPr>
    </w:p>
    <w:p w14:paraId="38E488F2" w14:textId="39E28FE8" w:rsidR="001352A1" w:rsidRDefault="001352A1" w:rsidP="001352A1">
      <w:pPr>
        <w:jc w:val="both"/>
      </w:pPr>
      <w:r>
        <w:t>Tomando en consideración el escenario macroeconómicos actualizado el 19 de abril de 2023, así como la estimación de recaudación tributaria revisada conjuntamente con la Superintendencia de Administración Tributaria -SAT-; y, las estimaciones de ingresos no tributarios que perciben diversas Entidades de la Administración Central, así como la estrategia de financiamiento planteada por el Organismo Ejecutivo y los compromisos establecidos en el Presupuesto General de Ingresos del Estado para el Ejercicio Fiscal 2023, se realizó una revisión completa del posible cierre de las cuentas fiscales. En ese sentido, la recaudación tributaria se estima que podría alcanzar un monto de Q93,407.6 millones, lo cual representa una brecha positiva de Q7,160.0 millones respecto a la meta de presupuesto, siendo el Impuesto Sobre la Renta y el IVA los que más aportan a esta brecha (Q4,359.7 millones)</w:t>
      </w:r>
      <w:r w:rsidR="000E2118">
        <w:t>.  E</w:t>
      </w:r>
      <w:r>
        <w:t>l cierre 2023 tiene un grado de ejecución respecto al presupuesto vigente de 108.3% y con relación a la ejecución observada en 2022 se tiene un crecimiento de 5.5%.</w:t>
      </w:r>
    </w:p>
    <w:p w14:paraId="32668E4C" w14:textId="77777777" w:rsidR="001352A1" w:rsidRDefault="001352A1" w:rsidP="001352A1">
      <w:pPr>
        <w:jc w:val="both"/>
      </w:pPr>
    </w:p>
    <w:p w14:paraId="2CBB577D" w14:textId="4B9349E0" w:rsidR="001352A1" w:rsidRDefault="001352A1" w:rsidP="001352A1">
      <w:pPr>
        <w:jc w:val="both"/>
      </w:pPr>
      <w:r>
        <w:t xml:space="preserve">Con los resultados anteriormente expuestos se prevé que la carga tributaria para 2023 se ubiqué en 11.7%, monto similar al observado en 2021. Este nivel de carga tributaria deriva </w:t>
      </w:r>
      <w:r w:rsidR="000E2118">
        <w:t xml:space="preserve">de </w:t>
      </w:r>
      <w:r>
        <w:t>la apertura de la economía y a los esfuerzos del ente recaudador para mantener la senda positiva en la recaudación tributaria, incrementando la percepción de riesgo y mejorando por ende el cumplimiento voluntario.  Aspectos relevantes que ha logrado fortalecer el ente recaudador son la mejora en la valoración de mercancías en las aduanas, mayor eficiencia en los principales puertos del país, mejora en los planes internos de la SAT mediante la implementación de planes de fiscalización y mejoras en la matriz de la percepción de riesgo y la implementación de los puestos de control interinstitucional (a la fecha van 7).</w:t>
      </w:r>
    </w:p>
    <w:p w14:paraId="6C85EEB7" w14:textId="75175074" w:rsidR="00D31CC8" w:rsidRDefault="00D31CC8" w:rsidP="001352A1">
      <w:pPr>
        <w:jc w:val="both"/>
      </w:pPr>
    </w:p>
    <w:p w14:paraId="1A765C18" w14:textId="49B7B233" w:rsidR="00E707F3" w:rsidRDefault="00E707F3" w:rsidP="001352A1">
      <w:pPr>
        <w:jc w:val="both"/>
      </w:pPr>
    </w:p>
    <w:p w14:paraId="273C322F" w14:textId="776A7FFF" w:rsidR="00E707F3" w:rsidRDefault="00E707F3" w:rsidP="001352A1">
      <w:pPr>
        <w:jc w:val="both"/>
      </w:pPr>
    </w:p>
    <w:p w14:paraId="4BBD4ADA" w14:textId="39ECB623" w:rsidR="00E707F3" w:rsidRDefault="00E707F3" w:rsidP="001352A1">
      <w:pPr>
        <w:jc w:val="both"/>
      </w:pPr>
    </w:p>
    <w:p w14:paraId="491436A1" w14:textId="77777777" w:rsidR="00E707F3" w:rsidRDefault="00E707F3" w:rsidP="001352A1">
      <w:pPr>
        <w:jc w:val="both"/>
      </w:pPr>
    </w:p>
    <w:p w14:paraId="6AD5737A" w14:textId="27CB57BA" w:rsidR="001352A1" w:rsidRPr="00BC315D" w:rsidRDefault="00BC315D" w:rsidP="00BC315D">
      <w:pPr>
        <w:pStyle w:val="Descripcin"/>
        <w:spacing w:after="0"/>
        <w:jc w:val="center"/>
        <w:rPr>
          <w:b/>
          <w:bCs/>
          <w:i w:val="0"/>
          <w:iCs w:val="0"/>
          <w:color w:val="auto"/>
          <w:sz w:val="24"/>
          <w:szCs w:val="24"/>
          <w:lang w:eastAsia="en-US"/>
        </w:rPr>
      </w:pPr>
      <w:bookmarkStart w:id="196" w:name="_Toc143870748"/>
      <w:r w:rsidRPr="00BC315D">
        <w:rPr>
          <w:b/>
          <w:bCs/>
          <w:i w:val="0"/>
          <w:iCs w:val="0"/>
          <w:color w:val="auto"/>
          <w:sz w:val="24"/>
          <w:szCs w:val="24"/>
        </w:rPr>
        <w:t xml:space="preserve">Gráfico </w:t>
      </w:r>
      <w:r w:rsidRPr="00BC315D">
        <w:rPr>
          <w:b/>
          <w:bCs/>
          <w:i w:val="0"/>
          <w:iCs w:val="0"/>
          <w:color w:val="auto"/>
          <w:sz w:val="24"/>
          <w:szCs w:val="24"/>
        </w:rPr>
        <w:fldChar w:fldCharType="begin"/>
      </w:r>
      <w:r w:rsidRPr="00BC315D">
        <w:rPr>
          <w:b/>
          <w:bCs/>
          <w:i w:val="0"/>
          <w:iCs w:val="0"/>
          <w:color w:val="auto"/>
          <w:sz w:val="24"/>
          <w:szCs w:val="24"/>
        </w:rPr>
        <w:instrText xml:space="preserve"> SEQ Gráfico \* ARABIC </w:instrText>
      </w:r>
      <w:r w:rsidRPr="00BC315D">
        <w:rPr>
          <w:b/>
          <w:bCs/>
          <w:i w:val="0"/>
          <w:iCs w:val="0"/>
          <w:color w:val="auto"/>
          <w:sz w:val="24"/>
          <w:szCs w:val="24"/>
        </w:rPr>
        <w:fldChar w:fldCharType="separate"/>
      </w:r>
      <w:r w:rsidR="006622B2">
        <w:rPr>
          <w:b/>
          <w:bCs/>
          <w:i w:val="0"/>
          <w:iCs w:val="0"/>
          <w:noProof/>
          <w:color w:val="auto"/>
          <w:sz w:val="24"/>
          <w:szCs w:val="24"/>
        </w:rPr>
        <w:t>81</w:t>
      </w:r>
      <w:r w:rsidRPr="00BC315D">
        <w:rPr>
          <w:b/>
          <w:bCs/>
          <w:i w:val="0"/>
          <w:iCs w:val="0"/>
          <w:color w:val="auto"/>
          <w:sz w:val="24"/>
          <w:szCs w:val="24"/>
        </w:rPr>
        <w:fldChar w:fldCharType="end"/>
      </w:r>
      <w:r w:rsidRPr="00BC315D">
        <w:rPr>
          <w:b/>
          <w:bCs/>
          <w:i w:val="0"/>
          <w:iCs w:val="0"/>
          <w:color w:val="auto"/>
          <w:sz w:val="24"/>
          <w:szCs w:val="24"/>
        </w:rPr>
        <w:t xml:space="preserve">.  </w:t>
      </w:r>
      <w:r w:rsidRPr="00BC315D">
        <w:rPr>
          <w:b/>
          <w:bCs/>
          <w:i w:val="0"/>
          <w:iCs w:val="0"/>
          <w:color w:val="auto"/>
          <w:sz w:val="24"/>
          <w:szCs w:val="24"/>
          <w:lang w:eastAsia="en-US"/>
        </w:rPr>
        <w:t>Recaudación tributaria</w:t>
      </w:r>
      <w:bookmarkEnd w:id="196"/>
    </w:p>
    <w:p w14:paraId="19BBF3F4" w14:textId="77777777" w:rsidR="001352A1" w:rsidRPr="00E663F1" w:rsidRDefault="001352A1" w:rsidP="001352A1">
      <w:pPr>
        <w:jc w:val="center"/>
        <w:rPr>
          <w:color w:val="FF0000"/>
          <w:sz w:val="22"/>
          <w:szCs w:val="22"/>
          <w:lang w:eastAsia="en-US"/>
        </w:rPr>
      </w:pPr>
      <w:r w:rsidRPr="00E663F1">
        <w:rPr>
          <w:bCs/>
          <w:sz w:val="22"/>
          <w:szCs w:val="22"/>
          <w:lang w:eastAsia="en-US"/>
        </w:rPr>
        <w:t>Millones de quetzales</w:t>
      </w:r>
    </w:p>
    <w:p w14:paraId="5A8A8904" w14:textId="77777777" w:rsidR="001352A1" w:rsidRPr="00E663F1" w:rsidRDefault="001352A1" w:rsidP="001352A1">
      <w:pPr>
        <w:jc w:val="both"/>
        <w:rPr>
          <w:color w:val="FF0000"/>
          <w:sz w:val="22"/>
          <w:szCs w:val="22"/>
          <w:lang w:val="es-MX" w:eastAsia="en-US"/>
        </w:rPr>
      </w:pPr>
      <w:r w:rsidRPr="00E663F1">
        <w:rPr>
          <w:rFonts w:ascii="Calibri" w:hAnsi="Calibri"/>
          <w:noProof/>
          <w:sz w:val="22"/>
          <w:szCs w:val="22"/>
          <w:lang w:eastAsia="en-US"/>
        </w:rPr>
        <w:drawing>
          <wp:anchor distT="0" distB="0" distL="114300" distR="116332" simplePos="0" relativeHeight="251708416" behindDoc="0" locked="0" layoutInCell="1" allowOverlap="1" wp14:anchorId="250F79AB" wp14:editId="5DD85B0D">
            <wp:simplePos x="0" y="0"/>
            <wp:positionH relativeFrom="page">
              <wp:posOffset>1550670</wp:posOffset>
            </wp:positionH>
            <wp:positionV relativeFrom="paragraph">
              <wp:posOffset>59055</wp:posOffset>
            </wp:positionV>
            <wp:extent cx="4710430" cy="1850390"/>
            <wp:effectExtent l="0" t="0" r="0" b="0"/>
            <wp:wrapSquare wrapText="bothSides"/>
            <wp:docPr id="275" name="Gráfico 27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14:sizeRelH relativeFrom="page">
              <wp14:pctWidth>0</wp14:pctWidth>
            </wp14:sizeRelH>
            <wp14:sizeRelV relativeFrom="page">
              <wp14:pctHeight>0</wp14:pctHeight>
            </wp14:sizeRelV>
          </wp:anchor>
        </w:drawing>
      </w:r>
    </w:p>
    <w:p w14:paraId="0FB75332" w14:textId="77777777" w:rsidR="001352A1" w:rsidRPr="00E663F1" w:rsidRDefault="001352A1" w:rsidP="001352A1">
      <w:pPr>
        <w:jc w:val="both"/>
        <w:rPr>
          <w:color w:val="000000"/>
          <w:sz w:val="16"/>
          <w:szCs w:val="16"/>
          <w:lang w:val="es-MX" w:eastAsia="en-US"/>
        </w:rPr>
      </w:pPr>
    </w:p>
    <w:p w14:paraId="06FF587E" w14:textId="77777777" w:rsidR="001352A1" w:rsidRPr="00E663F1" w:rsidRDefault="001352A1" w:rsidP="001352A1">
      <w:pPr>
        <w:jc w:val="both"/>
        <w:rPr>
          <w:color w:val="000000"/>
          <w:sz w:val="16"/>
          <w:szCs w:val="16"/>
          <w:lang w:val="es-MX" w:eastAsia="en-US"/>
        </w:rPr>
      </w:pPr>
    </w:p>
    <w:p w14:paraId="0CF29D83" w14:textId="77777777" w:rsidR="001352A1" w:rsidRPr="00E663F1" w:rsidRDefault="001352A1" w:rsidP="001352A1">
      <w:pPr>
        <w:jc w:val="both"/>
        <w:rPr>
          <w:color w:val="000000"/>
          <w:sz w:val="16"/>
          <w:szCs w:val="16"/>
          <w:lang w:val="es-MX" w:eastAsia="en-US"/>
        </w:rPr>
      </w:pPr>
    </w:p>
    <w:p w14:paraId="529165DB" w14:textId="77777777" w:rsidR="001352A1" w:rsidRPr="00E663F1" w:rsidRDefault="001352A1" w:rsidP="001352A1">
      <w:pPr>
        <w:jc w:val="both"/>
        <w:rPr>
          <w:color w:val="000000"/>
          <w:sz w:val="16"/>
          <w:szCs w:val="16"/>
          <w:lang w:val="es-MX" w:eastAsia="en-US"/>
        </w:rPr>
      </w:pPr>
    </w:p>
    <w:p w14:paraId="2EFD7666" w14:textId="77777777" w:rsidR="001352A1" w:rsidRPr="00E663F1" w:rsidRDefault="001352A1" w:rsidP="001352A1">
      <w:pPr>
        <w:jc w:val="both"/>
        <w:rPr>
          <w:color w:val="000000"/>
          <w:sz w:val="16"/>
          <w:szCs w:val="16"/>
          <w:lang w:val="es-MX" w:eastAsia="en-US"/>
        </w:rPr>
      </w:pPr>
    </w:p>
    <w:p w14:paraId="4CB3F9DA" w14:textId="77777777" w:rsidR="001352A1" w:rsidRPr="00E663F1" w:rsidRDefault="001352A1" w:rsidP="001352A1">
      <w:pPr>
        <w:jc w:val="both"/>
        <w:rPr>
          <w:color w:val="000000"/>
          <w:sz w:val="16"/>
          <w:szCs w:val="16"/>
          <w:lang w:val="es-MX" w:eastAsia="en-US"/>
        </w:rPr>
      </w:pPr>
    </w:p>
    <w:p w14:paraId="2F84EF05" w14:textId="77777777" w:rsidR="001352A1" w:rsidRPr="00E663F1" w:rsidRDefault="001352A1" w:rsidP="001352A1">
      <w:pPr>
        <w:jc w:val="both"/>
        <w:rPr>
          <w:color w:val="000000"/>
          <w:sz w:val="16"/>
          <w:szCs w:val="16"/>
          <w:lang w:val="es-MX" w:eastAsia="en-US"/>
        </w:rPr>
      </w:pPr>
    </w:p>
    <w:p w14:paraId="19D26FF4" w14:textId="77777777" w:rsidR="001352A1" w:rsidRPr="00E663F1" w:rsidRDefault="001352A1" w:rsidP="001352A1">
      <w:pPr>
        <w:jc w:val="both"/>
        <w:rPr>
          <w:color w:val="000000"/>
          <w:sz w:val="16"/>
          <w:szCs w:val="16"/>
          <w:lang w:val="es-MX" w:eastAsia="en-US"/>
        </w:rPr>
      </w:pPr>
    </w:p>
    <w:p w14:paraId="391DB503" w14:textId="77777777" w:rsidR="001352A1" w:rsidRPr="00E663F1" w:rsidRDefault="001352A1" w:rsidP="001352A1">
      <w:pPr>
        <w:jc w:val="both"/>
        <w:rPr>
          <w:color w:val="000000"/>
          <w:sz w:val="16"/>
          <w:szCs w:val="16"/>
          <w:lang w:val="es-MX" w:eastAsia="en-US"/>
        </w:rPr>
      </w:pPr>
    </w:p>
    <w:p w14:paraId="43B617F8" w14:textId="77777777" w:rsidR="001352A1" w:rsidRPr="00E663F1" w:rsidRDefault="001352A1" w:rsidP="001352A1">
      <w:pPr>
        <w:jc w:val="both"/>
        <w:rPr>
          <w:color w:val="000000"/>
          <w:sz w:val="16"/>
          <w:szCs w:val="16"/>
          <w:lang w:val="es-MX" w:eastAsia="en-US"/>
        </w:rPr>
      </w:pPr>
    </w:p>
    <w:p w14:paraId="3BC263CE" w14:textId="77777777" w:rsidR="001352A1" w:rsidRPr="00E663F1" w:rsidRDefault="001352A1" w:rsidP="001352A1">
      <w:pPr>
        <w:jc w:val="both"/>
        <w:rPr>
          <w:color w:val="000000"/>
          <w:sz w:val="16"/>
          <w:szCs w:val="16"/>
          <w:lang w:val="es-MX" w:eastAsia="en-US"/>
        </w:rPr>
      </w:pPr>
    </w:p>
    <w:p w14:paraId="2B7BA017" w14:textId="77777777" w:rsidR="001352A1" w:rsidRPr="00E663F1" w:rsidRDefault="001352A1" w:rsidP="001352A1">
      <w:pPr>
        <w:jc w:val="both"/>
        <w:rPr>
          <w:color w:val="000000"/>
          <w:sz w:val="16"/>
          <w:szCs w:val="16"/>
          <w:lang w:val="es-MX" w:eastAsia="en-US"/>
        </w:rPr>
      </w:pPr>
    </w:p>
    <w:p w14:paraId="40B96C6B" w14:textId="77777777" w:rsidR="001352A1" w:rsidRPr="00E663F1" w:rsidRDefault="001352A1" w:rsidP="001352A1">
      <w:pPr>
        <w:jc w:val="both"/>
        <w:rPr>
          <w:color w:val="000000"/>
          <w:sz w:val="16"/>
          <w:szCs w:val="16"/>
          <w:lang w:val="es-MX" w:eastAsia="en-US"/>
        </w:rPr>
      </w:pPr>
    </w:p>
    <w:p w14:paraId="056E5930" w14:textId="77777777" w:rsidR="001352A1" w:rsidRPr="00E663F1" w:rsidRDefault="001352A1" w:rsidP="001352A1">
      <w:pPr>
        <w:jc w:val="both"/>
        <w:rPr>
          <w:color w:val="000000"/>
          <w:sz w:val="16"/>
          <w:szCs w:val="16"/>
          <w:lang w:val="es-MX" w:eastAsia="en-US"/>
        </w:rPr>
      </w:pPr>
    </w:p>
    <w:p w14:paraId="7560479F" w14:textId="77777777" w:rsidR="001352A1" w:rsidRPr="00E663F1" w:rsidRDefault="001352A1" w:rsidP="001352A1">
      <w:pPr>
        <w:jc w:val="both"/>
        <w:rPr>
          <w:color w:val="000000"/>
          <w:sz w:val="16"/>
          <w:szCs w:val="16"/>
          <w:lang w:val="es-MX" w:eastAsia="en-US"/>
        </w:rPr>
      </w:pPr>
    </w:p>
    <w:p w14:paraId="78375003" w14:textId="2074C258" w:rsidR="001352A1" w:rsidRPr="001352A1" w:rsidRDefault="001352A1" w:rsidP="00327D34">
      <w:pPr>
        <w:ind w:firstLine="708"/>
        <w:jc w:val="both"/>
        <w:rPr>
          <w:sz w:val="28"/>
          <w:szCs w:val="28"/>
        </w:rPr>
      </w:pPr>
      <w:r w:rsidRPr="001352A1">
        <w:rPr>
          <w:color w:val="000000"/>
          <w:sz w:val="18"/>
          <w:szCs w:val="18"/>
          <w:lang w:val="es-MX" w:eastAsia="en-US"/>
        </w:rPr>
        <w:t>Fuente: Superintendencia de Administración Tributaria.</w:t>
      </w:r>
    </w:p>
    <w:p w14:paraId="4451B77F" w14:textId="5BBA3588" w:rsidR="002F0385" w:rsidRDefault="002F0385" w:rsidP="00B425B8">
      <w:pPr>
        <w:jc w:val="both"/>
      </w:pPr>
    </w:p>
    <w:p w14:paraId="11A47941" w14:textId="66DF0B58" w:rsidR="001352A1" w:rsidRDefault="001352A1" w:rsidP="00B425B8">
      <w:pPr>
        <w:jc w:val="both"/>
      </w:pPr>
      <w:r w:rsidRPr="001352A1">
        <w:t>Destaca en este cierre preliminar, el desempeño del Impuesto sobre la Renta y el IVA asociado al consumo interno que a abril tiene un crecimiento del 32.3% respecto a lo observado en 2022 este resultado producto de las acciones que ha venido implementado SAT.</w:t>
      </w:r>
    </w:p>
    <w:p w14:paraId="15C31A7E" w14:textId="78DC2059" w:rsidR="001352A1" w:rsidRDefault="001352A1" w:rsidP="00B425B8">
      <w:pPr>
        <w:jc w:val="both"/>
      </w:pPr>
    </w:p>
    <w:p w14:paraId="2FD1E899" w14:textId="50771B2C" w:rsidR="001352A1" w:rsidRPr="001352A1" w:rsidRDefault="001352A1" w:rsidP="00531A1B">
      <w:pPr>
        <w:pStyle w:val="Prrafodelista"/>
        <w:numPr>
          <w:ilvl w:val="1"/>
          <w:numId w:val="3"/>
        </w:numPr>
        <w:jc w:val="both"/>
        <w:outlineLvl w:val="1"/>
        <w:rPr>
          <w:b/>
          <w:bCs/>
        </w:rPr>
      </w:pPr>
      <w:bookmarkStart w:id="197" w:name="_Toc143865850"/>
      <w:r w:rsidRPr="001352A1">
        <w:rPr>
          <w:b/>
          <w:bCs/>
        </w:rPr>
        <w:t>Estimación de gasto</w:t>
      </w:r>
      <w:bookmarkEnd w:id="197"/>
    </w:p>
    <w:p w14:paraId="31E6BAB3" w14:textId="7B954468" w:rsidR="002F0385" w:rsidRDefault="002F0385" w:rsidP="00B425B8">
      <w:pPr>
        <w:jc w:val="both"/>
      </w:pPr>
    </w:p>
    <w:p w14:paraId="0FD39B20" w14:textId="77777777" w:rsidR="001352A1" w:rsidRDefault="001352A1" w:rsidP="001352A1">
      <w:pPr>
        <w:jc w:val="both"/>
      </w:pPr>
      <w:r>
        <w:t>En lo que respecta a la ejecución de gasto público, el 2023 arrancó siendo el segundo año consecutivo en contar con un Presupuesto General de Ingresos y Egresos del Estado para el Ejercicio Fiscal aprobado por el Congreso de la República, algo que no había sucedido en 2020 y 2021. Como se ha comentado, esta medida se considera sumamente favorable porque da mayor certeza en la ejecución de la política pública y el manejo de la política fiscal.</w:t>
      </w:r>
    </w:p>
    <w:p w14:paraId="43F2DBE3" w14:textId="77777777" w:rsidR="001352A1" w:rsidRDefault="001352A1" w:rsidP="001352A1">
      <w:pPr>
        <w:jc w:val="both"/>
      </w:pPr>
    </w:p>
    <w:p w14:paraId="56EA7552" w14:textId="50CA4AF3" w:rsidR="001352A1" w:rsidRDefault="001352A1" w:rsidP="001352A1">
      <w:pPr>
        <w:jc w:val="both"/>
      </w:pPr>
      <w:r>
        <w:t xml:space="preserve">Por lo anterior, se sabía que la ejecución del gasto público sería mayor en este ejercicio derivado que es el último año de la administración pública, y el gasto tiende a dinamizarse, adicionalmente desde el primer trimestre se conocía que continuarían algunos de los apoyos sociales temporales que estuvieron vigentes a lo largo de 2022, a excepción de las gasolinas, mientras que se le daría un impulso al mantenimiento de carreteras y puentes, derivado de las tormentas tropicales y el invierno más intenso que tuvo lugar en 2022. </w:t>
      </w:r>
    </w:p>
    <w:p w14:paraId="7BA3AD2B" w14:textId="77777777" w:rsidR="001352A1" w:rsidRDefault="001352A1" w:rsidP="001352A1">
      <w:pPr>
        <w:jc w:val="both"/>
      </w:pPr>
    </w:p>
    <w:p w14:paraId="5137376B" w14:textId="77777777" w:rsidR="001352A1" w:rsidRDefault="001352A1" w:rsidP="001352A1">
      <w:pPr>
        <w:jc w:val="both"/>
      </w:pPr>
      <w:r>
        <w:t xml:space="preserve">En 2023, se puede considerar que la crisis sanitaria y económica causada por el </w:t>
      </w:r>
      <w:r w:rsidRPr="005750AF">
        <w:t>COVID-19 ha sido superada prácticamente en su totalidad, la Organización Mundial de la Salud (OMS) declaró el fin de la emergencia de salud pública de emergencia internacional por COVID-19, por lo anterior, el gasto destinado a la vacunación y atención al COVID-19 ha</w:t>
      </w:r>
      <w:r>
        <w:t xml:space="preserve"> ido disminuyendo gradualmente. </w:t>
      </w:r>
    </w:p>
    <w:p w14:paraId="4E55D3D2" w14:textId="77777777" w:rsidR="001352A1" w:rsidRDefault="001352A1" w:rsidP="001352A1">
      <w:pPr>
        <w:jc w:val="both"/>
      </w:pPr>
    </w:p>
    <w:p w14:paraId="4DABF1DC" w14:textId="765145EF" w:rsidR="001352A1" w:rsidRPr="00472FE0" w:rsidRDefault="001352A1" w:rsidP="001352A1">
      <w:pPr>
        <w:jc w:val="both"/>
      </w:pPr>
      <w:r w:rsidRPr="00472FE0">
        <w:t>Para final del ejercicio fiscal 2023, se espera que el gasto público (incluyendo amortizaciones de la deuda pública) se ubique en torno a Q11</w:t>
      </w:r>
      <w:r w:rsidR="00382528" w:rsidRPr="00472FE0">
        <w:t>4</w:t>
      </w:r>
      <w:r w:rsidRPr="00472FE0">
        <w:t>,</w:t>
      </w:r>
      <w:r w:rsidR="00382528" w:rsidRPr="00472FE0">
        <w:t>453</w:t>
      </w:r>
      <w:r w:rsidRPr="00472FE0">
        <w:t>.</w:t>
      </w:r>
      <w:r w:rsidR="00382528" w:rsidRPr="00472FE0">
        <w:t>5</w:t>
      </w:r>
      <w:r w:rsidRPr="00472FE0">
        <w:t xml:space="preserve"> millones, es decir, un crecimiento de </w:t>
      </w:r>
      <w:r w:rsidR="00382528" w:rsidRPr="00472FE0">
        <w:t>5</w:t>
      </w:r>
      <w:r w:rsidRPr="00472FE0">
        <w:t>.</w:t>
      </w:r>
      <w:r w:rsidR="00382528" w:rsidRPr="00472FE0">
        <w:t>4</w:t>
      </w:r>
      <w:r w:rsidRPr="00472FE0">
        <w:t xml:space="preserve">% respecto al cierre de 2022, lo cual estaría siendo explicado por ampliaciones en el presupuesto, las cuales a </w:t>
      </w:r>
      <w:r w:rsidR="00382528" w:rsidRPr="00472FE0">
        <w:t>junio</w:t>
      </w:r>
      <w:r w:rsidRPr="00472FE0">
        <w:t xml:space="preserve"> alcanzan los Q2,7</w:t>
      </w:r>
      <w:r w:rsidR="00382528" w:rsidRPr="00472FE0">
        <w:t>1</w:t>
      </w:r>
      <w:r w:rsidRPr="00472FE0">
        <w:t>6.</w:t>
      </w:r>
      <w:r w:rsidR="00382528" w:rsidRPr="00472FE0">
        <w:t>0</w:t>
      </w:r>
      <w:r w:rsidRPr="00472FE0">
        <w:t xml:space="preserve"> millones, estando concentradas en las transferencias corrientes, el incremento a las jubilaciones y pensiones y los aportes a l</w:t>
      </w:r>
      <w:r w:rsidR="00472FE0">
        <w:t>a</w:t>
      </w:r>
      <w:r w:rsidRPr="00472FE0">
        <w:t>s</w:t>
      </w:r>
      <w:r w:rsidR="00472FE0">
        <w:t xml:space="preserve"> municipalidades y</w:t>
      </w:r>
      <w:r w:rsidRPr="00472FE0">
        <w:t xml:space="preserve"> Consejos Departamentales de Desarrollo Urbano y Rural (CODEDES).</w:t>
      </w:r>
    </w:p>
    <w:p w14:paraId="586A6534" w14:textId="77777777" w:rsidR="001352A1" w:rsidRPr="00472FE0" w:rsidRDefault="001352A1" w:rsidP="001352A1">
      <w:pPr>
        <w:jc w:val="both"/>
      </w:pPr>
    </w:p>
    <w:p w14:paraId="04B96565" w14:textId="77777777" w:rsidR="001352A1" w:rsidRDefault="001352A1" w:rsidP="001352A1">
      <w:pPr>
        <w:jc w:val="both"/>
      </w:pPr>
      <w:r w:rsidRPr="00472FE0">
        <w:t>La ampliación del presupuesto que se espera para 2023, sería menor a la de 2022, cuando fue de Q6,710.4 millones.</w:t>
      </w:r>
    </w:p>
    <w:p w14:paraId="57737D93" w14:textId="77777777" w:rsidR="001352A1" w:rsidRDefault="001352A1" w:rsidP="001352A1">
      <w:pPr>
        <w:jc w:val="both"/>
      </w:pPr>
    </w:p>
    <w:p w14:paraId="04A55EDA" w14:textId="5110F37B" w:rsidR="001352A1" w:rsidRDefault="001352A1" w:rsidP="001352A1">
      <w:pPr>
        <w:jc w:val="both"/>
      </w:pPr>
      <w:r>
        <w:t>En cuanto a las transferencias corrientes, estarían creciendo por las transferencias públicas, ya que las privadas podrían caer a final de año derivado que el subsidio a los combustibles no estaría vigente en 2023, mientras que por el lado de las transferencias públicas se reportaría una mayor trasferencia al Tribunal Supremo Electoral (TSE), para las elecciones generales</w:t>
      </w:r>
      <w:r w:rsidR="00472FE0">
        <w:t>,</w:t>
      </w:r>
      <w:r>
        <w:t xml:space="preserve"> </w:t>
      </w:r>
      <w:r w:rsidR="00472FE0" w:rsidRPr="00472FE0">
        <w:t xml:space="preserve">es relevante indicar que las </w:t>
      </w:r>
      <w:r w:rsidR="00472FE0">
        <w:t>mismas s</w:t>
      </w:r>
      <w:r w:rsidR="00472FE0" w:rsidRPr="00472FE0">
        <w:t>e llevaron a cabo el pasado 25 de junio y la segunda vuelta está programada para el 20 de agosto, siendo importante las transferencias que recibe el TSE dado que contribuyen a consolidar el proceso democrático</w:t>
      </w:r>
      <w:r w:rsidR="00472FE0">
        <w:t xml:space="preserve"> en el país</w:t>
      </w:r>
      <w:r>
        <w:t>, adicionalmente las entidades autónomas y descentralizadas</w:t>
      </w:r>
      <w:r w:rsidR="00472FE0">
        <w:t xml:space="preserve"> también </w:t>
      </w:r>
      <w:r>
        <w:t xml:space="preserve">estarían recibiendo una mayor transferencia. </w:t>
      </w:r>
    </w:p>
    <w:p w14:paraId="57347AA1" w14:textId="77777777" w:rsidR="001352A1" w:rsidRDefault="001352A1" w:rsidP="001352A1">
      <w:pPr>
        <w:jc w:val="both"/>
      </w:pPr>
    </w:p>
    <w:p w14:paraId="41AC37CA" w14:textId="59D3CD3E" w:rsidR="001352A1" w:rsidRDefault="00472FE0" w:rsidP="001352A1">
      <w:pPr>
        <w:jc w:val="both"/>
      </w:pPr>
      <w:r>
        <w:t>Respect</w:t>
      </w:r>
      <w:r w:rsidR="001352A1">
        <w:t xml:space="preserve">o a los intereses de la deuda pública, el incremento se encuentra asociado al aumento de tasas que ha tenido lugar a lo largo de 2022 y 2023 como una estrategia para contener las presiones inflacionarias, de esta cuenta, a pesar que en el primer cuatrimestre la inflación empezó a mermar, la decisión del Banco Central consistió en continuar una lucha frontal contra la inflación hasta lograr llevarla al rango de meta de inflación. </w:t>
      </w:r>
      <w:r>
        <w:t>P</w:t>
      </w:r>
      <w:r w:rsidR="001352A1">
        <w:t>ara finales de año el Banco Central prevé que la inflación se encontrará</w:t>
      </w:r>
      <w:r>
        <w:t xml:space="preserve"> en el límite superior </w:t>
      </w:r>
      <w:r w:rsidR="001352A1">
        <w:t xml:space="preserve">del rango, por lo anterior niveles de tasa superiores a las de años anteriores serian una constante en el año, con lo cual el pago de los intereses aumenta a pesar que se ha buscado realizar las colocaciones manteniendo condiciones favorables a los intereses del Estado. </w:t>
      </w:r>
    </w:p>
    <w:p w14:paraId="06E517AE" w14:textId="77777777" w:rsidR="001352A1" w:rsidRDefault="001352A1" w:rsidP="001352A1">
      <w:pPr>
        <w:jc w:val="both"/>
      </w:pPr>
    </w:p>
    <w:p w14:paraId="1DCA12C7" w14:textId="2B70BE83" w:rsidR="001352A1" w:rsidRDefault="001352A1" w:rsidP="001352A1">
      <w:pPr>
        <w:jc w:val="both"/>
      </w:pPr>
      <w:r>
        <w:t xml:space="preserve">En cuanto a las remuneraciones, tendrían un crecimiento de </w:t>
      </w:r>
      <w:r w:rsidR="00472FE0">
        <w:t>9</w:t>
      </w:r>
      <w:r>
        <w:t>.</w:t>
      </w:r>
      <w:r w:rsidR="00472FE0">
        <w:t>1</w:t>
      </w:r>
      <w:r>
        <w:t xml:space="preserve">%, asociado a las mejoras salariales por pacto colectivo del Ministerio de Educación, la cual considera un reajuste de 3% sobre el salario base, siendo el ministerio con la nómina más relevante en cuanto a su tamaño. Mientras que las prestaciones a la seguridad social tendrían un crecimiento importante de 13.8%, asociado a que, en 2022, se aprobó un aumento del 10%, para los beneficiarios del régimen de clases pasivas y civiles del Estado y dentro del Presupuesto General para el ejercicio 2023, se autoriza ampliar el presupuesto, en caso exista disponibilidad de saldos de caja, hasta por Q600 millones para el financiamiento de esta medida. </w:t>
      </w:r>
    </w:p>
    <w:p w14:paraId="6C3F2858" w14:textId="77777777" w:rsidR="001352A1" w:rsidRDefault="001352A1" w:rsidP="001352A1">
      <w:pPr>
        <w:jc w:val="both"/>
      </w:pPr>
    </w:p>
    <w:p w14:paraId="0D2B02F8" w14:textId="07A7B772" w:rsidR="00472FE0" w:rsidRDefault="001352A1" w:rsidP="001352A1">
      <w:pPr>
        <w:jc w:val="both"/>
      </w:pPr>
      <w:r>
        <w:t xml:space="preserve">Respecto a los rubros que conforman los gastos de capital, en su conjunto estarían creciendo </w:t>
      </w:r>
      <w:r w:rsidR="00472FE0">
        <w:t>7.2</w:t>
      </w:r>
      <w:r>
        <w:t>%, asociado en gran medida a las transferencias de capital</w:t>
      </w:r>
      <w:r w:rsidR="000E2118">
        <w:t>. S</w:t>
      </w:r>
      <w:r>
        <w:t>e esperan mayores transferencias para las municipalidades y los Consejos de Desarrollo Urbano y Rural.</w:t>
      </w:r>
      <w:r w:rsidR="00E707F3">
        <w:t xml:space="preserve">  </w:t>
      </w:r>
      <w:r w:rsidR="000E2118">
        <w:t>La</w:t>
      </w:r>
      <w:r>
        <w:t xml:space="preserve"> inversión real directa podría </w:t>
      </w:r>
      <w:r w:rsidR="00472FE0">
        <w:t>mantenerse en un nivel similar al observado en 2022</w:t>
      </w:r>
      <w:r>
        <w:t>, asociado a las construcciones de bienes nacionales, el nivel de ejecución previsto en el año es de Q4,</w:t>
      </w:r>
      <w:r w:rsidR="00472FE0">
        <w:t>6</w:t>
      </w:r>
      <w:r>
        <w:t xml:space="preserve">14.5 millones, cercano al </w:t>
      </w:r>
      <w:r w:rsidR="00472FE0">
        <w:t xml:space="preserve">nivel </w:t>
      </w:r>
      <w:r>
        <w:t>máximo alcanzado en 2019</w:t>
      </w:r>
      <w:r w:rsidR="00406ABC">
        <w:t xml:space="preserve">.  </w:t>
      </w:r>
    </w:p>
    <w:p w14:paraId="7680A266" w14:textId="77777777" w:rsidR="00472FE0" w:rsidRDefault="00472FE0" w:rsidP="001352A1">
      <w:pPr>
        <w:jc w:val="both"/>
      </w:pPr>
    </w:p>
    <w:p w14:paraId="69D69419" w14:textId="2B20F5B5" w:rsidR="001352A1" w:rsidRDefault="001352A1" w:rsidP="001352A1">
      <w:pPr>
        <w:jc w:val="both"/>
      </w:pPr>
      <w:r>
        <w:t>Por su parte,</w:t>
      </w:r>
      <w:r w:rsidR="00472FE0">
        <w:t xml:space="preserve"> entre los gastos que reportarían una contracción se encuentran </w:t>
      </w:r>
      <w:r>
        <w:t xml:space="preserve">la inversión financiera (-4.1%), esto se debe a que este rubro de gasto por lo general reporta una ejecución baja, ha sido la excepción en 2020 y 2021 cuando se dio la concesión de préstamos en condiciones blandas por la crisis del </w:t>
      </w:r>
      <w:r w:rsidRPr="005750AF">
        <w:t>COVID-19,</w:t>
      </w:r>
      <w:r>
        <w:t xml:space="preserve"> mientras que en 2021 se reportó un aporte de capital de carácter no reintegrable por la compra de acciones o participaciones en un banco del sistema financiero.</w:t>
      </w:r>
    </w:p>
    <w:p w14:paraId="67FC83E2" w14:textId="77777777" w:rsidR="001352A1" w:rsidRDefault="001352A1" w:rsidP="001352A1">
      <w:pPr>
        <w:jc w:val="both"/>
      </w:pPr>
    </w:p>
    <w:p w14:paraId="0428412A" w14:textId="45FDF5A3" w:rsidR="00472FE0" w:rsidRDefault="00472FE0" w:rsidP="00472FE0">
      <w:pPr>
        <w:jc w:val="both"/>
      </w:pPr>
      <w:r>
        <w:t>Otro rubro de gasto con contracción serían los bienes y servicios (-4.</w:t>
      </w:r>
      <w:r w:rsidR="00C31E3E">
        <w:t>4</w:t>
      </w:r>
      <w:r>
        <w:t xml:space="preserve">%), si bien este rubro del gasto se mantuvo bastante dinámico durante todo el año, asociado a las intervenciones del Ministerio de Comunicaciones, Infraestructura y Vivienda, en el mantenimiento de bienes nacionales de uso común, hacia el </w:t>
      </w:r>
      <w:r w:rsidR="00987D1F">
        <w:t>último</w:t>
      </w:r>
      <w:r>
        <w:t xml:space="preserve"> cuatrimestre se espera que su ejecución se modere e incluso caiga, esto derivado que la gran parte de los programas </w:t>
      </w:r>
      <w:r w:rsidR="00E25C74">
        <w:t>asociados a</w:t>
      </w:r>
      <w:r>
        <w:t xml:space="preserve">l deterioro de infraestructura </w:t>
      </w:r>
      <w:r w:rsidR="00E25C74">
        <w:t>-</w:t>
      </w:r>
      <w:r>
        <w:t>por la temporada de lluvia</w:t>
      </w:r>
      <w:r w:rsidR="00E25C74">
        <w:t>-</w:t>
      </w:r>
      <w:r>
        <w:t xml:space="preserve"> concluyeron su ejecución en julio.</w:t>
      </w:r>
    </w:p>
    <w:p w14:paraId="6DB642A9" w14:textId="77777777" w:rsidR="00472FE0" w:rsidRDefault="00472FE0" w:rsidP="001352A1">
      <w:pPr>
        <w:jc w:val="both"/>
      </w:pPr>
    </w:p>
    <w:p w14:paraId="5D5C5828" w14:textId="1D2A940A" w:rsidR="001352A1" w:rsidRDefault="001352A1" w:rsidP="001352A1">
      <w:pPr>
        <w:jc w:val="both"/>
      </w:pPr>
      <w:r>
        <w:t xml:space="preserve">Estos resultados tendrían una leve disminución en términos del PIB, el gasto corriente descendería </w:t>
      </w:r>
      <w:r w:rsidR="00E25C74">
        <w:t>cuatro</w:t>
      </w:r>
      <w:r>
        <w:t xml:space="preserve"> décima</w:t>
      </w:r>
      <w:r w:rsidR="00E25C74">
        <w:t>s</w:t>
      </w:r>
      <w:r>
        <w:t xml:space="preserve"> a 11.</w:t>
      </w:r>
      <w:r w:rsidR="00E25C74">
        <w:t>5</w:t>
      </w:r>
      <w:r>
        <w:t>% y el gasto de capital quedaría en 2.5% en 2023. Es decir, el gasto público se ubicaría en 14.</w:t>
      </w:r>
      <w:r w:rsidR="00E25C74">
        <w:t>0</w:t>
      </w:r>
      <w:r>
        <w:t>%. Es importante considerar que este nivel de gasto público a pesar de reportar una disminución en términos del PIB, se mantendría por arriba del promedio de los últimos 10 años (13.6%).</w:t>
      </w:r>
    </w:p>
    <w:p w14:paraId="3AAED551" w14:textId="77777777" w:rsidR="001352A1" w:rsidRDefault="001352A1" w:rsidP="001352A1">
      <w:pPr>
        <w:jc w:val="both"/>
      </w:pPr>
    </w:p>
    <w:p w14:paraId="286E52C0" w14:textId="0D310272" w:rsidR="002F0385" w:rsidRDefault="001352A1" w:rsidP="001352A1">
      <w:pPr>
        <w:jc w:val="both"/>
      </w:pPr>
      <w:r>
        <w:t>Respecto al déficit fiscal, es importante mencionar que, después de la crisis económica internacional de 2009-2010, se fue reduciendo gradualmente como parte del objetivo de consolidación fiscal que se había previsto para los años 2011-2015. Asimismo, en 2016 se redujo nuevamente derivado de que fue el inicio de una nueva administración pública y por las secuelas de la crisis institucional de 2015 que afectaron también la ejecución. Posteriormente, se ha mantenido en un nivel estable, pasando de 1.1% del PIB en 2016 al 1.7% del PIB en el 2022, teniendo períodos de volatilidad como la observada en 2020 con un déficit de 4.9%</w:t>
      </w:r>
      <w:r w:rsidR="00E25C74">
        <w:t xml:space="preserve"> explicado por la crisis del COVID-19</w:t>
      </w:r>
      <w:r>
        <w:t xml:space="preserve">. El incremento de los ingresos tributarios como resultado de las medidas administrativas implementadas por la SAT, ha coadyuvado a que el déficit fiscal sea inferior al 2.0% tanto en 2021 como 2022, mientras para 2023 se espera </w:t>
      </w:r>
      <w:r w:rsidR="00E25C74">
        <w:t>se</w:t>
      </w:r>
      <w:r>
        <w:t xml:space="preserve"> ubique en </w:t>
      </w:r>
      <w:r w:rsidR="00E25C74">
        <w:t>1</w:t>
      </w:r>
      <w:r>
        <w:t>.</w:t>
      </w:r>
      <w:r w:rsidR="00E25C74">
        <w:t>7</w:t>
      </w:r>
      <w:r>
        <w:t>%.</w:t>
      </w:r>
    </w:p>
    <w:p w14:paraId="1A5B32D7" w14:textId="37BA2B9C" w:rsidR="001352A1" w:rsidRDefault="001352A1" w:rsidP="001352A1">
      <w:pPr>
        <w:jc w:val="both"/>
      </w:pPr>
    </w:p>
    <w:p w14:paraId="7C27E0C7" w14:textId="5A0C79F6" w:rsidR="001352A1" w:rsidRDefault="001352A1" w:rsidP="00531A1B">
      <w:pPr>
        <w:pStyle w:val="Prrafodelista"/>
        <w:numPr>
          <w:ilvl w:val="1"/>
          <w:numId w:val="3"/>
        </w:numPr>
        <w:jc w:val="both"/>
        <w:outlineLvl w:val="1"/>
      </w:pPr>
      <w:bookmarkStart w:id="198" w:name="_Toc143865851"/>
      <w:r w:rsidRPr="001352A1">
        <w:rPr>
          <w:b/>
          <w:bCs/>
        </w:rPr>
        <w:t>Estimación de déficit fiscal y financiamiento</w:t>
      </w:r>
      <w:bookmarkEnd w:id="198"/>
    </w:p>
    <w:p w14:paraId="063E14F2" w14:textId="2445C20F" w:rsidR="002F0385" w:rsidRDefault="002F0385" w:rsidP="00B425B8">
      <w:pPr>
        <w:jc w:val="both"/>
      </w:pPr>
    </w:p>
    <w:p w14:paraId="47A7CE3E" w14:textId="48355439" w:rsidR="001352A1" w:rsidRDefault="001352A1" w:rsidP="00B425B8">
      <w:pPr>
        <w:jc w:val="both"/>
      </w:pPr>
      <w:r w:rsidRPr="001352A1">
        <w:t>Derivado de la dinámica entre ingresos y gastos, se estima que el déficit fiscal se ubicará en torno a los Q1</w:t>
      </w:r>
      <w:r w:rsidR="00E25C89">
        <w:t>3</w:t>
      </w:r>
      <w:r w:rsidRPr="001352A1">
        <w:t>,5</w:t>
      </w:r>
      <w:r w:rsidR="00E25C89">
        <w:t>08</w:t>
      </w:r>
      <w:r w:rsidRPr="001352A1">
        <w:t>.</w:t>
      </w:r>
      <w:r w:rsidR="00E25C89">
        <w:t>6</w:t>
      </w:r>
      <w:r w:rsidRPr="001352A1">
        <w:t xml:space="preserve"> millones, equivalente a </w:t>
      </w:r>
      <w:r w:rsidR="00E25C89">
        <w:t>1</w:t>
      </w:r>
      <w:r w:rsidRPr="001352A1">
        <w:t>.</w:t>
      </w:r>
      <w:r w:rsidR="00E25C89">
        <w:t>7</w:t>
      </w:r>
      <w:r w:rsidRPr="001352A1">
        <w:t>% del PIB, mayor en términos absolutos al nivel obtenido en 2022 en donde el déficit se ubicó en Q12,56</w:t>
      </w:r>
      <w:r w:rsidR="00E25C89">
        <w:t>8.5</w:t>
      </w:r>
      <w:r w:rsidRPr="001352A1">
        <w:t xml:space="preserve"> millones, equivalente </w:t>
      </w:r>
      <w:r w:rsidR="00E25C89">
        <w:t xml:space="preserve">igualmente al </w:t>
      </w:r>
      <w:r w:rsidRPr="001352A1">
        <w:t xml:space="preserve">1.7% del PIB. El resultado de 2023 estará por debajo de lo estimado en el presupuesto para este año ya que se había previsto, según presupuesto, un déficit de </w:t>
      </w:r>
      <w:r w:rsidR="00E25C89">
        <w:t>3</w:t>
      </w:r>
      <w:r w:rsidRPr="001352A1">
        <w:t>.</w:t>
      </w:r>
      <w:r w:rsidR="00E25C89">
        <w:t>0</w:t>
      </w:r>
      <w:r w:rsidRPr="001352A1">
        <w:t>% del PIB.</w:t>
      </w:r>
    </w:p>
    <w:p w14:paraId="020B8422" w14:textId="72D64EA9" w:rsidR="00BC315D" w:rsidRPr="00BC315D" w:rsidRDefault="004B6A59" w:rsidP="00BC315D">
      <w:pPr>
        <w:keepNext/>
        <w:ind w:left="1395" w:right="2533"/>
        <w:jc w:val="center"/>
        <w:rPr>
          <w:b/>
          <w:bCs/>
        </w:rPr>
      </w:pPr>
      <w:r>
        <w:rPr>
          <w:b/>
          <w:bCs/>
        </w:rPr>
        <w:t xml:space="preserve">                     </w:t>
      </w:r>
      <w:bookmarkStart w:id="199" w:name="_Toc143870749"/>
      <w:r w:rsidR="00BC315D" w:rsidRPr="00BC315D">
        <w:rPr>
          <w:b/>
          <w:bCs/>
        </w:rPr>
        <w:t xml:space="preserve">Gráfico </w:t>
      </w:r>
      <w:r w:rsidR="00BC315D" w:rsidRPr="00BC315D">
        <w:rPr>
          <w:b/>
          <w:bCs/>
        </w:rPr>
        <w:fldChar w:fldCharType="begin"/>
      </w:r>
      <w:r w:rsidR="00BC315D" w:rsidRPr="00BC315D">
        <w:rPr>
          <w:b/>
          <w:bCs/>
        </w:rPr>
        <w:instrText xml:space="preserve"> SEQ Gráfico \* ARABIC </w:instrText>
      </w:r>
      <w:r w:rsidR="00BC315D" w:rsidRPr="00BC315D">
        <w:rPr>
          <w:b/>
          <w:bCs/>
        </w:rPr>
        <w:fldChar w:fldCharType="separate"/>
      </w:r>
      <w:r w:rsidR="006622B2">
        <w:rPr>
          <w:b/>
          <w:bCs/>
          <w:noProof/>
        </w:rPr>
        <w:t>82</w:t>
      </w:r>
      <w:r w:rsidR="00BC315D" w:rsidRPr="00BC315D">
        <w:rPr>
          <w:b/>
          <w:bCs/>
        </w:rPr>
        <w:fldChar w:fldCharType="end"/>
      </w:r>
      <w:r w:rsidR="00BC315D" w:rsidRPr="00BC315D">
        <w:rPr>
          <w:b/>
          <w:bCs/>
        </w:rPr>
        <w:t>.  Déficit fiscal</w:t>
      </w:r>
      <w:bookmarkEnd w:id="199"/>
    </w:p>
    <w:p w14:paraId="6C625EC8" w14:textId="3AF167A3" w:rsidR="001352A1" w:rsidRPr="001352A1" w:rsidRDefault="004B6A59" w:rsidP="00406ABC">
      <w:pPr>
        <w:ind w:left="1395" w:right="2526"/>
        <w:jc w:val="center"/>
        <w:rPr>
          <w:sz w:val="20"/>
          <w:szCs w:val="28"/>
        </w:rPr>
      </w:pPr>
      <w:r>
        <w:rPr>
          <w:sz w:val="20"/>
          <w:szCs w:val="28"/>
        </w:rPr>
        <w:t xml:space="preserve">                    </w:t>
      </w:r>
      <w:r w:rsidR="001352A1" w:rsidRPr="001352A1">
        <w:rPr>
          <w:sz w:val="20"/>
          <w:szCs w:val="28"/>
        </w:rPr>
        <w:t>2012 -2023*</w:t>
      </w:r>
    </w:p>
    <w:p w14:paraId="14DB07C9" w14:textId="35367106" w:rsidR="001352A1" w:rsidRPr="001352A1" w:rsidRDefault="004B6A59" w:rsidP="00406ABC">
      <w:pPr>
        <w:ind w:left="1395" w:right="2529"/>
        <w:jc w:val="center"/>
        <w:rPr>
          <w:sz w:val="20"/>
          <w:szCs w:val="28"/>
        </w:rPr>
      </w:pPr>
      <w:r>
        <w:rPr>
          <w:sz w:val="20"/>
          <w:szCs w:val="28"/>
        </w:rPr>
        <w:t xml:space="preserve">                      </w:t>
      </w:r>
      <w:r w:rsidR="001352A1" w:rsidRPr="001352A1">
        <w:rPr>
          <w:sz w:val="20"/>
          <w:szCs w:val="28"/>
        </w:rPr>
        <w:t>Porcentajes del PIB</w:t>
      </w:r>
    </w:p>
    <w:p w14:paraId="31C65781" w14:textId="77777777" w:rsidR="001352A1" w:rsidRDefault="001352A1" w:rsidP="001352A1">
      <w:pPr>
        <w:spacing w:before="33"/>
        <w:ind w:right="-93"/>
        <w:jc w:val="center"/>
        <w:rPr>
          <w:sz w:val="18"/>
        </w:rPr>
      </w:pPr>
      <w:r>
        <w:rPr>
          <w:noProof/>
          <w:sz w:val="18"/>
        </w:rPr>
        <w:drawing>
          <wp:inline distT="0" distB="0" distL="0" distR="0" wp14:anchorId="43EC36DC" wp14:editId="349FA14C">
            <wp:extent cx="5478780" cy="1711757"/>
            <wp:effectExtent l="0" t="0" r="0" b="3175"/>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2117AD28" w14:textId="77777777" w:rsidR="001352A1" w:rsidRDefault="001352A1" w:rsidP="00E707F3">
      <w:pPr>
        <w:ind w:left="631"/>
        <w:rPr>
          <w:b/>
          <w:sz w:val="16"/>
        </w:rPr>
      </w:pPr>
      <w:r>
        <w:rPr>
          <w:b/>
          <w:sz w:val="16"/>
        </w:rPr>
        <w:t>*Estimación de cierre</w:t>
      </w:r>
    </w:p>
    <w:p w14:paraId="12579ED7" w14:textId="731677D9" w:rsidR="001352A1" w:rsidRPr="00406ABC" w:rsidRDefault="001352A1" w:rsidP="00E707F3">
      <w:pPr>
        <w:ind w:left="631"/>
        <w:rPr>
          <w:sz w:val="18"/>
          <w:szCs w:val="28"/>
        </w:rPr>
      </w:pPr>
      <w:r w:rsidRPr="001352A1">
        <w:rPr>
          <w:sz w:val="18"/>
          <w:szCs w:val="28"/>
        </w:rPr>
        <w:t>Fuente: Dirección de Análisis y Política Fiscal</w:t>
      </w:r>
      <w:r>
        <w:rPr>
          <w:sz w:val="18"/>
          <w:szCs w:val="28"/>
        </w:rPr>
        <w:t>.</w:t>
      </w:r>
    </w:p>
    <w:p w14:paraId="5004DEE9" w14:textId="5BDD32B2" w:rsidR="00B55493" w:rsidRDefault="00F96AF6" w:rsidP="00F96AF6">
      <w:pPr>
        <w:jc w:val="both"/>
      </w:pPr>
      <w:r>
        <w:t>Por el lado del financiamiento del déficit fiscal, la principal fuente de recursos en 2023 proviene de</w:t>
      </w:r>
      <w:r w:rsidR="00B55493">
        <w:t>l financiamiento externo neto, específicamente del Eurobono colocado en junio por US$1,000 millones (equivalente a Q7,833.2 millones), mientras que los prestamos alcanzarían desembolsos por Q</w:t>
      </w:r>
      <w:r w:rsidR="00C31E3E">
        <w:t>1</w:t>
      </w:r>
      <w:r w:rsidR="00B55493">
        <w:t>,</w:t>
      </w:r>
      <w:r w:rsidR="00C31E3E">
        <w:t>672</w:t>
      </w:r>
      <w:r w:rsidR="00B55493">
        <w:t>.</w:t>
      </w:r>
      <w:r w:rsidR="00C31E3E">
        <w:t>0</w:t>
      </w:r>
      <w:r w:rsidR="00B55493">
        <w:t xml:space="preserve"> millones, pero tomando en cuenta </w:t>
      </w:r>
      <w:r w:rsidR="00386942">
        <w:t xml:space="preserve">que las amortizaciones de préstamos (Q2,725.0 millones) superan los desembolsos, se tendrían préstamos netos negativos. </w:t>
      </w:r>
    </w:p>
    <w:p w14:paraId="22F8E9D0" w14:textId="77777777" w:rsidR="00B55493" w:rsidRDefault="00B55493" w:rsidP="00F96AF6">
      <w:pPr>
        <w:jc w:val="both"/>
      </w:pPr>
    </w:p>
    <w:p w14:paraId="414D0C1E" w14:textId="343C3BE3" w:rsidR="00F96AF6" w:rsidRDefault="00B55493" w:rsidP="00F96AF6">
      <w:pPr>
        <w:jc w:val="both"/>
      </w:pPr>
      <w:r>
        <w:t>Por su parte, se realizarían colocaciones internas por Q</w:t>
      </w:r>
      <w:r w:rsidR="00C31E3E">
        <w:t>7</w:t>
      </w:r>
      <w:r>
        <w:t>,</w:t>
      </w:r>
      <w:r w:rsidR="00C31E3E">
        <w:t>652.0</w:t>
      </w:r>
      <w:r>
        <w:t xml:space="preserve"> millones y tomando en consideración el pago de vencimientos por Q2,751.4 millones, l</w:t>
      </w:r>
      <w:r w:rsidR="00C31E3E">
        <w:t>a negociación n</w:t>
      </w:r>
      <w:r>
        <w:t>et</w:t>
      </w:r>
      <w:r w:rsidR="00C31E3E">
        <w:t>a</w:t>
      </w:r>
      <w:r>
        <w:t xml:space="preserve"> </w:t>
      </w:r>
      <w:r w:rsidR="00386942">
        <w:t>ascendería a</w:t>
      </w:r>
      <w:r>
        <w:t xml:space="preserve"> Q</w:t>
      </w:r>
      <w:r w:rsidR="00C31E3E">
        <w:t>4</w:t>
      </w:r>
      <w:r>
        <w:t>,</w:t>
      </w:r>
      <w:r w:rsidR="00C31E3E">
        <w:t>900</w:t>
      </w:r>
      <w:r>
        <w:t>.</w:t>
      </w:r>
      <w:r w:rsidR="00C31E3E">
        <w:t>6</w:t>
      </w:r>
      <w:r>
        <w:t xml:space="preserve"> millones</w:t>
      </w:r>
      <w:r w:rsidR="00386942">
        <w:t xml:space="preserve">. Un cupo importante de lo </w:t>
      </w:r>
      <w:r w:rsidR="00F96AF6">
        <w:t>autoriza</w:t>
      </w:r>
      <w:r w:rsidR="00386942">
        <w:t xml:space="preserve">do por </w:t>
      </w:r>
      <w:r w:rsidR="00F96AF6">
        <w:t>el Congreso de la República</w:t>
      </w:r>
      <w:r w:rsidR="00386942">
        <w:t xml:space="preserve"> cor</w:t>
      </w:r>
      <w:r w:rsidR="00F96AF6">
        <w:t>respond</w:t>
      </w:r>
      <w:r w:rsidR="00386942">
        <w:t>iente</w:t>
      </w:r>
      <w:r w:rsidR="00F96AF6">
        <w:t xml:space="preserve"> al Decreto </w:t>
      </w:r>
      <w:r w:rsidR="000E2118">
        <w:t xml:space="preserve">número </w:t>
      </w:r>
      <w:r w:rsidR="00F96AF6">
        <w:t>54-2022,</w:t>
      </w:r>
      <w:r w:rsidR="00386942">
        <w:t xml:space="preserve"> quedaría sin ser colocado o recolocado, </w:t>
      </w:r>
      <w:r w:rsidR="00C31E3E">
        <w:t xml:space="preserve">que corresponde al </w:t>
      </w:r>
      <w:r w:rsidR="00386942">
        <w:t>Roll Over</w:t>
      </w:r>
      <w:r w:rsidR="00C31E3E">
        <w:t>.</w:t>
      </w:r>
    </w:p>
    <w:p w14:paraId="43D6A826" w14:textId="77777777" w:rsidR="00F96AF6" w:rsidRDefault="00F96AF6" w:rsidP="00F96AF6">
      <w:pPr>
        <w:jc w:val="both"/>
      </w:pPr>
    </w:p>
    <w:p w14:paraId="1CFD9E10" w14:textId="1575801A" w:rsidR="00F96AF6" w:rsidRDefault="00F96AF6" w:rsidP="00F96AF6">
      <w:pPr>
        <w:jc w:val="both"/>
      </w:pPr>
      <w:r>
        <w:t>En el Congreso de la República se encuentra</w:t>
      </w:r>
      <w:r w:rsidR="000E2118">
        <w:t>n</w:t>
      </w:r>
      <w:r>
        <w:t xml:space="preserve"> dos préstamos de apoyo presupuestario, los cuales podrían incorporarse al Presupuesto, por medio de una sustitución de fuente de financiamiento, liberando recursos de la colocación de bonos del tesoro, todo ello sin incrementar el Presupuesto General de Egresos vigente para el 2023, porque ello no representa ingresos </w:t>
      </w:r>
      <w:r w:rsidR="000E2118">
        <w:t>ni</w:t>
      </w:r>
      <w:r>
        <w:t xml:space="preserve"> gastos adicionales. Aunque es incierta su aprobación, considerado el factor político en año de elecciones</w:t>
      </w:r>
      <w:r w:rsidR="000E2118">
        <w:t>.</w:t>
      </w:r>
      <w:r w:rsidR="005750AF">
        <w:t xml:space="preserve"> </w:t>
      </w:r>
      <w:r w:rsidR="000E2118">
        <w:t>D</w:t>
      </w:r>
      <w:r>
        <w:t xml:space="preserve">adas las condiciones favorables de estos préstamos y tomando en cuenta el incremento de tasas en el mercado doméstico, sería </w:t>
      </w:r>
      <w:r w:rsidR="000E2118">
        <w:t>apropiado lograr su aprobación</w:t>
      </w:r>
      <w:r>
        <w:t xml:space="preserve">. </w:t>
      </w:r>
    </w:p>
    <w:p w14:paraId="48A580A3" w14:textId="77777777" w:rsidR="00F96AF6" w:rsidRDefault="00F96AF6" w:rsidP="00F96AF6">
      <w:pPr>
        <w:jc w:val="both"/>
      </w:pPr>
    </w:p>
    <w:p w14:paraId="6725879A" w14:textId="2AA237A4" w:rsidR="002F0385" w:rsidRDefault="00F96AF6" w:rsidP="00F96AF6">
      <w:pPr>
        <w:jc w:val="both"/>
      </w:pPr>
      <w:r>
        <w:t>En la estimación de cierre no se consideran</w:t>
      </w:r>
      <w:r w:rsidR="00D74A14">
        <w:t xml:space="preserve"> los préstamos citados</w:t>
      </w:r>
      <w:r>
        <w:t>, por ello, los desembolsos de préstamos externos serían negativos en Q</w:t>
      </w:r>
      <w:r w:rsidR="00C31E3E">
        <w:t>1,053.0</w:t>
      </w:r>
      <w:r>
        <w:t xml:space="preserve"> millones</w:t>
      </w:r>
      <w:r w:rsidR="00D74A14">
        <w:t xml:space="preserve">. </w:t>
      </w:r>
      <w:r w:rsidR="00386942">
        <w:t xml:space="preserve">Por último, </w:t>
      </w:r>
      <w:r>
        <w:t>se espera hacer uso de los depósitos del gobierno en el Banco de Guatemala para complementar el financiamiento del déficit fiscal por alrededor de Q</w:t>
      </w:r>
      <w:r w:rsidR="00C31E3E">
        <w:t>1</w:t>
      </w:r>
      <w:r>
        <w:t>,</w:t>
      </w:r>
      <w:r w:rsidR="00386942">
        <w:t>8</w:t>
      </w:r>
      <w:r w:rsidR="00C31E3E">
        <w:t>82</w:t>
      </w:r>
      <w:r>
        <w:t>.</w:t>
      </w:r>
      <w:r w:rsidR="00C31E3E">
        <w:t>3</w:t>
      </w:r>
      <w:r>
        <w:t xml:space="preserve"> millones.</w:t>
      </w:r>
    </w:p>
    <w:p w14:paraId="0D89D8D5" w14:textId="7C501940" w:rsidR="00F96AF6" w:rsidRDefault="00F96AF6" w:rsidP="00F96AF6">
      <w:pPr>
        <w:jc w:val="both"/>
      </w:pPr>
    </w:p>
    <w:p w14:paraId="27E59D18" w14:textId="154B1FF9" w:rsidR="00F96AF6" w:rsidRPr="00707B83" w:rsidRDefault="00707B83" w:rsidP="00531A1B">
      <w:pPr>
        <w:pStyle w:val="Prrafodelista"/>
        <w:numPr>
          <w:ilvl w:val="0"/>
          <w:numId w:val="3"/>
        </w:numPr>
        <w:jc w:val="both"/>
        <w:outlineLvl w:val="0"/>
        <w:rPr>
          <w:b/>
          <w:bCs/>
        </w:rPr>
      </w:pPr>
      <w:bookmarkStart w:id="200" w:name="_Toc143865852"/>
      <w:r w:rsidRPr="00707B83">
        <w:rPr>
          <w:b/>
          <w:bCs/>
        </w:rPr>
        <w:t>Escenario fiscal de mediano plazo 2024 - 2028</w:t>
      </w:r>
      <w:bookmarkEnd w:id="200"/>
    </w:p>
    <w:p w14:paraId="3410616B" w14:textId="20B18E32" w:rsidR="00B425B8" w:rsidRDefault="00B425B8" w:rsidP="00B425B8">
      <w:pPr>
        <w:jc w:val="both"/>
      </w:pPr>
    </w:p>
    <w:p w14:paraId="4CF49586" w14:textId="77777777" w:rsidR="00707B83" w:rsidRDefault="00707B83" w:rsidP="00707B83">
      <w:pPr>
        <w:jc w:val="both"/>
      </w:pPr>
      <w:r>
        <w:t>La gestión de las finanzas públicas con una perspectiva de mediano plazo permite aumentar el bienestar de los ciudadanos de un país a través de la política redistributiva del gobierno que coadyuva a la dotación de bienes y servicios para la sociedad y la reducción de los niveles de desigualdad y pobreza, objetivos que se alcanzan cuando la política fiscal produce mayor estabilidad económica, mejora la eficiencia y la distribución de los ingresos del país. Para hacer esto posible, se requiere de un Marco Fiscal de Mediano Plazo (MFMP) que oriente la implementación de una política fiscal más predecible, más transparente, menos pro cíclica y más eficiente en lograr los objetivos antes mencionados.</w:t>
      </w:r>
    </w:p>
    <w:p w14:paraId="5E191D4E" w14:textId="77777777" w:rsidR="00707B83" w:rsidRDefault="00707B83" w:rsidP="00707B83">
      <w:pPr>
        <w:jc w:val="both"/>
      </w:pPr>
    </w:p>
    <w:p w14:paraId="56A8D01B" w14:textId="27CE092F" w:rsidR="00707B83" w:rsidRDefault="00707B83" w:rsidP="00707B83">
      <w:pPr>
        <w:jc w:val="both"/>
      </w:pPr>
      <w:r>
        <w:t>De esa cuenta, a continuación, se presenta el Marco Fiscal de Mediano Plazo para el período 2024- 2028, el cual inicia definiendo los objetivos y lineamientos estratégicos de la política fiscal, así como las orientaciones en materia de ingresos, gastos y financiamiento, para posteriormente incluir las proyecciones de medio término, el análisis de orientación y sostenibilidad fiscal, y algunos escenarios alternativos.</w:t>
      </w:r>
    </w:p>
    <w:p w14:paraId="26431682" w14:textId="3775CECA" w:rsidR="00707B83" w:rsidRDefault="00707B83" w:rsidP="00707B83">
      <w:pPr>
        <w:jc w:val="both"/>
      </w:pPr>
    </w:p>
    <w:p w14:paraId="3D8AE4F6" w14:textId="147E9972" w:rsidR="00A208C9" w:rsidRDefault="00A208C9" w:rsidP="00707B83">
      <w:pPr>
        <w:jc w:val="both"/>
      </w:pPr>
    </w:p>
    <w:p w14:paraId="57D1695A" w14:textId="2A262014" w:rsidR="00A208C9" w:rsidRDefault="00A208C9" w:rsidP="00707B83">
      <w:pPr>
        <w:jc w:val="both"/>
      </w:pPr>
    </w:p>
    <w:p w14:paraId="13A9694C" w14:textId="77777777" w:rsidR="00A208C9" w:rsidRDefault="00A208C9" w:rsidP="00707B83">
      <w:pPr>
        <w:jc w:val="both"/>
      </w:pPr>
    </w:p>
    <w:p w14:paraId="3CDB15EB" w14:textId="699C8DCD" w:rsidR="00707B83" w:rsidRPr="00707B83" w:rsidRDefault="00707B83" w:rsidP="00531A1B">
      <w:pPr>
        <w:pStyle w:val="Prrafodelista"/>
        <w:numPr>
          <w:ilvl w:val="1"/>
          <w:numId w:val="3"/>
        </w:numPr>
        <w:jc w:val="both"/>
        <w:outlineLvl w:val="1"/>
        <w:rPr>
          <w:b/>
          <w:bCs/>
        </w:rPr>
      </w:pPr>
      <w:bookmarkStart w:id="201" w:name="_Toc143865853"/>
      <w:r w:rsidRPr="00707B83">
        <w:rPr>
          <w:b/>
          <w:bCs/>
        </w:rPr>
        <w:t>Objetivos y lineamientos estratégicos de la política fiscal</w:t>
      </w:r>
      <w:bookmarkEnd w:id="201"/>
    </w:p>
    <w:p w14:paraId="1255A134" w14:textId="7A4D08D9" w:rsidR="00B425B8" w:rsidRDefault="00B425B8" w:rsidP="00B425B8">
      <w:pPr>
        <w:jc w:val="both"/>
      </w:pPr>
    </w:p>
    <w:p w14:paraId="30026594" w14:textId="77777777" w:rsidR="00707B83" w:rsidRDefault="00707B83" w:rsidP="00707B83">
      <w:pPr>
        <w:jc w:val="both"/>
      </w:pPr>
      <w:r>
        <w:t>La política fiscal de mediano plazo de Guatemala está contenida en los principios y fundamentos del Plan Nacional de Desarrollo K´ATUN Nuestra Guatemala 2032 y se inscribe en el eje de “Riqueza para todos y todas” y en las prioridades: a) “Estabilidad Macroeconómica en un Marco Amplio de Desarrollo” y b) “Política fiscal como motor de la estabilidad y el crecimiento económico inclusivo”.</w:t>
      </w:r>
    </w:p>
    <w:p w14:paraId="66FFBBD3" w14:textId="77777777" w:rsidR="00707B83" w:rsidRDefault="00707B83" w:rsidP="00707B83">
      <w:pPr>
        <w:jc w:val="both"/>
      </w:pPr>
    </w:p>
    <w:p w14:paraId="5812A09D" w14:textId="77777777" w:rsidR="00D74A14" w:rsidRDefault="00707B83" w:rsidP="00707B83">
      <w:pPr>
        <w:jc w:val="both"/>
      </w:pPr>
      <w:r>
        <w:t xml:space="preserve">Es importante considerar que, si bien el Plan Nacional de Desarrollo es la guía y base de las políticas públicas, existe otra guía para la política pública de largo plazo, expresada en el compromiso asumido por el Estado de Guatemala en 2015 cuando se comprometió con la Agenda de Objetivos de Desarrollo Sostenible (ODS), en la cual se define un plan de acción para erradicar la pobreza, proteger el planeta y lograr una prosperidad sostenible para todos. </w:t>
      </w:r>
    </w:p>
    <w:p w14:paraId="243CA4DC" w14:textId="77777777" w:rsidR="00D74A14" w:rsidRDefault="00D74A14" w:rsidP="00707B83">
      <w:pPr>
        <w:jc w:val="both"/>
      </w:pPr>
    </w:p>
    <w:p w14:paraId="7BD589EB" w14:textId="5DA87FD3" w:rsidR="00707B83" w:rsidRDefault="00707B83" w:rsidP="00707B83">
      <w:pPr>
        <w:jc w:val="both"/>
      </w:pPr>
      <w:r>
        <w:t>En 2016, el gobierno decide priorizar la Agenda en función de las lecciones aprendidas en el marco de seguimiento de los Objetivos de Desarrollo del Milenio (ODM). Para lo cual el Consejo Nacional de Desarrollo Urbano y Rural, aprueba la Estrategia de articulación de la Agenda de Objetivos de Desarrollo Sostenible con el Plan y Política Nacional de Desarrollo K´atun: Nuestra Guatemala 2032, la cual permitió priorizar los objetivos, metas e indicadores. En tal sentido, mediante punto resolutivo 15-2016, el Conadur aprueba el ejercicio de priorización de la Agenda ODS, el cual está constituido por 17 objetivos, 129 metas y 200 indicadores y, reflejando la expresión de la voluntad y el consenso de todos los actores de la sociedad guatemalteca.</w:t>
      </w:r>
    </w:p>
    <w:p w14:paraId="4A18F30F" w14:textId="77777777" w:rsidR="00707B83" w:rsidRDefault="00707B83" w:rsidP="00707B83">
      <w:pPr>
        <w:jc w:val="both"/>
      </w:pPr>
    </w:p>
    <w:p w14:paraId="3A315580" w14:textId="77777777" w:rsidR="00707B83" w:rsidRDefault="00707B83" w:rsidP="00707B83">
      <w:pPr>
        <w:jc w:val="both"/>
      </w:pPr>
      <w:r>
        <w:t>De esa cuenta, el K´atun y los ODS, contienen las prioridades nacionales sobre las cuales se deben armonizar las acciones impulsadas por las instituciones del Estado, sean estas públicas o privadas, además, de la cooperación internacional, de manera que se pueda organizar, coordinar y articular en función de los intereses y prioridades del desarrollo nacional de largo plazo. A través de la Política General de Gobierno 2020-2024, la administración pública se plantea metas estratégicas en el mediano plazo para coadyuvar en la consecución de los objetivos de largo plazo. En este sentido, la política fiscal del período abarca los ingresos, gastos, financiamiento, normatividad y descentralización; integrando el cumplimiento de las obligaciones constitucionales, de leyes específicas, la que emana de los Acuerdos de Paz y el Plan Nacional de Desarrollo; todo dentro del marco de un adecuado equilibrio entre la gestión de la administración tributaria y la gestión del presupuesto público, garantizando a su vez, que la misma no altere el equilibrio macroeconómico y se constituya en una promotora para el crecimiento económico y la inversión productiva.</w:t>
      </w:r>
    </w:p>
    <w:p w14:paraId="11A9DB2E" w14:textId="77777777" w:rsidR="00707B83" w:rsidRDefault="00707B83" w:rsidP="00707B83">
      <w:pPr>
        <w:jc w:val="both"/>
      </w:pPr>
    </w:p>
    <w:p w14:paraId="3BA7793B" w14:textId="60CAC4E3" w:rsidR="00707B83" w:rsidRPr="002F0385" w:rsidRDefault="00D74A14" w:rsidP="00707B83">
      <w:pPr>
        <w:jc w:val="both"/>
      </w:pPr>
      <w:r>
        <w:rPr>
          <w:noProof/>
          <w:sz w:val="22"/>
        </w:rPr>
        <mc:AlternateContent>
          <mc:Choice Requires="wps">
            <w:drawing>
              <wp:anchor distT="0" distB="0" distL="0" distR="0" simplePos="0" relativeHeight="251710464" behindDoc="1" locked="0" layoutInCell="1" allowOverlap="1" wp14:anchorId="5906D35B" wp14:editId="607858E2">
                <wp:simplePos x="0" y="0"/>
                <wp:positionH relativeFrom="page">
                  <wp:posOffset>1075055</wp:posOffset>
                </wp:positionH>
                <wp:positionV relativeFrom="paragraph">
                  <wp:posOffset>502285</wp:posOffset>
                </wp:positionV>
                <wp:extent cx="5755640" cy="753110"/>
                <wp:effectExtent l="0" t="0" r="16510" b="27940"/>
                <wp:wrapTopAndBottom/>
                <wp:docPr id="245" name="Text Box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753110"/>
                        </a:xfrm>
                        <a:prstGeom prst="rect">
                          <a:avLst/>
                        </a:prstGeom>
                        <a:solidFill>
                          <a:srgbClr val="DEEAF6"/>
                        </a:solidFill>
                        <a:ln w="6096">
                          <a:solidFill>
                            <a:srgbClr val="000000"/>
                          </a:solidFill>
                          <a:miter lim="800000"/>
                          <a:headEnd/>
                          <a:tailEnd/>
                        </a:ln>
                      </wps:spPr>
                      <wps:txbx>
                        <w:txbxContent>
                          <w:p w14:paraId="62F228B4" w14:textId="77777777" w:rsidR="00707B83" w:rsidRPr="00406ABC" w:rsidRDefault="00707B83" w:rsidP="00A208C9">
                            <w:pPr>
                              <w:ind w:left="107" w:right="104"/>
                              <w:jc w:val="both"/>
                              <w:rPr>
                                <w:sz w:val="20"/>
                              </w:rPr>
                            </w:pPr>
                            <w:r w:rsidRPr="00406ABC">
                              <w:rPr>
                                <w:sz w:val="20"/>
                              </w:rPr>
                              <w:t>“Asegurar que el gobierno disponga de los recursos suficientes para financiar los programas asociados al cumplimiento de las Metas Estratégicas establecidas en la Política General de Gobierno y el Plan Nacional de Desarrollo,</w:t>
                            </w:r>
                            <w:r w:rsidRPr="00406ABC">
                              <w:rPr>
                                <w:spacing w:val="-16"/>
                                <w:sz w:val="20"/>
                              </w:rPr>
                              <w:t xml:space="preserve"> </w:t>
                            </w:r>
                            <w:r w:rsidRPr="00406ABC">
                              <w:rPr>
                                <w:sz w:val="20"/>
                              </w:rPr>
                              <w:t>garantizando</w:t>
                            </w:r>
                            <w:r w:rsidRPr="00406ABC">
                              <w:rPr>
                                <w:spacing w:val="-14"/>
                                <w:sz w:val="20"/>
                              </w:rPr>
                              <w:t xml:space="preserve"> </w:t>
                            </w:r>
                            <w:r w:rsidRPr="00406ABC">
                              <w:rPr>
                                <w:sz w:val="20"/>
                              </w:rPr>
                              <w:t>al</w:t>
                            </w:r>
                            <w:r w:rsidRPr="00406ABC">
                              <w:rPr>
                                <w:spacing w:val="-13"/>
                                <w:sz w:val="20"/>
                              </w:rPr>
                              <w:t xml:space="preserve"> </w:t>
                            </w:r>
                            <w:r w:rsidRPr="00406ABC">
                              <w:rPr>
                                <w:sz w:val="20"/>
                              </w:rPr>
                              <w:t>mismo</w:t>
                            </w:r>
                            <w:r w:rsidRPr="00406ABC">
                              <w:rPr>
                                <w:spacing w:val="-14"/>
                                <w:sz w:val="20"/>
                              </w:rPr>
                              <w:t xml:space="preserve"> </w:t>
                            </w:r>
                            <w:r w:rsidRPr="00406ABC">
                              <w:rPr>
                                <w:sz w:val="20"/>
                              </w:rPr>
                              <w:t>tiempo</w:t>
                            </w:r>
                            <w:r w:rsidRPr="00406ABC">
                              <w:rPr>
                                <w:spacing w:val="-12"/>
                                <w:sz w:val="20"/>
                              </w:rPr>
                              <w:t xml:space="preserve"> </w:t>
                            </w:r>
                            <w:r w:rsidRPr="00406ABC">
                              <w:rPr>
                                <w:sz w:val="20"/>
                              </w:rPr>
                              <w:t>una</w:t>
                            </w:r>
                            <w:r w:rsidRPr="00406ABC">
                              <w:rPr>
                                <w:spacing w:val="-13"/>
                                <w:sz w:val="20"/>
                              </w:rPr>
                              <w:t xml:space="preserve"> </w:t>
                            </w:r>
                            <w:r w:rsidRPr="00406ABC">
                              <w:rPr>
                                <w:sz w:val="20"/>
                              </w:rPr>
                              <w:t>gestión</w:t>
                            </w:r>
                            <w:r w:rsidRPr="00406ABC">
                              <w:rPr>
                                <w:spacing w:val="-16"/>
                                <w:sz w:val="20"/>
                              </w:rPr>
                              <w:t xml:space="preserve"> </w:t>
                            </w:r>
                            <w:r w:rsidRPr="00406ABC">
                              <w:rPr>
                                <w:sz w:val="20"/>
                              </w:rPr>
                              <w:t>disciplinada</w:t>
                            </w:r>
                            <w:r w:rsidRPr="00406ABC">
                              <w:rPr>
                                <w:spacing w:val="-13"/>
                                <w:sz w:val="20"/>
                              </w:rPr>
                              <w:t xml:space="preserve"> </w:t>
                            </w:r>
                            <w:r w:rsidRPr="00406ABC">
                              <w:rPr>
                                <w:sz w:val="20"/>
                              </w:rPr>
                              <w:t>y</w:t>
                            </w:r>
                            <w:r w:rsidRPr="00406ABC">
                              <w:rPr>
                                <w:spacing w:val="-19"/>
                                <w:sz w:val="20"/>
                              </w:rPr>
                              <w:t xml:space="preserve"> </w:t>
                            </w:r>
                            <w:r w:rsidRPr="00406ABC">
                              <w:rPr>
                                <w:sz w:val="20"/>
                              </w:rPr>
                              <w:t>transparente</w:t>
                            </w:r>
                            <w:r w:rsidRPr="00406ABC">
                              <w:rPr>
                                <w:spacing w:val="-15"/>
                                <w:sz w:val="20"/>
                              </w:rPr>
                              <w:t xml:space="preserve"> </w:t>
                            </w:r>
                            <w:r w:rsidRPr="00406ABC">
                              <w:rPr>
                                <w:sz w:val="20"/>
                              </w:rPr>
                              <w:t>de</w:t>
                            </w:r>
                            <w:r w:rsidRPr="00406ABC">
                              <w:rPr>
                                <w:spacing w:val="-15"/>
                                <w:sz w:val="20"/>
                              </w:rPr>
                              <w:t xml:space="preserve"> </w:t>
                            </w:r>
                            <w:r w:rsidRPr="00406ABC">
                              <w:rPr>
                                <w:sz w:val="20"/>
                              </w:rPr>
                              <w:t>dichos</w:t>
                            </w:r>
                            <w:r w:rsidRPr="00406ABC">
                              <w:rPr>
                                <w:spacing w:val="-16"/>
                                <w:sz w:val="20"/>
                              </w:rPr>
                              <w:t xml:space="preserve"> </w:t>
                            </w:r>
                            <w:r w:rsidRPr="00406ABC">
                              <w:rPr>
                                <w:sz w:val="20"/>
                              </w:rPr>
                              <w:t>recursos;</w:t>
                            </w:r>
                            <w:r w:rsidRPr="00406ABC">
                              <w:rPr>
                                <w:spacing w:val="-15"/>
                                <w:sz w:val="20"/>
                              </w:rPr>
                              <w:t xml:space="preserve"> </w:t>
                            </w:r>
                            <w:r w:rsidRPr="00406ABC">
                              <w:rPr>
                                <w:sz w:val="20"/>
                              </w:rPr>
                              <w:t>generando confianza</w:t>
                            </w:r>
                            <w:r w:rsidRPr="00406ABC">
                              <w:rPr>
                                <w:spacing w:val="-5"/>
                                <w:sz w:val="20"/>
                              </w:rPr>
                              <w:t xml:space="preserve"> </w:t>
                            </w:r>
                            <w:r w:rsidRPr="00406ABC">
                              <w:rPr>
                                <w:sz w:val="20"/>
                              </w:rPr>
                              <w:t>en</w:t>
                            </w:r>
                            <w:r w:rsidRPr="00406ABC">
                              <w:rPr>
                                <w:spacing w:val="-6"/>
                                <w:sz w:val="20"/>
                              </w:rPr>
                              <w:t xml:space="preserve"> </w:t>
                            </w:r>
                            <w:r w:rsidRPr="00406ABC">
                              <w:rPr>
                                <w:sz w:val="20"/>
                              </w:rPr>
                              <w:t>los</w:t>
                            </w:r>
                            <w:r w:rsidRPr="00406ABC">
                              <w:rPr>
                                <w:spacing w:val="-3"/>
                                <w:sz w:val="20"/>
                              </w:rPr>
                              <w:t xml:space="preserve"> </w:t>
                            </w:r>
                            <w:r w:rsidRPr="00406ABC">
                              <w:rPr>
                                <w:sz w:val="20"/>
                              </w:rPr>
                              <w:t>inversionistas</w:t>
                            </w:r>
                            <w:r w:rsidRPr="00406ABC">
                              <w:rPr>
                                <w:spacing w:val="-2"/>
                                <w:sz w:val="20"/>
                              </w:rPr>
                              <w:t xml:space="preserve"> </w:t>
                            </w:r>
                            <w:r w:rsidRPr="00406ABC">
                              <w:rPr>
                                <w:sz w:val="20"/>
                              </w:rPr>
                              <w:t>mediante</w:t>
                            </w:r>
                            <w:r w:rsidRPr="00406ABC">
                              <w:rPr>
                                <w:spacing w:val="-4"/>
                                <w:sz w:val="20"/>
                              </w:rPr>
                              <w:t xml:space="preserve"> </w:t>
                            </w:r>
                            <w:r w:rsidRPr="00406ABC">
                              <w:rPr>
                                <w:sz w:val="20"/>
                              </w:rPr>
                              <w:t>el</w:t>
                            </w:r>
                            <w:r w:rsidRPr="00406ABC">
                              <w:rPr>
                                <w:spacing w:val="-5"/>
                                <w:sz w:val="20"/>
                              </w:rPr>
                              <w:t xml:space="preserve"> </w:t>
                            </w:r>
                            <w:r w:rsidRPr="00406ABC">
                              <w:rPr>
                                <w:sz w:val="20"/>
                              </w:rPr>
                              <w:t>apoyo</w:t>
                            </w:r>
                            <w:r w:rsidRPr="00406ABC">
                              <w:rPr>
                                <w:spacing w:val="-3"/>
                                <w:sz w:val="20"/>
                              </w:rPr>
                              <w:t xml:space="preserve"> </w:t>
                            </w:r>
                            <w:r w:rsidRPr="00406ABC">
                              <w:rPr>
                                <w:sz w:val="20"/>
                              </w:rPr>
                              <w:t>a</w:t>
                            </w:r>
                            <w:r w:rsidRPr="00406ABC">
                              <w:rPr>
                                <w:spacing w:val="-2"/>
                                <w:sz w:val="20"/>
                              </w:rPr>
                              <w:t xml:space="preserve"> </w:t>
                            </w:r>
                            <w:r w:rsidRPr="00406ABC">
                              <w:rPr>
                                <w:sz w:val="20"/>
                              </w:rPr>
                              <w:t>la</w:t>
                            </w:r>
                            <w:r w:rsidRPr="00406ABC">
                              <w:rPr>
                                <w:spacing w:val="-5"/>
                                <w:sz w:val="20"/>
                              </w:rPr>
                              <w:t xml:space="preserve"> </w:t>
                            </w:r>
                            <w:r w:rsidRPr="00406ABC">
                              <w:rPr>
                                <w:sz w:val="20"/>
                              </w:rPr>
                              <w:t>estabilidad</w:t>
                            </w:r>
                            <w:r w:rsidRPr="00406ABC">
                              <w:rPr>
                                <w:spacing w:val="-1"/>
                                <w:sz w:val="20"/>
                              </w:rPr>
                              <w:t xml:space="preserve"> </w:t>
                            </w:r>
                            <w:r w:rsidRPr="00406ABC">
                              <w:rPr>
                                <w:sz w:val="20"/>
                              </w:rPr>
                              <w:t>macroeconómica</w:t>
                            </w:r>
                            <w:r w:rsidRPr="00406ABC">
                              <w:rPr>
                                <w:spacing w:val="-3"/>
                                <w:sz w:val="20"/>
                              </w:rPr>
                              <w:t xml:space="preserve"> </w:t>
                            </w:r>
                            <w:r w:rsidRPr="00406ABC">
                              <w:rPr>
                                <w:sz w:val="20"/>
                              </w:rPr>
                              <w:t>y</w:t>
                            </w:r>
                            <w:r w:rsidRPr="00406ABC">
                              <w:rPr>
                                <w:spacing w:val="-6"/>
                                <w:sz w:val="20"/>
                              </w:rPr>
                              <w:t xml:space="preserve"> </w:t>
                            </w:r>
                            <w:r w:rsidRPr="00406ABC">
                              <w:rPr>
                                <w:sz w:val="20"/>
                              </w:rPr>
                              <w:t>la</w:t>
                            </w:r>
                            <w:r w:rsidRPr="00406ABC">
                              <w:rPr>
                                <w:spacing w:val="-2"/>
                                <w:sz w:val="20"/>
                              </w:rPr>
                              <w:t xml:space="preserve"> </w:t>
                            </w:r>
                            <w:r w:rsidRPr="00406ABC">
                              <w:rPr>
                                <w:sz w:val="20"/>
                              </w:rPr>
                              <w:t>sostenibilidad</w:t>
                            </w:r>
                            <w:r w:rsidRPr="00406ABC">
                              <w:rPr>
                                <w:spacing w:val="-4"/>
                                <w:sz w:val="20"/>
                              </w:rPr>
                              <w:t xml:space="preserve"> </w:t>
                            </w:r>
                            <w:r w:rsidRPr="00406ABC">
                              <w:rPr>
                                <w:sz w:val="20"/>
                              </w:rPr>
                              <w:t>fiscal</w:t>
                            </w:r>
                            <w:r w:rsidRPr="00406ABC">
                              <w:rPr>
                                <w:spacing w:val="-5"/>
                                <w:sz w:val="20"/>
                              </w:rPr>
                              <w:t xml:space="preserve"> </w:t>
                            </w:r>
                            <w:r w:rsidRPr="00406ABC">
                              <w:rPr>
                                <w:sz w:val="20"/>
                              </w:rPr>
                              <w:t>en el mediano y largo</w:t>
                            </w:r>
                            <w:r w:rsidRPr="00406ABC">
                              <w:rPr>
                                <w:spacing w:val="1"/>
                                <w:sz w:val="20"/>
                              </w:rPr>
                              <w:t xml:space="preserve"> </w:t>
                            </w:r>
                            <w:r w:rsidRPr="00406ABC">
                              <w:rPr>
                                <w:sz w:val="20"/>
                              </w:rPr>
                              <w:t>plazos”.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06D35B" id="Text Box 1123" o:spid="_x0000_s1039" type="#_x0000_t202" style="position:absolute;left:0;text-align:left;margin-left:84.65pt;margin-top:39.55pt;width:453.2pt;height:59.3pt;z-index:-251606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" fillcolor="#deeaf6" strokeweight=".48pt">
                <v:textbox inset="0,0,0,0">
                  <w:txbxContent>
                    <w:p w14:paraId="62F228B4" w14:textId="77777777" w:rsidR="00707B83" w:rsidRPr="00406ABC" w:rsidRDefault="00707B83" w:rsidP="00A208C9">
                      <w:pPr>
                        <w:ind w:left="107" w:right="104"/>
                        <w:jc w:val="both"/>
                        <w:rPr>
                          <w:sz w:val="20"/>
                        </w:rPr>
                      </w:pPr>
                      <w:r w:rsidRPr="00406ABC">
                        <w:rPr>
                          <w:sz w:val="20"/>
                        </w:rPr>
                        <w:t>“Asegurar que el gobierno disponga de los recursos suficientes para financiar los programas asociados al cumplimiento de las Metas Estratégicas establecidas en la Política General de Gobierno y el Plan Nacional de Desarrollo,</w:t>
                      </w:r>
                      <w:r w:rsidRPr="00406ABC">
                        <w:rPr>
                          <w:spacing w:val="-16"/>
                          <w:sz w:val="20"/>
                        </w:rPr>
                        <w:t xml:space="preserve"> </w:t>
                      </w:r>
                      <w:r w:rsidRPr="00406ABC">
                        <w:rPr>
                          <w:sz w:val="20"/>
                        </w:rPr>
                        <w:t>garantizando</w:t>
                      </w:r>
                      <w:r w:rsidRPr="00406ABC">
                        <w:rPr>
                          <w:spacing w:val="-14"/>
                          <w:sz w:val="20"/>
                        </w:rPr>
                        <w:t xml:space="preserve"> </w:t>
                      </w:r>
                      <w:r w:rsidRPr="00406ABC">
                        <w:rPr>
                          <w:sz w:val="20"/>
                        </w:rPr>
                        <w:t>al</w:t>
                      </w:r>
                      <w:r w:rsidRPr="00406ABC">
                        <w:rPr>
                          <w:spacing w:val="-13"/>
                          <w:sz w:val="20"/>
                        </w:rPr>
                        <w:t xml:space="preserve"> </w:t>
                      </w:r>
                      <w:r w:rsidRPr="00406ABC">
                        <w:rPr>
                          <w:sz w:val="20"/>
                        </w:rPr>
                        <w:t>mismo</w:t>
                      </w:r>
                      <w:r w:rsidRPr="00406ABC">
                        <w:rPr>
                          <w:spacing w:val="-14"/>
                          <w:sz w:val="20"/>
                        </w:rPr>
                        <w:t xml:space="preserve"> </w:t>
                      </w:r>
                      <w:r w:rsidRPr="00406ABC">
                        <w:rPr>
                          <w:sz w:val="20"/>
                        </w:rPr>
                        <w:t>tiempo</w:t>
                      </w:r>
                      <w:r w:rsidRPr="00406ABC">
                        <w:rPr>
                          <w:spacing w:val="-12"/>
                          <w:sz w:val="20"/>
                        </w:rPr>
                        <w:t xml:space="preserve"> </w:t>
                      </w:r>
                      <w:r w:rsidRPr="00406ABC">
                        <w:rPr>
                          <w:sz w:val="20"/>
                        </w:rPr>
                        <w:t>una</w:t>
                      </w:r>
                      <w:r w:rsidRPr="00406ABC">
                        <w:rPr>
                          <w:spacing w:val="-13"/>
                          <w:sz w:val="20"/>
                        </w:rPr>
                        <w:t xml:space="preserve"> </w:t>
                      </w:r>
                      <w:r w:rsidRPr="00406ABC">
                        <w:rPr>
                          <w:sz w:val="20"/>
                        </w:rPr>
                        <w:t>gestión</w:t>
                      </w:r>
                      <w:r w:rsidRPr="00406ABC">
                        <w:rPr>
                          <w:spacing w:val="-16"/>
                          <w:sz w:val="20"/>
                        </w:rPr>
                        <w:t xml:space="preserve"> </w:t>
                      </w:r>
                      <w:r w:rsidRPr="00406ABC">
                        <w:rPr>
                          <w:sz w:val="20"/>
                        </w:rPr>
                        <w:t>disciplinada</w:t>
                      </w:r>
                      <w:r w:rsidRPr="00406ABC">
                        <w:rPr>
                          <w:spacing w:val="-13"/>
                          <w:sz w:val="20"/>
                        </w:rPr>
                        <w:t xml:space="preserve"> </w:t>
                      </w:r>
                      <w:r w:rsidRPr="00406ABC">
                        <w:rPr>
                          <w:sz w:val="20"/>
                        </w:rPr>
                        <w:t>y</w:t>
                      </w:r>
                      <w:r w:rsidRPr="00406ABC">
                        <w:rPr>
                          <w:spacing w:val="-19"/>
                          <w:sz w:val="20"/>
                        </w:rPr>
                        <w:t xml:space="preserve"> </w:t>
                      </w:r>
                      <w:r w:rsidRPr="00406ABC">
                        <w:rPr>
                          <w:sz w:val="20"/>
                        </w:rPr>
                        <w:t>transparente</w:t>
                      </w:r>
                      <w:r w:rsidRPr="00406ABC">
                        <w:rPr>
                          <w:spacing w:val="-15"/>
                          <w:sz w:val="20"/>
                        </w:rPr>
                        <w:t xml:space="preserve"> </w:t>
                      </w:r>
                      <w:r w:rsidRPr="00406ABC">
                        <w:rPr>
                          <w:sz w:val="20"/>
                        </w:rPr>
                        <w:t>de</w:t>
                      </w:r>
                      <w:r w:rsidRPr="00406ABC">
                        <w:rPr>
                          <w:spacing w:val="-15"/>
                          <w:sz w:val="20"/>
                        </w:rPr>
                        <w:t xml:space="preserve"> </w:t>
                      </w:r>
                      <w:r w:rsidRPr="00406ABC">
                        <w:rPr>
                          <w:sz w:val="20"/>
                        </w:rPr>
                        <w:t>dichos</w:t>
                      </w:r>
                      <w:r w:rsidRPr="00406ABC">
                        <w:rPr>
                          <w:spacing w:val="-16"/>
                          <w:sz w:val="20"/>
                        </w:rPr>
                        <w:t xml:space="preserve"> </w:t>
                      </w:r>
                      <w:r w:rsidRPr="00406ABC">
                        <w:rPr>
                          <w:sz w:val="20"/>
                        </w:rPr>
                        <w:t>recursos;</w:t>
                      </w:r>
                      <w:r w:rsidRPr="00406ABC">
                        <w:rPr>
                          <w:spacing w:val="-15"/>
                          <w:sz w:val="20"/>
                        </w:rPr>
                        <w:t xml:space="preserve"> </w:t>
                      </w:r>
                      <w:r w:rsidRPr="00406ABC">
                        <w:rPr>
                          <w:sz w:val="20"/>
                        </w:rPr>
                        <w:t>generando confianza</w:t>
                      </w:r>
                      <w:r w:rsidRPr="00406ABC">
                        <w:rPr>
                          <w:spacing w:val="-5"/>
                          <w:sz w:val="20"/>
                        </w:rPr>
                        <w:t xml:space="preserve"> </w:t>
                      </w:r>
                      <w:r w:rsidRPr="00406ABC">
                        <w:rPr>
                          <w:sz w:val="20"/>
                        </w:rPr>
                        <w:t>en</w:t>
                      </w:r>
                      <w:r w:rsidRPr="00406ABC">
                        <w:rPr>
                          <w:spacing w:val="-6"/>
                          <w:sz w:val="20"/>
                        </w:rPr>
                        <w:t xml:space="preserve"> </w:t>
                      </w:r>
                      <w:r w:rsidRPr="00406ABC">
                        <w:rPr>
                          <w:sz w:val="20"/>
                        </w:rPr>
                        <w:t>los</w:t>
                      </w:r>
                      <w:r w:rsidRPr="00406ABC">
                        <w:rPr>
                          <w:spacing w:val="-3"/>
                          <w:sz w:val="20"/>
                        </w:rPr>
                        <w:t xml:space="preserve"> </w:t>
                      </w:r>
                      <w:r w:rsidRPr="00406ABC">
                        <w:rPr>
                          <w:sz w:val="20"/>
                        </w:rPr>
                        <w:t>inversionistas</w:t>
                      </w:r>
                      <w:r w:rsidRPr="00406ABC">
                        <w:rPr>
                          <w:spacing w:val="-2"/>
                          <w:sz w:val="20"/>
                        </w:rPr>
                        <w:t xml:space="preserve"> </w:t>
                      </w:r>
                      <w:r w:rsidRPr="00406ABC">
                        <w:rPr>
                          <w:sz w:val="20"/>
                        </w:rPr>
                        <w:t>mediante</w:t>
                      </w:r>
                      <w:r w:rsidRPr="00406ABC">
                        <w:rPr>
                          <w:spacing w:val="-4"/>
                          <w:sz w:val="20"/>
                        </w:rPr>
                        <w:t xml:space="preserve"> </w:t>
                      </w:r>
                      <w:r w:rsidRPr="00406ABC">
                        <w:rPr>
                          <w:sz w:val="20"/>
                        </w:rPr>
                        <w:t>el</w:t>
                      </w:r>
                      <w:r w:rsidRPr="00406ABC">
                        <w:rPr>
                          <w:spacing w:val="-5"/>
                          <w:sz w:val="20"/>
                        </w:rPr>
                        <w:t xml:space="preserve"> </w:t>
                      </w:r>
                      <w:r w:rsidRPr="00406ABC">
                        <w:rPr>
                          <w:sz w:val="20"/>
                        </w:rPr>
                        <w:t>apoyo</w:t>
                      </w:r>
                      <w:r w:rsidRPr="00406ABC">
                        <w:rPr>
                          <w:spacing w:val="-3"/>
                          <w:sz w:val="20"/>
                        </w:rPr>
                        <w:t xml:space="preserve"> </w:t>
                      </w:r>
                      <w:r w:rsidRPr="00406ABC">
                        <w:rPr>
                          <w:sz w:val="20"/>
                        </w:rPr>
                        <w:t>a</w:t>
                      </w:r>
                      <w:r w:rsidRPr="00406ABC">
                        <w:rPr>
                          <w:spacing w:val="-2"/>
                          <w:sz w:val="20"/>
                        </w:rPr>
                        <w:t xml:space="preserve"> </w:t>
                      </w:r>
                      <w:r w:rsidRPr="00406ABC">
                        <w:rPr>
                          <w:sz w:val="20"/>
                        </w:rPr>
                        <w:t>la</w:t>
                      </w:r>
                      <w:r w:rsidRPr="00406ABC">
                        <w:rPr>
                          <w:spacing w:val="-5"/>
                          <w:sz w:val="20"/>
                        </w:rPr>
                        <w:t xml:space="preserve"> </w:t>
                      </w:r>
                      <w:r w:rsidRPr="00406ABC">
                        <w:rPr>
                          <w:sz w:val="20"/>
                        </w:rPr>
                        <w:t>estabilidad</w:t>
                      </w:r>
                      <w:r w:rsidRPr="00406ABC">
                        <w:rPr>
                          <w:spacing w:val="-1"/>
                          <w:sz w:val="20"/>
                        </w:rPr>
                        <w:t xml:space="preserve"> </w:t>
                      </w:r>
                      <w:r w:rsidRPr="00406ABC">
                        <w:rPr>
                          <w:sz w:val="20"/>
                        </w:rPr>
                        <w:t>macroeconómica</w:t>
                      </w:r>
                      <w:r w:rsidRPr="00406ABC">
                        <w:rPr>
                          <w:spacing w:val="-3"/>
                          <w:sz w:val="20"/>
                        </w:rPr>
                        <w:t xml:space="preserve"> </w:t>
                      </w:r>
                      <w:r w:rsidRPr="00406ABC">
                        <w:rPr>
                          <w:sz w:val="20"/>
                        </w:rPr>
                        <w:t>y</w:t>
                      </w:r>
                      <w:r w:rsidRPr="00406ABC">
                        <w:rPr>
                          <w:spacing w:val="-6"/>
                          <w:sz w:val="20"/>
                        </w:rPr>
                        <w:t xml:space="preserve"> </w:t>
                      </w:r>
                      <w:r w:rsidRPr="00406ABC">
                        <w:rPr>
                          <w:sz w:val="20"/>
                        </w:rPr>
                        <w:t>la</w:t>
                      </w:r>
                      <w:r w:rsidRPr="00406ABC">
                        <w:rPr>
                          <w:spacing w:val="-2"/>
                          <w:sz w:val="20"/>
                        </w:rPr>
                        <w:t xml:space="preserve"> </w:t>
                      </w:r>
                      <w:r w:rsidRPr="00406ABC">
                        <w:rPr>
                          <w:sz w:val="20"/>
                        </w:rPr>
                        <w:t>sostenibilidad</w:t>
                      </w:r>
                      <w:r w:rsidRPr="00406ABC">
                        <w:rPr>
                          <w:spacing w:val="-4"/>
                          <w:sz w:val="20"/>
                        </w:rPr>
                        <w:t xml:space="preserve"> </w:t>
                      </w:r>
                      <w:r w:rsidRPr="00406ABC">
                        <w:rPr>
                          <w:sz w:val="20"/>
                        </w:rPr>
                        <w:t>fiscal</w:t>
                      </w:r>
                      <w:r w:rsidRPr="00406ABC">
                        <w:rPr>
                          <w:spacing w:val="-5"/>
                          <w:sz w:val="20"/>
                        </w:rPr>
                        <w:t xml:space="preserve"> </w:t>
                      </w:r>
                      <w:r w:rsidRPr="00406ABC">
                        <w:rPr>
                          <w:sz w:val="20"/>
                        </w:rPr>
                        <w:t>en el mediano y largo</w:t>
                      </w:r>
                      <w:r w:rsidRPr="00406ABC">
                        <w:rPr>
                          <w:spacing w:val="1"/>
                          <w:sz w:val="20"/>
                        </w:rPr>
                        <w:t xml:space="preserve"> </w:t>
                      </w:r>
                      <w:r w:rsidRPr="00406ABC">
                        <w:rPr>
                          <w:sz w:val="20"/>
                        </w:rPr>
                        <w:t>plazos”.</w:t>
                      </w:r>
                    </w:p>
                  </w:txbxContent>
                </v:textbox>
                <w10:wrap type="topAndBottom" anchorx="page"/>
              </v:shape>
            </w:pict>
          </mc:Fallback>
        </mc:AlternateContent>
      </w:r>
      <w:r w:rsidR="00707B83">
        <w:t>En este contexto, el objetivo estratégico de mediano plazo de la política fiscal de Guatemala es:</w:t>
      </w:r>
    </w:p>
    <w:p w14:paraId="37BDDDCE" w14:textId="1E9A1B7F" w:rsidR="00B425B8" w:rsidRDefault="00B425B8" w:rsidP="00B425B8">
      <w:pPr>
        <w:jc w:val="both"/>
      </w:pPr>
    </w:p>
    <w:p w14:paraId="7EAC7416" w14:textId="77777777" w:rsidR="00707B83" w:rsidRDefault="00707B83" w:rsidP="00707B83">
      <w:pPr>
        <w:jc w:val="both"/>
      </w:pPr>
      <w:r>
        <w:t>Para la consecución del objetivo estratégico se han definido los siguientes objetivos específicos:</w:t>
      </w:r>
    </w:p>
    <w:p w14:paraId="38EE6EFF" w14:textId="77777777" w:rsidR="00707B83" w:rsidRDefault="00707B83" w:rsidP="00707B83">
      <w:pPr>
        <w:jc w:val="both"/>
      </w:pPr>
    </w:p>
    <w:p w14:paraId="62FFF233" w14:textId="3CCD9F64" w:rsidR="00D74A14" w:rsidRPr="00E01410" w:rsidRDefault="00707B83" w:rsidP="00354A9C">
      <w:pPr>
        <w:pStyle w:val="Prrafodelista"/>
        <w:numPr>
          <w:ilvl w:val="0"/>
          <w:numId w:val="51"/>
        </w:numPr>
        <w:ind w:left="567"/>
        <w:jc w:val="both"/>
        <w:rPr>
          <w:sz w:val="22"/>
          <w:szCs w:val="22"/>
        </w:rPr>
      </w:pPr>
      <w:r w:rsidRPr="00E01410">
        <w:rPr>
          <w:sz w:val="22"/>
          <w:szCs w:val="22"/>
        </w:rPr>
        <w:t>Incrementar la recaudación tributaria de manera sustancial y sostenida, mediante el fortalecimiento de la capacidad recaudatoria de la Superintendencia de Administración Tributaria, con la finalidad de obtener los ingresos suficientes para financiar el gasto público y contribuir a la solidez de las finanzas públicas.</w:t>
      </w:r>
    </w:p>
    <w:p w14:paraId="3AB491C3" w14:textId="6BD1A051" w:rsidR="00D74A14" w:rsidRPr="00E01410" w:rsidRDefault="00707B83" w:rsidP="00354A9C">
      <w:pPr>
        <w:pStyle w:val="Prrafodelista"/>
        <w:numPr>
          <w:ilvl w:val="0"/>
          <w:numId w:val="51"/>
        </w:numPr>
        <w:ind w:left="567"/>
        <w:jc w:val="both"/>
        <w:rPr>
          <w:sz w:val="22"/>
          <w:szCs w:val="22"/>
        </w:rPr>
      </w:pPr>
      <w:r w:rsidRPr="00E01410">
        <w:rPr>
          <w:sz w:val="22"/>
          <w:szCs w:val="22"/>
        </w:rPr>
        <w:t xml:space="preserve">Coadyuvar a lograr una gestión disciplinada y transparente del gasto público, enfocada en resultados y que este en constante búsqueda de las fuentes de financiamiento necesarias para garantizar parte de la cobertura de los programas asociados al Plan Nacional de Desarrollo K´ATUN </w:t>
      </w:r>
      <w:r w:rsidR="00D74A14" w:rsidRPr="00E01410">
        <w:rPr>
          <w:sz w:val="22"/>
          <w:szCs w:val="22"/>
        </w:rPr>
        <w:t>Nuestra Guatemala 2032</w:t>
      </w:r>
      <w:r w:rsidRPr="00E01410">
        <w:rPr>
          <w:sz w:val="22"/>
          <w:szCs w:val="22"/>
        </w:rPr>
        <w:t>.</w:t>
      </w:r>
    </w:p>
    <w:p w14:paraId="4BA10265" w14:textId="40CBEAE6" w:rsidR="00D74A14" w:rsidRPr="00E01410" w:rsidRDefault="00707B83" w:rsidP="00354A9C">
      <w:pPr>
        <w:pStyle w:val="Prrafodelista"/>
        <w:numPr>
          <w:ilvl w:val="0"/>
          <w:numId w:val="51"/>
        </w:numPr>
        <w:ind w:left="567"/>
        <w:jc w:val="both"/>
        <w:rPr>
          <w:sz w:val="22"/>
          <w:szCs w:val="22"/>
        </w:rPr>
      </w:pPr>
      <w:r w:rsidRPr="00E01410">
        <w:rPr>
          <w:sz w:val="22"/>
          <w:szCs w:val="22"/>
        </w:rPr>
        <w:t>Promover la competitividad y el crecimiento económico, a través de la asignación presupuestaria a proyectos de inversión pública productiva y social, que dinamicen la actividad económica, generen empleo y mejoren las condiciones de vida de la población.</w:t>
      </w:r>
    </w:p>
    <w:p w14:paraId="59A6B06E" w14:textId="6960D2A6" w:rsidR="00D74A14" w:rsidRPr="00E01410" w:rsidRDefault="00707B83" w:rsidP="00354A9C">
      <w:pPr>
        <w:pStyle w:val="Prrafodelista"/>
        <w:numPr>
          <w:ilvl w:val="0"/>
          <w:numId w:val="51"/>
        </w:numPr>
        <w:ind w:left="567"/>
        <w:jc w:val="both"/>
        <w:rPr>
          <w:sz w:val="22"/>
          <w:szCs w:val="22"/>
        </w:rPr>
      </w:pPr>
      <w:r w:rsidRPr="00E01410">
        <w:rPr>
          <w:sz w:val="22"/>
          <w:szCs w:val="22"/>
        </w:rPr>
        <w:t>Mantener un resultado fiscal de la Administración Central congruente con la estabilidad macroeconómica, para asegurar el espacio fiscal suficiente para la toma de decisiones apremiantes ante situaciones de crisis, catástrofes y otras circunstancias que afecten negativamente al país.</w:t>
      </w:r>
    </w:p>
    <w:p w14:paraId="20B73429" w14:textId="7AE5B6E7" w:rsidR="00707B83" w:rsidRPr="00E01410" w:rsidRDefault="00707B83" w:rsidP="00354A9C">
      <w:pPr>
        <w:pStyle w:val="Prrafodelista"/>
        <w:numPr>
          <w:ilvl w:val="0"/>
          <w:numId w:val="51"/>
        </w:numPr>
        <w:ind w:left="567"/>
        <w:jc w:val="both"/>
        <w:rPr>
          <w:sz w:val="22"/>
          <w:szCs w:val="22"/>
        </w:rPr>
      </w:pPr>
      <w:r w:rsidRPr="00E01410">
        <w:rPr>
          <w:sz w:val="22"/>
          <w:szCs w:val="22"/>
        </w:rPr>
        <w:t>Mantener el nivel de endeudamiento de la Administración Central en concordancia con parámetros razonables. De acuerdo a la dimensión de la economía de Guatemala y la capacidad de pago del país, garantizando la sostenibilidad fiscal en el mediano y largo plazos.</w:t>
      </w:r>
    </w:p>
    <w:p w14:paraId="2F58DDA4" w14:textId="77777777" w:rsidR="00707B83" w:rsidRDefault="00707B83" w:rsidP="00707B83">
      <w:pPr>
        <w:jc w:val="both"/>
      </w:pPr>
    </w:p>
    <w:p w14:paraId="7F3BA0C2" w14:textId="77777777" w:rsidR="00707B83" w:rsidRDefault="00707B83" w:rsidP="00707B83">
      <w:pPr>
        <w:jc w:val="both"/>
      </w:pPr>
      <w:r>
        <w:t>La estrategia para alcanzar los objetivos de mediano plazo se sustenta principalmente en utilizar los lineamientos establecidos de la Política Nacional de Desarrollo K´ATUN Nuestra Guatemala 2032 y enfocando las acciones de política en las siguientes áreas: a) Ingreso, b) gasto, c) deuda pública y d) gestión financiera y transparencia. En tal sentido, los lineamientos estratégicos se clasifican en los siguientes cuatro aspectos:</w:t>
      </w:r>
    </w:p>
    <w:p w14:paraId="2D933DEB" w14:textId="77777777" w:rsidR="00707B83" w:rsidRDefault="00707B83" w:rsidP="00707B83">
      <w:pPr>
        <w:jc w:val="both"/>
      </w:pPr>
    </w:p>
    <w:p w14:paraId="1CC746A2" w14:textId="14868E37" w:rsidR="00707B83" w:rsidRDefault="00707B83" w:rsidP="00354A9C">
      <w:pPr>
        <w:pStyle w:val="Prrafodelista"/>
        <w:numPr>
          <w:ilvl w:val="0"/>
          <w:numId w:val="52"/>
        </w:numPr>
        <w:ind w:left="567"/>
        <w:jc w:val="both"/>
      </w:pPr>
      <w:r>
        <w:t>Lineamientos estratégicos en materia de ingresos</w:t>
      </w:r>
    </w:p>
    <w:p w14:paraId="1A1666D4" w14:textId="5DB056A1" w:rsidR="00D74A14" w:rsidRDefault="00707B83" w:rsidP="00E01410">
      <w:pPr>
        <w:pStyle w:val="Prrafodelista"/>
        <w:numPr>
          <w:ilvl w:val="0"/>
          <w:numId w:val="13"/>
        </w:numPr>
        <w:ind w:left="851" w:hanging="426"/>
        <w:jc w:val="both"/>
      </w:pPr>
      <w:r>
        <w:t>Fortalecer la Administración Tributaria para el efectivo cumplimiento de las obligaciones tributarias (reducción de los niveles de incumplimiento, evasión y elusión).</w:t>
      </w:r>
    </w:p>
    <w:p w14:paraId="33FE15CF" w14:textId="4137BB78" w:rsidR="00D74A14" w:rsidRDefault="00707B83" w:rsidP="00E01410">
      <w:pPr>
        <w:pStyle w:val="Prrafodelista"/>
        <w:numPr>
          <w:ilvl w:val="0"/>
          <w:numId w:val="13"/>
        </w:numPr>
        <w:ind w:left="851" w:hanging="426"/>
        <w:jc w:val="both"/>
      </w:pPr>
      <w:r>
        <w:t>Formalizar las unidades productivas y ampliar la base tributaria.</w:t>
      </w:r>
    </w:p>
    <w:p w14:paraId="0C2F7E50" w14:textId="4618780A" w:rsidR="00D74A14" w:rsidRDefault="00707B83" w:rsidP="00E01410">
      <w:pPr>
        <w:pStyle w:val="Prrafodelista"/>
        <w:numPr>
          <w:ilvl w:val="0"/>
          <w:numId w:val="13"/>
        </w:numPr>
        <w:ind w:left="851" w:hanging="426"/>
        <w:jc w:val="both"/>
      </w:pPr>
      <w:r>
        <w:t>Incorporar medidas de tributación internacional.</w:t>
      </w:r>
    </w:p>
    <w:p w14:paraId="42AB853C" w14:textId="67651359" w:rsidR="00D74A14" w:rsidRDefault="00707B83" w:rsidP="00E01410">
      <w:pPr>
        <w:pStyle w:val="Prrafodelista"/>
        <w:numPr>
          <w:ilvl w:val="0"/>
          <w:numId w:val="13"/>
        </w:numPr>
        <w:ind w:left="851" w:hanging="426"/>
        <w:jc w:val="both"/>
      </w:pPr>
      <w:r>
        <w:t>Combatir el contrabando y la defraudación aduanera.</w:t>
      </w:r>
    </w:p>
    <w:p w14:paraId="1591B2FD" w14:textId="039AB00A" w:rsidR="00D74A14" w:rsidRDefault="00707B83" w:rsidP="00E01410">
      <w:pPr>
        <w:pStyle w:val="Prrafodelista"/>
        <w:numPr>
          <w:ilvl w:val="0"/>
          <w:numId w:val="13"/>
        </w:numPr>
        <w:ind w:left="851" w:hanging="426"/>
        <w:jc w:val="both"/>
      </w:pPr>
      <w:r>
        <w:t>Revisar los gastos tributarios, incluyendo los incentivos fiscales orientados a determinadas actividades productivas.</w:t>
      </w:r>
    </w:p>
    <w:p w14:paraId="5041D41D" w14:textId="15585EA7" w:rsidR="00D74A14" w:rsidRDefault="00707B83" w:rsidP="00E01410">
      <w:pPr>
        <w:pStyle w:val="Prrafodelista"/>
        <w:numPr>
          <w:ilvl w:val="0"/>
          <w:numId w:val="13"/>
        </w:numPr>
        <w:ind w:left="851" w:hanging="426"/>
        <w:jc w:val="both"/>
      </w:pPr>
      <w:r>
        <w:t>Identificar otras fuentes innovadoras de financiamiento complementario del desarrollo.</w:t>
      </w:r>
    </w:p>
    <w:p w14:paraId="4AA2E863" w14:textId="05567B0F" w:rsidR="00D74A14" w:rsidRDefault="00707B83" w:rsidP="00E01410">
      <w:pPr>
        <w:pStyle w:val="Prrafodelista"/>
        <w:numPr>
          <w:ilvl w:val="0"/>
          <w:numId w:val="13"/>
        </w:numPr>
        <w:ind w:left="851" w:hanging="426"/>
        <w:jc w:val="both"/>
      </w:pPr>
      <w:r>
        <w:t>Modificar la estructura tributaria, mediante la actualización de tasas, ampliación de la base imponible y revisión de la legislación vigente.</w:t>
      </w:r>
    </w:p>
    <w:p w14:paraId="07366D95" w14:textId="236B3CE1" w:rsidR="00D74A14" w:rsidRDefault="00707B83" w:rsidP="00E01410">
      <w:pPr>
        <w:pStyle w:val="Prrafodelista"/>
        <w:numPr>
          <w:ilvl w:val="0"/>
          <w:numId w:val="14"/>
        </w:numPr>
        <w:ind w:left="851" w:hanging="426"/>
        <w:jc w:val="both"/>
      </w:pPr>
      <w:r>
        <w:t>Mejorar la recaudación de los ingresos provenientes de los bienes nacionales.</w:t>
      </w:r>
    </w:p>
    <w:p w14:paraId="536CFF61" w14:textId="797ED833" w:rsidR="00D74A14" w:rsidRDefault="00707B83" w:rsidP="00E01410">
      <w:pPr>
        <w:pStyle w:val="Prrafodelista"/>
        <w:numPr>
          <w:ilvl w:val="0"/>
          <w:numId w:val="14"/>
        </w:numPr>
        <w:ind w:left="851" w:hanging="426"/>
        <w:jc w:val="both"/>
      </w:pPr>
      <w:r>
        <w:t>Promover la simplificación tributaria para facilitar a los contribuyentes el cumplimiento de sus obligaciones tributarias de manera oportuna.</w:t>
      </w:r>
    </w:p>
    <w:p w14:paraId="3CFAAACD" w14:textId="4E16955D" w:rsidR="00707B83" w:rsidRDefault="00707B83" w:rsidP="00E01410">
      <w:pPr>
        <w:pStyle w:val="Prrafodelista"/>
        <w:numPr>
          <w:ilvl w:val="0"/>
          <w:numId w:val="14"/>
        </w:numPr>
        <w:ind w:left="851" w:hanging="426"/>
        <w:jc w:val="both"/>
      </w:pPr>
      <w:r>
        <w:t>Implementar mecanismos de control y registro de los recursos provenientes de la explotación de recursos naturales.</w:t>
      </w:r>
    </w:p>
    <w:p w14:paraId="77776013" w14:textId="5010F6C4" w:rsidR="00707B83" w:rsidRDefault="00707B83" w:rsidP="00707B83">
      <w:pPr>
        <w:jc w:val="both"/>
      </w:pPr>
    </w:p>
    <w:p w14:paraId="35D78B34" w14:textId="77777777" w:rsidR="0029522D" w:rsidRDefault="0029522D" w:rsidP="00707B83">
      <w:pPr>
        <w:jc w:val="both"/>
      </w:pPr>
    </w:p>
    <w:p w14:paraId="54A3C098" w14:textId="3F61DFC8" w:rsidR="00707B83" w:rsidRDefault="00707B83" w:rsidP="00354A9C">
      <w:pPr>
        <w:pStyle w:val="Prrafodelista"/>
        <w:numPr>
          <w:ilvl w:val="0"/>
          <w:numId w:val="52"/>
        </w:numPr>
        <w:ind w:left="567"/>
        <w:jc w:val="both"/>
      </w:pPr>
      <w:r>
        <w:t>Lineamientos estratégicos en materia de gasto</w:t>
      </w:r>
    </w:p>
    <w:p w14:paraId="54F52152" w14:textId="6374A8C3" w:rsidR="00D74A14" w:rsidRDefault="00707B83" w:rsidP="00E01410">
      <w:pPr>
        <w:pStyle w:val="Prrafodelista"/>
        <w:numPr>
          <w:ilvl w:val="0"/>
          <w:numId w:val="13"/>
        </w:numPr>
        <w:ind w:left="851" w:hanging="426"/>
        <w:jc w:val="both"/>
      </w:pPr>
      <w:r>
        <w:t>Aumentar la inversión para incentivar el crecimiento económico, elevando la productividad principalmente en los pequeños y medianos productores.</w:t>
      </w:r>
    </w:p>
    <w:p w14:paraId="7F2685CC" w14:textId="66D0DBC3" w:rsidR="00D74A14" w:rsidRDefault="00707B83" w:rsidP="00E01410">
      <w:pPr>
        <w:pStyle w:val="Prrafodelista"/>
        <w:numPr>
          <w:ilvl w:val="0"/>
          <w:numId w:val="13"/>
        </w:numPr>
        <w:ind w:left="851" w:hanging="426"/>
        <w:jc w:val="both"/>
      </w:pPr>
      <w:r>
        <w:t>Mejorar la calidad y eficiencia del gasto público.</w:t>
      </w:r>
    </w:p>
    <w:p w14:paraId="72DA1C4A" w14:textId="3B7FE8F0" w:rsidR="00D74A14" w:rsidRDefault="00707B83" w:rsidP="00E01410">
      <w:pPr>
        <w:pStyle w:val="Prrafodelista"/>
        <w:numPr>
          <w:ilvl w:val="0"/>
          <w:numId w:val="13"/>
        </w:numPr>
        <w:ind w:left="851" w:hanging="426"/>
        <w:jc w:val="both"/>
      </w:pPr>
      <w:r>
        <w:t>Fortalecer el gasto orientado a atender las necesidades sociales de los grupos más vulnerables en las áreas de educación, salud y nutrición, con el propósito de cumplir en el mediano plazo con los Objetivos de Desarrollo Sostenible.</w:t>
      </w:r>
    </w:p>
    <w:p w14:paraId="1EFE0B1E" w14:textId="1F02C010" w:rsidR="00D74A14" w:rsidRDefault="00707B83" w:rsidP="00E01410">
      <w:pPr>
        <w:pStyle w:val="Prrafodelista"/>
        <w:numPr>
          <w:ilvl w:val="0"/>
          <w:numId w:val="13"/>
        </w:numPr>
        <w:ind w:left="851" w:hanging="426"/>
        <w:jc w:val="both"/>
      </w:pPr>
      <w:r>
        <w:t>Cada entidad en el ámbito de sus competencias apoyará en la implementación de políticas e inversiones que mejoren el clima de negocios y la competitividad a nivel nacional y local.</w:t>
      </w:r>
    </w:p>
    <w:p w14:paraId="180E0E05" w14:textId="7857E595" w:rsidR="00D74A14" w:rsidRDefault="00707B83" w:rsidP="00E01410">
      <w:pPr>
        <w:pStyle w:val="Prrafodelista"/>
        <w:numPr>
          <w:ilvl w:val="0"/>
          <w:numId w:val="13"/>
        </w:numPr>
        <w:ind w:left="851" w:hanging="426"/>
        <w:jc w:val="both"/>
      </w:pPr>
      <w:r>
        <w:t>Coadyuvar en la implementación de una política social activa que implique programas con enfoque progresivo y de alta incidencia sobre la población vulnerable.</w:t>
      </w:r>
    </w:p>
    <w:p w14:paraId="27D58118" w14:textId="207DDBE9" w:rsidR="00D74A14" w:rsidRDefault="00707B83" w:rsidP="00E01410">
      <w:pPr>
        <w:pStyle w:val="Prrafodelista"/>
        <w:numPr>
          <w:ilvl w:val="0"/>
          <w:numId w:val="13"/>
        </w:numPr>
        <w:ind w:left="851" w:hanging="426"/>
        <w:jc w:val="both"/>
      </w:pPr>
      <w:r>
        <w:t>Asegurar sistemas de protección de carácter universal que permitan promover la presencia del Estado y asegurar los derechos humanos de la población.</w:t>
      </w:r>
    </w:p>
    <w:p w14:paraId="059981A0" w14:textId="0A5B1211" w:rsidR="00D74A14" w:rsidRDefault="00707B83" w:rsidP="00E01410">
      <w:pPr>
        <w:pStyle w:val="Prrafodelista"/>
        <w:numPr>
          <w:ilvl w:val="0"/>
          <w:numId w:val="13"/>
        </w:numPr>
        <w:ind w:left="851" w:hanging="426"/>
        <w:jc w:val="both"/>
      </w:pPr>
      <w:r>
        <w:t>Profundizar mecanismos de transferencias monetarias condicionadas, considerando para el efecto la temporalidad apropiada que asegure las transformaciones sociales deseadas y el cumplimiento de la contraprestación por parte de los usuarios.</w:t>
      </w:r>
    </w:p>
    <w:p w14:paraId="647D29DF" w14:textId="55802C76" w:rsidR="00D74A14" w:rsidRDefault="00707B83" w:rsidP="00E01410">
      <w:pPr>
        <w:pStyle w:val="Prrafodelista"/>
        <w:numPr>
          <w:ilvl w:val="0"/>
          <w:numId w:val="13"/>
        </w:numPr>
        <w:ind w:left="851" w:hanging="426"/>
        <w:jc w:val="both"/>
      </w:pPr>
      <w:r>
        <w:t>Redistribuir la riqueza para asegurar condiciones más equitativas en el ámbito económico.</w:t>
      </w:r>
    </w:p>
    <w:p w14:paraId="3F3C4F3F" w14:textId="1287C23E" w:rsidR="00D74A14" w:rsidRDefault="00707B83" w:rsidP="00E01410">
      <w:pPr>
        <w:pStyle w:val="Prrafodelista"/>
        <w:numPr>
          <w:ilvl w:val="0"/>
          <w:numId w:val="13"/>
        </w:numPr>
        <w:ind w:left="851" w:hanging="426"/>
        <w:jc w:val="both"/>
      </w:pPr>
      <w:r>
        <w:t>Coadyuvar a la reactivación económica durante y post COVID-19 para generar bienestar económico y social mediante el aumento del empleo y el ingreso.</w:t>
      </w:r>
    </w:p>
    <w:p w14:paraId="589D294F" w14:textId="30BC34A4" w:rsidR="00707B83" w:rsidRDefault="00707B83" w:rsidP="00E01410">
      <w:pPr>
        <w:pStyle w:val="Prrafodelista"/>
        <w:numPr>
          <w:ilvl w:val="0"/>
          <w:numId w:val="13"/>
        </w:numPr>
        <w:ind w:left="851" w:hanging="426"/>
        <w:jc w:val="both"/>
      </w:pPr>
      <w:r>
        <w:t>Fortalecer la institucionalidad para asegurar la entrega de los bienes y servicios públicos.</w:t>
      </w:r>
    </w:p>
    <w:p w14:paraId="1212791E" w14:textId="77777777" w:rsidR="00707B83" w:rsidRDefault="00707B83" w:rsidP="00707B83">
      <w:pPr>
        <w:pStyle w:val="Prrafodelista"/>
        <w:ind w:left="851"/>
        <w:jc w:val="both"/>
      </w:pPr>
    </w:p>
    <w:p w14:paraId="079B9077" w14:textId="484628E0" w:rsidR="00707B83" w:rsidRDefault="00707B83" w:rsidP="00354A9C">
      <w:pPr>
        <w:pStyle w:val="Prrafodelista"/>
        <w:numPr>
          <w:ilvl w:val="0"/>
          <w:numId w:val="52"/>
        </w:numPr>
        <w:ind w:left="567"/>
        <w:jc w:val="both"/>
      </w:pPr>
      <w:r>
        <w:t>Lineamientos estratégicos en materia de deuda pública</w:t>
      </w:r>
    </w:p>
    <w:p w14:paraId="0CCE919D" w14:textId="7D4813C0" w:rsidR="00D74A14" w:rsidRDefault="00707B83" w:rsidP="00E01410">
      <w:pPr>
        <w:pStyle w:val="Prrafodelista"/>
        <w:numPr>
          <w:ilvl w:val="0"/>
          <w:numId w:val="13"/>
        </w:numPr>
        <w:ind w:left="851" w:hanging="426"/>
        <w:jc w:val="both"/>
      </w:pPr>
      <w:r>
        <w:t>Garantizar la sostenibilidad de la deuda pública en un marco amplio de desarrollo.</w:t>
      </w:r>
    </w:p>
    <w:p w14:paraId="13FA7718" w14:textId="0BC36BB3" w:rsidR="00D74A14" w:rsidRDefault="00707B83" w:rsidP="00E01410">
      <w:pPr>
        <w:pStyle w:val="Prrafodelista"/>
        <w:numPr>
          <w:ilvl w:val="0"/>
          <w:numId w:val="13"/>
        </w:numPr>
        <w:ind w:left="851" w:hanging="426"/>
        <w:jc w:val="both"/>
      </w:pPr>
      <w:r>
        <w:t>Implementar una política prudente de endeudamiento público, que conserve la deuda pública en parámetros razonables, acordes a la dimensión de la economía de Guatemala y las variables concernientes a su servicio.</w:t>
      </w:r>
    </w:p>
    <w:p w14:paraId="4156B1F8" w14:textId="410A5761" w:rsidR="00D74A14" w:rsidRDefault="00707B83" w:rsidP="00E01410">
      <w:pPr>
        <w:pStyle w:val="Prrafodelista"/>
        <w:numPr>
          <w:ilvl w:val="0"/>
          <w:numId w:val="13"/>
        </w:numPr>
        <w:ind w:left="851" w:hanging="426"/>
        <w:jc w:val="both"/>
      </w:pPr>
      <w:r>
        <w:t>Efectuar la contratación de deuda en condiciones financieras favorables para el país, minimizando los riesgos.</w:t>
      </w:r>
    </w:p>
    <w:p w14:paraId="45CAEFA7" w14:textId="161A522B" w:rsidR="00D74A14" w:rsidRDefault="00707B83" w:rsidP="00E01410">
      <w:pPr>
        <w:pStyle w:val="Prrafodelista"/>
        <w:numPr>
          <w:ilvl w:val="0"/>
          <w:numId w:val="13"/>
        </w:numPr>
        <w:ind w:left="851" w:hanging="426"/>
        <w:jc w:val="both"/>
      </w:pPr>
      <w:r>
        <w:t>Dar cumplimiento a los compromisos de endeudamiento adquiridos por el país, realizando el pago oportuno del servicio de la deuda pública, tanto interna como externa.</w:t>
      </w:r>
    </w:p>
    <w:p w14:paraId="04C36CBC" w14:textId="5C946139" w:rsidR="00D74A14" w:rsidRDefault="00707B83" w:rsidP="00E01410">
      <w:pPr>
        <w:pStyle w:val="Prrafodelista"/>
        <w:numPr>
          <w:ilvl w:val="0"/>
          <w:numId w:val="13"/>
        </w:numPr>
        <w:ind w:left="851" w:hanging="426"/>
        <w:jc w:val="both"/>
      </w:pPr>
      <w:r>
        <w:t>Gestionar la realización de canjes de deuda para el financiamiento de proyectos de inversión pública y de protección del medio ambiente, con países u organismos internacionales acreedores de préstamos.</w:t>
      </w:r>
      <w:r w:rsidR="00406ABC">
        <w:t xml:space="preserve">  </w:t>
      </w:r>
      <w:r w:rsidR="005750AF" w:rsidRPr="005750AF">
        <w:t>(descontando la sustitución de fuente, según Decreto número 29-2022)</w:t>
      </w:r>
    </w:p>
    <w:p w14:paraId="20102636" w14:textId="5642CA73" w:rsidR="00D74A14" w:rsidRDefault="00707B83" w:rsidP="00E01410">
      <w:pPr>
        <w:pStyle w:val="Prrafodelista"/>
        <w:numPr>
          <w:ilvl w:val="0"/>
          <w:numId w:val="13"/>
        </w:numPr>
        <w:ind w:left="851" w:hanging="426"/>
        <w:jc w:val="both"/>
      </w:pPr>
      <w:r>
        <w:t>Dar seguimiento a las finanzas municipales, en particular al nivel de deuda y sostenibilidad financiera municipal, por parte de las entidades vinculadas al entorno de los gobiernos locales.</w:t>
      </w:r>
    </w:p>
    <w:p w14:paraId="0E2F3234" w14:textId="582F0CF0" w:rsidR="00707B83" w:rsidRDefault="00707B83" w:rsidP="00E01410">
      <w:pPr>
        <w:pStyle w:val="Prrafodelista"/>
        <w:numPr>
          <w:ilvl w:val="0"/>
          <w:numId w:val="13"/>
        </w:numPr>
        <w:ind w:left="851" w:hanging="426"/>
        <w:jc w:val="both"/>
      </w:pPr>
      <w:r>
        <w:t>Presentar una estrategia de endeudamiento que permita una adecuada gestión de la deuda.</w:t>
      </w:r>
    </w:p>
    <w:p w14:paraId="386BEC4F" w14:textId="3A1DA7C7" w:rsidR="00707B83" w:rsidRDefault="00707B83" w:rsidP="00707B83">
      <w:pPr>
        <w:pStyle w:val="Prrafodelista"/>
        <w:ind w:left="851"/>
        <w:jc w:val="both"/>
      </w:pPr>
    </w:p>
    <w:p w14:paraId="1EBA5543" w14:textId="77777777" w:rsidR="0029522D" w:rsidRDefault="0029522D" w:rsidP="00707B83">
      <w:pPr>
        <w:pStyle w:val="Prrafodelista"/>
        <w:ind w:left="851"/>
        <w:jc w:val="both"/>
      </w:pPr>
    </w:p>
    <w:p w14:paraId="43A961CC" w14:textId="703AB481" w:rsidR="00707B83" w:rsidRDefault="00707B83" w:rsidP="00354A9C">
      <w:pPr>
        <w:pStyle w:val="Prrafodelista"/>
        <w:numPr>
          <w:ilvl w:val="0"/>
          <w:numId w:val="52"/>
        </w:numPr>
        <w:ind w:left="567"/>
        <w:jc w:val="both"/>
      </w:pPr>
      <w:r>
        <w:t>Lineamientos estratégicos en materia de gestión financiera y transparencia</w:t>
      </w:r>
    </w:p>
    <w:p w14:paraId="2DB712E1" w14:textId="54BB06A7" w:rsidR="00D74A14" w:rsidRDefault="00707B83" w:rsidP="00E01410">
      <w:pPr>
        <w:pStyle w:val="Prrafodelista"/>
        <w:numPr>
          <w:ilvl w:val="0"/>
          <w:numId w:val="13"/>
        </w:numPr>
        <w:ind w:left="851" w:hanging="426"/>
        <w:jc w:val="both"/>
      </w:pPr>
      <w:r>
        <w:t>Asegurar los mecanismos de transparencia, rendición de cuentas y auditoría social en los asuntos relacionados a las finanzas públicas.</w:t>
      </w:r>
    </w:p>
    <w:p w14:paraId="5C9E30D6" w14:textId="69DB2415" w:rsidR="00D74A14" w:rsidRDefault="00707B83" w:rsidP="00E01410">
      <w:pPr>
        <w:pStyle w:val="Prrafodelista"/>
        <w:numPr>
          <w:ilvl w:val="0"/>
          <w:numId w:val="13"/>
        </w:numPr>
        <w:ind w:left="851" w:hanging="426"/>
        <w:jc w:val="both"/>
      </w:pPr>
      <w:r>
        <w:t>Fortalecer los sistemas de información financiera y portales institucionales de transparencia.</w:t>
      </w:r>
    </w:p>
    <w:p w14:paraId="7A360F8D" w14:textId="069CD359" w:rsidR="00D74A14" w:rsidRDefault="00707B83" w:rsidP="00E01410">
      <w:pPr>
        <w:pStyle w:val="Prrafodelista"/>
        <w:numPr>
          <w:ilvl w:val="0"/>
          <w:numId w:val="13"/>
        </w:numPr>
        <w:ind w:left="851" w:hanging="426"/>
        <w:jc w:val="both"/>
      </w:pPr>
      <w:r>
        <w:t xml:space="preserve">Fortalecer las unidades de planificación y presupuesto para lograr una mejor programación de objetivos, metas, indicadores y resultados. </w:t>
      </w:r>
    </w:p>
    <w:p w14:paraId="1638A7FC" w14:textId="1EE4119A" w:rsidR="00D74A14" w:rsidRDefault="00707B83" w:rsidP="00E01410">
      <w:pPr>
        <w:pStyle w:val="Prrafodelista"/>
        <w:numPr>
          <w:ilvl w:val="0"/>
          <w:numId w:val="13"/>
        </w:numPr>
        <w:ind w:left="851" w:hanging="426"/>
        <w:jc w:val="both"/>
      </w:pPr>
      <w:r>
        <w:t xml:space="preserve">Fortalecer el rol de coordinación del Ministerio de Finanzas Públicas con las instituciones del Sector Público en el ámbito presupuestario y financiero. </w:t>
      </w:r>
    </w:p>
    <w:p w14:paraId="5AFDD8E4" w14:textId="1997D1C8" w:rsidR="00D74A14" w:rsidRDefault="00707B83" w:rsidP="00E01410">
      <w:pPr>
        <w:pStyle w:val="Prrafodelista"/>
        <w:numPr>
          <w:ilvl w:val="0"/>
          <w:numId w:val="13"/>
        </w:numPr>
        <w:ind w:left="851" w:hanging="426"/>
        <w:jc w:val="both"/>
      </w:pPr>
      <w:r>
        <w:t xml:space="preserve">Fortalecer y modernizar el Sistema Integrado de Administración Financiera (SIAF). </w:t>
      </w:r>
    </w:p>
    <w:p w14:paraId="79120CD9" w14:textId="501E5C85" w:rsidR="00D74A14" w:rsidRDefault="00707B83" w:rsidP="00E01410">
      <w:pPr>
        <w:pStyle w:val="Prrafodelista"/>
        <w:numPr>
          <w:ilvl w:val="0"/>
          <w:numId w:val="13"/>
        </w:numPr>
        <w:ind w:left="851" w:hanging="426"/>
        <w:jc w:val="both"/>
      </w:pPr>
      <w:r>
        <w:t xml:space="preserve">Mantener y fortalecer el libre acceso a la información y la rendición de cuentas al ciudadano. </w:t>
      </w:r>
    </w:p>
    <w:p w14:paraId="11E14D81" w14:textId="6F4444DB" w:rsidR="00D74A14" w:rsidRDefault="00707B83" w:rsidP="00E01410">
      <w:pPr>
        <w:pStyle w:val="Prrafodelista"/>
        <w:numPr>
          <w:ilvl w:val="0"/>
          <w:numId w:val="13"/>
        </w:numPr>
        <w:ind w:left="851" w:hanging="426"/>
        <w:jc w:val="both"/>
      </w:pPr>
      <w:r>
        <w:t>Implementar acciones relacionadas con la Convención de las Naciones Unidas contra la Corrupción y la Convención Interamericana contra la Corrupción, pero en las que le corresponden al Ministerio de Finanzas Públicas).</w:t>
      </w:r>
    </w:p>
    <w:p w14:paraId="0D29300F" w14:textId="40569DAC" w:rsidR="00D74A14" w:rsidRDefault="00707B83" w:rsidP="00E01410">
      <w:pPr>
        <w:pStyle w:val="Prrafodelista"/>
        <w:numPr>
          <w:ilvl w:val="0"/>
          <w:numId w:val="13"/>
        </w:numPr>
        <w:ind w:left="851" w:hanging="426"/>
        <w:jc w:val="both"/>
      </w:pPr>
      <w:r>
        <w:t xml:space="preserve">Implementar el estándar de datos abiertos en las contrataciones públicas. </w:t>
      </w:r>
    </w:p>
    <w:p w14:paraId="38A6A95C" w14:textId="4BD214B8" w:rsidR="00D74A14" w:rsidRDefault="00707B83" w:rsidP="00E01410">
      <w:pPr>
        <w:pStyle w:val="Prrafodelista"/>
        <w:numPr>
          <w:ilvl w:val="0"/>
          <w:numId w:val="13"/>
        </w:numPr>
        <w:ind w:left="851" w:hanging="426"/>
        <w:jc w:val="both"/>
      </w:pPr>
      <w:r>
        <w:t xml:space="preserve">Facilitar procesos de adquisiciones públicas bajo un marco general de transparencia, certeza, eficiencia y competencia. </w:t>
      </w:r>
    </w:p>
    <w:p w14:paraId="05116CD7" w14:textId="0667EEE4" w:rsidR="00D74A14" w:rsidRDefault="00707B83" w:rsidP="00E01410">
      <w:pPr>
        <w:pStyle w:val="Prrafodelista"/>
        <w:numPr>
          <w:ilvl w:val="0"/>
          <w:numId w:val="13"/>
        </w:numPr>
        <w:ind w:left="851" w:hanging="426"/>
        <w:jc w:val="both"/>
      </w:pPr>
      <w:r>
        <w:t xml:space="preserve">Implementar acciones relacionadas con estándares, iniciativas y buenas prácticas internacionales sobre transparencia fiscal, rendición de cuentas, participación ciudadana y libre acceso a la información pública. </w:t>
      </w:r>
    </w:p>
    <w:p w14:paraId="191DA57F" w14:textId="7ABCB087" w:rsidR="00707B83" w:rsidRDefault="00707B83" w:rsidP="00E01410">
      <w:pPr>
        <w:pStyle w:val="Prrafodelista"/>
        <w:numPr>
          <w:ilvl w:val="0"/>
          <w:numId w:val="13"/>
        </w:numPr>
        <w:ind w:left="851" w:hanging="426"/>
        <w:jc w:val="both"/>
      </w:pPr>
      <w:r>
        <w:t>Seguir avanzando en la implementación de las estadísticas congruentes con los estándares internacionales establecidos en la publicación más reciente del Manual de Estadísticas de las Finanzas Públicas del Fondo Monetario Internacional -FMI</w:t>
      </w:r>
      <w:r w:rsidR="00E01410">
        <w:t>-.</w:t>
      </w:r>
    </w:p>
    <w:p w14:paraId="75D2C674" w14:textId="129F7F76" w:rsidR="00707B83" w:rsidRDefault="00707B83" w:rsidP="00707B83">
      <w:pPr>
        <w:jc w:val="both"/>
      </w:pPr>
    </w:p>
    <w:p w14:paraId="715F10E4" w14:textId="70E3651A" w:rsidR="00707B83" w:rsidRDefault="00707B83" w:rsidP="00531A1B">
      <w:pPr>
        <w:pStyle w:val="Prrafodelista"/>
        <w:numPr>
          <w:ilvl w:val="1"/>
          <w:numId w:val="3"/>
        </w:numPr>
        <w:jc w:val="both"/>
        <w:outlineLvl w:val="1"/>
        <w:rPr>
          <w:b/>
          <w:bCs/>
        </w:rPr>
      </w:pPr>
      <w:bookmarkStart w:id="202" w:name="_Toc143865854"/>
      <w:r w:rsidRPr="00707B83">
        <w:rPr>
          <w:b/>
          <w:bCs/>
        </w:rPr>
        <w:t>Estrategia fiscal de mediano plazo</w:t>
      </w:r>
      <w:bookmarkEnd w:id="202"/>
    </w:p>
    <w:p w14:paraId="5EAA8E8E" w14:textId="77777777" w:rsidR="009F727A" w:rsidRDefault="009F727A" w:rsidP="009F727A">
      <w:pPr>
        <w:pStyle w:val="Prrafodelista"/>
        <w:ind w:left="792"/>
        <w:jc w:val="both"/>
        <w:rPr>
          <w:b/>
          <w:bCs/>
        </w:rPr>
      </w:pPr>
    </w:p>
    <w:p w14:paraId="7AA09614" w14:textId="7C22EFB2" w:rsidR="00B425B8" w:rsidRPr="00707B83" w:rsidRDefault="00707B83" w:rsidP="00531A1B">
      <w:pPr>
        <w:pStyle w:val="Prrafodelista"/>
        <w:numPr>
          <w:ilvl w:val="2"/>
          <w:numId w:val="3"/>
        </w:numPr>
        <w:jc w:val="both"/>
        <w:outlineLvl w:val="2"/>
        <w:rPr>
          <w:b/>
          <w:bCs/>
        </w:rPr>
      </w:pPr>
      <w:bookmarkStart w:id="203" w:name="_Toc143865855"/>
      <w:r w:rsidRPr="00707B83">
        <w:rPr>
          <w:b/>
          <w:bCs/>
        </w:rPr>
        <w:t>Política pública como base para la programación presupuestaria</w:t>
      </w:r>
      <w:bookmarkEnd w:id="203"/>
    </w:p>
    <w:p w14:paraId="06BA3092" w14:textId="502BBE05" w:rsidR="00707B83" w:rsidRDefault="00707B83" w:rsidP="00B425B8">
      <w:pPr>
        <w:jc w:val="both"/>
      </w:pPr>
    </w:p>
    <w:p w14:paraId="4C4844ED" w14:textId="2B906DC1" w:rsidR="009F727A" w:rsidRDefault="009F727A" w:rsidP="009F727A">
      <w:pPr>
        <w:jc w:val="both"/>
      </w:pPr>
      <w:r>
        <w:t>Un documento importante en la planificación y presupuestación de mediano plazo lo constituye la Política General de Gobierno (PGG) 2020-2024, que fue aprobada por medio del Acuerdo Gubernativo 32-2020</w:t>
      </w:r>
      <w:r w:rsidR="00D74A14">
        <w:t>,</w:t>
      </w:r>
      <w:r>
        <w:t xml:space="preserve"> en Consejo de Ministros</w:t>
      </w:r>
      <w:r w:rsidR="00253F84">
        <w:t>.  La</w:t>
      </w:r>
      <w:r>
        <w:t xml:space="preserve"> misma se encuentra alineada a las metas estratégicas de desarrollo (MED), agrupadas en las diez prioridades nacionales de desarrollo (PND). Por lo que la PGG se enfoca en definir lineamientos que orienten la gestión gubernamental de manera estratégica. La PGG se fundamenta la PND derivadas del proceso de integración del Plan Nacional de Desarrollo K’atun: </w:t>
      </w:r>
      <w:r w:rsidR="00253F84">
        <w:t>N</w:t>
      </w:r>
      <w:r>
        <w:t>uestra Guatemala 2032 y la Agenda 2030 para el desarrollo sostenible.</w:t>
      </w:r>
    </w:p>
    <w:p w14:paraId="0B892592" w14:textId="77777777" w:rsidR="009F727A" w:rsidRDefault="009F727A" w:rsidP="009F727A">
      <w:pPr>
        <w:jc w:val="both"/>
      </w:pPr>
    </w:p>
    <w:p w14:paraId="277313FA" w14:textId="77777777" w:rsidR="009F727A" w:rsidRDefault="009F727A" w:rsidP="009F727A">
      <w:pPr>
        <w:jc w:val="both"/>
      </w:pPr>
      <w:r>
        <w:t>La PGG 2020-2024 propone cinco pilares estratégicos sensibles al entorno social, político, económico y ambiental:</w:t>
      </w:r>
    </w:p>
    <w:p w14:paraId="04D231AB" w14:textId="77777777" w:rsidR="009F727A" w:rsidRDefault="009F727A" w:rsidP="009F727A">
      <w:pPr>
        <w:jc w:val="both"/>
      </w:pPr>
    </w:p>
    <w:p w14:paraId="4E20CC4E" w14:textId="1A28E813" w:rsidR="00253F84" w:rsidRPr="00253F84" w:rsidRDefault="009F727A" w:rsidP="00F47F09">
      <w:pPr>
        <w:pStyle w:val="Prrafodelista"/>
        <w:numPr>
          <w:ilvl w:val="0"/>
          <w:numId w:val="7"/>
        </w:numPr>
        <w:jc w:val="both"/>
      </w:pPr>
      <w:r w:rsidRPr="009F727A">
        <w:rPr>
          <w:b/>
          <w:bCs/>
        </w:rPr>
        <w:t>Economía, competitividad y prosperidad</w:t>
      </w:r>
      <w:r>
        <w:t>, busca alcanzar un mayor crecimiento económico y aumentar significativamente las fuentes de empleo sostenible.</w:t>
      </w:r>
    </w:p>
    <w:p w14:paraId="57DBF4C8" w14:textId="566A07AD" w:rsidR="00253F84" w:rsidRPr="00253F84" w:rsidRDefault="009F727A" w:rsidP="00F47F09">
      <w:pPr>
        <w:pStyle w:val="Prrafodelista"/>
        <w:numPr>
          <w:ilvl w:val="0"/>
          <w:numId w:val="7"/>
        </w:numPr>
        <w:jc w:val="both"/>
      </w:pPr>
      <w:r w:rsidRPr="009F727A">
        <w:rPr>
          <w:b/>
          <w:bCs/>
        </w:rPr>
        <w:t>Desarrollo social</w:t>
      </w:r>
      <w:r>
        <w:t>, el objetivo es atender de manera directa y efectiva a los más pobres a través de compensadores sociales eficaces y focalizados.</w:t>
      </w:r>
    </w:p>
    <w:p w14:paraId="3F157ECB" w14:textId="0F31EA7B" w:rsidR="00253F84" w:rsidRPr="00253F84" w:rsidRDefault="009F727A" w:rsidP="00F47F09">
      <w:pPr>
        <w:pStyle w:val="Prrafodelista"/>
        <w:numPr>
          <w:ilvl w:val="0"/>
          <w:numId w:val="7"/>
        </w:numPr>
        <w:jc w:val="both"/>
      </w:pPr>
      <w:r w:rsidRPr="009F727A">
        <w:rPr>
          <w:b/>
          <w:bCs/>
        </w:rPr>
        <w:t>Gobernabilidad y seguridad en desarrollo</w:t>
      </w:r>
      <w:r>
        <w:t>, persigue mejorar la gobernabilidad del país para una convivencia en paz y armoniosa, que permita condiciones adecuadas de inversión;</w:t>
      </w:r>
    </w:p>
    <w:p w14:paraId="4CC8D921" w14:textId="0EA8A844" w:rsidR="00253F84" w:rsidRPr="00253F84" w:rsidRDefault="009F727A" w:rsidP="00F47F09">
      <w:pPr>
        <w:pStyle w:val="Prrafodelista"/>
        <w:numPr>
          <w:ilvl w:val="0"/>
          <w:numId w:val="7"/>
        </w:numPr>
        <w:jc w:val="both"/>
      </w:pPr>
      <w:r w:rsidRPr="009F727A">
        <w:rPr>
          <w:b/>
          <w:bCs/>
        </w:rPr>
        <w:t>Estado responsable</w:t>
      </w:r>
      <w:r>
        <w:t>, transparente y efectivo, procura administrar de manera efectiva y transparente las instituciones del Estado para ponerlas al servicio de la ciudadanía;</w:t>
      </w:r>
    </w:p>
    <w:p w14:paraId="6FC3CB87" w14:textId="36AE037E" w:rsidR="009F727A" w:rsidRDefault="009F727A" w:rsidP="00F47F09">
      <w:pPr>
        <w:pStyle w:val="Prrafodelista"/>
        <w:numPr>
          <w:ilvl w:val="0"/>
          <w:numId w:val="7"/>
        </w:numPr>
        <w:jc w:val="both"/>
      </w:pPr>
      <w:r w:rsidRPr="009F727A">
        <w:rPr>
          <w:b/>
          <w:bCs/>
        </w:rPr>
        <w:t>Relaciones con el mundo</w:t>
      </w:r>
      <w:r>
        <w:t>, tiene el objetivo de garantizar el aprovechamiento de las relaciones internacionales para que, además de mantener buenos vínculos diplomáticos, mejore el orden del comercio internacional, el turismo, la inversión y el trato a nuestros migrantes.</w:t>
      </w:r>
    </w:p>
    <w:p w14:paraId="4563FC91" w14:textId="77777777" w:rsidR="009F727A" w:rsidRDefault="009F727A" w:rsidP="009F727A">
      <w:pPr>
        <w:jc w:val="both"/>
      </w:pPr>
    </w:p>
    <w:p w14:paraId="392596E4" w14:textId="6BFBCB5D" w:rsidR="009F727A" w:rsidRDefault="009F727A" w:rsidP="009F727A">
      <w:pPr>
        <w:jc w:val="both"/>
      </w:pPr>
      <w:r>
        <w:t xml:space="preserve">En adición a estos cinco pilares, la PGG 2020-2024 incluye de manera transversal el aspecto ambiental, que está configurado para </w:t>
      </w:r>
      <w:r w:rsidR="00253F84">
        <w:t xml:space="preserve">coadyuvar en la solución de </w:t>
      </w:r>
      <w:r>
        <w:t>la problemática de la gestión sostenible del ambiente, recursos naturales, ordenamiento territorial y cambio climático.</w:t>
      </w:r>
    </w:p>
    <w:p w14:paraId="49803BD5" w14:textId="77777777" w:rsidR="00D31CC8" w:rsidRDefault="00D31CC8" w:rsidP="009F727A">
      <w:pPr>
        <w:jc w:val="both"/>
      </w:pPr>
    </w:p>
    <w:p w14:paraId="57F93F8D" w14:textId="283E77FA" w:rsidR="009F727A" w:rsidRPr="00406ABC" w:rsidRDefault="00BC315D" w:rsidP="00BC315D">
      <w:pPr>
        <w:pStyle w:val="Descripcin"/>
        <w:spacing w:after="0"/>
        <w:jc w:val="center"/>
        <w:rPr>
          <w:b/>
          <w:bCs/>
          <w:i w:val="0"/>
          <w:iCs w:val="0"/>
          <w:color w:val="auto"/>
          <w:sz w:val="24"/>
          <w:szCs w:val="24"/>
        </w:rPr>
      </w:pPr>
      <w:bookmarkStart w:id="204" w:name="_Toc143870750"/>
      <w:r w:rsidRPr="00406ABC">
        <w:rPr>
          <w:b/>
          <w:bCs/>
          <w:i w:val="0"/>
          <w:iCs w:val="0"/>
          <w:color w:val="auto"/>
          <w:sz w:val="24"/>
          <w:szCs w:val="24"/>
        </w:rPr>
        <w:t xml:space="preserve">Gráfico </w:t>
      </w:r>
      <w:r w:rsidRPr="00406ABC">
        <w:rPr>
          <w:b/>
          <w:bCs/>
          <w:i w:val="0"/>
          <w:iCs w:val="0"/>
          <w:color w:val="auto"/>
          <w:sz w:val="24"/>
          <w:szCs w:val="24"/>
        </w:rPr>
        <w:fldChar w:fldCharType="begin"/>
      </w:r>
      <w:r w:rsidRPr="00406ABC">
        <w:rPr>
          <w:b/>
          <w:bCs/>
          <w:i w:val="0"/>
          <w:iCs w:val="0"/>
          <w:color w:val="auto"/>
          <w:sz w:val="24"/>
          <w:szCs w:val="24"/>
        </w:rPr>
        <w:instrText xml:space="preserve"> SEQ Gráfico \* ARABIC </w:instrText>
      </w:r>
      <w:r w:rsidRPr="00406ABC">
        <w:rPr>
          <w:b/>
          <w:bCs/>
          <w:i w:val="0"/>
          <w:iCs w:val="0"/>
          <w:color w:val="auto"/>
          <w:sz w:val="24"/>
          <w:szCs w:val="24"/>
        </w:rPr>
        <w:fldChar w:fldCharType="separate"/>
      </w:r>
      <w:r w:rsidR="006622B2">
        <w:rPr>
          <w:b/>
          <w:bCs/>
          <w:i w:val="0"/>
          <w:iCs w:val="0"/>
          <w:noProof/>
          <w:color w:val="auto"/>
          <w:sz w:val="24"/>
          <w:szCs w:val="24"/>
        </w:rPr>
        <w:t>83</w:t>
      </w:r>
      <w:r w:rsidRPr="00406ABC">
        <w:rPr>
          <w:b/>
          <w:bCs/>
          <w:i w:val="0"/>
          <w:iCs w:val="0"/>
          <w:color w:val="auto"/>
          <w:sz w:val="24"/>
          <w:szCs w:val="24"/>
        </w:rPr>
        <w:fldChar w:fldCharType="end"/>
      </w:r>
      <w:r w:rsidRPr="00406ABC">
        <w:rPr>
          <w:b/>
          <w:bCs/>
          <w:i w:val="0"/>
          <w:iCs w:val="0"/>
          <w:color w:val="auto"/>
          <w:sz w:val="24"/>
          <w:szCs w:val="24"/>
        </w:rPr>
        <w:t>.  Pilares estratégicos de la PGG 2020-2024</w:t>
      </w:r>
      <w:bookmarkEnd w:id="204"/>
    </w:p>
    <w:p w14:paraId="1007F49E" w14:textId="77777777" w:rsidR="009F727A" w:rsidRDefault="009F727A" w:rsidP="009F727A">
      <w:pPr>
        <w:ind w:left="2491"/>
        <w:rPr>
          <w:b/>
        </w:rPr>
      </w:pPr>
      <w:r>
        <w:rPr>
          <w:b/>
          <w:noProof/>
        </w:rPr>
        <w:drawing>
          <wp:anchor distT="0" distB="0" distL="114300" distR="114300" simplePos="0" relativeHeight="251712512" behindDoc="0" locked="0" layoutInCell="1" allowOverlap="1" wp14:anchorId="3F0637D0" wp14:editId="5891B922">
            <wp:simplePos x="0" y="0"/>
            <wp:positionH relativeFrom="column">
              <wp:posOffset>1092200</wp:posOffset>
            </wp:positionH>
            <wp:positionV relativeFrom="paragraph">
              <wp:posOffset>33655</wp:posOffset>
            </wp:positionV>
            <wp:extent cx="3415665" cy="1864995"/>
            <wp:effectExtent l="0" t="0" r="0" b="1905"/>
            <wp:wrapSquare wrapText="bothSides"/>
            <wp:docPr id="1792" name="Imagen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415665" cy="1864995"/>
                    </a:xfrm>
                    <a:prstGeom prst="rect">
                      <a:avLst/>
                    </a:prstGeom>
                    <a:noFill/>
                  </pic:spPr>
                </pic:pic>
              </a:graphicData>
            </a:graphic>
            <wp14:sizeRelH relativeFrom="page">
              <wp14:pctWidth>0</wp14:pctWidth>
            </wp14:sizeRelH>
            <wp14:sizeRelV relativeFrom="page">
              <wp14:pctHeight>0</wp14:pctHeight>
            </wp14:sizeRelV>
          </wp:anchor>
        </w:drawing>
      </w:r>
    </w:p>
    <w:p w14:paraId="1C40168F" w14:textId="77777777" w:rsidR="009F727A" w:rsidRDefault="009F727A" w:rsidP="009F727A">
      <w:pPr>
        <w:spacing w:before="4"/>
        <w:rPr>
          <w:b/>
          <w:sz w:val="14"/>
        </w:rPr>
      </w:pPr>
    </w:p>
    <w:p w14:paraId="61AE3886" w14:textId="77777777" w:rsidR="009F727A" w:rsidRDefault="009F727A" w:rsidP="009F727A">
      <w:pPr>
        <w:spacing w:before="109"/>
        <w:ind w:left="1836"/>
        <w:rPr>
          <w:sz w:val="16"/>
        </w:rPr>
      </w:pPr>
    </w:p>
    <w:p w14:paraId="73BB5EF1" w14:textId="77777777" w:rsidR="009F727A" w:rsidRDefault="009F727A" w:rsidP="009F727A">
      <w:pPr>
        <w:spacing w:before="109"/>
        <w:ind w:left="1836"/>
        <w:rPr>
          <w:sz w:val="16"/>
        </w:rPr>
      </w:pPr>
    </w:p>
    <w:p w14:paraId="763643D3" w14:textId="77777777" w:rsidR="009F727A" w:rsidRDefault="009F727A" w:rsidP="009F727A">
      <w:pPr>
        <w:spacing w:before="109"/>
        <w:ind w:left="1836"/>
        <w:rPr>
          <w:sz w:val="16"/>
        </w:rPr>
      </w:pPr>
    </w:p>
    <w:p w14:paraId="1AD4F4A9" w14:textId="77777777" w:rsidR="009F727A" w:rsidRDefault="009F727A" w:rsidP="009F727A">
      <w:pPr>
        <w:spacing w:before="109"/>
        <w:ind w:left="1836"/>
        <w:rPr>
          <w:sz w:val="16"/>
        </w:rPr>
      </w:pPr>
    </w:p>
    <w:p w14:paraId="76BAA65F" w14:textId="77777777" w:rsidR="009F727A" w:rsidRDefault="009F727A" w:rsidP="009F727A">
      <w:pPr>
        <w:spacing w:before="109"/>
        <w:ind w:left="1836"/>
        <w:rPr>
          <w:sz w:val="16"/>
        </w:rPr>
      </w:pPr>
    </w:p>
    <w:p w14:paraId="718D8671" w14:textId="77777777" w:rsidR="009F727A" w:rsidRDefault="009F727A" w:rsidP="009F727A">
      <w:pPr>
        <w:spacing w:before="109"/>
        <w:ind w:left="1836"/>
        <w:rPr>
          <w:sz w:val="16"/>
        </w:rPr>
      </w:pPr>
    </w:p>
    <w:p w14:paraId="5D6B87AC" w14:textId="77777777" w:rsidR="009F727A" w:rsidRDefault="009F727A" w:rsidP="009F727A">
      <w:pPr>
        <w:spacing w:before="109"/>
        <w:ind w:left="1836"/>
        <w:rPr>
          <w:sz w:val="16"/>
        </w:rPr>
      </w:pPr>
    </w:p>
    <w:p w14:paraId="0140BD9C" w14:textId="77777777" w:rsidR="009F727A" w:rsidRDefault="009F727A" w:rsidP="009F727A">
      <w:pPr>
        <w:spacing w:before="109"/>
        <w:ind w:left="1836"/>
        <w:rPr>
          <w:sz w:val="16"/>
        </w:rPr>
      </w:pPr>
    </w:p>
    <w:p w14:paraId="2BB6C145" w14:textId="77777777" w:rsidR="009F727A" w:rsidRDefault="009F727A" w:rsidP="009F727A">
      <w:pPr>
        <w:spacing w:before="109"/>
        <w:ind w:left="1836"/>
        <w:rPr>
          <w:sz w:val="16"/>
        </w:rPr>
      </w:pPr>
    </w:p>
    <w:p w14:paraId="0CB6A4F8" w14:textId="7C67A73A" w:rsidR="009F727A" w:rsidRPr="009F727A" w:rsidRDefault="00327D34" w:rsidP="009F727A">
      <w:pPr>
        <w:jc w:val="both"/>
        <w:rPr>
          <w:sz w:val="28"/>
          <w:szCs w:val="28"/>
        </w:rPr>
      </w:pPr>
      <w:r>
        <w:rPr>
          <w:sz w:val="16"/>
        </w:rPr>
        <w:t xml:space="preserve">                           </w:t>
      </w:r>
      <w:r w:rsidR="009F727A" w:rsidRPr="009F727A">
        <w:rPr>
          <w:sz w:val="18"/>
          <w:szCs w:val="28"/>
        </w:rPr>
        <w:t>Fuente: Dirección de Análisis y Política Fiscal con información de la PGG 2020-2024.</w:t>
      </w:r>
    </w:p>
    <w:p w14:paraId="5844BA3B" w14:textId="6FBF2BAC" w:rsidR="00707B83" w:rsidRDefault="00707B83" w:rsidP="00B425B8">
      <w:pPr>
        <w:jc w:val="both"/>
      </w:pPr>
    </w:p>
    <w:p w14:paraId="4191DBE0" w14:textId="78DC257A" w:rsidR="009F727A" w:rsidRDefault="009F727A" w:rsidP="009F727A">
      <w:pPr>
        <w:jc w:val="both"/>
      </w:pPr>
      <w:r>
        <w:t>Para que el proyecto de gobierno descrito en la PGG 2020-2024 sea financiable</w:t>
      </w:r>
      <w:r w:rsidR="00253F84">
        <w:t>,</w:t>
      </w:r>
      <w:r>
        <w:t xml:space="preserve"> se integrarán todas las fuentes de financiamiento y se promoverán otras, como las alianzas público-privadas y el leasing público, que impondrán un carácter innovador a la gestión pública.</w:t>
      </w:r>
    </w:p>
    <w:p w14:paraId="13ACFD10" w14:textId="77777777" w:rsidR="009F727A" w:rsidRDefault="009F727A" w:rsidP="009F727A">
      <w:pPr>
        <w:jc w:val="both"/>
      </w:pPr>
    </w:p>
    <w:p w14:paraId="52165642" w14:textId="6E1CFC9D" w:rsidR="009F727A" w:rsidRDefault="009F727A" w:rsidP="009F727A">
      <w:pPr>
        <w:jc w:val="both"/>
      </w:pPr>
      <w:r>
        <w:t>La coordinación de la implementación de la PGG es responsabilidad del Vicepresidente de la República, el cual debe velar por la facilitación de acciones entre las diferentes instituciones, para garantizar su cumplimiento, dentro del ejercicio de sus funciones y atribuciones en el ámbito de su competencia.</w:t>
      </w:r>
      <w:r w:rsidR="00406ABC">
        <w:t xml:space="preserve">  </w:t>
      </w:r>
      <w:r>
        <w:t>La aplicación de la política contribuirá a que el Estado sea más eficiente en el impulso de los cambios que permitan alcanzar desarrollo, progreso, paz y equidad para la población guatemalteca. En consecuencia, se afianzará la visión de un futuro próspero para Guatemala.</w:t>
      </w:r>
      <w:r w:rsidR="00406ABC">
        <w:t xml:space="preserve">  </w:t>
      </w:r>
      <w:r>
        <w:t>No obstante, la consecución de las metas propuestas dentro de la PGG 2020-2024 está sujeta a factores exógenos que incidirán, inevitablemente, en las acciones del gobierno; tales circunstancias pueden ser: conmociones económicas, eventos de la política internacional, incluso fenómenos meteorológicos.</w:t>
      </w:r>
    </w:p>
    <w:p w14:paraId="3DF7FDB0" w14:textId="77777777" w:rsidR="009F727A" w:rsidRDefault="009F727A" w:rsidP="009F727A">
      <w:pPr>
        <w:jc w:val="both"/>
      </w:pPr>
    </w:p>
    <w:p w14:paraId="6DCC2F5D" w14:textId="4C8AC224" w:rsidR="009F727A" w:rsidRDefault="009F727A" w:rsidP="009F727A">
      <w:pPr>
        <w:jc w:val="both"/>
      </w:pPr>
      <w:r>
        <w:t xml:space="preserve">La consecución de la PGG se vio afectada durante el primer año de la actual administración pública, dado que Guatemala tuvo que </w:t>
      </w:r>
      <w:r w:rsidRPr="005750AF">
        <w:t>enfrentarse a uno de estos factores exógenos y por ello la orientación del gasto público ha tenido una nueva arista. Este nuevo componente sería como consecuencia de la emergencia causada por el COVID-19.</w:t>
      </w:r>
    </w:p>
    <w:p w14:paraId="4D41E83D" w14:textId="5E16983A" w:rsidR="009F727A" w:rsidRDefault="009F727A" w:rsidP="009F727A">
      <w:pPr>
        <w:jc w:val="both"/>
      </w:pPr>
    </w:p>
    <w:p w14:paraId="0074EE17" w14:textId="5F5A1C12" w:rsidR="009F727A" w:rsidRDefault="009F727A" w:rsidP="009F727A">
      <w:pPr>
        <w:jc w:val="both"/>
      </w:pPr>
      <w:r>
        <w:t>A partir de 2021, se retornaron las acciones de gobierno hacia la visión estratégica que fue planteada a través de la PGG 2020-2024, siendo la base para que las entidades públicas definan sus acciones y asignen el presupuesto necesario para la implementación de la propuesta estratégica que se integra en los cinco pilares que la conforman, siendo realizado con un enfoque de programación por resultados, para ello es fundamental la planificación anual, multianual y estratégica de las instituciones públicas</w:t>
      </w:r>
      <w:r w:rsidR="00253F84">
        <w:t>, y, aunque</w:t>
      </w:r>
      <w:r>
        <w:t xml:space="preserve"> el marco de acción de la administración gubernamental es de cuatro años, se toman en cuenta las metas planteadas en la agenda pública de desarrollo para el largo plazo.</w:t>
      </w:r>
    </w:p>
    <w:p w14:paraId="162ACF58" w14:textId="77777777" w:rsidR="00253F84" w:rsidRDefault="00253F84" w:rsidP="009F727A">
      <w:pPr>
        <w:jc w:val="both"/>
      </w:pPr>
    </w:p>
    <w:p w14:paraId="20DE93AB" w14:textId="095B7F2E" w:rsidR="009F727A" w:rsidRDefault="009F727A" w:rsidP="009F727A">
      <w:pPr>
        <w:jc w:val="both"/>
      </w:pPr>
      <w:r>
        <w:t>De esa cuenta, es importante la focalización de gasto en infraestructura y en gasto social, el cual permita promover el crecimiento del sector privado y los ODS priorizados. Por lo que de privilegiar aquellas inversiones que generen las externalidades positivas (como los servicios de agua y saneamiento, atención médica preventiva y primaria, programas de educación preescolar, a nivel primario y capacitación de maestros) y aquellas con el mayor potencial de recuperación de costos y participación del sector privado como es el caso de la infraestructura vial; lograrán un mayor impacto en el desarrollo social y en la actividad económica. Además, la aprobación de préstamos plurianuales para educación, salud, seguridad alimentaria, justicia, infraestructura y agua y saneamiento facilitaría la incorporación de estas prioridades en un marco presupuestario de mediano plazo.</w:t>
      </w:r>
    </w:p>
    <w:p w14:paraId="15D3BA27" w14:textId="0C0EDE77" w:rsidR="009F727A" w:rsidRDefault="009F727A" w:rsidP="009F727A">
      <w:pPr>
        <w:jc w:val="both"/>
      </w:pPr>
    </w:p>
    <w:p w14:paraId="13FB6923" w14:textId="12550778" w:rsidR="009F727A" w:rsidRDefault="009F727A" w:rsidP="009F727A">
      <w:pPr>
        <w:jc w:val="both"/>
      </w:pPr>
      <w:r>
        <w:t>Por último, cabe destacar que la orientación del gasto público, también está determinada por las rigideces presupuestarias originadas principalmente por las asignaciones establecidas por mandato constitucional, las que devienen de leyes ordinarias como el destino específico que consideran la normativa de algunos impuestos, las aportaciones que se instituyen de las leyes orgánicas de entidades descentralizadas y autónomas, así como la asignación de la nómina estatal, el pago de pensiones y jubilaciones, el servicio de la deuda pública interna y externa y otros compromisos de carácter ineludible, que limitan en cierto sentido el margen de maniobra de la política fiscal.</w:t>
      </w:r>
    </w:p>
    <w:p w14:paraId="0E4230AD" w14:textId="630C508C" w:rsidR="00ED216D" w:rsidRDefault="00A208C9" w:rsidP="009F727A">
      <w:pPr>
        <w:jc w:val="both"/>
      </w:pPr>
      <w:r w:rsidRPr="007940BC">
        <w:rPr>
          <w:rFonts w:ascii="Calibri" w:hAnsi="Calibri"/>
          <w:noProof/>
          <w:sz w:val="22"/>
          <w:szCs w:val="22"/>
          <w:lang w:eastAsia="en-US"/>
        </w:rPr>
        <mc:AlternateContent>
          <mc:Choice Requires="wps">
            <w:drawing>
              <wp:anchor distT="0" distB="0" distL="114300" distR="114300" simplePos="0" relativeHeight="251767808" behindDoc="0" locked="0" layoutInCell="1" allowOverlap="1" wp14:anchorId="18F611E1" wp14:editId="66CD2710">
                <wp:simplePos x="0" y="0"/>
                <wp:positionH relativeFrom="page">
                  <wp:posOffset>1171931</wp:posOffset>
                </wp:positionH>
                <wp:positionV relativeFrom="paragraph">
                  <wp:posOffset>133883</wp:posOffset>
                </wp:positionV>
                <wp:extent cx="5648960" cy="2765146"/>
                <wp:effectExtent l="0" t="0" r="27940" b="16510"/>
                <wp:wrapNone/>
                <wp:docPr id="1836" name="Rectángulo: esquinas redondeadas 18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48960" cy="2765146"/>
                        </a:xfrm>
                        <a:prstGeom prst="roundRect">
                          <a:avLst>
                            <a:gd name="adj" fmla="val 5854"/>
                          </a:avLst>
                        </a:prstGeom>
                        <a:solidFill>
                          <a:srgbClr val="4472C4">
                            <a:alpha val="30000"/>
                          </a:srgbClr>
                        </a:solidFill>
                        <a:ln w="12700" cap="flat" cmpd="sng" algn="ctr">
                          <a:solidFill>
                            <a:srgbClr val="4472C4">
                              <a:shade val="50000"/>
                            </a:srgbClr>
                          </a:solidFill>
                          <a:prstDash val="solid"/>
                          <a:miter lim="800000"/>
                        </a:ln>
                        <a:effectLst/>
                      </wps:spPr>
                      <wps:txbx>
                        <w:txbxContent>
                          <w:p w14:paraId="6419A388" w14:textId="5420FD8D" w:rsidR="00327D34" w:rsidRPr="00AC3F5D" w:rsidRDefault="00AC3F5D" w:rsidP="00AC3F5D">
                            <w:pPr>
                              <w:pStyle w:val="Descripcin"/>
                              <w:spacing w:after="0"/>
                              <w:jc w:val="center"/>
                              <w:rPr>
                                <w:b/>
                                <w:bCs/>
                                <w:i w:val="0"/>
                                <w:iCs w:val="0"/>
                                <w:color w:val="auto"/>
                                <w:sz w:val="22"/>
                                <w:szCs w:val="22"/>
                              </w:rPr>
                            </w:pPr>
                            <w:r w:rsidRPr="00AC3F5D">
                              <w:rPr>
                                <w:b/>
                                <w:bCs/>
                                <w:i w:val="0"/>
                                <w:iCs w:val="0"/>
                                <w:color w:val="auto"/>
                                <w:sz w:val="22"/>
                                <w:szCs w:val="22"/>
                              </w:rPr>
                              <w:t xml:space="preserve">Recuadro </w:t>
                            </w:r>
                            <w:r w:rsidRPr="00AC3F5D">
                              <w:rPr>
                                <w:b/>
                                <w:bCs/>
                                <w:i w:val="0"/>
                                <w:iCs w:val="0"/>
                                <w:color w:val="auto"/>
                                <w:sz w:val="22"/>
                                <w:szCs w:val="22"/>
                              </w:rPr>
                              <w:fldChar w:fldCharType="begin"/>
                            </w:r>
                            <w:r w:rsidRPr="00AC3F5D">
                              <w:rPr>
                                <w:b/>
                                <w:bCs/>
                                <w:i w:val="0"/>
                                <w:iCs w:val="0"/>
                                <w:color w:val="auto"/>
                                <w:sz w:val="22"/>
                                <w:szCs w:val="22"/>
                              </w:rPr>
                              <w:instrText xml:space="preserve"> SEQ Recuadro \* ARABIC </w:instrText>
                            </w:r>
                            <w:r w:rsidRPr="00AC3F5D">
                              <w:rPr>
                                <w:b/>
                                <w:bCs/>
                                <w:i w:val="0"/>
                                <w:iCs w:val="0"/>
                                <w:color w:val="auto"/>
                                <w:sz w:val="22"/>
                                <w:szCs w:val="22"/>
                              </w:rPr>
                              <w:fldChar w:fldCharType="separate"/>
                            </w:r>
                            <w:r w:rsidR="006622B2">
                              <w:rPr>
                                <w:b/>
                                <w:bCs/>
                                <w:i w:val="0"/>
                                <w:iCs w:val="0"/>
                                <w:noProof/>
                                <w:color w:val="auto"/>
                                <w:sz w:val="22"/>
                                <w:szCs w:val="22"/>
                              </w:rPr>
                              <w:t>6</w:t>
                            </w:r>
                            <w:r w:rsidRPr="00AC3F5D">
                              <w:rPr>
                                <w:b/>
                                <w:bCs/>
                                <w:i w:val="0"/>
                                <w:iCs w:val="0"/>
                                <w:color w:val="auto"/>
                                <w:sz w:val="22"/>
                                <w:szCs w:val="22"/>
                              </w:rPr>
                              <w:fldChar w:fldCharType="end"/>
                            </w:r>
                            <w:r w:rsidRPr="00AC3F5D">
                              <w:rPr>
                                <w:b/>
                                <w:bCs/>
                                <w:i w:val="0"/>
                                <w:iCs w:val="0"/>
                                <w:color w:val="auto"/>
                                <w:sz w:val="22"/>
                                <w:szCs w:val="22"/>
                              </w:rPr>
                              <w:t>.  Perspectivas de entes internacionales</w:t>
                            </w:r>
                          </w:p>
                          <w:p w14:paraId="07F825D6" w14:textId="77777777" w:rsidR="00327D34" w:rsidRPr="009F727A" w:rsidRDefault="00327D34" w:rsidP="00327D34">
                            <w:pPr>
                              <w:jc w:val="center"/>
                              <w:rPr>
                                <w:b/>
                                <w:bCs/>
                                <w:color w:val="000000"/>
                                <w:sz w:val="20"/>
                                <w:szCs w:val="20"/>
                                <w:lang w:val="es-MX"/>
                              </w:rPr>
                            </w:pPr>
                            <w:r w:rsidRPr="009F727A">
                              <w:rPr>
                                <w:b/>
                                <w:bCs/>
                                <w:color w:val="000000"/>
                                <w:sz w:val="20"/>
                                <w:szCs w:val="20"/>
                                <w:lang w:val="es-MX"/>
                              </w:rPr>
                              <w:t>Puntos clave en la declaración del Staff del FMI en relación a la misión de artículo IV 2023</w:t>
                            </w:r>
                          </w:p>
                          <w:p w14:paraId="55D045A7" w14:textId="77777777" w:rsidR="00327D34" w:rsidRPr="009F727A" w:rsidRDefault="00327D34" w:rsidP="00327D34">
                            <w:pPr>
                              <w:jc w:val="both"/>
                              <w:rPr>
                                <w:color w:val="000000"/>
                                <w:sz w:val="18"/>
                                <w:szCs w:val="18"/>
                                <w:lang w:val="es-MX"/>
                              </w:rPr>
                            </w:pPr>
                          </w:p>
                          <w:p w14:paraId="320CF960" w14:textId="77777777" w:rsidR="00327D34" w:rsidRPr="009F727A" w:rsidRDefault="00327D34" w:rsidP="00327D34">
                            <w:pPr>
                              <w:jc w:val="both"/>
                              <w:rPr>
                                <w:color w:val="000000"/>
                                <w:sz w:val="18"/>
                                <w:szCs w:val="18"/>
                                <w:lang w:val="es-MX"/>
                              </w:rPr>
                            </w:pPr>
                            <w:r w:rsidRPr="009F727A">
                              <w:rPr>
                                <w:color w:val="000000"/>
                                <w:sz w:val="18"/>
                                <w:szCs w:val="18"/>
                                <w:lang w:val="es-MX"/>
                              </w:rPr>
                              <w:t xml:space="preserve">Una misión del Fondo Monetario Internacional (FMI) tuvo lugar del 28 de febrero al 13 de marzo del 2023 en atención al artículo IV, al respecto la misión comento que Guatemala debe continuar construyendo sobre los logros en política económica, la economía guatemalteca continuó mostrando resiliencia en 2022, con el crecimiento excediendo su potencial. Se reconoce que la estabilidad macroeconómica y financiera se preservó a pesar del contexto global desfavorable. </w:t>
                            </w:r>
                          </w:p>
                          <w:p w14:paraId="36C7AC52" w14:textId="77777777" w:rsidR="00327D34" w:rsidRPr="009F727A" w:rsidRDefault="00327D34" w:rsidP="00327D34">
                            <w:pPr>
                              <w:jc w:val="both"/>
                              <w:rPr>
                                <w:color w:val="000000"/>
                                <w:sz w:val="18"/>
                                <w:szCs w:val="18"/>
                                <w:lang w:val="es-MX"/>
                              </w:rPr>
                            </w:pPr>
                          </w:p>
                          <w:p w14:paraId="252A9477" w14:textId="77777777" w:rsidR="00327D34" w:rsidRPr="009F727A" w:rsidRDefault="00327D34" w:rsidP="00327D34">
                            <w:pPr>
                              <w:jc w:val="both"/>
                              <w:rPr>
                                <w:color w:val="000000"/>
                                <w:sz w:val="18"/>
                                <w:szCs w:val="18"/>
                                <w:lang w:val="es-MX"/>
                              </w:rPr>
                            </w:pPr>
                            <w:r w:rsidRPr="009F727A">
                              <w:rPr>
                                <w:color w:val="000000"/>
                                <w:sz w:val="18"/>
                                <w:szCs w:val="18"/>
                                <w:lang w:val="es-MX"/>
                              </w:rPr>
                              <w:t xml:space="preserve">Las presiones inflacionarias en Guatemala continúan agregando complejidad al diseño de políticas en el corto y mediano plazo. A pesar que los principales determinantes del incremento de la inflación fueron factores externos, efectos de segunda ronda y presiones de oferta y demanda han estado ganando terreno y contribuyendo al incremento de la inflación. En este contexto, la tasa de política del Banco de Guatemala ha tenido incrementos que han jugado un tol importante en anclar las expectativas de mediano plazo. </w:t>
                            </w:r>
                          </w:p>
                          <w:p w14:paraId="6D8E686D" w14:textId="77777777" w:rsidR="00327D34" w:rsidRPr="009F727A" w:rsidRDefault="00327D34" w:rsidP="00327D34">
                            <w:pPr>
                              <w:jc w:val="both"/>
                              <w:rPr>
                                <w:color w:val="000000"/>
                                <w:sz w:val="18"/>
                                <w:szCs w:val="18"/>
                                <w:lang w:val="es-MX"/>
                              </w:rPr>
                            </w:pPr>
                          </w:p>
                          <w:p w14:paraId="0B491D94" w14:textId="77777777" w:rsidR="00327D34" w:rsidRPr="009F727A" w:rsidRDefault="00327D34" w:rsidP="00327D34">
                            <w:pPr>
                              <w:jc w:val="both"/>
                              <w:rPr>
                                <w:color w:val="000000"/>
                                <w:sz w:val="18"/>
                                <w:szCs w:val="18"/>
                                <w:lang w:val="es-MX"/>
                              </w:rPr>
                            </w:pPr>
                            <w:r w:rsidRPr="009F727A">
                              <w:rPr>
                                <w:color w:val="000000"/>
                                <w:sz w:val="18"/>
                                <w:szCs w:val="18"/>
                                <w:lang w:val="es-MX"/>
                              </w:rPr>
                              <w:t>La misión del FMI resaltó la importancia de acelerar la implementación de una agenda en pro del crecimiento estructural, y abordar las brechas de infraestructura, educación, salud, mejora de gobernanza y la lucha en contra de la corrupción, las cuales deben permanecer como primer orden. Consideran que las reformas no son necesarias únicamente para atraer inversión extranjera directa, pero para asegurar un crecimiento inclusivo y sostenible.</w:t>
                            </w:r>
                          </w:p>
                          <w:p w14:paraId="0F007389" w14:textId="77777777" w:rsidR="00327D34" w:rsidRPr="009F727A" w:rsidRDefault="00327D34" w:rsidP="00327D34">
                            <w:pPr>
                              <w:jc w:val="both"/>
                              <w:rPr>
                                <w:color w:val="000000"/>
                                <w:sz w:val="18"/>
                                <w:szCs w:val="18"/>
                                <w:lang w:val="es-MX"/>
                              </w:rPr>
                            </w:pPr>
                          </w:p>
                          <w:p w14:paraId="4FF507FF" w14:textId="77777777" w:rsidR="00327D34" w:rsidRPr="009F727A" w:rsidRDefault="00327D34" w:rsidP="00327D34">
                            <w:pPr>
                              <w:jc w:val="both"/>
                              <w:rPr>
                                <w:color w:val="000000"/>
                                <w:sz w:val="18"/>
                                <w:szCs w:val="18"/>
                                <w:lang w:val="es-MX"/>
                              </w:rPr>
                            </w:pPr>
                            <w:r w:rsidRPr="009F727A">
                              <w:rPr>
                                <w:color w:val="000000"/>
                                <w:sz w:val="18"/>
                                <w:szCs w:val="18"/>
                                <w:lang w:val="es-MX"/>
                              </w:rPr>
                              <w:t xml:space="preserve">  </w:t>
                            </w:r>
                          </w:p>
                          <w:p w14:paraId="06FEF66E" w14:textId="77777777" w:rsidR="00327D34" w:rsidRPr="009F727A" w:rsidRDefault="00327D34" w:rsidP="00327D34">
                            <w:pPr>
                              <w:jc w:val="both"/>
                              <w:rPr>
                                <w:color w:val="000000"/>
                                <w:sz w:val="18"/>
                                <w:szCs w:val="18"/>
                                <w:lang w:val="es-MX"/>
                              </w:rPr>
                            </w:pPr>
                            <w:r w:rsidRPr="009F727A">
                              <w:rPr>
                                <w:color w:val="000000"/>
                                <w:sz w:val="18"/>
                                <w:szCs w:val="18"/>
                                <w:lang w:val="es-MX"/>
                              </w:rPr>
                              <w:t xml:space="preserve">  </w:t>
                            </w:r>
                          </w:p>
                          <w:p w14:paraId="092058B9" w14:textId="77777777" w:rsidR="00327D34" w:rsidRDefault="00327D34" w:rsidP="00327D34">
                            <w:pPr>
                              <w:jc w:val="both"/>
                              <w:rPr>
                                <w:color w:val="000000"/>
                                <w:sz w:val="18"/>
                                <w:szCs w:val="18"/>
                                <w:lang w:val="es-MX"/>
                              </w:rPr>
                            </w:pPr>
                          </w:p>
                          <w:p w14:paraId="38F85B64" w14:textId="77777777" w:rsidR="00327D34" w:rsidRPr="007940BC" w:rsidRDefault="00327D34" w:rsidP="00327D34">
                            <w:pPr>
                              <w:jc w:val="both"/>
                              <w:rPr>
                                <w:color w:val="000000"/>
                                <w:sz w:val="18"/>
                                <w:szCs w:val="18"/>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18F611E1" id="Rectángulo: esquinas redondeadas 1836" o:spid="_x0000_s1040" style="position:absolute;left:0;text-align:left;margin-left:92.3pt;margin-top:10.55pt;width:444.8pt;height:217.75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arcsize="38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" fillcolor="#4472c4" strokecolor="#2f528f" strokeweight="1pt">
                <v:fill opacity="19789f"/>
                <v:stroke joinstyle="miter"/>
                <v:path arrowok="t"/>
                <v:textbox>
                  <w:txbxContent>
                    <w:p w14:paraId="6419A388" w14:textId="5420FD8D" w:rsidR="00327D34" w:rsidRPr="00AC3F5D" w:rsidRDefault="00AC3F5D" w:rsidP="00AC3F5D">
                      <w:pPr>
                        <w:pStyle w:val="Descripcin"/>
                        <w:spacing w:after="0"/>
                        <w:jc w:val="center"/>
                        <w:rPr>
                          <w:b/>
                          <w:bCs/>
                          <w:i w:val="0"/>
                          <w:iCs w:val="0"/>
                          <w:color w:val="auto"/>
                          <w:sz w:val="22"/>
                          <w:szCs w:val="22"/>
                        </w:rPr>
                      </w:pPr>
                      <w:r w:rsidRPr="00AC3F5D">
                        <w:rPr>
                          <w:b/>
                          <w:bCs/>
                          <w:i w:val="0"/>
                          <w:iCs w:val="0"/>
                          <w:color w:val="auto"/>
                          <w:sz w:val="22"/>
                          <w:szCs w:val="22"/>
                        </w:rPr>
                        <w:t xml:space="preserve">Recuadro </w:t>
                      </w:r>
                      <w:r w:rsidRPr="00AC3F5D">
                        <w:rPr>
                          <w:b/>
                          <w:bCs/>
                          <w:i w:val="0"/>
                          <w:iCs w:val="0"/>
                          <w:color w:val="auto"/>
                          <w:sz w:val="22"/>
                          <w:szCs w:val="22"/>
                        </w:rPr>
                        <w:fldChar w:fldCharType="begin"/>
                      </w:r>
                      <w:r w:rsidRPr="00AC3F5D">
                        <w:rPr>
                          <w:b/>
                          <w:bCs/>
                          <w:i w:val="0"/>
                          <w:iCs w:val="0"/>
                          <w:color w:val="auto"/>
                          <w:sz w:val="22"/>
                          <w:szCs w:val="22"/>
                        </w:rPr>
                        <w:instrText xml:space="preserve"> SEQ Recuadro \* ARABIC </w:instrText>
                      </w:r>
                      <w:r w:rsidRPr="00AC3F5D">
                        <w:rPr>
                          <w:b/>
                          <w:bCs/>
                          <w:i w:val="0"/>
                          <w:iCs w:val="0"/>
                          <w:color w:val="auto"/>
                          <w:sz w:val="22"/>
                          <w:szCs w:val="22"/>
                        </w:rPr>
                        <w:fldChar w:fldCharType="separate"/>
                      </w:r>
                      <w:r w:rsidR="006622B2">
                        <w:rPr>
                          <w:b/>
                          <w:bCs/>
                          <w:i w:val="0"/>
                          <w:iCs w:val="0"/>
                          <w:noProof/>
                          <w:color w:val="auto"/>
                          <w:sz w:val="22"/>
                          <w:szCs w:val="22"/>
                        </w:rPr>
                        <w:t>6</w:t>
                      </w:r>
                      <w:r w:rsidRPr="00AC3F5D">
                        <w:rPr>
                          <w:b/>
                          <w:bCs/>
                          <w:i w:val="0"/>
                          <w:iCs w:val="0"/>
                          <w:color w:val="auto"/>
                          <w:sz w:val="22"/>
                          <w:szCs w:val="22"/>
                        </w:rPr>
                        <w:fldChar w:fldCharType="end"/>
                      </w:r>
                      <w:r w:rsidRPr="00AC3F5D">
                        <w:rPr>
                          <w:b/>
                          <w:bCs/>
                          <w:i w:val="0"/>
                          <w:iCs w:val="0"/>
                          <w:color w:val="auto"/>
                          <w:sz w:val="22"/>
                          <w:szCs w:val="22"/>
                        </w:rPr>
                        <w:t>.  Perspectivas de entes internacionales</w:t>
                      </w:r>
                    </w:p>
                    <w:p w14:paraId="07F825D6" w14:textId="77777777" w:rsidR="00327D34" w:rsidRPr="009F727A" w:rsidRDefault="00327D34" w:rsidP="00327D34">
                      <w:pPr>
                        <w:jc w:val="center"/>
                        <w:rPr>
                          <w:b/>
                          <w:bCs/>
                          <w:color w:val="000000"/>
                          <w:sz w:val="20"/>
                          <w:szCs w:val="20"/>
                          <w:lang w:val="es-MX"/>
                        </w:rPr>
                      </w:pPr>
                      <w:r w:rsidRPr="009F727A">
                        <w:rPr>
                          <w:b/>
                          <w:bCs/>
                          <w:color w:val="000000"/>
                          <w:sz w:val="20"/>
                          <w:szCs w:val="20"/>
                          <w:lang w:val="es-MX"/>
                        </w:rPr>
                        <w:t>Puntos clave en la declaración del Staff del FMI en relación a la misión de artículo IV 2023</w:t>
                      </w:r>
                    </w:p>
                    <w:p w14:paraId="55D045A7" w14:textId="77777777" w:rsidR="00327D34" w:rsidRPr="009F727A" w:rsidRDefault="00327D34" w:rsidP="00327D34">
                      <w:pPr>
                        <w:jc w:val="both"/>
                        <w:rPr>
                          <w:color w:val="000000"/>
                          <w:sz w:val="18"/>
                          <w:szCs w:val="18"/>
                          <w:lang w:val="es-MX"/>
                        </w:rPr>
                      </w:pPr>
                    </w:p>
                    <w:p w14:paraId="320CF960" w14:textId="77777777" w:rsidR="00327D34" w:rsidRPr="009F727A" w:rsidRDefault="00327D34" w:rsidP="00327D34">
                      <w:pPr>
                        <w:jc w:val="both"/>
                        <w:rPr>
                          <w:color w:val="000000"/>
                          <w:sz w:val="18"/>
                          <w:szCs w:val="18"/>
                          <w:lang w:val="es-MX"/>
                        </w:rPr>
                      </w:pPr>
                      <w:r w:rsidRPr="009F727A">
                        <w:rPr>
                          <w:color w:val="000000"/>
                          <w:sz w:val="18"/>
                          <w:szCs w:val="18"/>
                          <w:lang w:val="es-MX"/>
                        </w:rPr>
                        <w:t xml:space="preserve">Una misión del Fondo Monetario Internacional (FMI) tuvo lugar del 28 de febrero al 13 de marzo del 2023 en atención al artículo IV, al respecto la misión comento que Guatemala debe continuar construyendo sobre los logros en política económica, la economía guatemalteca continuó mostrando resiliencia en 2022, con el crecimiento excediendo su potencial. Se reconoce que la estabilidad macroeconómica y financiera se preservó a pesar del contexto global desfavorable. </w:t>
                      </w:r>
                    </w:p>
                    <w:p w14:paraId="36C7AC52" w14:textId="77777777" w:rsidR="00327D34" w:rsidRPr="009F727A" w:rsidRDefault="00327D34" w:rsidP="00327D34">
                      <w:pPr>
                        <w:jc w:val="both"/>
                        <w:rPr>
                          <w:color w:val="000000"/>
                          <w:sz w:val="18"/>
                          <w:szCs w:val="18"/>
                          <w:lang w:val="es-MX"/>
                        </w:rPr>
                      </w:pPr>
                    </w:p>
                    <w:p w14:paraId="252A9477" w14:textId="77777777" w:rsidR="00327D34" w:rsidRPr="009F727A" w:rsidRDefault="00327D34" w:rsidP="00327D34">
                      <w:pPr>
                        <w:jc w:val="both"/>
                        <w:rPr>
                          <w:color w:val="000000"/>
                          <w:sz w:val="18"/>
                          <w:szCs w:val="18"/>
                          <w:lang w:val="es-MX"/>
                        </w:rPr>
                      </w:pPr>
                      <w:r w:rsidRPr="009F727A">
                        <w:rPr>
                          <w:color w:val="000000"/>
                          <w:sz w:val="18"/>
                          <w:szCs w:val="18"/>
                          <w:lang w:val="es-MX"/>
                        </w:rPr>
                        <w:t xml:space="preserve">Las presiones inflacionarias en Guatemala continúan agregando complejidad al diseño de políticas en el corto y mediano plazo. A pesar que los principales determinantes del incremento de la inflación fueron factores externos, efectos de segunda ronda y presiones de oferta y demanda han estado ganando terreno y contribuyendo al incremento de la inflación. En este contexto, la tasa de política del Banco de Guatemala ha tenido incrementos que han jugado un tol importante en anclar las expectativas de mediano plazo. </w:t>
                      </w:r>
                    </w:p>
                    <w:p w14:paraId="6D8E686D" w14:textId="77777777" w:rsidR="00327D34" w:rsidRPr="009F727A" w:rsidRDefault="00327D34" w:rsidP="00327D34">
                      <w:pPr>
                        <w:jc w:val="both"/>
                        <w:rPr>
                          <w:color w:val="000000"/>
                          <w:sz w:val="18"/>
                          <w:szCs w:val="18"/>
                          <w:lang w:val="es-MX"/>
                        </w:rPr>
                      </w:pPr>
                    </w:p>
                    <w:p w14:paraId="0B491D94" w14:textId="77777777" w:rsidR="00327D34" w:rsidRPr="009F727A" w:rsidRDefault="00327D34" w:rsidP="00327D34">
                      <w:pPr>
                        <w:jc w:val="both"/>
                        <w:rPr>
                          <w:color w:val="000000"/>
                          <w:sz w:val="18"/>
                          <w:szCs w:val="18"/>
                          <w:lang w:val="es-MX"/>
                        </w:rPr>
                      </w:pPr>
                      <w:r w:rsidRPr="009F727A">
                        <w:rPr>
                          <w:color w:val="000000"/>
                          <w:sz w:val="18"/>
                          <w:szCs w:val="18"/>
                          <w:lang w:val="es-MX"/>
                        </w:rPr>
                        <w:t>La misión del FMI resaltó la importancia de acelerar la implementación de una agenda en pro del crecimiento estructural, y abordar las brechas de infraestructura, educación, salud, mejora de gobernanza y la lucha en contra de la corrupción, las cuales deben permanecer como primer orden. Consideran que las reformas no son necesarias únicamente para atraer inversión extranjera directa, pero para asegurar un crecimiento inclusivo y sostenible.</w:t>
                      </w:r>
                    </w:p>
                    <w:p w14:paraId="0F007389" w14:textId="77777777" w:rsidR="00327D34" w:rsidRPr="009F727A" w:rsidRDefault="00327D34" w:rsidP="00327D34">
                      <w:pPr>
                        <w:jc w:val="both"/>
                        <w:rPr>
                          <w:color w:val="000000"/>
                          <w:sz w:val="18"/>
                          <w:szCs w:val="18"/>
                          <w:lang w:val="es-MX"/>
                        </w:rPr>
                      </w:pPr>
                    </w:p>
                    <w:p w14:paraId="4FF507FF" w14:textId="77777777" w:rsidR="00327D34" w:rsidRPr="009F727A" w:rsidRDefault="00327D34" w:rsidP="00327D34">
                      <w:pPr>
                        <w:jc w:val="both"/>
                        <w:rPr>
                          <w:color w:val="000000"/>
                          <w:sz w:val="18"/>
                          <w:szCs w:val="18"/>
                          <w:lang w:val="es-MX"/>
                        </w:rPr>
                      </w:pPr>
                      <w:r w:rsidRPr="009F727A">
                        <w:rPr>
                          <w:color w:val="000000"/>
                          <w:sz w:val="18"/>
                          <w:szCs w:val="18"/>
                          <w:lang w:val="es-MX"/>
                        </w:rPr>
                        <w:t xml:space="preserve">  </w:t>
                      </w:r>
                    </w:p>
                    <w:p w14:paraId="06FEF66E" w14:textId="77777777" w:rsidR="00327D34" w:rsidRPr="009F727A" w:rsidRDefault="00327D34" w:rsidP="00327D34">
                      <w:pPr>
                        <w:jc w:val="both"/>
                        <w:rPr>
                          <w:color w:val="000000"/>
                          <w:sz w:val="18"/>
                          <w:szCs w:val="18"/>
                          <w:lang w:val="es-MX"/>
                        </w:rPr>
                      </w:pPr>
                      <w:r w:rsidRPr="009F727A">
                        <w:rPr>
                          <w:color w:val="000000"/>
                          <w:sz w:val="18"/>
                          <w:szCs w:val="18"/>
                          <w:lang w:val="es-MX"/>
                        </w:rPr>
                        <w:t xml:space="preserve">  </w:t>
                      </w:r>
                    </w:p>
                    <w:p w14:paraId="092058B9" w14:textId="77777777" w:rsidR="00327D34" w:rsidRDefault="00327D34" w:rsidP="00327D34">
                      <w:pPr>
                        <w:jc w:val="both"/>
                        <w:rPr>
                          <w:color w:val="000000"/>
                          <w:sz w:val="18"/>
                          <w:szCs w:val="18"/>
                          <w:lang w:val="es-MX"/>
                        </w:rPr>
                      </w:pPr>
                    </w:p>
                    <w:p w14:paraId="38F85B64" w14:textId="77777777" w:rsidR="00327D34" w:rsidRPr="007940BC" w:rsidRDefault="00327D34" w:rsidP="00327D34">
                      <w:pPr>
                        <w:jc w:val="both"/>
                        <w:rPr>
                          <w:color w:val="000000"/>
                          <w:sz w:val="18"/>
                          <w:szCs w:val="18"/>
                          <w:lang w:val="es-MX"/>
                        </w:rPr>
                      </w:pPr>
                    </w:p>
                  </w:txbxContent>
                </v:textbox>
                <w10:wrap anchorx="page"/>
              </v:roundrect>
            </w:pict>
          </mc:Fallback>
        </mc:AlternateContent>
      </w:r>
    </w:p>
    <w:p w14:paraId="24689128" w14:textId="0A6F6685" w:rsidR="00406ABC" w:rsidRDefault="00406ABC" w:rsidP="009F727A">
      <w:pPr>
        <w:jc w:val="both"/>
      </w:pPr>
    </w:p>
    <w:p w14:paraId="34D42310" w14:textId="6619ECAF" w:rsidR="00406ABC" w:rsidRDefault="00406ABC" w:rsidP="009F727A">
      <w:pPr>
        <w:jc w:val="both"/>
      </w:pPr>
    </w:p>
    <w:p w14:paraId="69A6A85F" w14:textId="623F7F79" w:rsidR="00406ABC" w:rsidRDefault="00406ABC" w:rsidP="009F727A">
      <w:pPr>
        <w:jc w:val="both"/>
      </w:pPr>
    </w:p>
    <w:p w14:paraId="51505AC3" w14:textId="18D97E6A" w:rsidR="00406ABC" w:rsidRDefault="00406ABC" w:rsidP="009F727A">
      <w:pPr>
        <w:jc w:val="both"/>
      </w:pPr>
    </w:p>
    <w:p w14:paraId="28DE210F" w14:textId="279E1F05" w:rsidR="009F727A" w:rsidRDefault="009F727A" w:rsidP="009F727A">
      <w:pPr>
        <w:jc w:val="both"/>
      </w:pPr>
    </w:p>
    <w:p w14:paraId="60347062" w14:textId="02470D8A" w:rsidR="009F727A" w:rsidRDefault="009F727A" w:rsidP="009F727A">
      <w:pPr>
        <w:jc w:val="both"/>
      </w:pPr>
    </w:p>
    <w:p w14:paraId="5A9AA68C" w14:textId="1B294616" w:rsidR="009F727A" w:rsidRDefault="009F727A" w:rsidP="009F727A">
      <w:pPr>
        <w:jc w:val="both"/>
      </w:pPr>
    </w:p>
    <w:p w14:paraId="2C6C43DD" w14:textId="3ED90BEF" w:rsidR="009F727A" w:rsidRDefault="009F727A" w:rsidP="009F727A">
      <w:pPr>
        <w:jc w:val="both"/>
      </w:pPr>
    </w:p>
    <w:p w14:paraId="16157271" w14:textId="214F7E0C" w:rsidR="009F727A" w:rsidRDefault="009F727A" w:rsidP="009F727A">
      <w:pPr>
        <w:jc w:val="both"/>
      </w:pPr>
    </w:p>
    <w:p w14:paraId="16F111B3" w14:textId="35AEB6BC" w:rsidR="009F727A" w:rsidRDefault="009F727A" w:rsidP="009F727A">
      <w:pPr>
        <w:jc w:val="both"/>
      </w:pPr>
    </w:p>
    <w:p w14:paraId="016FB655" w14:textId="04C38DDE" w:rsidR="009F727A" w:rsidRDefault="009F727A" w:rsidP="009F727A">
      <w:pPr>
        <w:jc w:val="both"/>
      </w:pPr>
    </w:p>
    <w:p w14:paraId="1FBB3756" w14:textId="7C0BC290" w:rsidR="009F727A" w:rsidRDefault="009F727A" w:rsidP="009F727A">
      <w:pPr>
        <w:jc w:val="both"/>
      </w:pPr>
    </w:p>
    <w:p w14:paraId="6B50E601" w14:textId="5416918E" w:rsidR="009F727A" w:rsidRDefault="009F727A" w:rsidP="009F727A">
      <w:pPr>
        <w:jc w:val="both"/>
      </w:pPr>
    </w:p>
    <w:p w14:paraId="7598962F" w14:textId="01A0EA33" w:rsidR="009F727A" w:rsidRDefault="009F727A" w:rsidP="009F727A">
      <w:pPr>
        <w:jc w:val="both"/>
      </w:pPr>
    </w:p>
    <w:p w14:paraId="15456A7E" w14:textId="23130D96" w:rsidR="00E01410" w:rsidRDefault="00E01410" w:rsidP="009F727A">
      <w:pPr>
        <w:jc w:val="both"/>
      </w:pPr>
    </w:p>
    <w:p w14:paraId="2CFD001C" w14:textId="00F9EE62" w:rsidR="00E01410" w:rsidRDefault="00E01410" w:rsidP="009F727A">
      <w:pPr>
        <w:jc w:val="both"/>
      </w:pPr>
    </w:p>
    <w:p w14:paraId="1ABBD596" w14:textId="3C9F2AC3" w:rsidR="009F727A" w:rsidRDefault="00A208C9" w:rsidP="009F727A">
      <w:pPr>
        <w:jc w:val="both"/>
      </w:pPr>
      <w:r w:rsidRPr="007940BC">
        <w:rPr>
          <w:rFonts w:ascii="Calibri" w:hAnsi="Calibri"/>
          <w:noProof/>
          <w:sz w:val="22"/>
          <w:szCs w:val="22"/>
          <w:lang w:eastAsia="en-US"/>
        </w:rPr>
        <mc:AlternateContent>
          <mc:Choice Requires="wps">
            <w:drawing>
              <wp:anchor distT="0" distB="0" distL="114300" distR="114300" simplePos="0" relativeHeight="251714560" behindDoc="0" locked="0" layoutInCell="1" allowOverlap="1" wp14:anchorId="6E5FE445" wp14:editId="60CE257B">
                <wp:simplePos x="0" y="0"/>
                <wp:positionH relativeFrom="page">
                  <wp:posOffset>1126490</wp:posOffset>
                </wp:positionH>
                <wp:positionV relativeFrom="paragraph">
                  <wp:posOffset>-7925</wp:posOffset>
                </wp:positionV>
                <wp:extent cx="5617845" cy="7556602"/>
                <wp:effectExtent l="0" t="0" r="20955" b="25400"/>
                <wp:wrapNone/>
                <wp:docPr id="19" name="Rectángulo: esquinas redondeadas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7845" cy="7556602"/>
                        </a:xfrm>
                        <a:prstGeom prst="roundRect">
                          <a:avLst>
                            <a:gd name="adj" fmla="val 5854"/>
                          </a:avLst>
                        </a:prstGeom>
                        <a:solidFill>
                          <a:srgbClr val="4472C4">
                            <a:alpha val="30000"/>
                          </a:srgbClr>
                        </a:solidFill>
                        <a:ln w="12700" cap="flat" cmpd="sng" algn="ctr">
                          <a:solidFill>
                            <a:srgbClr val="4472C4">
                              <a:shade val="50000"/>
                            </a:srgbClr>
                          </a:solidFill>
                          <a:prstDash val="solid"/>
                          <a:miter lim="800000"/>
                        </a:ln>
                        <a:effectLst/>
                      </wps:spPr>
                      <wps:txbx>
                        <w:txbxContent>
                          <w:p w14:paraId="6A7AEF69" w14:textId="77777777" w:rsidR="00A208C9" w:rsidRPr="009F727A" w:rsidRDefault="00A208C9" w:rsidP="00A208C9">
                            <w:pPr>
                              <w:jc w:val="both"/>
                              <w:rPr>
                                <w:color w:val="000000"/>
                                <w:sz w:val="18"/>
                                <w:szCs w:val="18"/>
                                <w:lang w:val="es-MX"/>
                              </w:rPr>
                            </w:pPr>
                            <w:r w:rsidRPr="009F727A">
                              <w:rPr>
                                <w:color w:val="000000"/>
                                <w:sz w:val="18"/>
                                <w:szCs w:val="18"/>
                                <w:lang w:val="es-MX"/>
                              </w:rPr>
                              <w:t xml:space="preserve">Respecto a la fortaleza de las finanzas públicas y la agenda de gasto comentaron que los esfuerzos de reforma en la administración tributaria han tenido recompensa, lo cual se refleja en el nivel de carga tributaria alcanzada en 2022. La misión considera que estos pasos son importantes para abordar las necesidades de inversión del país y se considera importante el rol que jugo la continuidad del equipo de gestión en la Superintendencia de Administración Tributaria.  </w:t>
                            </w:r>
                          </w:p>
                          <w:p w14:paraId="650C6AC8" w14:textId="77777777" w:rsidR="00A208C9" w:rsidRDefault="00A208C9" w:rsidP="00A208C9">
                            <w:pPr>
                              <w:jc w:val="both"/>
                              <w:rPr>
                                <w:color w:val="000000"/>
                                <w:sz w:val="18"/>
                                <w:szCs w:val="18"/>
                                <w:lang w:val="es-MX"/>
                              </w:rPr>
                            </w:pPr>
                          </w:p>
                          <w:p w14:paraId="5712FB31" w14:textId="093F8636" w:rsidR="00A208C9" w:rsidRPr="009F727A" w:rsidRDefault="00A208C9" w:rsidP="00A208C9">
                            <w:pPr>
                              <w:jc w:val="both"/>
                              <w:rPr>
                                <w:color w:val="000000"/>
                                <w:sz w:val="18"/>
                                <w:szCs w:val="18"/>
                                <w:lang w:val="es-MX"/>
                              </w:rPr>
                            </w:pPr>
                            <w:r w:rsidRPr="009F727A">
                              <w:rPr>
                                <w:color w:val="000000"/>
                                <w:sz w:val="18"/>
                                <w:szCs w:val="18"/>
                                <w:lang w:val="es-MX"/>
                              </w:rPr>
                              <w:t xml:space="preserve">Por el lado del gasto público, se requiere asegurar una alta calidad del gasto, lo cual requiere planeación de mediano plazo. Una planeación multianual debería asegurar consistencia con el ingreso y las proyecciones de deuda contra el gasto de mediano plazo necesario para alcanzar las metas de desarrollo. Por último, se reconoce que el ratio de deuda/PIB es bajo y la prima de riesgo país se ha mantenido estable y baja. </w:t>
                            </w:r>
                          </w:p>
                          <w:p w14:paraId="177E5F2D" w14:textId="77777777" w:rsidR="00A208C9" w:rsidRDefault="00A208C9" w:rsidP="00327D34">
                            <w:pPr>
                              <w:jc w:val="both"/>
                              <w:rPr>
                                <w:color w:val="000000"/>
                                <w:sz w:val="18"/>
                                <w:szCs w:val="18"/>
                                <w:lang w:val="es-MX"/>
                              </w:rPr>
                            </w:pPr>
                          </w:p>
                          <w:p w14:paraId="0D378CA3" w14:textId="0E3B642A" w:rsidR="00327D34" w:rsidRDefault="009F727A" w:rsidP="00327D34">
                            <w:pPr>
                              <w:jc w:val="both"/>
                              <w:rPr>
                                <w:color w:val="000000"/>
                                <w:sz w:val="18"/>
                                <w:szCs w:val="18"/>
                                <w:lang w:val="es-MX"/>
                              </w:rPr>
                            </w:pPr>
                            <w:r w:rsidRPr="009F727A">
                              <w:rPr>
                                <w:color w:val="000000"/>
                                <w:sz w:val="18"/>
                                <w:szCs w:val="18"/>
                                <w:lang w:val="es-MX"/>
                              </w:rPr>
                              <w:t xml:space="preserve"> </w:t>
                            </w:r>
                            <w:r w:rsidR="00327D34" w:rsidRPr="009F727A">
                              <w:rPr>
                                <w:color w:val="000000"/>
                                <w:sz w:val="18"/>
                                <w:szCs w:val="18"/>
                                <w:lang w:val="es-MX"/>
                              </w:rPr>
                              <w:t>La misión considera que si se quiere un mayor potencial económico se debe continuar adoptando medidas para expandir el mercado laboral formal, fortalecer la productividad, atraer inversión que expanda el acceso a tecnología e innovación, invertir en capital humano y reducir la incertidumbre regulatoria. Se considera que se deben escalar los esfuerzos por mejorar la gobernanza y garantizar instituciones independientes anti corrupción para mejorar el clima para hacer negocios y atraer mayores inversiones.</w:t>
                            </w:r>
                          </w:p>
                          <w:p w14:paraId="2D6BB9FE" w14:textId="18CB0CD5" w:rsidR="009F727A" w:rsidRDefault="009F727A" w:rsidP="009F727A">
                            <w:pPr>
                              <w:jc w:val="both"/>
                              <w:rPr>
                                <w:color w:val="000000"/>
                                <w:sz w:val="18"/>
                                <w:szCs w:val="18"/>
                                <w:lang w:val="es-MX"/>
                              </w:rPr>
                            </w:pPr>
                          </w:p>
                          <w:p w14:paraId="74335C6A" w14:textId="77777777" w:rsidR="009F727A" w:rsidRPr="009F727A" w:rsidRDefault="009F727A" w:rsidP="009F727A">
                            <w:pPr>
                              <w:jc w:val="both"/>
                              <w:rPr>
                                <w:b/>
                                <w:bCs/>
                                <w:color w:val="000000"/>
                                <w:sz w:val="20"/>
                                <w:szCs w:val="20"/>
                                <w:lang w:val="es-MX"/>
                              </w:rPr>
                            </w:pPr>
                            <w:r w:rsidRPr="009F727A">
                              <w:rPr>
                                <w:b/>
                                <w:bCs/>
                                <w:color w:val="000000"/>
                                <w:sz w:val="20"/>
                                <w:szCs w:val="20"/>
                                <w:lang w:val="es-MX"/>
                              </w:rPr>
                              <w:t>Fitch Califica Guatemala a 'BB'; Perspectiva estable</w:t>
                            </w:r>
                          </w:p>
                          <w:p w14:paraId="716D4A23" w14:textId="77777777" w:rsidR="009F727A" w:rsidRPr="009F727A" w:rsidRDefault="009F727A" w:rsidP="009F727A">
                            <w:pPr>
                              <w:jc w:val="both"/>
                              <w:rPr>
                                <w:color w:val="000000"/>
                                <w:sz w:val="18"/>
                                <w:szCs w:val="18"/>
                                <w:lang w:val="es-MX"/>
                              </w:rPr>
                            </w:pPr>
                          </w:p>
                          <w:p w14:paraId="08C215D5" w14:textId="77777777" w:rsidR="009F727A" w:rsidRPr="009F727A" w:rsidRDefault="009F727A" w:rsidP="009F727A">
                            <w:pPr>
                              <w:jc w:val="both"/>
                              <w:rPr>
                                <w:color w:val="000000"/>
                                <w:sz w:val="18"/>
                                <w:szCs w:val="18"/>
                                <w:lang w:val="es-MX"/>
                              </w:rPr>
                            </w:pPr>
                            <w:r w:rsidRPr="009F727A">
                              <w:rPr>
                                <w:color w:val="000000"/>
                                <w:sz w:val="18"/>
                                <w:szCs w:val="18"/>
                                <w:lang w:val="es-MX"/>
                              </w:rPr>
                              <w:t>Fitch Ratings elevó las calificaciones de incumplimiento de emisor (IDR) de largo plazo en moneda local y extranjera de Guatemala a 'BB' de 'BB-'. La perspectiva de la calificación es estable.</w:t>
                            </w:r>
                          </w:p>
                          <w:p w14:paraId="18CC3C43" w14:textId="77777777" w:rsidR="009F727A" w:rsidRPr="009F727A" w:rsidRDefault="009F727A" w:rsidP="009F727A">
                            <w:pPr>
                              <w:jc w:val="both"/>
                              <w:rPr>
                                <w:color w:val="000000"/>
                                <w:sz w:val="18"/>
                                <w:szCs w:val="18"/>
                                <w:lang w:val="es-MX"/>
                              </w:rPr>
                            </w:pPr>
                          </w:p>
                          <w:p w14:paraId="40B80CC3" w14:textId="7AF94932" w:rsidR="009F727A" w:rsidRDefault="009F727A" w:rsidP="009F727A">
                            <w:pPr>
                              <w:jc w:val="both"/>
                              <w:rPr>
                                <w:color w:val="000000"/>
                                <w:sz w:val="18"/>
                                <w:szCs w:val="18"/>
                                <w:lang w:val="es-MX"/>
                              </w:rPr>
                            </w:pPr>
                            <w:r w:rsidRPr="009F727A">
                              <w:rPr>
                                <w:color w:val="000000"/>
                                <w:sz w:val="18"/>
                                <w:szCs w:val="18"/>
                                <w:lang w:val="es-MX"/>
                              </w:rPr>
                              <w:t>La calificadora comento que la mejora refleja una fuerte recuperación fiscal y económica de Guatemala, luego de la pandemia y los choques de precios globales. Se reconoce que la recuperación del PIB real post pandemia fue uno de los más rápidos de América Latina. Mientras que los déficits fiscales y la deuda siguen siendo los más bajos en la categoría ‘BB’ y se han beneficiado de una mejor recaudación de impuestos. Por su parte, los superávits en cuenta corriente han mejorado la solvencia y liquidez externa.</w:t>
                            </w:r>
                          </w:p>
                          <w:p w14:paraId="4879ECF6" w14:textId="0884857E" w:rsidR="009F727A" w:rsidRDefault="009F727A" w:rsidP="009F727A">
                            <w:pPr>
                              <w:jc w:val="both"/>
                              <w:rPr>
                                <w:color w:val="000000"/>
                                <w:sz w:val="18"/>
                                <w:szCs w:val="18"/>
                                <w:lang w:val="es-MX"/>
                              </w:rPr>
                            </w:pPr>
                          </w:p>
                          <w:p w14:paraId="52C4B988" w14:textId="644F420E" w:rsidR="009F727A" w:rsidRPr="009F727A" w:rsidRDefault="009F727A" w:rsidP="009F727A">
                            <w:pPr>
                              <w:jc w:val="both"/>
                              <w:rPr>
                                <w:color w:val="000000"/>
                                <w:sz w:val="18"/>
                                <w:szCs w:val="18"/>
                                <w:lang w:val="es-MX"/>
                              </w:rPr>
                            </w:pPr>
                            <w:r w:rsidRPr="009F727A">
                              <w:rPr>
                                <w:color w:val="000000"/>
                                <w:sz w:val="18"/>
                                <w:szCs w:val="18"/>
                                <w:lang w:val="es-MX"/>
                              </w:rPr>
                              <w:t xml:space="preserve">Fitch Ratings espera que el crecimiento converja a su potencial de 3.5%, que se compara favorablemente con los pares regionales, pero es insuficiente al considerar el alto crecimiento de la población. Y se reconoce considerablemente la mejora de los ingresos fiscales, que, si bien se consideran aun bajos, aumentaron notablemente de 10.5% del PIB en 2019 al 12.0% del PIB en 2022. Se espera que esta mejora sea de carácter estructural y no cíclico, lo cual reflejaría las mejoras administrativas tomadas por la agencia tributaria (SAT). </w:t>
                            </w:r>
                            <w:r w:rsidR="00F44D6B">
                              <w:rPr>
                                <w:color w:val="000000"/>
                                <w:sz w:val="18"/>
                                <w:szCs w:val="18"/>
                                <w:lang w:val="es-MX"/>
                              </w:rPr>
                              <w:t xml:space="preserve"> Asimismo, </w:t>
                            </w:r>
                            <w:r w:rsidRPr="009F727A">
                              <w:rPr>
                                <w:color w:val="000000"/>
                                <w:sz w:val="18"/>
                                <w:szCs w:val="18"/>
                                <w:lang w:val="es-MX"/>
                              </w:rPr>
                              <w:t xml:space="preserve">considera que el historial de política fiscal conservadora en Guatemala y un Banco Central independiente han anclado la continuidad de la política en el pasado y es probable que impidan desviaciones importantes. </w:t>
                            </w:r>
                          </w:p>
                          <w:p w14:paraId="600E69E0" w14:textId="77777777" w:rsidR="009F727A" w:rsidRPr="009F727A" w:rsidRDefault="009F727A" w:rsidP="009F727A">
                            <w:pPr>
                              <w:jc w:val="both"/>
                              <w:rPr>
                                <w:color w:val="000000"/>
                                <w:sz w:val="18"/>
                                <w:szCs w:val="18"/>
                                <w:lang w:val="es-MX"/>
                              </w:rPr>
                            </w:pPr>
                          </w:p>
                          <w:p w14:paraId="5F01EA5E" w14:textId="46A908A2" w:rsidR="009F727A" w:rsidRDefault="009F727A" w:rsidP="009F727A">
                            <w:pPr>
                              <w:jc w:val="both"/>
                              <w:rPr>
                                <w:color w:val="000000"/>
                                <w:sz w:val="18"/>
                                <w:szCs w:val="18"/>
                                <w:lang w:val="es-MX"/>
                              </w:rPr>
                            </w:pPr>
                            <w:r w:rsidRPr="009F727A">
                              <w:rPr>
                                <w:color w:val="000000"/>
                                <w:sz w:val="18"/>
                                <w:szCs w:val="18"/>
                                <w:lang w:val="es-MX"/>
                              </w:rPr>
                              <w:t xml:space="preserve"> La calificadora resalta que se avecina un panorama político fragmentado con elecciones altamente competitivas e inciertas el próximo 25 de junio. La calificación sigue limitada por los puntajes de gobernanza que son débiles y bajos indicadores de desarrollo humano. Se considera que, si bien en años recientes se ha logrado superar el estancamiento en el Congreso para aprobar reformas y presupuestos, esto continuaría siendo un desafío para el próximo gobierno.</w:t>
                            </w:r>
                          </w:p>
                          <w:p w14:paraId="5DBD0398" w14:textId="2C2F5776" w:rsidR="009F727A" w:rsidRDefault="009F727A" w:rsidP="009F727A">
                            <w:pPr>
                              <w:jc w:val="both"/>
                              <w:rPr>
                                <w:color w:val="000000"/>
                                <w:sz w:val="18"/>
                                <w:szCs w:val="18"/>
                                <w:lang w:val="es-MX"/>
                              </w:rPr>
                            </w:pPr>
                          </w:p>
                          <w:p w14:paraId="0718737F" w14:textId="77777777" w:rsidR="00327D34" w:rsidRPr="009F727A" w:rsidRDefault="00327D34" w:rsidP="00327D34">
                            <w:pPr>
                              <w:rPr>
                                <w:b/>
                                <w:bCs/>
                                <w:color w:val="000000"/>
                                <w:sz w:val="20"/>
                                <w:szCs w:val="20"/>
                                <w:lang w:val="es-MX"/>
                              </w:rPr>
                            </w:pPr>
                            <w:r w:rsidRPr="009F727A">
                              <w:rPr>
                                <w:b/>
                                <w:bCs/>
                                <w:color w:val="000000"/>
                                <w:sz w:val="20"/>
                                <w:szCs w:val="20"/>
                                <w:lang w:val="es-MX"/>
                              </w:rPr>
                              <w:t>S&amp;P aumentó la calificación a 'BB' por resiliencia económica con perspectiva estable</w:t>
                            </w:r>
                          </w:p>
                          <w:p w14:paraId="50137965" w14:textId="77777777" w:rsidR="00327D34" w:rsidRPr="009F727A" w:rsidRDefault="00327D34" w:rsidP="00327D34">
                            <w:pPr>
                              <w:jc w:val="center"/>
                              <w:rPr>
                                <w:b/>
                                <w:bCs/>
                                <w:color w:val="000000"/>
                                <w:sz w:val="20"/>
                                <w:szCs w:val="20"/>
                                <w:lang w:val="es-MX"/>
                              </w:rPr>
                            </w:pPr>
                            <w:r w:rsidRPr="009F727A">
                              <w:rPr>
                                <w:b/>
                                <w:bCs/>
                                <w:color w:val="000000"/>
                                <w:sz w:val="20"/>
                                <w:szCs w:val="20"/>
                                <w:lang w:val="es-MX"/>
                              </w:rPr>
                              <w:t xml:space="preserve"> </w:t>
                            </w:r>
                          </w:p>
                          <w:p w14:paraId="1625029E" w14:textId="77777777" w:rsidR="00327D34" w:rsidRPr="009F727A" w:rsidRDefault="00327D34" w:rsidP="00327D34">
                            <w:pPr>
                              <w:jc w:val="both"/>
                              <w:rPr>
                                <w:color w:val="000000"/>
                                <w:sz w:val="20"/>
                                <w:szCs w:val="20"/>
                                <w:lang w:val="es-MX"/>
                              </w:rPr>
                            </w:pPr>
                            <w:r w:rsidRPr="009F727A">
                              <w:rPr>
                                <w:color w:val="000000"/>
                                <w:sz w:val="20"/>
                                <w:szCs w:val="20"/>
                                <w:lang w:val="es-MX"/>
                              </w:rPr>
                              <w:t xml:space="preserve"> La calificadora considera que las políticas fiscales y monetarias cautelosas han estabilizado la economía y la adopción de medidas adicionales para abordar las elevadas necesidades sociales serían clave para reducir sustancialmente el elevado nivel de pobreza. </w:t>
                            </w:r>
                          </w:p>
                          <w:p w14:paraId="24E22298" w14:textId="77777777" w:rsidR="00327D34" w:rsidRPr="009F727A" w:rsidRDefault="00327D34" w:rsidP="00327D34">
                            <w:pPr>
                              <w:jc w:val="both"/>
                              <w:rPr>
                                <w:color w:val="000000"/>
                                <w:sz w:val="20"/>
                                <w:szCs w:val="20"/>
                                <w:lang w:val="es-MX"/>
                              </w:rPr>
                            </w:pPr>
                            <w:r w:rsidRPr="009F727A">
                              <w:rPr>
                                <w:color w:val="000000"/>
                                <w:sz w:val="20"/>
                                <w:szCs w:val="20"/>
                                <w:lang w:val="es-MX"/>
                              </w:rPr>
                              <w:t xml:space="preserve">  </w:t>
                            </w:r>
                          </w:p>
                          <w:p w14:paraId="1255E7BB" w14:textId="77777777" w:rsidR="00327D34" w:rsidRPr="009F727A" w:rsidRDefault="00327D34" w:rsidP="00327D34">
                            <w:pPr>
                              <w:jc w:val="both"/>
                              <w:rPr>
                                <w:color w:val="000000"/>
                                <w:sz w:val="20"/>
                                <w:szCs w:val="20"/>
                                <w:lang w:val="es-MX"/>
                              </w:rPr>
                            </w:pPr>
                            <w:r w:rsidRPr="009F727A">
                              <w:rPr>
                                <w:color w:val="000000"/>
                                <w:sz w:val="20"/>
                                <w:szCs w:val="20"/>
                                <w:lang w:val="es-MX"/>
                              </w:rPr>
                              <w:t xml:space="preserve">S&amp;P considera que la perspectiva estable asignada refleja la expectativa de que prevalecerá un manejo macroeconómico cauteloso, a pesar de las elecciones generales de junio y las condiciones globales desfavorables. Se pone especial atención en un entorno político desafiante que limita la eficacia de la formulación de políticas. </w:t>
                            </w:r>
                          </w:p>
                          <w:p w14:paraId="04A7A17E" w14:textId="77777777" w:rsidR="00327D34" w:rsidRPr="009F727A" w:rsidRDefault="00327D34" w:rsidP="00327D34">
                            <w:pPr>
                              <w:jc w:val="both"/>
                              <w:rPr>
                                <w:color w:val="000000"/>
                                <w:sz w:val="20"/>
                                <w:szCs w:val="20"/>
                                <w:lang w:val="es-MX"/>
                              </w:rPr>
                            </w:pPr>
                          </w:p>
                          <w:p w14:paraId="2505EC49" w14:textId="77777777" w:rsidR="009F727A" w:rsidRPr="007940BC" w:rsidRDefault="009F727A" w:rsidP="009F727A">
                            <w:pPr>
                              <w:jc w:val="both"/>
                              <w:rPr>
                                <w:color w:val="000000"/>
                                <w:sz w:val="18"/>
                                <w:szCs w:val="18"/>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6E5FE445" id="Rectángulo: esquinas redondeadas 19" o:spid="_x0000_s1041" style="position:absolute;left:0;text-align:left;margin-left:88.7pt;margin-top:-.6pt;width:442.35pt;height:59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arcsize="38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" fillcolor="#4472c4" strokecolor="#2f528f" strokeweight="1pt">
                <v:fill opacity="19789f"/>
                <v:stroke joinstyle="miter"/>
                <v:path arrowok="t"/>
                <v:textbox>
                  <w:txbxContent>
                    <w:p w14:paraId="6A7AEF69" w14:textId="77777777" w:rsidR="00A208C9" w:rsidRPr="009F727A" w:rsidRDefault="00A208C9" w:rsidP="00A208C9">
                      <w:pPr>
                        <w:jc w:val="both"/>
                        <w:rPr>
                          <w:color w:val="000000"/>
                          <w:sz w:val="18"/>
                          <w:szCs w:val="18"/>
                          <w:lang w:val="es-MX"/>
                        </w:rPr>
                      </w:pPr>
                      <w:r w:rsidRPr="009F727A">
                        <w:rPr>
                          <w:color w:val="000000"/>
                          <w:sz w:val="18"/>
                          <w:szCs w:val="18"/>
                          <w:lang w:val="es-MX"/>
                        </w:rPr>
                        <w:t xml:space="preserve">Respecto a la fortaleza de las finanzas públicas y la agenda de gasto comentaron que los esfuerzos de reforma en la administración tributaria han tenido recompensa, lo cual se refleja en el nivel de carga tributaria alcanzada en 2022. La misión considera que estos pasos son importantes para abordar las necesidades de inversión del país y se considera importante el rol que jugo la continuidad del equipo de gestión en la Superintendencia de Administración Tributaria.  </w:t>
                      </w:r>
                    </w:p>
                    <w:p w14:paraId="650C6AC8" w14:textId="77777777" w:rsidR="00A208C9" w:rsidRDefault="00A208C9" w:rsidP="00A208C9">
                      <w:pPr>
                        <w:jc w:val="both"/>
                        <w:rPr>
                          <w:color w:val="000000"/>
                          <w:sz w:val="18"/>
                          <w:szCs w:val="18"/>
                          <w:lang w:val="es-MX"/>
                        </w:rPr>
                      </w:pPr>
                    </w:p>
                    <w:p w14:paraId="5712FB31" w14:textId="093F8636" w:rsidR="00A208C9" w:rsidRPr="009F727A" w:rsidRDefault="00A208C9" w:rsidP="00A208C9">
                      <w:pPr>
                        <w:jc w:val="both"/>
                        <w:rPr>
                          <w:color w:val="000000"/>
                          <w:sz w:val="18"/>
                          <w:szCs w:val="18"/>
                          <w:lang w:val="es-MX"/>
                        </w:rPr>
                      </w:pPr>
                      <w:r w:rsidRPr="009F727A">
                        <w:rPr>
                          <w:color w:val="000000"/>
                          <w:sz w:val="18"/>
                          <w:szCs w:val="18"/>
                          <w:lang w:val="es-MX"/>
                        </w:rPr>
                        <w:t xml:space="preserve">Por el lado del gasto público, se requiere asegurar una alta calidad del gasto, lo cual requiere planeación de mediano plazo. Una planeación multianual debería asegurar consistencia con el ingreso y las proyecciones de deuda contra el gasto de mediano plazo necesario para alcanzar las metas de desarrollo. Por último, se reconoce que el ratio de deuda/PIB es bajo y la prima de riesgo país se ha mantenido estable y baja. </w:t>
                      </w:r>
                    </w:p>
                    <w:p w14:paraId="177E5F2D" w14:textId="77777777" w:rsidR="00A208C9" w:rsidRDefault="00A208C9" w:rsidP="00327D34">
                      <w:pPr>
                        <w:jc w:val="both"/>
                        <w:rPr>
                          <w:color w:val="000000"/>
                          <w:sz w:val="18"/>
                          <w:szCs w:val="18"/>
                          <w:lang w:val="es-MX"/>
                        </w:rPr>
                      </w:pPr>
                    </w:p>
                    <w:p w14:paraId="0D378CA3" w14:textId="0E3B642A" w:rsidR="00327D34" w:rsidRDefault="009F727A" w:rsidP="00327D34">
                      <w:pPr>
                        <w:jc w:val="both"/>
                        <w:rPr>
                          <w:color w:val="000000"/>
                          <w:sz w:val="18"/>
                          <w:szCs w:val="18"/>
                          <w:lang w:val="es-MX"/>
                        </w:rPr>
                      </w:pPr>
                      <w:r w:rsidRPr="009F727A">
                        <w:rPr>
                          <w:color w:val="000000"/>
                          <w:sz w:val="18"/>
                          <w:szCs w:val="18"/>
                          <w:lang w:val="es-MX"/>
                        </w:rPr>
                        <w:t xml:space="preserve"> </w:t>
                      </w:r>
                      <w:r w:rsidR="00327D34" w:rsidRPr="009F727A">
                        <w:rPr>
                          <w:color w:val="000000"/>
                          <w:sz w:val="18"/>
                          <w:szCs w:val="18"/>
                          <w:lang w:val="es-MX"/>
                        </w:rPr>
                        <w:t>La misión considera que si se quiere un mayor potencial económico se debe continuar adoptando medidas para expandir el mercado laboral formal, fortalecer la productividad, atraer inversión que expanda el acceso a tecnología e innovación, invertir en capital humano y reducir la incertidumbre regulatoria. Se considera que se deben escalar los esfuerzos por mejorar la gobernanza y garantizar instituciones independientes anti corrupción para mejorar el clima para hacer negocios y atraer mayores inversiones.</w:t>
                      </w:r>
                    </w:p>
                    <w:p w14:paraId="2D6BB9FE" w14:textId="18CB0CD5" w:rsidR="009F727A" w:rsidRDefault="009F727A" w:rsidP="009F727A">
                      <w:pPr>
                        <w:jc w:val="both"/>
                        <w:rPr>
                          <w:color w:val="000000"/>
                          <w:sz w:val="18"/>
                          <w:szCs w:val="18"/>
                          <w:lang w:val="es-MX"/>
                        </w:rPr>
                      </w:pPr>
                    </w:p>
                    <w:p w14:paraId="74335C6A" w14:textId="77777777" w:rsidR="009F727A" w:rsidRPr="009F727A" w:rsidRDefault="009F727A" w:rsidP="009F727A">
                      <w:pPr>
                        <w:jc w:val="both"/>
                        <w:rPr>
                          <w:b/>
                          <w:bCs/>
                          <w:color w:val="000000"/>
                          <w:sz w:val="20"/>
                          <w:szCs w:val="20"/>
                          <w:lang w:val="es-MX"/>
                        </w:rPr>
                      </w:pPr>
                      <w:r w:rsidRPr="009F727A">
                        <w:rPr>
                          <w:b/>
                          <w:bCs/>
                          <w:color w:val="000000"/>
                          <w:sz w:val="20"/>
                          <w:szCs w:val="20"/>
                          <w:lang w:val="es-MX"/>
                        </w:rPr>
                        <w:t>Fitch Califica Guatemala a 'BB'; Perspectiva estable</w:t>
                      </w:r>
                    </w:p>
                    <w:p w14:paraId="716D4A23" w14:textId="77777777" w:rsidR="009F727A" w:rsidRPr="009F727A" w:rsidRDefault="009F727A" w:rsidP="009F727A">
                      <w:pPr>
                        <w:jc w:val="both"/>
                        <w:rPr>
                          <w:color w:val="000000"/>
                          <w:sz w:val="18"/>
                          <w:szCs w:val="18"/>
                          <w:lang w:val="es-MX"/>
                        </w:rPr>
                      </w:pPr>
                    </w:p>
                    <w:p w14:paraId="08C215D5" w14:textId="77777777" w:rsidR="009F727A" w:rsidRPr="009F727A" w:rsidRDefault="009F727A" w:rsidP="009F727A">
                      <w:pPr>
                        <w:jc w:val="both"/>
                        <w:rPr>
                          <w:color w:val="000000"/>
                          <w:sz w:val="18"/>
                          <w:szCs w:val="18"/>
                          <w:lang w:val="es-MX"/>
                        </w:rPr>
                      </w:pPr>
                      <w:r w:rsidRPr="009F727A">
                        <w:rPr>
                          <w:color w:val="000000"/>
                          <w:sz w:val="18"/>
                          <w:szCs w:val="18"/>
                          <w:lang w:val="es-MX"/>
                        </w:rPr>
                        <w:t>Fitch Ratings elevó las calificaciones de incumplimiento de emisor (IDR) de largo plazo en moneda local y extranjera de Guatemala a 'BB' de 'BB-'. La perspectiva de la calificación es estable.</w:t>
                      </w:r>
                    </w:p>
                    <w:p w14:paraId="18CC3C43" w14:textId="77777777" w:rsidR="009F727A" w:rsidRPr="009F727A" w:rsidRDefault="009F727A" w:rsidP="009F727A">
                      <w:pPr>
                        <w:jc w:val="both"/>
                        <w:rPr>
                          <w:color w:val="000000"/>
                          <w:sz w:val="18"/>
                          <w:szCs w:val="18"/>
                          <w:lang w:val="es-MX"/>
                        </w:rPr>
                      </w:pPr>
                    </w:p>
                    <w:p w14:paraId="40B80CC3" w14:textId="7AF94932" w:rsidR="009F727A" w:rsidRDefault="009F727A" w:rsidP="009F727A">
                      <w:pPr>
                        <w:jc w:val="both"/>
                        <w:rPr>
                          <w:color w:val="000000"/>
                          <w:sz w:val="18"/>
                          <w:szCs w:val="18"/>
                          <w:lang w:val="es-MX"/>
                        </w:rPr>
                      </w:pPr>
                      <w:r w:rsidRPr="009F727A">
                        <w:rPr>
                          <w:color w:val="000000"/>
                          <w:sz w:val="18"/>
                          <w:szCs w:val="18"/>
                          <w:lang w:val="es-MX"/>
                        </w:rPr>
                        <w:t>La calificadora comento que la mejora refleja una fuerte recuperación fiscal y económica de Guatemala, luego de la pandemia y los choques de precios globales. Se reconoce que la recuperación del PIB real post pandemia fue uno de los más rápidos de América Latina. Mientras que los déficits fiscales y la deuda siguen siendo los más bajos en la categoría ‘BB’ y se han beneficiado de una mejor recaudación de impuestos. Por su parte, los superávits en cuenta corriente han mejorado la solvencia y liquidez externa.</w:t>
                      </w:r>
                    </w:p>
                    <w:p w14:paraId="4879ECF6" w14:textId="0884857E" w:rsidR="009F727A" w:rsidRDefault="009F727A" w:rsidP="009F727A">
                      <w:pPr>
                        <w:jc w:val="both"/>
                        <w:rPr>
                          <w:color w:val="000000"/>
                          <w:sz w:val="18"/>
                          <w:szCs w:val="18"/>
                          <w:lang w:val="es-MX"/>
                        </w:rPr>
                      </w:pPr>
                    </w:p>
                    <w:p w14:paraId="52C4B988" w14:textId="644F420E" w:rsidR="009F727A" w:rsidRPr="009F727A" w:rsidRDefault="009F727A" w:rsidP="009F727A">
                      <w:pPr>
                        <w:jc w:val="both"/>
                        <w:rPr>
                          <w:color w:val="000000"/>
                          <w:sz w:val="18"/>
                          <w:szCs w:val="18"/>
                          <w:lang w:val="es-MX"/>
                        </w:rPr>
                      </w:pPr>
                      <w:r w:rsidRPr="009F727A">
                        <w:rPr>
                          <w:color w:val="000000"/>
                          <w:sz w:val="18"/>
                          <w:szCs w:val="18"/>
                          <w:lang w:val="es-MX"/>
                        </w:rPr>
                        <w:t xml:space="preserve">Fitch Ratings espera que el crecimiento converja a su potencial de 3.5%, que se compara favorablemente con los pares regionales, pero es insuficiente al considerar el alto crecimiento de la población. Y se reconoce considerablemente la mejora de los ingresos fiscales, que, si bien se consideran aun bajos, aumentaron notablemente de 10.5% del PIB en 2019 al 12.0% del PIB en 2022. Se espera que esta mejora sea de carácter estructural y no cíclico, lo cual reflejaría las mejoras administrativas tomadas por la agencia tributaria (SAT). </w:t>
                      </w:r>
                      <w:r w:rsidR="00F44D6B">
                        <w:rPr>
                          <w:color w:val="000000"/>
                          <w:sz w:val="18"/>
                          <w:szCs w:val="18"/>
                          <w:lang w:val="es-MX"/>
                        </w:rPr>
                        <w:t xml:space="preserve"> Asimismo, </w:t>
                      </w:r>
                      <w:r w:rsidRPr="009F727A">
                        <w:rPr>
                          <w:color w:val="000000"/>
                          <w:sz w:val="18"/>
                          <w:szCs w:val="18"/>
                          <w:lang w:val="es-MX"/>
                        </w:rPr>
                        <w:t xml:space="preserve">considera que el historial de política fiscal conservadora en Guatemala y un Banco Central independiente han anclado la continuidad de la política en el pasado y es probable que impidan desviaciones importantes. </w:t>
                      </w:r>
                    </w:p>
                    <w:p w14:paraId="600E69E0" w14:textId="77777777" w:rsidR="009F727A" w:rsidRPr="009F727A" w:rsidRDefault="009F727A" w:rsidP="009F727A">
                      <w:pPr>
                        <w:jc w:val="both"/>
                        <w:rPr>
                          <w:color w:val="000000"/>
                          <w:sz w:val="18"/>
                          <w:szCs w:val="18"/>
                          <w:lang w:val="es-MX"/>
                        </w:rPr>
                      </w:pPr>
                    </w:p>
                    <w:p w14:paraId="5F01EA5E" w14:textId="46A908A2" w:rsidR="009F727A" w:rsidRDefault="009F727A" w:rsidP="009F727A">
                      <w:pPr>
                        <w:jc w:val="both"/>
                        <w:rPr>
                          <w:color w:val="000000"/>
                          <w:sz w:val="18"/>
                          <w:szCs w:val="18"/>
                          <w:lang w:val="es-MX"/>
                        </w:rPr>
                      </w:pPr>
                      <w:r w:rsidRPr="009F727A">
                        <w:rPr>
                          <w:color w:val="000000"/>
                          <w:sz w:val="18"/>
                          <w:szCs w:val="18"/>
                          <w:lang w:val="es-MX"/>
                        </w:rPr>
                        <w:t xml:space="preserve"> La calificadora resalta que se avecina un panorama político fragmentado con elecciones altamente competitivas e inciertas el próximo 25 de junio. La calificación sigue limitada por los puntajes de gobernanza que son débiles y bajos indicadores de desarrollo humano. Se considera que, si bien en años recientes se ha logrado superar el estancamiento en el Congreso para aprobar reformas y presupuestos, esto continuaría siendo un desafío para el próximo gobierno.</w:t>
                      </w:r>
                    </w:p>
                    <w:p w14:paraId="5DBD0398" w14:textId="2C2F5776" w:rsidR="009F727A" w:rsidRDefault="009F727A" w:rsidP="009F727A">
                      <w:pPr>
                        <w:jc w:val="both"/>
                        <w:rPr>
                          <w:color w:val="000000"/>
                          <w:sz w:val="18"/>
                          <w:szCs w:val="18"/>
                          <w:lang w:val="es-MX"/>
                        </w:rPr>
                      </w:pPr>
                    </w:p>
                    <w:p w14:paraId="0718737F" w14:textId="77777777" w:rsidR="00327D34" w:rsidRPr="009F727A" w:rsidRDefault="00327D34" w:rsidP="00327D34">
                      <w:pPr>
                        <w:rPr>
                          <w:b/>
                          <w:bCs/>
                          <w:color w:val="000000"/>
                          <w:sz w:val="20"/>
                          <w:szCs w:val="20"/>
                          <w:lang w:val="es-MX"/>
                        </w:rPr>
                      </w:pPr>
                      <w:r w:rsidRPr="009F727A">
                        <w:rPr>
                          <w:b/>
                          <w:bCs/>
                          <w:color w:val="000000"/>
                          <w:sz w:val="20"/>
                          <w:szCs w:val="20"/>
                          <w:lang w:val="es-MX"/>
                        </w:rPr>
                        <w:t>S&amp;P aumentó la calificación a 'BB' por resiliencia económica con perspectiva estable</w:t>
                      </w:r>
                    </w:p>
                    <w:p w14:paraId="50137965" w14:textId="77777777" w:rsidR="00327D34" w:rsidRPr="009F727A" w:rsidRDefault="00327D34" w:rsidP="00327D34">
                      <w:pPr>
                        <w:jc w:val="center"/>
                        <w:rPr>
                          <w:b/>
                          <w:bCs/>
                          <w:color w:val="000000"/>
                          <w:sz w:val="20"/>
                          <w:szCs w:val="20"/>
                          <w:lang w:val="es-MX"/>
                        </w:rPr>
                      </w:pPr>
                      <w:r w:rsidRPr="009F727A">
                        <w:rPr>
                          <w:b/>
                          <w:bCs/>
                          <w:color w:val="000000"/>
                          <w:sz w:val="20"/>
                          <w:szCs w:val="20"/>
                          <w:lang w:val="es-MX"/>
                        </w:rPr>
                        <w:t xml:space="preserve"> </w:t>
                      </w:r>
                    </w:p>
                    <w:p w14:paraId="1625029E" w14:textId="77777777" w:rsidR="00327D34" w:rsidRPr="009F727A" w:rsidRDefault="00327D34" w:rsidP="00327D34">
                      <w:pPr>
                        <w:jc w:val="both"/>
                        <w:rPr>
                          <w:color w:val="000000"/>
                          <w:sz w:val="20"/>
                          <w:szCs w:val="20"/>
                          <w:lang w:val="es-MX"/>
                        </w:rPr>
                      </w:pPr>
                      <w:r w:rsidRPr="009F727A">
                        <w:rPr>
                          <w:color w:val="000000"/>
                          <w:sz w:val="20"/>
                          <w:szCs w:val="20"/>
                          <w:lang w:val="es-MX"/>
                        </w:rPr>
                        <w:t xml:space="preserve"> La calificadora considera que las políticas fiscales y monetarias cautelosas han estabilizado la economía y la adopción de medidas adicionales para abordar las elevadas necesidades sociales serían clave para reducir sustancialmente el elevado nivel de pobreza. </w:t>
                      </w:r>
                    </w:p>
                    <w:p w14:paraId="24E22298" w14:textId="77777777" w:rsidR="00327D34" w:rsidRPr="009F727A" w:rsidRDefault="00327D34" w:rsidP="00327D34">
                      <w:pPr>
                        <w:jc w:val="both"/>
                        <w:rPr>
                          <w:color w:val="000000"/>
                          <w:sz w:val="20"/>
                          <w:szCs w:val="20"/>
                          <w:lang w:val="es-MX"/>
                        </w:rPr>
                      </w:pPr>
                      <w:r w:rsidRPr="009F727A">
                        <w:rPr>
                          <w:color w:val="000000"/>
                          <w:sz w:val="20"/>
                          <w:szCs w:val="20"/>
                          <w:lang w:val="es-MX"/>
                        </w:rPr>
                        <w:t xml:space="preserve">  </w:t>
                      </w:r>
                    </w:p>
                    <w:p w14:paraId="1255E7BB" w14:textId="77777777" w:rsidR="00327D34" w:rsidRPr="009F727A" w:rsidRDefault="00327D34" w:rsidP="00327D34">
                      <w:pPr>
                        <w:jc w:val="both"/>
                        <w:rPr>
                          <w:color w:val="000000"/>
                          <w:sz w:val="20"/>
                          <w:szCs w:val="20"/>
                          <w:lang w:val="es-MX"/>
                        </w:rPr>
                      </w:pPr>
                      <w:r w:rsidRPr="009F727A">
                        <w:rPr>
                          <w:color w:val="000000"/>
                          <w:sz w:val="20"/>
                          <w:szCs w:val="20"/>
                          <w:lang w:val="es-MX"/>
                        </w:rPr>
                        <w:t xml:space="preserve">S&amp;P considera que la perspectiva estable asignada refleja la expectativa de que prevalecerá un manejo macroeconómico cauteloso, a pesar de las elecciones generales de junio y las condiciones globales desfavorables. Se pone especial atención en un entorno político desafiante que limita la eficacia de la formulación de políticas. </w:t>
                      </w:r>
                    </w:p>
                    <w:p w14:paraId="04A7A17E" w14:textId="77777777" w:rsidR="00327D34" w:rsidRPr="009F727A" w:rsidRDefault="00327D34" w:rsidP="00327D34">
                      <w:pPr>
                        <w:jc w:val="both"/>
                        <w:rPr>
                          <w:color w:val="000000"/>
                          <w:sz w:val="20"/>
                          <w:szCs w:val="20"/>
                          <w:lang w:val="es-MX"/>
                        </w:rPr>
                      </w:pPr>
                    </w:p>
                    <w:p w14:paraId="2505EC49" w14:textId="77777777" w:rsidR="009F727A" w:rsidRPr="007940BC" w:rsidRDefault="009F727A" w:rsidP="009F727A">
                      <w:pPr>
                        <w:jc w:val="both"/>
                        <w:rPr>
                          <w:color w:val="000000"/>
                          <w:sz w:val="18"/>
                          <w:szCs w:val="18"/>
                          <w:lang w:val="es-MX"/>
                        </w:rPr>
                      </w:pPr>
                    </w:p>
                  </w:txbxContent>
                </v:textbox>
                <w10:wrap anchorx="page"/>
              </v:roundrect>
            </w:pict>
          </mc:Fallback>
        </mc:AlternateContent>
      </w:r>
    </w:p>
    <w:p w14:paraId="461D3DD9" w14:textId="246E0698" w:rsidR="009F727A" w:rsidRDefault="009F727A" w:rsidP="009F727A">
      <w:pPr>
        <w:jc w:val="both"/>
      </w:pPr>
    </w:p>
    <w:p w14:paraId="5F2305AB" w14:textId="20CFEE69" w:rsidR="009F727A" w:rsidRDefault="009F727A" w:rsidP="009F727A">
      <w:pPr>
        <w:jc w:val="both"/>
      </w:pPr>
    </w:p>
    <w:p w14:paraId="79316FEE" w14:textId="6B25C044" w:rsidR="009F727A" w:rsidRDefault="009F727A" w:rsidP="009F727A">
      <w:pPr>
        <w:jc w:val="both"/>
      </w:pPr>
    </w:p>
    <w:p w14:paraId="29E21664" w14:textId="78EFEC5F" w:rsidR="009F727A" w:rsidRDefault="009F727A" w:rsidP="009F727A">
      <w:pPr>
        <w:jc w:val="both"/>
      </w:pPr>
    </w:p>
    <w:p w14:paraId="48C7348F" w14:textId="65BDE5F7" w:rsidR="009F727A" w:rsidRDefault="009F727A" w:rsidP="009F727A">
      <w:pPr>
        <w:jc w:val="both"/>
      </w:pPr>
    </w:p>
    <w:p w14:paraId="0C93517A" w14:textId="2C66CCDD" w:rsidR="009F727A" w:rsidRDefault="009F727A" w:rsidP="009F727A">
      <w:pPr>
        <w:jc w:val="both"/>
      </w:pPr>
    </w:p>
    <w:p w14:paraId="68142E48" w14:textId="26581E73" w:rsidR="009F727A" w:rsidRDefault="009F727A" w:rsidP="009F727A">
      <w:pPr>
        <w:jc w:val="both"/>
      </w:pPr>
    </w:p>
    <w:p w14:paraId="1C609708" w14:textId="0A8C1F73" w:rsidR="00ED216D" w:rsidRDefault="00ED216D" w:rsidP="009F727A">
      <w:pPr>
        <w:jc w:val="both"/>
      </w:pPr>
    </w:p>
    <w:p w14:paraId="42CB19AD" w14:textId="04A4CBE1" w:rsidR="00ED216D" w:rsidRDefault="00ED216D" w:rsidP="009F727A">
      <w:pPr>
        <w:jc w:val="both"/>
      </w:pPr>
    </w:p>
    <w:p w14:paraId="412E3BE6" w14:textId="1C29DDEB" w:rsidR="00ED216D" w:rsidRDefault="00ED216D" w:rsidP="009F727A">
      <w:pPr>
        <w:jc w:val="both"/>
      </w:pPr>
    </w:p>
    <w:p w14:paraId="5330EB41" w14:textId="16BDF688" w:rsidR="00ED216D" w:rsidRDefault="00ED216D" w:rsidP="009F727A">
      <w:pPr>
        <w:jc w:val="both"/>
      </w:pPr>
    </w:p>
    <w:p w14:paraId="10A771B0" w14:textId="53CE375C" w:rsidR="00ED216D" w:rsidRDefault="00ED216D" w:rsidP="009F727A">
      <w:pPr>
        <w:jc w:val="both"/>
      </w:pPr>
    </w:p>
    <w:p w14:paraId="4555FC12" w14:textId="0EB406C7" w:rsidR="00ED216D" w:rsidRDefault="00ED216D" w:rsidP="009F727A">
      <w:pPr>
        <w:jc w:val="both"/>
      </w:pPr>
    </w:p>
    <w:p w14:paraId="2B74A84E" w14:textId="791B91EF" w:rsidR="00ED216D" w:rsidRDefault="00ED216D" w:rsidP="009F727A">
      <w:pPr>
        <w:jc w:val="both"/>
      </w:pPr>
    </w:p>
    <w:p w14:paraId="2E13DA48" w14:textId="4AA9B76D" w:rsidR="00ED216D" w:rsidRDefault="00ED216D" w:rsidP="009F727A">
      <w:pPr>
        <w:jc w:val="both"/>
      </w:pPr>
    </w:p>
    <w:p w14:paraId="6A721C20" w14:textId="44695EEF" w:rsidR="009F727A" w:rsidRDefault="009F727A" w:rsidP="009F727A">
      <w:pPr>
        <w:jc w:val="both"/>
      </w:pPr>
    </w:p>
    <w:p w14:paraId="4A291BC6" w14:textId="3E7807EA" w:rsidR="009F727A" w:rsidRDefault="009F727A" w:rsidP="009F727A">
      <w:pPr>
        <w:jc w:val="both"/>
      </w:pPr>
    </w:p>
    <w:p w14:paraId="03AC42EE" w14:textId="764CF1C5" w:rsidR="009F727A" w:rsidRDefault="009F727A" w:rsidP="009F727A">
      <w:pPr>
        <w:jc w:val="both"/>
      </w:pPr>
    </w:p>
    <w:p w14:paraId="7559B191" w14:textId="135D5786" w:rsidR="009F727A" w:rsidRDefault="009F727A" w:rsidP="009F727A">
      <w:pPr>
        <w:jc w:val="both"/>
      </w:pPr>
    </w:p>
    <w:p w14:paraId="04E954CD" w14:textId="4C31242E" w:rsidR="009F727A" w:rsidRDefault="009F727A" w:rsidP="009F727A">
      <w:pPr>
        <w:jc w:val="both"/>
      </w:pPr>
    </w:p>
    <w:p w14:paraId="36CAE68B" w14:textId="4571E235" w:rsidR="009F727A" w:rsidRDefault="009F727A" w:rsidP="009F727A">
      <w:pPr>
        <w:jc w:val="both"/>
      </w:pPr>
    </w:p>
    <w:p w14:paraId="614F2086" w14:textId="6EF7D1A8" w:rsidR="009F727A" w:rsidRDefault="009F727A" w:rsidP="009F727A">
      <w:pPr>
        <w:jc w:val="both"/>
      </w:pPr>
    </w:p>
    <w:p w14:paraId="0EFF89E4" w14:textId="6FABCAD6" w:rsidR="009F727A" w:rsidRDefault="009F727A" w:rsidP="009F727A">
      <w:pPr>
        <w:jc w:val="both"/>
      </w:pPr>
    </w:p>
    <w:p w14:paraId="17E8C158" w14:textId="7BB7A28A" w:rsidR="009F727A" w:rsidRDefault="009F727A" w:rsidP="009F727A">
      <w:pPr>
        <w:jc w:val="both"/>
      </w:pPr>
    </w:p>
    <w:p w14:paraId="685C9119" w14:textId="03F3E38B" w:rsidR="009F727A" w:rsidRDefault="009F727A" w:rsidP="009F727A">
      <w:pPr>
        <w:jc w:val="both"/>
      </w:pPr>
    </w:p>
    <w:p w14:paraId="61AF904C" w14:textId="222661C1" w:rsidR="009F727A" w:rsidRDefault="009F727A" w:rsidP="009F727A">
      <w:pPr>
        <w:jc w:val="both"/>
      </w:pPr>
    </w:p>
    <w:p w14:paraId="4C4A84A3" w14:textId="3C433027" w:rsidR="009F727A" w:rsidRDefault="009F727A" w:rsidP="009F727A">
      <w:pPr>
        <w:jc w:val="both"/>
      </w:pPr>
    </w:p>
    <w:p w14:paraId="68E239AF" w14:textId="58254179" w:rsidR="009F727A" w:rsidRDefault="009F727A" w:rsidP="009F727A">
      <w:pPr>
        <w:jc w:val="both"/>
      </w:pPr>
    </w:p>
    <w:p w14:paraId="2BD40529" w14:textId="1E40F93F" w:rsidR="009F727A" w:rsidRDefault="009F727A" w:rsidP="009F727A">
      <w:pPr>
        <w:jc w:val="both"/>
      </w:pPr>
    </w:p>
    <w:p w14:paraId="6E28B9C3" w14:textId="70F7D4FB" w:rsidR="009F727A" w:rsidRDefault="009F727A" w:rsidP="009F727A">
      <w:pPr>
        <w:jc w:val="both"/>
      </w:pPr>
    </w:p>
    <w:p w14:paraId="4F5E9C4D" w14:textId="254C8845" w:rsidR="009F727A" w:rsidRDefault="009F727A" w:rsidP="009F727A">
      <w:pPr>
        <w:jc w:val="both"/>
      </w:pPr>
    </w:p>
    <w:p w14:paraId="1F459AB6" w14:textId="09E298F7" w:rsidR="009F727A" w:rsidRDefault="009F727A" w:rsidP="009F727A">
      <w:pPr>
        <w:jc w:val="both"/>
      </w:pPr>
    </w:p>
    <w:p w14:paraId="41F08A1C" w14:textId="43EF2C83" w:rsidR="009F727A" w:rsidRDefault="009F727A" w:rsidP="009F727A">
      <w:pPr>
        <w:jc w:val="both"/>
      </w:pPr>
    </w:p>
    <w:p w14:paraId="498B7D59" w14:textId="07549E6B" w:rsidR="009F727A" w:rsidRDefault="009F727A" w:rsidP="009F727A">
      <w:pPr>
        <w:jc w:val="both"/>
      </w:pPr>
    </w:p>
    <w:p w14:paraId="544E359A" w14:textId="576B40C4" w:rsidR="009F727A" w:rsidRDefault="009F727A" w:rsidP="009F727A">
      <w:pPr>
        <w:jc w:val="both"/>
      </w:pPr>
    </w:p>
    <w:p w14:paraId="48A087A7" w14:textId="5180F373" w:rsidR="009F727A" w:rsidRDefault="009F727A" w:rsidP="009F727A">
      <w:pPr>
        <w:jc w:val="both"/>
      </w:pPr>
    </w:p>
    <w:p w14:paraId="5B085E30" w14:textId="6B12485A" w:rsidR="009F727A" w:rsidRDefault="009F727A" w:rsidP="009F727A">
      <w:pPr>
        <w:jc w:val="both"/>
      </w:pPr>
    </w:p>
    <w:p w14:paraId="376E9AA2" w14:textId="292F0F19" w:rsidR="009F727A" w:rsidRDefault="009F727A" w:rsidP="009F727A">
      <w:pPr>
        <w:jc w:val="both"/>
      </w:pPr>
    </w:p>
    <w:p w14:paraId="0D62E82F" w14:textId="26720C19" w:rsidR="009F727A" w:rsidRDefault="009F727A" w:rsidP="009F727A">
      <w:pPr>
        <w:jc w:val="both"/>
      </w:pPr>
    </w:p>
    <w:p w14:paraId="0046D754" w14:textId="38BF667E" w:rsidR="009F727A" w:rsidRDefault="009F727A" w:rsidP="009F727A">
      <w:pPr>
        <w:jc w:val="both"/>
      </w:pPr>
    </w:p>
    <w:p w14:paraId="21CBB35D" w14:textId="1EACB281" w:rsidR="009F727A" w:rsidRDefault="009F727A" w:rsidP="009F727A">
      <w:pPr>
        <w:jc w:val="both"/>
      </w:pPr>
    </w:p>
    <w:p w14:paraId="6248CFC9" w14:textId="1E583274" w:rsidR="009F727A" w:rsidRDefault="009F727A" w:rsidP="009F727A">
      <w:pPr>
        <w:jc w:val="both"/>
      </w:pPr>
    </w:p>
    <w:p w14:paraId="38945D37" w14:textId="2EC8CEFD" w:rsidR="009F727A" w:rsidRDefault="009F727A" w:rsidP="009F727A">
      <w:pPr>
        <w:jc w:val="both"/>
      </w:pPr>
    </w:p>
    <w:p w14:paraId="68B988BD" w14:textId="30BFA9C8" w:rsidR="009F727A" w:rsidRDefault="009F727A" w:rsidP="009F727A">
      <w:pPr>
        <w:jc w:val="both"/>
      </w:pPr>
    </w:p>
    <w:p w14:paraId="43E11F72" w14:textId="2E801E53" w:rsidR="009F727A" w:rsidRDefault="009F727A" w:rsidP="009F727A">
      <w:pPr>
        <w:jc w:val="both"/>
      </w:pPr>
    </w:p>
    <w:p w14:paraId="04181BB1" w14:textId="2BEAF7FE" w:rsidR="009F727A" w:rsidRDefault="009F727A" w:rsidP="009F727A">
      <w:pPr>
        <w:jc w:val="both"/>
      </w:pPr>
    </w:p>
    <w:p w14:paraId="7038A8EE" w14:textId="4A6B71DF" w:rsidR="009F727A" w:rsidRDefault="00A208C9" w:rsidP="009F727A">
      <w:pPr>
        <w:jc w:val="both"/>
      </w:pPr>
      <w:r w:rsidRPr="007940BC">
        <w:rPr>
          <w:rFonts w:ascii="Calibri" w:hAnsi="Calibri"/>
          <w:noProof/>
          <w:sz w:val="22"/>
          <w:szCs w:val="22"/>
          <w:lang w:eastAsia="en-US"/>
        </w:rPr>
        <mc:AlternateContent>
          <mc:Choice Requires="wps">
            <w:drawing>
              <wp:anchor distT="0" distB="0" distL="114300" distR="114300" simplePos="0" relativeHeight="251805696" behindDoc="0" locked="0" layoutInCell="1" allowOverlap="1" wp14:anchorId="16FC6350" wp14:editId="5818F9F3">
                <wp:simplePos x="0" y="0"/>
                <wp:positionH relativeFrom="page">
                  <wp:posOffset>1082650</wp:posOffset>
                </wp:positionH>
                <wp:positionV relativeFrom="paragraph">
                  <wp:posOffset>-25</wp:posOffset>
                </wp:positionV>
                <wp:extent cx="5648960" cy="2509113"/>
                <wp:effectExtent l="0" t="0" r="27940" b="24765"/>
                <wp:wrapNone/>
                <wp:docPr id="57" name="Rectángulo: esquinas redondeadas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48960" cy="2509113"/>
                        </a:xfrm>
                        <a:prstGeom prst="roundRect">
                          <a:avLst>
                            <a:gd name="adj" fmla="val 5854"/>
                          </a:avLst>
                        </a:prstGeom>
                        <a:solidFill>
                          <a:srgbClr val="4472C4">
                            <a:alpha val="30000"/>
                          </a:srgbClr>
                        </a:solidFill>
                        <a:ln w="12700" cap="flat" cmpd="sng" algn="ctr">
                          <a:solidFill>
                            <a:srgbClr val="4472C4">
                              <a:shade val="50000"/>
                            </a:srgbClr>
                          </a:solidFill>
                          <a:prstDash val="solid"/>
                          <a:miter lim="800000"/>
                        </a:ln>
                        <a:effectLst/>
                      </wps:spPr>
                      <wps:txbx>
                        <w:txbxContent>
                          <w:p w14:paraId="28800D30" w14:textId="77777777" w:rsidR="00A208C9" w:rsidRDefault="00A208C9" w:rsidP="00A208C9">
                            <w:pPr>
                              <w:jc w:val="both"/>
                              <w:rPr>
                                <w:color w:val="000000"/>
                                <w:sz w:val="20"/>
                                <w:szCs w:val="20"/>
                                <w:lang w:val="es-MX"/>
                              </w:rPr>
                            </w:pPr>
                            <w:r w:rsidRPr="009F727A">
                              <w:rPr>
                                <w:color w:val="000000"/>
                                <w:sz w:val="20"/>
                                <w:szCs w:val="20"/>
                                <w:lang w:val="es-MX"/>
                              </w:rPr>
                              <w:t>Se espera que una amplia continuidad de políticas después de las elecciones para contribuir al crecimiento sostenido y contrarrestar las instituciones públicas aun en desarrollo y la alta pobreza.</w:t>
                            </w:r>
                          </w:p>
                          <w:p w14:paraId="5386B358" w14:textId="77777777" w:rsidR="00A208C9" w:rsidRDefault="00A208C9" w:rsidP="00A208C9">
                            <w:pPr>
                              <w:jc w:val="both"/>
                              <w:rPr>
                                <w:color w:val="000000"/>
                                <w:sz w:val="18"/>
                                <w:szCs w:val="18"/>
                                <w:lang w:val="es-MX"/>
                              </w:rPr>
                            </w:pPr>
                          </w:p>
                          <w:p w14:paraId="719B06B1" w14:textId="77777777" w:rsidR="00A208C9" w:rsidRPr="009F727A" w:rsidRDefault="00A208C9" w:rsidP="00A208C9">
                            <w:pPr>
                              <w:jc w:val="center"/>
                              <w:rPr>
                                <w:color w:val="000000"/>
                                <w:sz w:val="20"/>
                                <w:szCs w:val="20"/>
                                <w:lang w:val="es-MX"/>
                              </w:rPr>
                            </w:pPr>
                            <w:r w:rsidRPr="00BE3FE4">
                              <w:rPr>
                                <w:noProof/>
                              </w:rPr>
                              <w:drawing>
                                <wp:inline distT="0" distB="0" distL="0" distR="0" wp14:anchorId="635C9854" wp14:editId="724CBB3C">
                                  <wp:extent cx="3152851" cy="176110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179499" cy="1775985"/>
                                          </a:xfrm>
                                          <a:prstGeom prst="rect">
                                            <a:avLst/>
                                          </a:prstGeom>
                                        </pic:spPr>
                                      </pic:pic>
                                    </a:graphicData>
                                  </a:graphic>
                                </wp:inline>
                              </w:drawing>
                            </w:r>
                          </w:p>
                          <w:p w14:paraId="1C8527EC" w14:textId="77777777" w:rsidR="00A208C9" w:rsidRPr="009F727A" w:rsidRDefault="00A208C9" w:rsidP="00A208C9">
                            <w:pPr>
                              <w:ind w:left="1416" w:firstLine="708"/>
                              <w:rPr>
                                <w:color w:val="000000"/>
                                <w:sz w:val="18"/>
                                <w:szCs w:val="18"/>
                                <w:lang w:val="es-MX"/>
                              </w:rPr>
                            </w:pPr>
                            <w:r w:rsidRPr="009F727A">
                              <w:rPr>
                                <w:color w:val="000000"/>
                                <w:sz w:val="18"/>
                                <w:szCs w:val="18"/>
                                <w:lang w:val="es-MX"/>
                              </w:rPr>
                              <w:t>Fuente: Dirección de Análisis y Política Fiscal.</w:t>
                            </w:r>
                          </w:p>
                          <w:p w14:paraId="3EC6BC69" w14:textId="77777777" w:rsidR="00A208C9" w:rsidRPr="009F727A" w:rsidRDefault="00A208C9" w:rsidP="00A208C9">
                            <w:pPr>
                              <w:jc w:val="both"/>
                              <w:rPr>
                                <w:color w:val="000000"/>
                                <w:sz w:val="18"/>
                                <w:szCs w:val="18"/>
                                <w:lang w:val="es-MX"/>
                              </w:rPr>
                            </w:pPr>
                          </w:p>
                          <w:p w14:paraId="18FE6F80" w14:textId="77777777" w:rsidR="00A208C9" w:rsidRPr="009F727A" w:rsidRDefault="00A208C9" w:rsidP="00A208C9">
                            <w:pPr>
                              <w:jc w:val="both"/>
                              <w:rPr>
                                <w:color w:val="000000"/>
                                <w:sz w:val="18"/>
                                <w:szCs w:val="18"/>
                                <w:lang w:val="es-MX"/>
                              </w:rPr>
                            </w:pPr>
                          </w:p>
                          <w:p w14:paraId="740847EE" w14:textId="77777777" w:rsidR="00A208C9" w:rsidRPr="009F727A" w:rsidRDefault="00A208C9" w:rsidP="00A208C9">
                            <w:pPr>
                              <w:jc w:val="both"/>
                              <w:rPr>
                                <w:color w:val="000000"/>
                                <w:sz w:val="18"/>
                                <w:szCs w:val="18"/>
                                <w:lang w:val="es-MX"/>
                              </w:rPr>
                            </w:pPr>
                            <w:r w:rsidRPr="009F727A">
                              <w:rPr>
                                <w:color w:val="000000"/>
                                <w:sz w:val="18"/>
                                <w:szCs w:val="18"/>
                                <w:lang w:val="es-MX"/>
                              </w:rPr>
                              <w:t xml:space="preserve">  </w:t>
                            </w:r>
                          </w:p>
                          <w:p w14:paraId="7CBC6BC5" w14:textId="77777777" w:rsidR="00A208C9" w:rsidRPr="009F727A" w:rsidRDefault="00A208C9" w:rsidP="00A208C9">
                            <w:pPr>
                              <w:jc w:val="both"/>
                              <w:rPr>
                                <w:color w:val="000000"/>
                                <w:sz w:val="18"/>
                                <w:szCs w:val="18"/>
                                <w:lang w:val="es-MX"/>
                              </w:rPr>
                            </w:pPr>
                            <w:r w:rsidRPr="009F727A">
                              <w:rPr>
                                <w:color w:val="000000"/>
                                <w:sz w:val="18"/>
                                <w:szCs w:val="18"/>
                                <w:lang w:val="es-MX"/>
                              </w:rPr>
                              <w:t xml:space="preserve">  </w:t>
                            </w:r>
                          </w:p>
                          <w:p w14:paraId="637F5D93" w14:textId="77777777" w:rsidR="00A208C9" w:rsidRDefault="00A208C9" w:rsidP="00A208C9">
                            <w:pPr>
                              <w:jc w:val="both"/>
                              <w:rPr>
                                <w:color w:val="000000"/>
                                <w:sz w:val="18"/>
                                <w:szCs w:val="18"/>
                                <w:lang w:val="es-MX"/>
                              </w:rPr>
                            </w:pPr>
                          </w:p>
                          <w:p w14:paraId="2835B7BB" w14:textId="77777777" w:rsidR="00A208C9" w:rsidRPr="007940BC" w:rsidRDefault="00A208C9" w:rsidP="00A208C9">
                            <w:pPr>
                              <w:jc w:val="both"/>
                              <w:rPr>
                                <w:color w:val="000000"/>
                                <w:sz w:val="18"/>
                                <w:szCs w:val="18"/>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16FC6350" id="Rectángulo: esquinas redondeadas 57" o:spid="_x0000_s1042" style="position:absolute;left:0;text-align:left;margin-left:85.25pt;margin-top:0;width:444.8pt;height:197.55pt;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arcsize="38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" fillcolor="#4472c4" strokecolor="#2f528f" strokeweight="1pt">
                <v:fill opacity="19789f"/>
                <v:stroke joinstyle="miter"/>
                <v:path arrowok="t"/>
                <v:textbox>
                  <w:txbxContent>
                    <w:p w14:paraId="28800D30" w14:textId="77777777" w:rsidR="00A208C9" w:rsidRDefault="00A208C9" w:rsidP="00A208C9">
                      <w:pPr>
                        <w:jc w:val="both"/>
                        <w:rPr>
                          <w:color w:val="000000"/>
                          <w:sz w:val="20"/>
                          <w:szCs w:val="20"/>
                          <w:lang w:val="es-MX"/>
                        </w:rPr>
                      </w:pPr>
                      <w:r w:rsidRPr="009F727A">
                        <w:rPr>
                          <w:color w:val="000000"/>
                          <w:sz w:val="20"/>
                          <w:szCs w:val="20"/>
                          <w:lang w:val="es-MX"/>
                        </w:rPr>
                        <w:t>Se espera que una amplia continuidad de políticas después de las elecciones para contribuir al crecimiento sostenido y contrarrestar las instituciones públicas aun en desarrollo y la alta pobreza.</w:t>
                      </w:r>
                    </w:p>
                    <w:p w14:paraId="5386B358" w14:textId="77777777" w:rsidR="00A208C9" w:rsidRDefault="00A208C9" w:rsidP="00A208C9">
                      <w:pPr>
                        <w:jc w:val="both"/>
                        <w:rPr>
                          <w:color w:val="000000"/>
                          <w:sz w:val="18"/>
                          <w:szCs w:val="18"/>
                          <w:lang w:val="es-MX"/>
                        </w:rPr>
                      </w:pPr>
                    </w:p>
                    <w:p w14:paraId="719B06B1" w14:textId="77777777" w:rsidR="00A208C9" w:rsidRPr="009F727A" w:rsidRDefault="00A208C9" w:rsidP="00A208C9">
                      <w:pPr>
                        <w:jc w:val="center"/>
                        <w:rPr>
                          <w:color w:val="000000"/>
                          <w:sz w:val="20"/>
                          <w:szCs w:val="20"/>
                          <w:lang w:val="es-MX"/>
                        </w:rPr>
                      </w:pPr>
                      <w:r w:rsidRPr="00BE3FE4">
                        <w:rPr>
                          <w:noProof/>
                        </w:rPr>
                        <w:drawing>
                          <wp:inline distT="0" distB="0" distL="0" distR="0" wp14:anchorId="635C9854" wp14:editId="724CBB3C">
                            <wp:extent cx="3152851" cy="176110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179499" cy="1775985"/>
                                    </a:xfrm>
                                    <a:prstGeom prst="rect">
                                      <a:avLst/>
                                    </a:prstGeom>
                                  </pic:spPr>
                                </pic:pic>
                              </a:graphicData>
                            </a:graphic>
                          </wp:inline>
                        </w:drawing>
                      </w:r>
                    </w:p>
                    <w:p w14:paraId="1C8527EC" w14:textId="77777777" w:rsidR="00A208C9" w:rsidRPr="009F727A" w:rsidRDefault="00A208C9" w:rsidP="00A208C9">
                      <w:pPr>
                        <w:ind w:left="1416" w:firstLine="708"/>
                        <w:rPr>
                          <w:color w:val="000000"/>
                          <w:sz w:val="18"/>
                          <w:szCs w:val="18"/>
                          <w:lang w:val="es-MX"/>
                        </w:rPr>
                      </w:pPr>
                      <w:r w:rsidRPr="009F727A">
                        <w:rPr>
                          <w:color w:val="000000"/>
                          <w:sz w:val="18"/>
                          <w:szCs w:val="18"/>
                          <w:lang w:val="es-MX"/>
                        </w:rPr>
                        <w:t>Fuente: Dirección de Análisis y Política Fiscal.</w:t>
                      </w:r>
                    </w:p>
                    <w:p w14:paraId="3EC6BC69" w14:textId="77777777" w:rsidR="00A208C9" w:rsidRPr="009F727A" w:rsidRDefault="00A208C9" w:rsidP="00A208C9">
                      <w:pPr>
                        <w:jc w:val="both"/>
                        <w:rPr>
                          <w:color w:val="000000"/>
                          <w:sz w:val="18"/>
                          <w:szCs w:val="18"/>
                          <w:lang w:val="es-MX"/>
                        </w:rPr>
                      </w:pPr>
                    </w:p>
                    <w:p w14:paraId="18FE6F80" w14:textId="77777777" w:rsidR="00A208C9" w:rsidRPr="009F727A" w:rsidRDefault="00A208C9" w:rsidP="00A208C9">
                      <w:pPr>
                        <w:jc w:val="both"/>
                        <w:rPr>
                          <w:color w:val="000000"/>
                          <w:sz w:val="18"/>
                          <w:szCs w:val="18"/>
                          <w:lang w:val="es-MX"/>
                        </w:rPr>
                      </w:pPr>
                    </w:p>
                    <w:p w14:paraId="740847EE" w14:textId="77777777" w:rsidR="00A208C9" w:rsidRPr="009F727A" w:rsidRDefault="00A208C9" w:rsidP="00A208C9">
                      <w:pPr>
                        <w:jc w:val="both"/>
                        <w:rPr>
                          <w:color w:val="000000"/>
                          <w:sz w:val="18"/>
                          <w:szCs w:val="18"/>
                          <w:lang w:val="es-MX"/>
                        </w:rPr>
                      </w:pPr>
                      <w:r w:rsidRPr="009F727A">
                        <w:rPr>
                          <w:color w:val="000000"/>
                          <w:sz w:val="18"/>
                          <w:szCs w:val="18"/>
                          <w:lang w:val="es-MX"/>
                        </w:rPr>
                        <w:t xml:space="preserve">  </w:t>
                      </w:r>
                    </w:p>
                    <w:p w14:paraId="7CBC6BC5" w14:textId="77777777" w:rsidR="00A208C9" w:rsidRPr="009F727A" w:rsidRDefault="00A208C9" w:rsidP="00A208C9">
                      <w:pPr>
                        <w:jc w:val="both"/>
                        <w:rPr>
                          <w:color w:val="000000"/>
                          <w:sz w:val="18"/>
                          <w:szCs w:val="18"/>
                          <w:lang w:val="es-MX"/>
                        </w:rPr>
                      </w:pPr>
                      <w:r w:rsidRPr="009F727A">
                        <w:rPr>
                          <w:color w:val="000000"/>
                          <w:sz w:val="18"/>
                          <w:szCs w:val="18"/>
                          <w:lang w:val="es-MX"/>
                        </w:rPr>
                        <w:t xml:space="preserve">  </w:t>
                      </w:r>
                    </w:p>
                    <w:p w14:paraId="637F5D93" w14:textId="77777777" w:rsidR="00A208C9" w:rsidRDefault="00A208C9" w:rsidP="00A208C9">
                      <w:pPr>
                        <w:jc w:val="both"/>
                        <w:rPr>
                          <w:color w:val="000000"/>
                          <w:sz w:val="18"/>
                          <w:szCs w:val="18"/>
                          <w:lang w:val="es-MX"/>
                        </w:rPr>
                      </w:pPr>
                    </w:p>
                    <w:p w14:paraId="2835B7BB" w14:textId="77777777" w:rsidR="00A208C9" w:rsidRPr="007940BC" w:rsidRDefault="00A208C9" w:rsidP="00A208C9">
                      <w:pPr>
                        <w:jc w:val="both"/>
                        <w:rPr>
                          <w:color w:val="000000"/>
                          <w:sz w:val="18"/>
                          <w:szCs w:val="18"/>
                          <w:lang w:val="es-MX"/>
                        </w:rPr>
                      </w:pPr>
                    </w:p>
                  </w:txbxContent>
                </v:textbox>
                <w10:wrap anchorx="page"/>
              </v:roundrect>
            </w:pict>
          </mc:Fallback>
        </mc:AlternateContent>
      </w:r>
    </w:p>
    <w:p w14:paraId="7DDEB223" w14:textId="6364F760" w:rsidR="009F727A" w:rsidRDefault="009F727A" w:rsidP="009F727A">
      <w:pPr>
        <w:jc w:val="both"/>
      </w:pPr>
    </w:p>
    <w:p w14:paraId="33731816" w14:textId="616FC148" w:rsidR="009F727A" w:rsidRDefault="009F727A" w:rsidP="009F727A">
      <w:pPr>
        <w:jc w:val="both"/>
      </w:pPr>
    </w:p>
    <w:p w14:paraId="1756D754" w14:textId="798F61C4" w:rsidR="009F727A" w:rsidRDefault="009F727A" w:rsidP="009F727A">
      <w:pPr>
        <w:jc w:val="both"/>
      </w:pPr>
    </w:p>
    <w:p w14:paraId="0CA69B82" w14:textId="6EA89514" w:rsidR="009F727A" w:rsidRDefault="009F727A" w:rsidP="009F727A">
      <w:pPr>
        <w:jc w:val="both"/>
      </w:pPr>
    </w:p>
    <w:p w14:paraId="546C0BB6" w14:textId="500A313D" w:rsidR="009F727A" w:rsidRDefault="009F727A" w:rsidP="009F727A">
      <w:pPr>
        <w:jc w:val="both"/>
      </w:pPr>
    </w:p>
    <w:p w14:paraId="320FCF1F" w14:textId="2389A990" w:rsidR="009F727A" w:rsidRDefault="009F727A" w:rsidP="009F727A">
      <w:pPr>
        <w:jc w:val="both"/>
      </w:pPr>
    </w:p>
    <w:p w14:paraId="733AAFDC" w14:textId="2D796DC1" w:rsidR="009F727A" w:rsidRDefault="009F727A" w:rsidP="009F727A">
      <w:pPr>
        <w:jc w:val="both"/>
      </w:pPr>
    </w:p>
    <w:p w14:paraId="26744F12" w14:textId="570A23BA" w:rsidR="009F727A" w:rsidRDefault="009F727A" w:rsidP="009F727A">
      <w:pPr>
        <w:jc w:val="both"/>
      </w:pPr>
    </w:p>
    <w:p w14:paraId="3B098DA2" w14:textId="788B4B60" w:rsidR="009F727A" w:rsidRDefault="009F727A" w:rsidP="009F727A">
      <w:pPr>
        <w:jc w:val="both"/>
      </w:pPr>
    </w:p>
    <w:p w14:paraId="12D7A5AD" w14:textId="75FBA4CD" w:rsidR="009F727A" w:rsidRDefault="009F727A" w:rsidP="009F727A">
      <w:pPr>
        <w:jc w:val="both"/>
      </w:pPr>
    </w:p>
    <w:p w14:paraId="51EE4D33" w14:textId="3E1479C4" w:rsidR="009F727A" w:rsidRDefault="009F727A" w:rsidP="009F727A">
      <w:pPr>
        <w:jc w:val="both"/>
      </w:pPr>
    </w:p>
    <w:p w14:paraId="32901EAF" w14:textId="50D08C1D" w:rsidR="009F727A" w:rsidRDefault="009F727A" w:rsidP="009F727A">
      <w:pPr>
        <w:jc w:val="both"/>
      </w:pPr>
    </w:p>
    <w:p w14:paraId="3DD906ED" w14:textId="09EB9C65" w:rsidR="009F727A" w:rsidRDefault="009F727A" w:rsidP="009F727A">
      <w:pPr>
        <w:jc w:val="both"/>
      </w:pPr>
    </w:p>
    <w:p w14:paraId="4F6B3C1C" w14:textId="77777777" w:rsidR="00A208C9" w:rsidRDefault="00A208C9" w:rsidP="009F727A">
      <w:pPr>
        <w:jc w:val="both"/>
      </w:pPr>
    </w:p>
    <w:p w14:paraId="6AA3DC08" w14:textId="271AFA5F" w:rsidR="009F727A" w:rsidRDefault="009F727A" w:rsidP="009F727A">
      <w:pPr>
        <w:jc w:val="both"/>
      </w:pPr>
    </w:p>
    <w:p w14:paraId="01E2B139" w14:textId="172EA209" w:rsidR="009F727A" w:rsidRPr="00D60DA9" w:rsidRDefault="00D60DA9" w:rsidP="00531A1B">
      <w:pPr>
        <w:pStyle w:val="Prrafodelista"/>
        <w:numPr>
          <w:ilvl w:val="1"/>
          <w:numId w:val="3"/>
        </w:numPr>
        <w:jc w:val="both"/>
        <w:outlineLvl w:val="1"/>
        <w:rPr>
          <w:b/>
          <w:bCs/>
        </w:rPr>
      </w:pPr>
      <w:bookmarkStart w:id="205" w:name="_Toc143865856"/>
      <w:r w:rsidRPr="00D60DA9">
        <w:rPr>
          <w:b/>
          <w:bCs/>
        </w:rPr>
        <w:t>Evaluación de la Política General de Gobierno 2020-2024 y brechas 2023</w:t>
      </w:r>
      <w:bookmarkEnd w:id="205"/>
    </w:p>
    <w:p w14:paraId="7F4A8003" w14:textId="681DF863" w:rsidR="009F727A" w:rsidRDefault="009F727A" w:rsidP="009F727A">
      <w:pPr>
        <w:jc w:val="both"/>
      </w:pPr>
    </w:p>
    <w:p w14:paraId="404D1E19" w14:textId="7D4D633F" w:rsidR="00D60DA9" w:rsidRDefault="00D60DA9" w:rsidP="00D60DA9">
      <w:pPr>
        <w:jc w:val="both"/>
      </w:pPr>
      <w:r>
        <w:t>La Secretaría de Planificación y Programación de la Presidencia (SEGEPLAN)</w:t>
      </w:r>
      <w:r w:rsidR="000D332B">
        <w:t>,</w:t>
      </w:r>
      <w:r>
        <w:t xml:space="preserve"> en observancia a su mandato como ente rector de la planificación del Estado, realiza un análisis del cumplimiento de las metas estratégicas de la Política General de Gobierno -PGG 2020-2024-.</w:t>
      </w:r>
    </w:p>
    <w:p w14:paraId="69887DF2" w14:textId="77777777" w:rsidR="00D60DA9" w:rsidRDefault="00D60DA9" w:rsidP="00D60DA9">
      <w:pPr>
        <w:jc w:val="both"/>
      </w:pPr>
    </w:p>
    <w:p w14:paraId="0AA40394" w14:textId="041CA372" w:rsidR="00D60DA9" w:rsidRDefault="00D60DA9" w:rsidP="00D60DA9">
      <w:pPr>
        <w:jc w:val="both"/>
      </w:pPr>
      <w:r>
        <w:t>El siguiente análisis se basa en el cumplimiento de las 50 metas descritas en la PGG 2020-2024 en el año 2022 (tercer año de la actual administración). En esta sección se procura evaluar los resultados de la implementación de las metas estratégicas en cada uno de los cinco pilares de la PGG, determinando brechas entre lo alcanzado y lo proyectado, para poner énfasis en aquellas acciones que sean necesarias para alcanzar las metas que se encuentren rezagadas.</w:t>
      </w:r>
    </w:p>
    <w:p w14:paraId="5129F192" w14:textId="77777777" w:rsidR="00D60DA9" w:rsidRDefault="00D60DA9" w:rsidP="00D60DA9">
      <w:pPr>
        <w:jc w:val="both"/>
      </w:pPr>
    </w:p>
    <w:p w14:paraId="51255FB4" w14:textId="77777777" w:rsidR="00D60DA9" w:rsidRDefault="00D60DA9" w:rsidP="00D60DA9">
      <w:pPr>
        <w:jc w:val="both"/>
      </w:pPr>
      <w:r>
        <w:t xml:space="preserve">Los resultados de la evaluación indican que 34 metas cuentan con un avance mayor o igual al 70% respecto a la meta establecida a 2023, algunas metas incluso han alcanzado o superado la previsión de 2023, 4 metas tienen un avance mayor al 41% pero menor al 70%, y 8 metas cuentan con un avance menor al 40%. Existen 4 metas que se encuentran en área gris, es decir, son metas sin registros de medición del avance según lo estimado al año 2023 o es un hecho que no será posible alcanzar la meta establecida derivado que sus avances son nulos. </w:t>
      </w:r>
    </w:p>
    <w:p w14:paraId="21D56B49" w14:textId="77777777" w:rsidR="00D60DA9" w:rsidRDefault="00D60DA9" w:rsidP="00D60DA9">
      <w:pPr>
        <w:jc w:val="both"/>
      </w:pPr>
    </w:p>
    <w:p w14:paraId="60CECD32" w14:textId="5139B3DF" w:rsidR="009F727A" w:rsidRDefault="00D60DA9" w:rsidP="00D60DA9">
      <w:pPr>
        <w:jc w:val="both"/>
      </w:pPr>
      <w:r>
        <w:t>Para el análisis se clasifica con los siguientes colores cada meta por pilar, siendo el color verde “meta cumplida, superada o con avance mayor al 70%”, el amarillo “con avance mayor al 41% pero menor al 70%”, el rojo “con avance menor o igual a 40%” y el gris cuando “no aplica”.</w:t>
      </w:r>
    </w:p>
    <w:p w14:paraId="2DB64EA0" w14:textId="45F31715" w:rsidR="00A208C9" w:rsidRDefault="00A208C9" w:rsidP="00D60DA9">
      <w:pPr>
        <w:jc w:val="both"/>
      </w:pPr>
    </w:p>
    <w:p w14:paraId="19C95AFF" w14:textId="5CB49E5C" w:rsidR="00A208C9" w:rsidRDefault="00A208C9" w:rsidP="00D60DA9">
      <w:pPr>
        <w:jc w:val="both"/>
      </w:pPr>
    </w:p>
    <w:p w14:paraId="182C1254" w14:textId="1569D3DC" w:rsidR="00A208C9" w:rsidRDefault="00A208C9" w:rsidP="00D60DA9">
      <w:pPr>
        <w:jc w:val="both"/>
      </w:pPr>
    </w:p>
    <w:p w14:paraId="17F16881" w14:textId="77777777" w:rsidR="00E01410" w:rsidRDefault="00E01410" w:rsidP="00D60DA9">
      <w:pPr>
        <w:jc w:val="both"/>
      </w:pPr>
    </w:p>
    <w:p w14:paraId="201B0BBB" w14:textId="489DD8A1" w:rsidR="00D60DA9" w:rsidRDefault="00D60DA9" w:rsidP="00D60DA9">
      <w:pPr>
        <w:jc w:val="both"/>
      </w:pPr>
    </w:p>
    <w:tbl>
      <w:tblPr>
        <w:tblW w:w="2962" w:type="dxa"/>
        <w:jc w:val="center"/>
        <w:tblCellMar>
          <w:left w:w="70" w:type="dxa"/>
          <w:right w:w="70" w:type="dxa"/>
        </w:tblCellMar>
        <w:tblLook w:val="04A0" w:firstRow="1" w:lastRow="0" w:firstColumn="1" w:lastColumn="0" w:noHBand="0" w:noVBand="1"/>
      </w:tblPr>
      <w:tblGrid>
        <w:gridCol w:w="1362"/>
        <w:gridCol w:w="1600"/>
      </w:tblGrid>
      <w:tr w:rsidR="00D60DA9" w14:paraId="7DFD3667" w14:textId="77777777" w:rsidTr="00A208C9">
        <w:trPr>
          <w:trHeight w:val="462"/>
          <w:jc w:val="center"/>
        </w:trPr>
        <w:tc>
          <w:tcPr>
            <w:tcW w:w="1362" w:type="dxa"/>
            <w:tcBorders>
              <w:top w:val="nil"/>
              <w:left w:val="nil"/>
              <w:bottom w:val="nil"/>
              <w:right w:val="nil"/>
            </w:tcBorders>
            <w:shd w:val="clear" w:color="auto" w:fill="auto"/>
            <w:noWrap/>
            <w:vAlign w:val="bottom"/>
            <w:hideMark/>
          </w:tcPr>
          <w:p w14:paraId="64BEC168" w14:textId="77777777" w:rsidR="00D60DA9" w:rsidRDefault="00D60DA9" w:rsidP="00582CA7">
            <w:pPr>
              <w:rPr>
                <w:rFonts w:ascii="Calibri" w:hAnsi="Calibri" w:cs="Calibri"/>
                <w:color w:val="000000"/>
              </w:rPr>
            </w:pPr>
            <w:r>
              <w:rPr>
                <w:noProof/>
              </w:rPr>
              <mc:AlternateContent>
                <mc:Choice Requires="wps">
                  <w:drawing>
                    <wp:anchor distT="0" distB="0" distL="114300" distR="114300" simplePos="0" relativeHeight="251718656" behindDoc="0" locked="0" layoutInCell="1" allowOverlap="1" wp14:anchorId="2451FBBE" wp14:editId="433F1BE1">
                      <wp:simplePos x="0" y="0"/>
                      <wp:positionH relativeFrom="column">
                        <wp:posOffset>120015</wp:posOffset>
                      </wp:positionH>
                      <wp:positionV relativeFrom="paragraph">
                        <wp:posOffset>3810</wp:posOffset>
                      </wp:positionV>
                      <wp:extent cx="438150" cy="447675"/>
                      <wp:effectExtent l="0" t="0" r="19050" b="28575"/>
                      <wp:wrapNone/>
                      <wp:docPr id="235" name="Elips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150" cy="447675"/>
                              </a:xfrm>
                              <a:prstGeom prst="ellipse">
                                <a:avLst/>
                              </a:prstGeom>
                              <a:solidFill>
                                <a:srgbClr val="92D050"/>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1A3E7B1" id="Elipse 20" o:spid="_x0000_s1026" style="position:absolute;margin-left:9.45pt;margin-top:.3pt;width:34.5pt;height:35.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" fillcolor="#92d050" strokecolor="windowText" strokeweight="1pt">
                      <v:stroke joinstyle="miter"/>
                      <v:path arrowok="t"/>
                    </v:oval>
                  </w:pict>
                </mc:Fallback>
              </mc:AlternateContent>
            </w:r>
          </w:p>
          <w:tbl>
            <w:tblPr>
              <w:tblW w:w="1212" w:type="dxa"/>
              <w:tblCellSpacing w:w="0" w:type="dxa"/>
              <w:tblCellMar>
                <w:left w:w="0" w:type="dxa"/>
                <w:right w:w="0" w:type="dxa"/>
              </w:tblCellMar>
              <w:tblLook w:val="04A0" w:firstRow="1" w:lastRow="0" w:firstColumn="1" w:lastColumn="0" w:noHBand="0" w:noVBand="1"/>
            </w:tblPr>
            <w:tblGrid>
              <w:gridCol w:w="1212"/>
            </w:tblGrid>
            <w:tr w:rsidR="00D60DA9" w14:paraId="1B54F481" w14:textId="77777777" w:rsidTr="00A208C9">
              <w:trPr>
                <w:trHeight w:val="462"/>
                <w:tblCellSpacing w:w="0" w:type="dxa"/>
              </w:trPr>
              <w:tc>
                <w:tcPr>
                  <w:tcW w:w="1212" w:type="dxa"/>
                  <w:tcBorders>
                    <w:top w:val="nil"/>
                    <w:left w:val="nil"/>
                    <w:bottom w:val="nil"/>
                    <w:right w:val="nil"/>
                  </w:tcBorders>
                  <w:shd w:val="clear" w:color="auto" w:fill="auto"/>
                  <w:noWrap/>
                  <w:vAlign w:val="bottom"/>
                  <w:hideMark/>
                </w:tcPr>
                <w:p w14:paraId="050E941E" w14:textId="77777777" w:rsidR="00D60DA9" w:rsidRDefault="00D60DA9" w:rsidP="00582CA7">
                  <w:pPr>
                    <w:rPr>
                      <w:rFonts w:ascii="Calibri" w:hAnsi="Calibri" w:cs="Calibri"/>
                      <w:color w:val="000000"/>
                    </w:rPr>
                  </w:pPr>
                </w:p>
              </w:tc>
            </w:tr>
          </w:tbl>
          <w:p w14:paraId="2534B5C8" w14:textId="77777777" w:rsidR="00D60DA9" w:rsidRDefault="00D60DA9" w:rsidP="00582CA7">
            <w:pPr>
              <w:rPr>
                <w:rFonts w:ascii="Calibri" w:hAnsi="Calibri" w:cs="Calibri"/>
                <w:color w:val="000000"/>
              </w:rPr>
            </w:pPr>
          </w:p>
        </w:tc>
        <w:tc>
          <w:tcPr>
            <w:tcW w:w="1600" w:type="dxa"/>
            <w:tcBorders>
              <w:top w:val="nil"/>
              <w:left w:val="nil"/>
              <w:bottom w:val="nil"/>
              <w:right w:val="nil"/>
            </w:tcBorders>
            <w:shd w:val="clear" w:color="auto" w:fill="auto"/>
            <w:vAlign w:val="center"/>
            <w:hideMark/>
          </w:tcPr>
          <w:p w14:paraId="722E86FB" w14:textId="77777777" w:rsidR="00D60DA9" w:rsidRPr="00A208C9" w:rsidRDefault="00D60DA9" w:rsidP="00582CA7">
            <w:pPr>
              <w:jc w:val="center"/>
              <w:rPr>
                <w:b/>
                <w:bCs/>
                <w:color w:val="000000"/>
                <w:sz w:val="20"/>
                <w:szCs w:val="20"/>
              </w:rPr>
            </w:pPr>
            <w:r w:rsidRPr="00A208C9">
              <w:rPr>
                <w:b/>
                <w:bCs/>
                <w:color w:val="000000"/>
                <w:sz w:val="20"/>
                <w:szCs w:val="20"/>
              </w:rPr>
              <w:t>mayor o igual a 70%</w:t>
            </w:r>
          </w:p>
        </w:tc>
      </w:tr>
      <w:tr w:rsidR="00D60DA9" w14:paraId="08E01439" w14:textId="77777777" w:rsidTr="00A208C9">
        <w:trPr>
          <w:trHeight w:val="462"/>
          <w:jc w:val="center"/>
        </w:trPr>
        <w:tc>
          <w:tcPr>
            <w:tcW w:w="1362" w:type="dxa"/>
            <w:tcBorders>
              <w:top w:val="nil"/>
              <w:left w:val="nil"/>
              <w:bottom w:val="nil"/>
              <w:right w:val="nil"/>
            </w:tcBorders>
            <w:shd w:val="clear" w:color="auto" w:fill="auto"/>
            <w:noWrap/>
            <w:vAlign w:val="bottom"/>
            <w:hideMark/>
          </w:tcPr>
          <w:p w14:paraId="761D0AEB" w14:textId="77777777" w:rsidR="00D60DA9" w:rsidRDefault="00D60DA9" w:rsidP="00582CA7">
            <w:pPr>
              <w:rPr>
                <w:rFonts w:ascii="Calibri" w:hAnsi="Calibri" w:cs="Calibri"/>
                <w:color w:val="000000"/>
              </w:rPr>
            </w:pPr>
            <w:r>
              <w:rPr>
                <w:noProof/>
              </w:rPr>
              <mc:AlternateContent>
                <mc:Choice Requires="wps">
                  <w:drawing>
                    <wp:anchor distT="0" distB="0" distL="114300" distR="114300" simplePos="0" relativeHeight="251719680" behindDoc="0" locked="0" layoutInCell="1" allowOverlap="1" wp14:anchorId="69719F52" wp14:editId="172E5B25">
                      <wp:simplePos x="0" y="0"/>
                      <wp:positionH relativeFrom="column">
                        <wp:posOffset>112395</wp:posOffset>
                      </wp:positionH>
                      <wp:positionV relativeFrom="paragraph">
                        <wp:posOffset>635</wp:posOffset>
                      </wp:positionV>
                      <wp:extent cx="438150" cy="457200"/>
                      <wp:effectExtent l="0" t="0" r="19050" b="19050"/>
                      <wp:wrapNone/>
                      <wp:docPr id="234" name="Elips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457200"/>
                              </a:xfrm>
                              <a:prstGeom prst="ellipse">
                                <a:avLst/>
                              </a:prstGeom>
                              <a:solidFill>
                                <a:srgbClr val="FFFF00"/>
                              </a:solidFill>
                              <a:ln w="317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F03D6AD" id="Elipse 18" o:spid="_x0000_s1026" style="position:absolute;margin-left:8.85pt;margin-top:.05pt;width:34.5pt;height:3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" fillcolor="yellow" strokeweight=".25pt"/>
                  </w:pict>
                </mc:Fallback>
              </mc:AlternateContent>
            </w:r>
          </w:p>
          <w:tbl>
            <w:tblPr>
              <w:tblW w:w="1212" w:type="dxa"/>
              <w:tblCellSpacing w:w="0" w:type="dxa"/>
              <w:tblCellMar>
                <w:left w:w="0" w:type="dxa"/>
                <w:right w:w="0" w:type="dxa"/>
              </w:tblCellMar>
              <w:tblLook w:val="04A0" w:firstRow="1" w:lastRow="0" w:firstColumn="1" w:lastColumn="0" w:noHBand="0" w:noVBand="1"/>
            </w:tblPr>
            <w:tblGrid>
              <w:gridCol w:w="1212"/>
            </w:tblGrid>
            <w:tr w:rsidR="00D60DA9" w14:paraId="486F9D98" w14:textId="77777777" w:rsidTr="00A208C9">
              <w:trPr>
                <w:trHeight w:val="462"/>
                <w:tblCellSpacing w:w="0" w:type="dxa"/>
              </w:trPr>
              <w:tc>
                <w:tcPr>
                  <w:tcW w:w="1212" w:type="dxa"/>
                  <w:tcBorders>
                    <w:top w:val="nil"/>
                    <w:left w:val="nil"/>
                    <w:bottom w:val="nil"/>
                    <w:right w:val="nil"/>
                  </w:tcBorders>
                  <w:shd w:val="clear" w:color="auto" w:fill="auto"/>
                  <w:noWrap/>
                  <w:vAlign w:val="bottom"/>
                  <w:hideMark/>
                </w:tcPr>
                <w:p w14:paraId="5338E32A" w14:textId="77777777" w:rsidR="00D60DA9" w:rsidRDefault="00D60DA9" w:rsidP="00582CA7">
                  <w:pPr>
                    <w:rPr>
                      <w:rFonts w:ascii="Calibri" w:hAnsi="Calibri" w:cs="Calibri"/>
                      <w:color w:val="000000"/>
                    </w:rPr>
                  </w:pPr>
                </w:p>
              </w:tc>
            </w:tr>
          </w:tbl>
          <w:p w14:paraId="7CFDBA2A" w14:textId="77777777" w:rsidR="00D60DA9" w:rsidRDefault="00D60DA9" w:rsidP="00582CA7">
            <w:pPr>
              <w:rPr>
                <w:rFonts w:ascii="Calibri" w:hAnsi="Calibri" w:cs="Calibri"/>
                <w:color w:val="000000"/>
              </w:rPr>
            </w:pPr>
          </w:p>
        </w:tc>
        <w:tc>
          <w:tcPr>
            <w:tcW w:w="1600" w:type="dxa"/>
            <w:tcBorders>
              <w:top w:val="nil"/>
              <w:left w:val="nil"/>
              <w:bottom w:val="nil"/>
              <w:right w:val="nil"/>
            </w:tcBorders>
            <w:shd w:val="clear" w:color="auto" w:fill="auto"/>
            <w:vAlign w:val="center"/>
            <w:hideMark/>
          </w:tcPr>
          <w:p w14:paraId="2CDBD751" w14:textId="77777777" w:rsidR="00D60DA9" w:rsidRPr="00A208C9" w:rsidRDefault="00D60DA9" w:rsidP="00582CA7">
            <w:pPr>
              <w:jc w:val="center"/>
              <w:rPr>
                <w:b/>
                <w:bCs/>
                <w:color w:val="000000"/>
                <w:sz w:val="20"/>
                <w:szCs w:val="20"/>
              </w:rPr>
            </w:pPr>
            <w:r w:rsidRPr="00A208C9">
              <w:rPr>
                <w:b/>
                <w:bCs/>
                <w:color w:val="000000"/>
                <w:sz w:val="20"/>
                <w:szCs w:val="20"/>
              </w:rPr>
              <w:t>De 41% a menos de 70%</w:t>
            </w:r>
          </w:p>
        </w:tc>
      </w:tr>
      <w:tr w:rsidR="00D60DA9" w14:paraId="4EECF254" w14:textId="77777777" w:rsidTr="00A208C9">
        <w:trPr>
          <w:trHeight w:val="462"/>
          <w:jc w:val="center"/>
        </w:trPr>
        <w:tc>
          <w:tcPr>
            <w:tcW w:w="1362" w:type="dxa"/>
            <w:tcBorders>
              <w:top w:val="nil"/>
              <w:left w:val="nil"/>
              <w:bottom w:val="nil"/>
              <w:right w:val="nil"/>
            </w:tcBorders>
            <w:shd w:val="clear" w:color="auto" w:fill="auto"/>
            <w:noWrap/>
            <w:vAlign w:val="bottom"/>
            <w:hideMark/>
          </w:tcPr>
          <w:p w14:paraId="1774815D" w14:textId="77777777" w:rsidR="00D60DA9" w:rsidRDefault="00D60DA9" w:rsidP="00582CA7">
            <w:pPr>
              <w:rPr>
                <w:rFonts w:ascii="Calibri" w:hAnsi="Calibri" w:cs="Calibri"/>
                <w:color w:val="000000"/>
              </w:rPr>
            </w:pPr>
            <w:r>
              <w:rPr>
                <w:noProof/>
              </w:rPr>
              <mc:AlternateContent>
                <mc:Choice Requires="wps">
                  <w:drawing>
                    <wp:anchor distT="0" distB="0" distL="114300" distR="114300" simplePos="0" relativeHeight="251720704" behindDoc="0" locked="0" layoutInCell="1" allowOverlap="1" wp14:anchorId="7D75F01F" wp14:editId="3089C8BA">
                      <wp:simplePos x="0" y="0"/>
                      <wp:positionH relativeFrom="column">
                        <wp:posOffset>123825</wp:posOffset>
                      </wp:positionH>
                      <wp:positionV relativeFrom="paragraph">
                        <wp:posOffset>19050</wp:posOffset>
                      </wp:positionV>
                      <wp:extent cx="447675" cy="447675"/>
                      <wp:effectExtent l="0" t="0" r="9525" b="9525"/>
                      <wp:wrapNone/>
                      <wp:docPr id="233" name="Elips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675" cy="447675"/>
                              </a:xfrm>
                              <a:prstGeom prst="ellipse">
                                <a:avLst/>
                              </a:prstGeom>
                              <a:solidFill>
                                <a:srgbClr val="C00000"/>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7B5B24D" id="Elipse 17" o:spid="_x0000_s1026" style="position:absolute;margin-left:9.75pt;margin-top:1.5pt;width:35.25pt;height:35.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" fillcolor="#c00000" strokecolor="windowText" strokeweight="1pt">
                      <v:stroke joinstyle="miter"/>
                      <v:path arrowok="t"/>
                    </v:oval>
                  </w:pict>
                </mc:Fallback>
              </mc:AlternateContent>
            </w:r>
          </w:p>
          <w:tbl>
            <w:tblPr>
              <w:tblW w:w="1212" w:type="dxa"/>
              <w:tblCellSpacing w:w="0" w:type="dxa"/>
              <w:tblCellMar>
                <w:left w:w="0" w:type="dxa"/>
                <w:right w:w="0" w:type="dxa"/>
              </w:tblCellMar>
              <w:tblLook w:val="04A0" w:firstRow="1" w:lastRow="0" w:firstColumn="1" w:lastColumn="0" w:noHBand="0" w:noVBand="1"/>
            </w:tblPr>
            <w:tblGrid>
              <w:gridCol w:w="1212"/>
            </w:tblGrid>
            <w:tr w:rsidR="00D60DA9" w14:paraId="1375E9FB" w14:textId="77777777" w:rsidTr="00A208C9">
              <w:trPr>
                <w:trHeight w:val="462"/>
                <w:tblCellSpacing w:w="0" w:type="dxa"/>
              </w:trPr>
              <w:tc>
                <w:tcPr>
                  <w:tcW w:w="1212" w:type="dxa"/>
                  <w:tcBorders>
                    <w:top w:val="nil"/>
                    <w:left w:val="nil"/>
                    <w:bottom w:val="nil"/>
                    <w:right w:val="nil"/>
                  </w:tcBorders>
                  <w:shd w:val="clear" w:color="auto" w:fill="auto"/>
                  <w:noWrap/>
                  <w:vAlign w:val="bottom"/>
                  <w:hideMark/>
                </w:tcPr>
                <w:p w14:paraId="6B93782B" w14:textId="77777777" w:rsidR="00D60DA9" w:rsidRDefault="00D60DA9" w:rsidP="00582CA7">
                  <w:pPr>
                    <w:rPr>
                      <w:rFonts w:ascii="Calibri" w:hAnsi="Calibri" w:cs="Calibri"/>
                      <w:color w:val="000000"/>
                    </w:rPr>
                  </w:pPr>
                </w:p>
              </w:tc>
            </w:tr>
          </w:tbl>
          <w:p w14:paraId="2D9E0C70" w14:textId="77777777" w:rsidR="00D60DA9" w:rsidRDefault="00D60DA9" w:rsidP="00582CA7">
            <w:pPr>
              <w:rPr>
                <w:rFonts w:ascii="Calibri" w:hAnsi="Calibri" w:cs="Calibri"/>
                <w:color w:val="000000"/>
              </w:rPr>
            </w:pPr>
          </w:p>
        </w:tc>
        <w:tc>
          <w:tcPr>
            <w:tcW w:w="1600" w:type="dxa"/>
            <w:tcBorders>
              <w:top w:val="nil"/>
              <w:left w:val="nil"/>
              <w:bottom w:val="nil"/>
              <w:right w:val="nil"/>
            </w:tcBorders>
            <w:shd w:val="clear" w:color="auto" w:fill="auto"/>
            <w:vAlign w:val="center"/>
            <w:hideMark/>
          </w:tcPr>
          <w:p w14:paraId="234FFEC1" w14:textId="77777777" w:rsidR="00D60DA9" w:rsidRPr="00A208C9" w:rsidRDefault="00D60DA9" w:rsidP="00582CA7">
            <w:pPr>
              <w:jc w:val="center"/>
              <w:rPr>
                <w:b/>
                <w:bCs/>
                <w:color w:val="000000"/>
                <w:sz w:val="20"/>
                <w:szCs w:val="20"/>
              </w:rPr>
            </w:pPr>
            <w:r w:rsidRPr="00A208C9">
              <w:rPr>
                <w:b/>
                <w:bCs/>
                <w:color w:val="000000"/>
                <w:sz w:val="20"/>
                <w:szCs w:val="20"/>
              </w:rPr>
              <w:t>Menor o igual a 40%</w:t>
            </w:r>
          </w:p>
        </w:tc>
      </w:tr>
      <w:tr w:rsidR="00D60DA9" w14:paraId="360CCE45" w14:textId="77777777" w:rsidTr="00A208C9">
        <w:trPr>
          <w:trHeight w:val="462"/>
          <w:jc w:val="center"/>
        </w:trPr>
        <w:tc>
          <w:tcPr>
            <w:tcW w:w="1362" w:type="dxa"/>
            <w:tcBorders>
              <w:top w:val="nil"/>
              <w:left w:val="nil"/>
              <w:bottom w:val="nil"/>
              <w:right w:val="nil"/>
            </w:tcBorders>
            <w:shd w:val="clear" w:color="auto" w:fill="auto"/>
            <w:noWrap/>
            <w:vAlign w:val="bottom"/>
            <w:hideMark/>
          </w:tcPr>
          <w:p w14:paraId="73194D8A" w14:textId="77777777" w:rsidR="00D60DA9" w:rsidRDefault="00D60DA9" w:rsidP="00582CA7">
            <w:pPr>
              <w:rPr>
                <w:rFonts w:ascii="Calibri" w:hAnsi="Calibri" w:cs="Calibri"/>
                <w:color w:val="000000"/>
              </w:rPr>
            </w:pPr>
            <w:r>
              <w:rPr>
                <w:noProof/>
              </w:rPr>
              <mc:AlternateContent>
                <mc:Choice Requires="wps">
                  <w:drawing>
                    <wp:anchor distT="0" distB="0" distL="114300" distR="114300" simplePos="0" relativeHeight="251721728" behindDoc="0" locked="0" layoutInCell="1" allowOverlap="1" wp14:anchorId="30E65DF7" wp14:editId="10AF90C5">
                      <wp:simplePos x="0" y="0"/>
                      <wp:positionH relativeFrom="column">
                        <wp:posOffset>133350</wp:posOffset>
                      </wp:positionH>
                      <wp:positionV relativeFrom="paragraph">
                        <wp:posOffset>0</wp:posOffset>
                      </wp:positionV>
                      <wp:extent cx="447675" cy="457200"/>
                      <wp:effectExtent l="0" t="0" r="9525" b="0"/>
                      <wp:wrapNone/>
                      <wp:docPr id="232" name="Elips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675" cy="457200"/>
                              </a:xfrm>
                              <a:prstGeom prst="ellipse">
                                <a:avLst/>
                              </a:prstGeom>
                              <a:solidFill>
                                <a:schemeClr val="bg1">
                                  <a:lumMod val="75000"/>
                                </a:schemeClr>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21A5105" id="Elipse 16" o:spid="_x0000_s1026" style="position:absolute;margin-left:10.5pt;margin-top:0;width:35.25pt;height:3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" fillcolor="#bfbfbf [2412]" strokecolor="windowText" strokeweight="1pt">
                      <v:stroke joinstyle="miter"/>
                      <v:path arrowok="t"/>
                    </v:oval>
                  </w:pict>
                </mc:Fallback>
              </mc:AlternateContent>
            </w:r>
          </w:p>
          <w:tbl>
            <w:tblPr>
              <w:tblW w:w="1212" w:type="dxa"/>
              <w:tblCellSpacing w:w="0" w:type="dxa"/>
              <w:tblCellMar>
                <w:left w:w="0" w:type="dxa"/>
                <w:right w:w="0" w:type="dxa"/>
              </w:tblCellMar>
              <w:tblLook w:val="04A0" w:firstRow="1" w:lastRow="0" w:firstColumn="1" w:lastColumn="0" w:noHBand="0" w:noVBand="1"/>
            </w:tblPr>
            <w:tblGrid>
              <w:gridCol w:w="1212"/>
            </w:tblGrid>
            <w:tr w:rsidR="00D60DA9" w14:paraId="744DF217" w14:textId="77777777" w:rsidTr="00A208C9">
              <w:trPr>
                <w:trHeight w:val="462"/>
                <w:tblCellSpacing w:w="0" w:type="dxa"/>
              </w:trPr>
              <w:tc>
                <w:tcPr>
                  <w:tcW w:w="1212" w:type="dxa"/>
                  <w:tcBorders>
                    <w:top w:val="nil"/>
                    <w:left w:val="nil"/>
                    <w:bottom w:val="nil"/>
                    <w:right w:val="nil"/>
                  </w:tcBorders>
                  <w:shd w:val="clear" w:color="auto" w:fill="auto"/>
                  <w:noWrap/>
                  <w:vAlign w:val="bottom"/>
                  <w:hideMark/>
                </w:tcPr>
                <w:p w14:paraId="2CC09CD9" w14:textId="77777777" w:rsidR="00D60DA9" w:rsidRDefault="00D60DA9" w:rsidP="00582CA7">
                  <w:pPr>
                    <w:rPr>
                      <w:rFonts w:ascii="Calibri" w:hAnsi="Calibri" w:cs="Calibri"/>
                      <w:color w:val="000000"/>
                    </w:rPr>
                  </w:pPr>
                </w:p>
              </w:tc>
            </w:tr>
          </w:tbl>
          <w:p w14:paraId="6D4D6493" w14:textId="77777777" w:rsidR="00D60DA9" w:rsidRDefault="00D60DA9" w:rsidP="00582CA7">
            <w:pPr>
              <w:rPr>
                <w:rFonts w:ascii="Calibri" w:hAnsi="Calibri" w:cs="Calibri"/>
                <w:color w:val="000000"/>
              </w:rPr>
            </w:pPr>
          </w:p>
        </w:tc>
        <w:tc>
          <w:tcPr>
            <w:tcW w:w="1600" w:type="dxa"/>
            <w:tcBorders>
              <w:top w:val="nil"/>
              <w:left w:val="nil"/>
              <w:bottom w:val="nil"/>
              <w:right w:val="nil"/>
            </w:tcBorders>
            <w:shd w:val="clear" w:color="auto" w:fill="auto"/>
            <w:noWrap/>
            <w:vAlign w:val="center"/>
            <w:hideMark/>
          </w:tcPr>
          <w:p w14:paraId="4D183DEF" w14:textId="77777777" w:rsidR="00D60DA9" w:rsidRPr="00A208C9" w:rsidRDefault="00D60DA9" w:rsidP="00582CA7">
            <w:pPr>
              <w:jc w:val="center"/>
              <w:rPr>
                <w:b/>
                <w:bCs/>
                <w:color w:val="000000"/>
                <w:sz w:val="20"/>
                <w:szCs w:val="20"/>
              </w:rPr>
            </w:pPr>
            <w:r w:rsidRPr="00A208C9">
              <w:rPr>
                <w:b/>
                <w:bCs/>
                <w:color w:val="000000"/>
                <w:sz w:val="20"/>
                <w:szCs w:val="20"/>
              </w:rPr>
              <w:t>No aplica</w:t>
            </w:r>
          </w:p>
        </w:tc>
      </w:tr>
    </w:tbl>
    <w:p w14:paraId="6A8C6E34" w14:textId="7458FEEA" w:rsidR="00D60DA9" w:rsidRDefault="00D60DA9" w:rsidP="00D60DA9">
      <w:pPr>
        <w:jc w:val="both"/>
      </w:pPr>
    </w:p>
    <w:p w14:paraId="337C990A" w14:textId="77777777" w:rsidR="00D60DA9" w:rsidRPr="00D60DA9" w:rsidRDefault="00D60DA9" w:rsidP="00D60DA9">
      <w:pPr>
        <w:jc w:val="both"/>
        <w:rPr>
          <w:b/>
          <w:bCs/>
        </w:rPr>
      </w:pPr>
      <w:r w:rsidRPr="00D60DA9">
        <w:rPr>
          <w:b/>
          <w:bCs/>
        </w:rPr>
        <w:t>Pilar 1: Economía, competitividad y prosperidad</w:t>
      </w:r>
    </w:p>
    <w:p w14:paraId="4E07E661" w14:textId="77777777" w:rsidR="00D60DA9" w:rsidRDefault="00D60DA9" w:rsidP="00D60DA9">
      <w:pPr>
        <w:jc w:val="both"/>
      </w:pPr>
    </w:p>
    <w:p w14:paraId="201DF799" w14:textId="23D0104A" w:rsidR="00D60DA9" w:rsidRDefault="00D60DA9" w:rsidP="00D60DA9">
      <w:pPr>
        <w:jc w:val="both"/>
      </w:pPr>
      <w:r>
        <w:t>El pilar 1 está conformado por 9 metas estratégicas, de las cuales 6 cuentan con avances mayores o iguales a 70% o incluso han logrado superar la meta establecida hacia 2023.</w:t>
      </w:r>
    </w:p>
    <w:p w14:paraId="653B5D96" w14:textId="77777777" w:rsidR="00F44D6B" w:rsidRDefault="00F44D6B" w:rsidP="00D60DA9">
      <w:pPr>
        <w:jc w:val="both"/>
      </w:pPr>
    </w:p>
    <w:p w14:paraId="669D147F" w14:textId="6C0CEEDD" w:rsidR="00D60DA9" w:rsidRPr="00E01410" w:rsidRDefault="00D60DA9" w:rsidP="00E01410">
      <w:pPr>
        <w:pStyle w:val="Prrafodelista"/>
        <w:numPr>
          <w:ilvl w:val="0"/>
          <w:numId w:val="52"/>
        </w:numPr>
        <w:ind w:left="567"/>
        <w:jc w:val="both"/>
        <w:rPr>
          <w:b/>
          <w:bCs/>
        </w:rPr>
      </w:pPr>
      <w:r w:rsidRPr="00A208C9">
        <w:rPr>
          <w:b/>
          <w:bCs/>
        </w:rPr>
        <w:t>Metas alcanzadas o superadas según lo estimado al 2023</w:t>
      </w:r>
    </w:p>
    <w:p w14:paraId="1D85D2A2" w14:textId="6579F4E7" w:rsidR="00D60DA9" w:rsidRDefault="00D60DA9" w:rsidP="000D332B">
      <w:pPr>
        <w:pStyle w:val="Prrafodelista"/>
        <w:numPr>
          <w:ilvl w:val="0"/>
          <w:numId w:val="13"/>
        </w:numPr>
        <w:ind w:left="993" w:hanging="426"/>
        <w:jc w:val="both"/>
      </w:pPr>
      <w:r>
        <w:t>Para el índice de solvencia del sistema bancario en el 2022, la meta se superó en 0.5 puntos porcentuales. La meta planteada al año 2023 ya fue superada en este año. De continuarse con las medidas de supervisión del sistema bancario y el cumplimiento de los estándares, se conservará o incluso puede mejorar la meta planteada al 2023.</w:t>
      </w:r>
    </w:p>
    <w:p w14:paraId="03E34110" w14:textId="77777777" w:rsidR="00B848FD" w:rsidRDefault="00B848FD" w:rsidP="00B848FD">
      <w:pPr>
        <w:jc w:val="both"/>
      </w:pPr>
    </w:p>
    <w:p w14:paraId="20779162" w14:textId="22341F54" w:rsidR="00D60DA9" w:rsidRPr="00E01410" w:rsidRDefault="00D60DA9" w:rsidP="00D60DA9">
      <w:pPr>
        <w:pStyle w:val="Prrafodelista"/>
        <w:numPr>
          <w:ilvl w:val="0"/>
          <w:numId w:val="52"/>
        </w:numPr>
        <w:ind w:left="567"/>
        <w:jc w:val="both"/>
        <w:rPr>
          <w:b/>
          <w:bCs/>
        </w:rPr>
      </w:pPr>
      <w:r w:rsidRPr="00A208C9">
        <w:rPr>
          <w:b/>
          <w:bCs/>
        </w:rPr>
        <w:t>Metas con avance mayor o igual a 70% según lo estimado al 2023</w:t>
      </w:r>
    </w:p>
    <w:p w14:paraId="261120A3" w14:textId="4C7D993F" w:rsidR="00D60DA9" w:rsidRDefault="00D60DA9" w:rsidP="000D332B">
      <w:pPr>
        <w:pStyle w:val="Prrafodelista"/>
        <w:numPr>
          <w:ilvl w:val="0"/>
          <w:numId w:val="13"/>
        </w:numPr>
        <w:ind w:left="993" w:hanging="426"/>
        <w:jc w:val="both"/>
      </w:pPr>
      <w:r>
        <w:t xml:space="preserve">Respecto al Índice de Competitividad Global no ha actualizado los datos desde el año 2019, por lo cual no ha sido posible determinar la evolución de la meta. Al 2022 mantiene una posición 98 dentro del ranking. </w:t>
      </w:r>
    </w:p>
    <w:p w14:paraId="7A1DE45A" w14:textId="0C895C8A" w:rsidR="00D60DA9" w:rsidRDefault="00D60DA9" w:rsidP="000D332B">
      <w:pPr>
        <w:pStyle w:val="Prrafodelista"/>
        <w:numPr>
          <w:ilvl w:val="0"/>
          <w:numId w:val="13"/>
        </w:numPr>
        <w:ind w:left="993" w:hanging="426"/>
        <w:jc w:val="both"/>
      </w:pPr>
      <w:r>
        <w:t>El ranking Doing Business, el Banco Mundial (BM) anunció en 2021 la suspensión de la publicación del informe, con lo cual se congeló la posición de Guatemala (puesto 96 de 190 países evaluados). Independientemente de la decisión de no continuar con la medición del índice, Guatemala durante el 2022 implementó acciones y reporta avances en áreas que eran evaluadas anteriormente por el índice, tales como el acceso al crédito, la protección de inversionistas minoritarios, el comercio transfronterizo y procesos simplificados en el ámbito tributario.</w:t>
      </w:r>
    </w:p>
    <w:p w14:paraId="67CE5A69" w14:textId="64227F74" w:rsidR="00D60DA9" w:rsidRDefault="00D60DA9" w:rsidP="000D332B">
      <w:pPr>
        <w:pStyle w:val="Prrafodelista"/>
        <w:numPr>
          <w:ilvl w:val="0"/>
          <w:numId w:val="13"/>
        </w:numPr>
        <w:ind w:left="993" w:hanging="426"/>
        <w:jc w:val="both"/>
      </w:pPr>
      <w:r>
        <w:t>De los hogares con acceso a la energía eléctrica, se ha logrado un índice de cobertura de 89.76%, estos esfuerzos por ampliar la cobertura presentan una tendencia creciente. La brecha para lograr el total cumplimiento de la meta se sitúa en 0.24%, el cual es alcanzable en virtud de la evolución favorable que se ha observado.</w:t>
      </w:r>
    </w:p>
    <w:p w14:paraId="726F68F3" w14:textId="7AB5F920" w:rsidR="00D60DA9" w:rsidRDefault="00D60DA9" w:rsidP="000D332B">
      <w:pPr>
        <w:pStyle w:val="Prrafodelista"/>
        <w:numPr>
          <w:ilvl w:val="0"/>
          <w:numId w:val="13"/>
        </w:numPr>
        <w:ind w:left="993" w:hanging="426"/>
        <w:jc w:val="both"/>
      </w:pPr>
      <w:r>
        <w:t>Del margen de solvencia a las aseguradoras, el comportamiento del indicador ha sido irregular, en el 2021 presentó una brecha de 0.6% respecto a la meta de dicho año, mientras que en el 2022 se amplió la brecha a 3.38%, ubicando el indicador incluso por debajo de la línea de base (66.90%). Esto hace inferir que no podría cumplirse la programación establecida para el 2023.</w:t>
      </w:r>
    </w:p>
    <w:p w14:paraId="371A2751" w14:textId="07441356" w:rsidR="00D60DA9" w:rsidRDefault="00D60DA9" w:rsidP="000D332B">
      <w:pPr>
        <w:pStyle w:val="Prrafodelista"/>
        <w:numPr>
          <w:ilvl w:val="0"/>
          <w:numId w:val="13"/>
        </w:numPr>
        <w:ind w:left="993" w:hanging="426"/>
        <w:jc w:val="both"/>
      </w:pPr>
      <w:r>
        <w:t xml:space="preserve">Respecto al incremento en los créditos a Q200 millones para emprendimientos de familias pobres al 2023, para 2022 se superó la meta establecida para el año y se otorgaron Q155.5 millones resultado del esfuerzo de Fontierras, Mineco y Maga, contribuyendo a la reactivación económica rural. </w:t>
      </w:r>
    </w:p>
    <w:p w14:paraId="59A68835" w14:textId="77777777" w:rsidR="00B848FD" w:rsidRDefault="00B848FD" w:rsidP="00B848FD">
      <w:pPr>
        <w:pStyle w:val="Prrafodelista"/>
        <w:ind w:left="709"/>
        <w:jc w:val="both"/>
      </w:pPr>
    </w:p>
    <w:p w14:paraId="527A1C7B" w14:textId="71694BF8" w:rsidR="00D60DA9" w:rsidRDefault="00D60DA9" w:rsidP="00D60DA9">
      <w:pPr>
        <w:pStyle w:val="Prrafodelista"/>
        <w:numPr>
          <w:ilvl w:val="0"/>
          <w:numId w:val="52"/>
        </w:numPr>
        <w:ind w:left="567"/>
        <w:jc w:val="both"/>
      </w:pPr>
      <w:r w:rsidRPr="00A208C9">
        <w:rPr>
          <w:b/>
          <w:bCs/>
        </w:rPr>
        <w:t>Metas con avance entre 41% a menos de 70% según lo estimado al año 2023</w:t>
      </w:r>
    </w:p>
    <w:p w14:paraId="31A37593" w14:textId="067B8A32" w:rsidR="00D60DA9" w:rsidRDefault="00D60DA9" w:rsidP="000D332B">
      <w:pPr>
        <w:pStyle w:val="Prrafodelista"/>
        <w:numPr>
          <w:ilvl w:val="0"/>
          <w:numId w:val="13"/>
        </w:numPr>
        <w:ind w:left="993" w:hanging="426"/>
        <w:jc w:val="both"/>
      </w:pPr>
      <w:r>
        <w:t>Del incremento en 2.60% de la tasa de crecimiento del PIB real, cabe destacar que en 2022 los efectos rezagados del COVID-19 y la política monetaria restrictiva ante el la volatilidad y alza de los precios no permitieron alcanzar la meta programada (5.0%). Sin embargo, se logró crecer 4%, valor por encima del promedio observado durante los últimos años. Para el año 2023, el Banguat proyectó un rango de crecimiento de 2.5% a 4.5%, lo que permite deducir que no se alcanzará la meta planificada en la PGG 2020-2024 (6.0%)</w:t>
      </w:r>
      <w:r w:rsidR="00B848FD">
        <w:t>.</w:t>
      </w:r>
    </w:p>
    <w:p w14:paraId="66E25401" w14:textId="69941AA3" w:rsidR="00D60DA9" w:rsidRDefault="00D60DA9" w:rsidP="000D332B">
      <w:pPr>
        <w:pStyle w:val="Prrafodelista"/>
        <w:numPr>
          <w:ilvl w:val="0"/>
          <w:numId w:val="13"/>
        </w:numPr>
        <w:ind w:left="993" w:hanging="426"/>
        <w:jc w:val="both"/>
      </w:pPr>
      <w:r>
        <w:t>Respecto al seguro agrícola para pequeños parcelarios con una meta de Q35 millones a 2023, resalta que esta intervención presenta desafíos. En 2022 no se alcanzó la meta programada y la brecha para lograr la meta de 2023 es de Q16.7 millones.</w:t>
      </w:r>
    </w:p>
    <w:p w14:paraId="53E657FA" w14:textId="77777777" w:rsidR="00F44D6B" w:rsidRDefault="00F44D6B" w:rsidP="00A208C9">
      <w:pPr>
        <w:jc w:val="both"/>
      </w:pPr>
    </w:p>
    <w:p w14:paraId="077FFACB" w14:textId="53492AE7" w:rsidR="00B848FD" w:rsidRPr="00E01410" w:rsidRDefault="00D60DA9" w:rsidP="00D60DA9">
      <w:pPr>
        <w:pStyle w:val="Prrafodelista"/>
        <w:numPr>
          <w:ilvl w:val="0"/>
          <w:numId w:val="52"/>
        </w:numPr>
        <w:ind w:left="567"/>
        <w:jc w:val="both"/>
        <w:rPr>
          <w:b/>
          <w:bCs/>
        </w:rPr>
      </w:pPr>
      <w:r w:rsidRPr="00A208C9">
        <w:rPr>
          <w:b/>
          <w:bCs/>
        </w:rPr>
        <w:t>Metas con avance igual o menor a 40% según lo estimado al año 2023</w:t>
      </w:r>
    </w:p>
    <w:p w14:paraId="6988C250" w14:textId="020D2185" w:rsidR="009F727A" w:rsidRDefault="00D60DA9" w:rsidP="000D332B">
      <w:pPr>
        <w:pStyle w:val="Prrafodelista"/>
        <w:numPr>
          <w:ilvl w:val="0"/>
          <w:numId w:val="13"/>
        </w:numPr>
        <w:ind w:left="993" w:hanging="426"/>
        <w:jc w:val="both"/>
      </w:pPr>
      <w:r>
        <w:t>En cuanto a la reducción de la informalidad del empleo en 6% para 2023, se tiene que contrario a lo esperado, la informalidad del empleo aumentó a 71.1%, según la Encuesta Nacional de Empleo e Ingresos, ENEI 2022.</w:t>
      </w:r>
    </w:p>
    <w:p w14:paraId="4CCB91D4" w14:textId="77777777" w:rsidR="00327D34" w:rsidRDefault="00327D34" w:rsidP="00327D34">
      <w:pPr>
        <w:pStyle w:val="Prrafodelista"/>
        <w:ind w:left="709"/>
        <w:jc w:val="both"/>
      </w:pPr>
    </w:p>
    <w:p w14:paraId="3DE6F8C4" w14:textId="77777777" w:rsidR="00B848FD" w:rsidRPr="00EC094C" w:rsidRDefault="00B848FD" w:rsidP="00B848FD">
      <w:pPr>
        <w:pStyle w:val="Prrafodelista"/>
        <w:tabs>
          <w:tab w:val="left" w:pos="1630"/>
        </w:tabs>
        <w:spacing w:before="169" w:line="276" w:lineRule="auto"/>
        <w:ind w:left="1395" w:right="2535"/>
        <w:jc w:val="center"/>
        <w:rPr>
          <w:b/>
          <w:szCs w:val="32"/>
        </w:rPr>
      </w:pPr>
      <w:r w:rsidRPr="00EC094C">
        <w:rPr>
          <w:b/>
          <w:szCs w:val="32"/>
        </w:rPr>
        <w:t>Avances de metas estratégicas</w:t>
      </w:r>
    </w:p>
    <w:p w14:paraId="60E25F94" w14:textId="6245A870" w:rsidR="00B848FD" w:rsidRPr="0071370B" w:rsidRDefault="0071370B" w:rsidP="0071370B">
      <w:pPr>
        <w:pStyle w:val="Descripcin"/>
        <w:keepNext/>
        <w:spacing w:after="0"/>
        <w:jc w:val="center"/>
        <w:rPr>
          <w:b/>
          <w:bCs/>
          <w:i w:val="0"/>
          <w:iCs w:val="0"/>
          <w:color w:val="auto"/>
          <w:sz w:val="24"/>
          <w:szCs w:val="24"/>
        </w:rPr>
      </w:pPr>
      <w:bookmarkStart w:id="206" w:name="_Toc143871223"/>
      <w:r w:rsidRPr="0071370B">
        <w:rPr>
          <w:b/>
          <w:bCs/>
          <w:i w:val="0"/>
          <w:iCs w:val="0"/>
          <w:color w:val="auto"/>
          <w:sz w:val="24"/>
          <w:szCs w:val="24"/>
        </w:rPr>
        <w:t xml:space="preserve">Tabla </w:t>
      </w:r>
      <w:r w:rsidRPr="0071370B">
        <w:rPr>
          <w:b/>
          <w:bCs/>
          <w:i w:val="0"/>
          <w:iCs w:val="0"/>
          <w:color w:val="auto"/>
          <w:sz w:val="24"/>
          <w:szCs w:val="24"/>
        </w:rPr>
        <w:fldChar w:fldCharType="begin"/>
      </w:r>
      <w:r w:rsidRPr="0071370B">
        <w:rPr>
          <w:b/>
          <w:bCs/>
          <w:i w:val="0"/>
          <w:iCs w:val="0"/>
          <w:color w:val="auto"/>
          <w:sz w:val="24"/>
          <w:szCs w:val="24"/>
        </w:rPr>
        <w:instrText xml:space="preserve"> SEQ Tabla \* ARABIC </w:instrText>
      </w:r>
      <w:r w:rsidRPr="0071370B">
        <w:rPr>
          <w:b/>
          <w:bCs/>
          <w:i w:val="0"/>
          <w:iCs w:val="0"/>
          <w:color w:val="auto"/>
          <w:sz w:val="24"/>
          <w:szCs w:val="24"/>
        </w:rPr>
        <w:fldChar w:fldCharType="separate"/>
      </w:r>
      <w:r w:rsidR="006622B2">
        <w:rPr>
          <w:b/>
          <w:bCs/>
          <w:i w:val="0"/>
          <w:iCs w:val="0"/>
          <w:noProof/>
          <w:color w:val="auto"/>
          <w:sz w:val="24"/>
          <w:szCs w:val="24"/>
        </w:rPr>
        <w:t>16</w:t>
      </w:r>
      <w:r w:rsidRPr="0071370B">
        <w:rPr>
          <w:b/>
          <w:bCs/>
          <w:i w:val="0"/>
          <w:iCs w:val="0"/>
          <w:color w:val="auto"/>
          <w:sz w:val="24"/>
          <w:szCs w:val="24"/>
        </w:rPr>
        <w:fldChar w:fldCharType="end"/>
      </w:r>
      <w:r w:rsidRPr="0071370B">
        <w:rPr>
          <w:b/>
          <w:bCs/>
          <w:i w:val="0"/>
          <w:iCs w:val="0"/>
          <w:color w:val="auto"/>
          <w:sz w:val="24"/>
          <w:szCs w:val="24"/>
        </w:rPr>
        <w:t xml:space="preserve">.  </w:t>
      </w:r>
      <w:r w:rsidR="00B848FD" w:rsidRPr="0071370B">
        <w:rPr>
          <w:b/>
          <w:bCs/>
          <w:i w:val="0"/>
          <w:iCs w:val="0"/>
          <w:color w:val="auto"/>
          <w:sz w:val="24"/>
          <w:szCs w:val="24"/>
        </w:rPr>
        <w:t>Pilar 1: Economía, Competitividad y Prosperidad</w:t>
      </w:r>
      <w:bookmarkEnd w:id="206"/>
    </w:p>
    <w:tbl>
      <w:tblPr>
        <w:tblW w:w="8840" w:type="dxa"/>
        <w:jc w:val="center"/>
        <w:tblCellMar>
          <w:left w:w="70" w:type="dxa"/>
          <w:right w:w="70" w:type="dxa"/>
        </w:tblCellMar>
        <w:tblLook w:val="04A0" w:firstRow="1" w:lastRow="0" w:firstColumn="1" w:lastColumn="0" w:noHBand="0" w:noVBand="1"/>
      </w:tblPr>
      <w:tblGrid>
        <w:gridCol w:w="361"/>
        <w:gridCol w:w="3610"/>
        <w:gridCol w:w="994"/>
        <w:gridCol w:w="801"/>
        <w:gridCol w:w="801"/>
        <w:gridCol w:w="904"/>
        <w:gridCol w:w="709"/>
        <w:gridCol w:w="660"/>
      </w:tblGrid>
      <w:tr w:rsidR="00327D34" w:rsidRPr="001D2E4B" w14:paraId="28368049" w14:textId="77777777" w:rsidTr="00435EA6">
        <w:trPr>
          <w:trHeight w:val="289"/>
          <w:jc w:val="center"/>
        </w:trPr>
        <w:tc>
          <w:tcPr>
            <w:tcW w:w="366" w:type="dxa"/>
            <w:vMerge w:val="restart"/>
            <w:tcBorders>
              <w:top w:val="single" w:sz="12" w:space="0" w:color="auto"/>
              <w:left w:val="single" w:sz="12" w:space="0" w:color="auto"/>
              <w:bottom w:val="single" w:sz="8" w:space="0" w:color="000000"/>
              <w:right w:val="single" w:sz="8" w:space="0" w:color="000000"/>
            </w:tcBorders>
            <w:shd w:val="clear" w:color="000000" w:fill="1F4E78"/>
            <w:vAlign w:val="center"/>
            <w:hideMark/>
          </w:tcPr>
          <w:p w14:paraId="67798B94" w14:textId="77777777" w:rsidR="00B848FD" w:rsidRPr="001D2E4B" w:rsidRDefault="00B848FD" w:rsidP="00582CA7">
            <w:pPr>
              <w:jc w:val="center"/>
              <w:rPr>
                <w:b/>
                <w:bCs/>
                <w:color w:val="FFFFFF"/>
                <w:sz w:val="16"/>
                <w:szCs w:val="16"/>
              </w:rPr>
            </w:pPr>
            <w:r w:rsidRPr="001D2E4B">
              <w:rPr>
                <w:b/>
                <w:bCs/>
                <w:color w:val="FFFFFF"/>
                <w:sz w:val="16"/>
                <w:szCs w:val="16"/>
              </w:rPr>
              <w:t xml:space="preserve">           </w:t>
            </w:r>
          </w:p>
        </w:tc>
        <w:tc>
          <w:tcPr>
            <w:tcW w:w="3697" w:type="dxa"/>
            <w:vMerge w:val="restart"/>
            <w:tcBorders>
              <w:top w:val="single" w:sz="12" w:space="0" w:color="auto"/>
              <w:left w:val="single" w:sz="8" w:space="0" w:color="000000"/>
              <w:bottom w:val="single" w:sz="8" w:space="0" w:color="000000"/>
              <w:right w:val="single" w:sz="8" w:space="0" w:color="000000"/>
            </w:tcBorders>
            <w:shd w:val="clear" w:color="000000" w:fill="1F4E78"/>
            <w:vAlign w:val="center"/>
            <w:hideMark/>
          </w:tcPr>
          <w:p w14:paraId="3CEC8C4D" w14:textId="77777777" w:rsidR="00B848FD" w:rsidRPr="001D2E4B" w:rsidRDefault="00B848FD" w:rsidP="00582CA7">
            <w:pPr>
              <w:jc w:val="center"/>
              <w:rPr>
                <w:b/>
                <w:bCs/>
                <w:color w:val="FFFFFF"/>
                <w:sz w:val="16"/>
                <w:szCs w:val="16"/>
              </w:rPr>
            </w:pPr>
            <w:r w:rsidRPr="001D2E4B">
              <w:rPr>
                <w:b/>
                <w:bCs/>
                <w:color w:val="FFFFFF"/>
                <w:sz w:val="16"/>
                <w:szCs w:val="16"/>
              </w:rPr>
              <w:t>Descripción de la Meta</w:t>
            </w:r>
          </w:p>
        </w:tc>
        <w:tc>
          <w:tcPr>
            <w:tcW w:w="948" w:type="dxa"/>
            <w:vMerge w:val="restart"/>
            <w:tcBorders>
              <w:top w:val="single" w:sz="12" w:space="0" w:color="auto"/>
              <w:left w:val="single" w:sz="8" w:space="0" w:color="000000"/>
              <w:bottom w:val="single" w:sz="8" w:space="0" w:color="000000"/>
              <w:right w:val="single" w:sz="4" w:space="0" w:color="auto"/>
            </w:tcBorders>
            <w:shd w:val="clear" w:color="000000" w:fill="1F4E78"/>
            <w:vAlign w:val="center"/>
            <w:hideMark/>
          </w:tcPr>
          <w:p w14:paraId="59CF3027" w14:textId="77777777" w:rsidR="00B848FD" w:rsidRPr="001D2E4B" w:rsidRDefault="00B848FD" w:rsidP="00582CA7">
            <w:pPr>
              <w:jc w:val="center"/>
              <w:rPr>
                <w:b/>
                <w:bCs/>
                <w:color w:val="FFFFFF"/>
                <w:sz w:val="16"/>
                <w:szCs w:val="16"/>
              </w:rPr>
            </w:pPr>
            <w:r w:rsidRPr="001D2E4B">
              <w:rPr>
                <w:b/>
                <w:bCs/>
                <w:color w:val="FFFFFF"/>
                <w:sz w:val="16"/>
                <w:szCs w:val="16"/>
              </w:rPr>
              <w:t>Responsable</w:t>
            </w:r>
          </w:p>
        </w:tc>
        <w:tc>
          <w:tcPr>
            <w:tcW w:w="1610" w:type="dxa"/>
            <w:gridSpan w:val="2"/>
            <w:tcBorders>
              <w:top w:val="single" w:sz="12" w:space="0" w:color="auto"/>
              <w:left w:val="nil"/>
              <w:bottom w:val="single" w:sz="4" w:space="0" w:color="auto"/>
              <w:right w:val="single" w:sz="12" w:space="0" w:color="auto"/>
            </w:tcBorders>
            <w:shd w:val="clear" w:color="000000" w:fill="1F4E78"/>
            <w:vAlign w:val="center"/>
            <w:hideMark/>
          </w:tcPr>
          <w:p w14:paraId="7C771B43" w14:textId="77777777" w:rsidR="00B848FD" w:rsidRPr="001D2E4B" w:rsidRDefault="00B848FD" w:rsidP="00582CA7">
            <w:pPr>
              <w:jc w:val="center"/>
              <w:rPr>
                <w:b/>
                <w:bCs/>
                <w:color w:val="FFFFFF"/>
                <w:sz w:val="16"/>
                <w:szCs w:val="16"/>
              </w:rPr>
            </w:pPr>
            <w:r>
              <w:rPr>
                <w:b/>
                <w:bCs/>
                <w:color w:val="FFFFFF"/>
                <w:sz w:val="16"/>
                <w:szCs w:val="16"/>
              </w:rPr>
              <w:t>Avance</w:t>
            </w:r>
          </w:p>
        </w:tc>
        <w:tc>
          <w:tcPr>
            <w:tcW w:w="2219" w:type="dxa"/>
            <w:gridSpan w:val="3"/>
            <w:tcBorders>
              <w:top w:val="single" w:sz="12" w:space="0" w:color="auto"/>
              <w:left w:val="single" w:sz="12" w:space="0" w:color="auto"/>
              <w:bottom w:val="single" w:sz="12" w:space="0" w:color="auto"/>
              <w:right w:val="single" w:sz="12" w:space="0" w:color="auto"/>
            </w:tcBorders>
            <w:shd w:val="clear" w:color="000000" w:fill="1F4E78"/>
            <w:vAlign w:val="center"/>
            <w:hideMark/>
          </w:tcPr>
          <w:p w14:paraId="005DC40B" w14:textId="77777777" w:rsidR="00B848FD" w:rsidRPr="001D2E4B" w:rsidRDefault="00B848FD" w:rsidP="00582CA7">
            <w:pPr>
              <w:jc w:val="center"/>
              <w:rPr>
                <w:b/>
                <w:bCs/>
                <w:color w:val="FFFFFF"/>
                <w:sz w:val="16"/>
                <w:szCs w:val="16"/>
              </w:rPr>
            </w:pPr>
            <w:r w:rsidRPr="001D2E4B">
              <w:rPr>
                <w:b/>
                <w:bCs/>
                <w:color w:val="FFFFFF"/>
                <w:sz w:val="16"/>
                <w:szCs w:val="16"/>
              </w:rPr>
              <w:t>2023</w:t>
            </w:r>
          </w:p>
        </w:tc>
      </w:tr>
      <w:tr w:rsidR="00327D34" w:rsidRPr="001D2E4B" w14:paraId="79595E51" w14:textId="77777777" w:rsidTr="00435EA6">
        <w:trPr>
          <w:trHeight w:val="345"/>
          <w:jc w:val="center"/>
        </w:trPr>
        <w:tc>
          <w:tcPr>
            <w:tcW w:w="366" w:type="dxa"/>
            <w:vMerge/>
            <w:tcBorders>
              <w:top w:val="single" w:sz="8" w:space="0" w:color="auto"/>
              <w:left w:val="single" w:sz="12" w:space="0" w:color="auto"/>
              <w:bottom w:val="single" w:sz="12" w:space="0" w:color="auto"/>
              <w:right w:val="single" w:sz="8" w:space="0" w:color="000000"/>
            </w:tcBorders>
            <w:vAlign w:val="center"/>
            <w:hideMark/>
          </w:tcPr>
          <w:p w14:paraId="4DE44364" w14:textId="77777777" w:rsidR="00B848FD" w:rsidRPr="001D2E4B" w:rsidRDefault="00B848FD" w:rsidP="00582CA7">
            <w:pPr>
              <w:rPr>
                <w:b/>
                <w:bCs/>
                <w:color w:val="FFFFFF"/>
                <w:sz w:val="16"/>
                <w:szCs w:val="16"/>
              </w:rPr>
            </w:pPr>
          </w:p>
        </w:tc>
        <w:tc>
          <w:tcPr>
            <w:tcW w:w="3697" w:type="dxa"/>
            <w:vMerge/>
            <w:tcBorders>
              <w:top w:val="single" w:sz="8" w:space="0" w:color="auto"/>
              <w:left w:val="single" w:sz="8" w:space="0" w:color="000000"/>
              <w:bottom w:val="single" w:sz="12" w:space="0" w:color="auto"/>
              <w:right w:val="single" w:sz="8" w:space="0" w:color="000000"/>
            </w:tcBorders>
            <w:vAlign w:val="center"/>
            <w:hideMark/>
          </w:tcPr>
          <w:p w14:paraId="48FA3782" w14:textId="77777777" w:rsidR="00B848FD" w:rsidRPr="001D2E4B" w:rsidRDefault="00B848FD" w:rsidP="00582CA7">
            <w:pPr>
              <w:rPr>
                <w:b/>
                <w:bCs/>
                <w:color w:val="FFFFFF"/>
                <w:sz w:val="16"/>
                <w:szCs w:val="16"/>
              </w:rPr>
            </w:pPr>
          </w:p>
        </w:tc>
        <w:tc>
          <w:tcPr>
            <w:tcW w:w="948" w:type="dxa"/>
            <w:vMerge/>
            <w:tcBorders>
              <w:top w:val="single" w:sz="8" w:space="0" w:color="auto"/>
              <w:left w:val="single" w:sz="8" w:space="0" w:color="000000"/>
              <w:bottom w:val="single" w:sz="12" w:space="0" w:color="auto"/>
              <w:right w:val="single" w:sz="4" w:space="0" w:color="auto"/>
            </w:tcBorders>
            <w:vAlign w:val="center"/>
            <w:hideMark/>
          </w:tcPr>
          <w:p w14:paraId="42304A72" w14:textId="77777777" w:rsidR="00B848FD" w:rsidRPr="001D2E4B" w:rsidRDefault="00B848FD" w:rsidP="00582CA7">
            <w:pPr>
              <w:rPr>
                <w:b/>
                <w:bCs/>
                <w:color w:val="FFFFFF"/>
                <w:sz w:val="16"/>
                <w:szCs w:val="16"/>
              </w:rPr>
            </w:pPr>
          </w:p>
        </w:tc>
        <w:tc>
          <w:tcPr>
            <w:tcW w:w="805" w:type="dxa"/>
            <w:tcBorders>
              <w:top w:val="nil"/>
              <w:left w:val="nil"/>
              <w:bottom w:val="single" w:sz="12" w:space="0" w:color="auto"/>
              <w:right w:val="single" w:sz="4" w:space="0" w:color="auto"/>
            </w:tcBorders>
            <w:shd w:val="clear" w:color="000000" w:fill="1F4E78"/>
            <w:vAlign w:val="center"/>
            <w:hideMark/>
          </w:tcPr>
          <w:p w14:paraId="51A4D78C" w14:textId="77777777" w:rsidR="00B848FD" w:rsidRPr="001D2E4B" w:rsidRDefault="00B848FD" w:rsidP="00582CA7">
            <w:pPr>
              <w:jc w:val="center"/>
              <w:rPr>
                <w:b/>
                <w:bCs/>
                <w:color w:val="FFFFFF"/>
                <w:sz w:val="16"/>
                <w:szCs w:val="16"/>
              </w:rPr>
            </w:pPr>
            <w:r w:rsidRPr="001D2E4B">
              <w:rPr>
                <w:b/>
                <w:bCs/>
                <w:color w:val="FFFFFF"/>
                <w:sz w:val="16"/>
                <w:szCs w:val="16"/>
              </w:rPr>
              <w:t>2021</w:t>
            </w:r>
          </w:p>
        </w:tc>
        <w:tc>
          <w:tcPr>
            <w:tcW w:w="805" w:type="dxa"/>
            <w:tcBorders>
              <w:top w:val="nil"/>
              <w:left w:val="nil"/>
              <w:bottom w:val="single" w:sz="12" w:space="0" w:color="auto"/>
              <w:right w:val="single" w:sz="12" w:space="0" w:color="auto"/>
            </w:tcBorders>
            <w:shd w:val="clear" w:color="000000" w:fill="1F4E78"/>
            <w:vAlign w:val="center"/>
            <w:hideMark/>
          </w:tcPr>
          <w:p w14:paraId="3BEDF16C" w14:textId="77777777" w:rsidR="00B848FD" w:rsidRPr="001D2E4B" w:rsidRDefault="00B848FD" w:rsidP="00582CA7">
            <w:pPr>
              <w:jc w:val="center"/>
              <w:rPr>
                <w:b/>
                <w:bCs/>
                <w:color w:val="FFFFFF"/>
                <w:sz w:val="16"/>
                <w:szCs w:val="16"/>
              </w:rPr>
            </w:pPr>
            <w:r w:rsidRPr="001D2E4B">
              <w:rPr>
                <w:b/>
                <w:bCs/>
                <w:color w:val="FFFFFF"/>
                <w:sz w:val="16"/>
                <w:szCs w:val="16"/>
              </w:rPr>
              <w:t>2022</w:t>
            </w:r>
          </w:p>
        </w:tc>
        <w:tc>
          <w:tcPr>
            <w:tcW w:w="912" w:type="dxa"/>
            <w:tcBorders>
              <w:top w:val="single" w:sz="12" w:space="0" w:color="auto"/>
              <w:left w:val="single" w:sz="12" w:space="0" w:color="auto"/>
              <w:bottom w:val="single" w:sz="12" w:space="0" w:color="auto"/>
              <w:right w:val="single" w:sz="4" w:space="0" w:color="auto"/>
            </w:tcBorders>
            <w:shd w:val="clear" w:color="000000" w:fill="1F4E78"/>
            <w:vAlign w:val="center"/>
            <w:hideMark/>
          </w:tcPr>
          <w:p w14:paraId="325394BA" w14:textId="77777777" w:rsidR="00B848FD" w:rsidRPr="001D2E4B" w:rsidRDefault="00B848FD" w:rsidP="00582CA7">
            <w:pPr>
              <w:jc w:val="center"/>
              <w:rPr>
                <w:b/>
                <w:bCs/>
                <w:color w:val="FFFFFF"/>
                <w:sz w:val="16"/>
                <w:szCs w:val="16"/>
              </w:rPr>
            </w:pPr>
            <w:r w:rsidRPr="001D2E4B">
              <w:rPr>
                <w:b/>
                <w:bCs/>
                <w:color w:val="FFFFFF"/>
                <w:sz w:val="16"/>
                <w:szCs w:val="16"/>
              </w:rPr>
              <w:t>Meta</w:t>
            </w:r>
          </w:p>
        </w:tc>
        <w:tc>
          <w:tcPr>
            <w:tcW w:w="676" w:type="dxa"/>
            <w:tcBorders>
              <w:top w:val="single" w:sz="12" w:space="0" w:color="auto"/>
              <w:left w:val="nil"/>
              <w:bottom w:val="single" w:sz="12" w:space="0" w:color="auto"/>
              <w:right w:val="single" w:sz="4" w:space="0" w:color="auto"/>
            </w:tcBorders>
            <w:shd w:val="clear" w:color="000000" w:fill="1F4E78"/>
            <w:vAlign w:val="center"/>
            <w:hideMark/>
          </w:tcPr>
          <w:p w14:paraId="4B7D6AE7" w14:textId="77777777" w:rsidR="00B848FD" w:rsidRPr="001D2E4B" w:rsidRDefault="00B848FD" w:rsidP="00582CA7">
            <w:pPr>
              <w:jc w:val="center"/>
              <w:rPr>
                <w:b/>
                <w:bCs/>
                <w:color w:val="FFFFFF"/>
                <w:sz w:val="16"/>
                <w:szCs w:val="16"/>
              </w:rPr>
            </w:pPr>
            <w:r w:rsidRPr="001D2E4B">
              <w:rPr>
                <w:b/>
                <w:bCs/>
                <w:color w:val="FFFFFF"/>
                <w:sz w:val="16"/>
                <w:szCs w:val="16"/>
              </w:rPr>
              <w:t>Brecha</w:t>
            </w:r>
          </w:p>
        </w:tc>
        <w:tc>
          <w:tcPr>
            <w:tcW w:w="629" w:type="dxa"/>
            <w:tcBorders>
              <w:top w:val="single" w:sz="12" w:space="0" w:color="auto"/>
              <w:left w:val="nil"/>
              <w:bottom w:val="single" w:sz="12" w:space="0" w:color="auto"/>
              <w:right w:val="single" w:sz="12" w:space="0" w:color="auto"/>
            </w:tcBorders>
            <w:shd w:val="clear" w:color="000000" w:fill="1F4E78"/>
            <w:vAlign w:val="center"/>
            <w:hideMark/>
          </w:tcPr>
          <w:p w14:paraId="257AF6C3" w14:textId="77777777" w:rsidR="00B848FD" w:rsidRPr="001D2E4B" w:rsidRDefault="00B848FD" w:rsidP="00582CA7">
            <w:pPr>
              <w:jc w:val="center"/>
              <w:rPr>
                <w:b/>
                <w:bCs/>
                <w:color w:val="FFFFFF"/>
                <w:sz w:val="16"/>
                <w:szCs w:val="16"/>
              </w:rPr>
            </w:pPr>
            <w:r w:rsidRPr="001D2E4B">
              <w:rPr>
                <w:b/>
                <w:bCs/>
                <w:color w:val="FFFFFF"/>
                <w:sz w:val="16"/>
                <w:szCs w:val="16"/>
              </w:rPr>
              <w:t>% de avance</w:t>
            </w:r>
          </w:p>
        </w:tc>
      </w:tr>
      <w:tr w:rsidR="00327D34" w:rsidRPr="001D2E4B" w14:paraId="54E662AC" w14:textId="77777777" w:rsidTr="00435EA6">
        <w:trPr>
          <w:trHeight w:val="483"/>
          <w:jc w:val="center"/>
        </w:trPr>
        <w:tc>
          <w:tcPr>
            <w:tcW w:w="366" w:type="dxa"/>
            <w:tcBorders>
              <w:top w:val="single" w:sz="12" w:space="0" w:color="auto"/>
              <w:left w:val="single" w:sz="12" w:space="0" w:color="auto"/>
              <w:bottom w:val="single" w:sz="4" w:space="0" w:color="auto"/>
              <w:right w:val="single" w:sz="8" w:space="0" w:color="000000"/>
            </w:tcBorders>
            <w:shd w:val="clear" w:color="auto" w:fill="auto"/>
            <w:vAlign w:val="center"/>
            <w:hideMark/>
          </w:tcPr>
          <w:p w14:paraId="74845491" w14:textId="77777777" w:rsidR="00B848FD" w:rsidRPr="001D2E4B" w:rsidRDefault="00B848FD" w:rsidP="00582CA7">
            <w:pPr>
              <w:jc w:val="center"/>
              <w:rPr>
                <w:color w:val="000000"/>
                <w:sz w:val="16"/>
                <w:szCs w:val="16"/>
              </w:rPr>
            </w:pPr>
            <w:r w:rsidRPr="001D2E4B">
              <w:rPr>
                <w:color w:val="000000"/>
                <w:sz w:val="16"/>
                <w:szCs w:val="16"/>
              </w:rPr>
              <w:t>1</w:t>
            </w:r>
          </w:p>
        </w:tc>
        <w:tc>
          <w:tcPr>
            <w:tcW w:w="3697" w:type="dxa"/>
            <w:tcBorders>
              <w:top w:val="single" w:sz="12" w:space="0" w:color="auto"/>
              <w:left w:val="nil"/>
              <w:bottom w:val="single" w:sz="4" w:space="0" w:color="auto"/>
              <w:right w:val="single" w:sz="8" w:space="0" w:color="000000"/>
            </w:tcBorders>
            <w:shd w:val="clear" w:color="auto" w:fill="auto"/>
            <w:vAlign w:val="center"/>
            <w:hideMark/>
          </w:tcPr>
          <w:p w14:paraId="13AD245B" w14:textId="77777777" w:rsidR="00B848FD" w:rsidRPr="001D2E4B" w:rsidRDefault="00B848FD" w:rsidP="00582CA7">
            <w:pPr>
              <w:rPr>
                <w:color w:val="000000"/>
                <w:sz w:val="16"/>
                <w:szCs w:val="16"/>
              </w:rPr>
            </w:pPr>
            <w:r w:rsidRPr="001D2E4B">
              <w:rPr>
                <w:color w:val="000000"/>
                <w:sz w:val="16"/>
                <w:szCs w:val="16"/>
              </w:rPr>
              <w:t>Para el año 2023 se ha incrementado en 2.60 puntos porcentuales la tasa de crecimiento del PIB real.</w:t>
            </w:r>
          </w:p>
        </w:tc>
        <w:tc>
          <w:tcPr>
            <w:tcW w:w="948" w:type="dxa"/>
            <w:tcBorders>
              <w:top w:val="single" w:sz="12" w:space="0" w:color="auto"/>
              <w:left w:val="nil"/>
              <w:bottom w:val="single" w:sz="4" w:space="0" w:color="auto"/>
              <w:right w:val="single" w:sz="4" w:space="0" w:color="auto"/>
            </w:tcBorders>
            <w:shd w:val="clear" w:color="auto" w:fill="auto"/>
            <w:vAlign w:val="center"/>
            <w:hideMark/>
          </w:tcPr>
          <w:p w14:paraId="74587D43" w14:textId="77777777" w:rsidR="00B848FD" w:rsidRPr="001D2E4B" w:rsidRDefault="00B848FD" w:rsidP="00582CA7">
            <w:pPr>
              <w:jc w:val="center"/>
              <w:rPr>
                <w:color w:val="000000"/>
                <w:sz w:val="16"/>
                <w:szCs w:val="16"/>
              </w:rPr>
            </w:pPr>
            <w:r w:rsidRPr="001D2E4B">
              <w:rPr>
                <w:color w:val="000000"/>
                <w:sz w:val="16"/>
                <w:szCs w:val="16"/>
              </w:rPr>
              <w:t xml:space="preserve">Gabeco </w:t>
            </w:r>
          </w:p>
        </w:tc>
        <w:tc>
          <w:tcPr>
            <w:tcW w:w="805" w:type="dxa"/>
            <w:tcBorders>
              <w:top w:val="single" w:sz="12" w:space="0" w:color="auto"/>
              <w:left w:val="nil"/>
              <w:bottom w:val="single" w:sz="4" w:space="0" w:color="auto"/>
              <w:right w:val="single" w:sz="4" w:space="0" w:color="auto"/>
            </w:tcBorders>
            <w:shd w:val="clear" w:color="auto" w:fill="auto"/>
            <w:vAlign w:val="center"/>
            <w:hideMark/>
          </w:tcPr>
          <w:p w14:paraId="01CA7B1D" w14:textId="77777777" w:rsidR="00B848FD" w:rsidRPr="001D2E4B" w:rsidRDefault="00B848FD" w:rsidP="00582CA7">
            <w:pPr>
              <w:jc w:val="center"/>
              <w:rPr>
                <w:sz w:val="16"/>
                <w:szCs w:val="16"/>
              </w:rPr>
            </w:pPr>
            <w:r w:rsidRPr="001D2E4B">
              <w:rPr>
                <w:sz w:val="16"/>
                <w:szCs w:val="16"/>
              </w:rPr>
              <w:t>8.00%</w:t>
            </w:r>
          </w:p>
        </w:tc>
        <w:tc>
          <w:tcPr>
            <w:tcW w:w="805" w:type="dxa"/>
            <w:tcBorders>
              <w:top w:val="single" w:sz="12" w:space="0" w:color="auto"/>
              <w:left w:val="nil"/>
              <w:bottom w:val="single" w:sz="4" w:space="0" w:color="auto"/>
              <w:right w:val="single" w:sz="12" w:space="0" w:color="auto"/>
            </w:tcBorders>
            <w:shd w:val="clear" w:color="auto" w:fill="auto"/>
            <w:vAlign w:val="center"/>
            <w:hideMark/>
          </w:tcPr>
          <w:p w14:paraId="4FE1C01B" w14:textId="77777777" w:rsidR="00B848FD" w:rsidRPr="001D2E4B" w:rsidRDefault="00B848FD" w:rsidP="00582CA7">
            <w:pPr>
              <w:jc w:val="center"/>
              <w:rPr>
                <w:sz w:val="16"/>
                <w:szCs w:val="16"/>
              </w:rPr>
            </w:pPr>
            <w:r w:rsidRPr="001D2E4B">
              <w:rPr>
                <w:sz w:val="16"/>
                <w:szCs w:val="16"/>
              </w:rPr>
              <w:t>4.00%</w:t>
            </w:r>
          </w:p>
        </w:tc>
        <w:tc>
          <w:tcPr>
            <w:tcW w:w="912" w:type="dxa"/>
            <w:tcBorders>
              <w:top w:val="single" w:sz="12" w:space="0" w:color="auto"/>
              <w:left w:val="single" w:sz="12" w:space="0" w:color="auto"/>
              <w:bottom w:val="single" w:sz="4" w:space="0" w:color="auto"/>
              <w:right w:val="single" w:sz="4" w:space="0" w:color="auto"/>
            </w:tcBorders>
            <w:shd w:val="clear" w:color="auto" w:fill="auto"/>
            <w:vAlign w:val="center"/>
            <w:hideMark/>
          </w:tcPr>
          <w:p w14:paraId="2293AAF9" w14:textId="77777777" w:rsidR="00B848FD" w:rsidRPr="001D2E4B" w:rsidRDefault="00B848FD" w:rsidP="00582CA7">
            <w:pPr>
              <w:jc w:val="center"/>
              <w:rPr>
                <w:color w:val="000000"/>
                <w:sz w:val="16"/>
                <w:szCs w:val="16"/>
              </w:rPr>
            </w:pPr>
            <w:r w:rsidRPr="001D2E4B">
              <w:rPr>
                <w:color w:val="000000"/>
                <w:sz w:val="16"/>
                <w:szCs w:val="16"/>
              </w:rPr>
              <w:t>6.00%</w:t>
            </w:r>
          </w:p>
        </w:tc>
        <w:tc>
          <w:tcPr>
            <w:tcW w:w="676" w:type="dxa"/>
            <w:tcBorders>
              <w:top w:val="single" w:sz="12" w:space="0" w:color="auto"/>
              <w:left w:val="nil"/>
              <w:bottom w:val="single" w:sz="4" w:space="0" w:color="auto"/>
              <w:right w:val="single" w:sz="4" w:space="0" w:color="auto"/>
            </w:tcBorders>
            <w:shd w:val="clear" w:color="auto" w:fill="auto"/>
            <w:noWrap/>
            <w:vAlign w:val="center"/>
            <w:hideMark/>
          </w:tcPr>
          <w:p w14:paraId="1612D0CD" w14:textId="77777777" w:rsidR="00B848FD" w:rsidRPr="001D2E4B" w:rsidRDefault="00B848FD" w:rsidP="00582CA7">
            <w:pPr>
              <w:jc w:val="center"/>
              <w:rPr>
                <w:color w:val="C00000"/>
                <w:sz w:val="16"/>
                <w:szCs w:val="16"/>
              </w:rPr>
            </w:pPr>
            <w:r w:rsidRPr="001D2E4B">
              <w:rPr>
                <w:color w:val="C00000"/>
                <w:sz w:val="16"/>
                <w:szCs w:val="16"/>
              </w:rPr>
              <w:t>-2.00</w:t>
            </w:r>
          </w:p>
        </w:tc>
        <w:tc>
          <w:tcPr>
            <w:tcW w:w="629" w:type="dxa"/>
            <w:tcBorders>
              <w:top w:val="single" w:sz="12" w:space="0" w:color="auto"/>
              <w:left w:val="nil"/>
              <w:bottom w:val="single" w:sz="4" w:space="0" w:color="auto"/>
              <w:right w:val="single" w:sz="12" w:space="0" w:color="auto"/>
            </w:tcBorders>
            <w:shd w:val="clear" w:color="000000" w:fill="FFFF00"/>
            <w:vAlign w:val="center"/>
            <w:hideMark/>
          </w:tcPr>
          <w:p w14:paraId="6AE100BE" w14:textId="77777777" w:rsidR="00B848FD" w:rsidRPr="001D2E4B" w:rsidRDefault="00B848FD" w:rsidP="00582CA7">
            <w:pPr>
              <w:jc w:val="center"/>
              <w:rPr>
                <w:b/>
                <w:bCs/>
                <w:sz w:val="16"/>
                <w:szCs w:val="16"/>
              </w:rPr>
            </w:pPr>
            <w:r w:rsidRPr="001D2E4B">
              <w:rPr>
                <w:b/>
                <w:bCs/>
                <w:sz w:val="16"/>
                <w:szCs w:val="16"/>
              </w:rPr>
              <w:t>66.7%</w:t>
            </w:r>
          </w:p>
        </w:tc>
      </w:tr>
      <w:tr w:rsidR="00327D34" w:rsidRPr="001D2E4B" w14:paraId="0CEA567F" w14:textId="77777777" w:rsidTr="00435EA6">
        <w:trPr>
          <w:trHeight w:val="469"/>
          <w:jc w:val="center"/>
        </w:trPr>
        <w:tc>
          <w:tcPr>
            <w:tcW w:w="366" w:type="dxa"/>
            <w:tcBorders>
              <w:top w:val="nil"/>
              <w:left w:val="single" w:sz="12" w:space="0" w:color="auto"/>
              <w:bottom w:val="single" w:sz="4" w:space="0" w:color="auto"/>
              <w:right w:val="single" w:sz="8" w:space="0" w:color="000000"/>
            </w:tcBorders>
            <w:shd w:val="clear" w:color="auto" w:fill="auto"/>
            <w:vAlign w:val="center"/>
            <w:hideMark/>
          </w:tcPr>
          <w:p w14:paraId="25643ED2" w14:textId="77777777" w:rsidR="00B848FD" w:rsidRPr="001D2E4B" w:rsidRDefault="00B848FD" w:rsidP="00582CA7">
            <w:pPr>
              <w:jc w:val="center"/>
              <w:rPr>
                <w:color w:val="000000"/>
                <w:sz w:val="16"/>
                <w:szCs w:val="16"/>
              </w:rPr>
            </w:pPr>
            <w:r w:rsidRPr="001D2E4B">
              <w:rPr>
                <w:color w:val="000000"/>
                <w:sz w:val="16"/>
                <w:szCs w:val="16"/>
              </w:rPr>
              <w:t>2</w:t>
            </w:r>
          </w:p>
        </w:tc>
        <w:tc>
          <w:tcPr>
            <w:tcW w:w="3697" w:type="dxa"/>
            <w:tcBorders>
              <w:top w:val="nil"/>
              <w:left w:val="nil"/>
              <w:bottom w:val="single" w:sz="4" w:space="0" w:color="auto"/>
              <w:right w:val="single" w:sz="8" w:space="0" w:color="000000"/>
            </w:tcBorders>
            <w:shd w:val="clear" w:color="auto" w:fill="auto"/>
            <w:vAlign w:val="center"/>
            <w:hideMark/>
          </w:tcPr>
          <w:p w14:paraId="11CACC11" w14:textId="77777777" w:rsidR="00B848FD" w:rsidRPr="001D2E4B" w:rsidRDefault="00B848FD" w:rsidP="00582CA7">
            <w:pPr>
              <w:rPr>
                <w:color w:val="000000"/>
                <w:sz w:val="16"/>
                <w:szCs w:val="16"/>
              </w:rPr>
            </w:pPr>
            <w:r w:rsidRPr="001D2E4B">
              <w:rPr>
                <w:color w:val="000000"/>
                <w:sz w:val="16"/>
                <w:szCs w:val="16"/>
              </w:rPr>
              <w:t>Para el año 2023 el país ocupa la posición 85 en el ranking del índice de competitividad global.</w:t>
            </w:r>
          </w:p>
        </w:tc>
        <w:tc>
          <w:tcPr>
            <w:tcW w:w="948" w:type="dxa"/>
            <w:tcBorders>
              <w:top w:val="nil"/>
              <w:left w:val="nil"/>
              <w:bottom w:val="single" w:sz="4" w:space="0" w:color="auto"/>
              <w:right w:val="single" w:sz="4" w:space="0" w:color="auto"/>
            </w:tcBorders>
            <w:shd w:val="clear" w:color="auto" w:fill="auto"/>
            <w:vAlign w:val="center"/>
            <w:hideMark/>
          </w:tcPr>
          <w:p w14:paraId="2C03707C" w14:textId="77777777" w:rsidR="00B848FD" w:rsidRPr="001D2E4B" w:rsidRDefault="00B848FD" w:rsidP="00582CA7">
            <w:pPr>
              <w:jc w:val="center"/>
              <w:rPr>
                <w:color w:val="000000"/>
                <w:sz w:val="16"/>
                <w:szCs w:val="16"/>
              </w:rPr>
            </w:pPr>
            <w:r w:rsidRPr="001D2E4B">
              <w:rPr>
                <w:color w:val="000000"/>
                <w:sz w:val="16"/>
                <w:szCs w:val="16"/>
              </w:rPr>
              <w:t xml:space="preserve">Gabeco </w:t>
            </w:r>
          </w:p>
        </w:tc>
        <w:tc>
          <w:tcPr>
            <w:tcW w:w="805" w:type="dxa"/>
            <w:tcBorders>
              <w:top w:val="nil"/>
              <w:left w:val="nil"/>
              <w:bottom w:val="single" w:sz="4" w:space="0" w:color="auto"/>
              <w:right w:val="single" w:sz="4" w:space="0" w:color="auto"/>
            </w:tcBorders>
            <w:shd w:val="clear" w:color="auto" w:fill="auto"/>
            <w:vAlign w:val="center"/>
            <w:hideMark/>
          </w:tcPr>
          <w:p w14:paraId="1AFF0364" w14:textId="77777777" w:rsidR="00B848FD" w:rsidRPr="001D2E4B" w:rsidRDefault="00B848FD" w:rsidP="00582CA7">
            <w:pPr>
              <w:jc w:val="center"/>
              <w:rPr>
                <w:sz w:val="16"/>
                <w:szCs w:val="16"/>
              </w:rPr>
            </w:pPr>
            <w:r w:rsidRPr="001D2E4B">
              <w:rPr>
                <w:sz w:val="16"/>
                <w:szCs w:val="16"/>
              </w:rPr>
              <w:t>98</w:t>
            </w:r>
          </w:p>
        </w:tc>
        <w:tc>
          <w:tcPr>
            <w:tcW w:w="805" w:type="dxa"/>
            <w:tcBorders>
              <w:top w:val="nil"/>
              <w:left w:val="nil"/>
              <w:bottom w:val="single" w:sz="4" w:space="0" w:color="auto"/>
              <w:right w:val="single" w:sz="12" w:space="0" w:color="auto"/>
            </w:tcBorders>
            <w:shd w:val="clear" w:color="auto" w:fill="auto"/>
            <w:vAlign w:val="center"/>
            <w:hideMark/>
          </w:tcPr>
          <w:p w14:paraId="4431CB99" w14:textId="77777777" w:rsidR="00B848FD" w:rsidRPr="001D2E4B" w:rsidRDefault="00B848FD" w:rsidP="00582CA7">
            <w:pPr>
              <w:jc w:val="center"/>
              <w:rPr>
                <w:sz w:val="16"/>
                <w:szCs w:val="16"/>
              </w:rPr>
            </w:pPr>
            <w:r w:rsidRPr="001D2E4B">
              <w:rPr>
                <w:sz w:val="16"/>
                <w:szCs w:val="16"/>
              </w:rPr>
              <w:t>98</w:t>
            </w:r>
          </w:p>
        </w:tc>
        <w:tc>
          <w:tcPr>
            <w:tcW w:w="912" w:type="dxa"/>
            <w:tcBorders>
              <w:top w:val="nil"/>
              <w:left w:val="single" w:sz="12" w:space="0" w:color="auto"/>
              <w:bottom w:val="single" w:sz="4" w:space="0" w:color="auto"/>
              <w:right w:val="single" w:sz="4" w:space="0" w:color="auto"/>
            </w:tcBorders>
            <w:shd w:val="clear" w:color="auto" w:fill="auto"/>
            <w:vAlign w:val="center"/>
            <w:hideMark/>
          </w:tcPr>
          <w:p w14:paraId="455C963B" w14:textId="77777777" w:rsidR="00B848FD" w:rsidRPr="001D2E4B" w:rsidRDefault="00B848FD" w:rsidP="00582CA7">
            <w:pPr>
              <w:jc w:val="center"/>
              <w:rPr>
                <w:color w:val="000000"/>
                <w:sz w:val="16"/>
                <w:szCs w:val="16"/>
              </w:rPr>
            </w:pPr>
            <w:r w:rsidRPr="001D2E4B">
              <w:rPr>
                <w:color w:val="000000"/>
                <w:sz w:val="16"/>
                <w:szCs w:val="16"/>
              </w:rPr>
              <w:t>85</w:t>
            </w:r>
          </w:p>
        </w:tc>
        <w:tc>
          <w:tcPr>
            <w:tcW w:w="676" w:type="dxa"/>
            <w:tcBorders>
              <w:top w:val="nil"/>
              <w:left w:val="nil"/>
              <w:bottom w:val="single" w:sz="4" w:space="0" w:color="auto"/>
              <w:right w:val="single" w:sz="4" w:space="0" w:color="auto"/>
            </w:tcBorders>
            <w:shd w:val="clear" w:color="auto" w:fill="auto"/>
            <w:noWrap/>
            <w:vAlign w:val="center"/>
            <w:hideMark/>
          </w:tcPr>
          <w:p w14:paraId="0BFC339F" w14:textId="77777777" w:rsidR="00B848FD" w:rsidRPr="001D2E4B" w:rsidRDefault="00B848FD" w:rsidP="00582CA7">
            <w:pPr>
              <w:jc w:val="center"/>
              <w:rPr>
                <w:color w:val="C00000"/>
                <w:sz w:val="16"/>
                <w:szCs w:val="16"/>
              </w:rPr>
            </w:pPr>
            <w:r w:rsidRPr="001D2E4B">
              <w:rPr>
                <w:color w:val="C00000"/>
                <w:sz w:val="16"/>
                <w:szCs w:val="16"/>
              </w:rPr>
              <w:t>-13</w:t>
            </w:r>
          </w:p>
        </w:tc>
        <w:tc>
          <w:tcPr>
            <w:tcW w:w="629" w:type="dxa"/>
            <w:tcBorders>
              <w:top w:val="nil"/>
              <w:left w:val="nil"/>
              <w:bottom w:val="single" w:sz="4" w:space="0" w:color="auto"/>
              <w:right w:val="single" w:sz="12" w:space="0" w:color="auto"/>
            </w:tcBorders>
            <w:shd w:val="clear" w:color="000000" w:fill="A9D08E"/>
            <w:vAlign w:val="center"/>
            <w:hideMark/>
          </w:tcPr>
          <w:p w14:paraId="65551A99" w14:textId="77777777" w:rsidR="00B848FD" w:rsidRPr="001D2E4B" w:rsidRDefault="00B848FD" w:rsidP="00582CA7">
            <w:pPr>
              <w:jc w:val="center"/>
              <w:rPr>
                <w:b/>
                <w:bCs/>
                <w:sz w:val="16"/>
                <w:szCs w:val="16"/>
              </w:rPr>
            </w:pPr>
            <w:r w:rsidRPr="001D2E4B">
              <w:rPr>
                <w:b/>
                <w:bCs/>
                <w:sz w:val="16"/>
                <w:szCs w:val="16"/>
              </w:rPr>
              <w:t>86.7%</w:t>
            </w:r>
          </w:p>
        </w:tc>
      </w:tr>
      <w:tr w:rsidR="00327D34" w:rsidRPr="001D2E4B" w14:paraId="09BA06BE" w14:textId="77777777" w:rsidTr="00435EA6">
        <w:trPr>
          <w:trHeight w:val="455"/>
          <w:jc w:val="center"/>
        </w:trPr>
        <w:tc>
          <w:tcPr>
            <w:tcW w:w="366" w:type="dxa"/>
            <w:tcBorders>
              <w:top w:val="nil"/>
              <w:left w:val="single" w:sz="12" w:space="0" w:color="auto"/>
              <w:bottom w:val="single" w:sz="4" w:space="0" w:color="auto"/>
              <w:right w:val="single" w:sz="8" w:space="0" w:color="000000"/>
            </w:tcBorders>
            <w:shd w:val="clear" w:color="auto" w:fill="auto"/>
            <w:vAlign w:val="center"/>
            <w:hideMark/>
          </w:tcPr>
          <w:p w14:paraId="150503BB" w14:textId="77777777" w:rsidR="00B848FD" w:rsidRPr="001D2E4B" w:rsidRDefault="00B848FD" w:rsidP="00582CA7">
            <w:pPr>
              <w:jc w:val="center"/>
              <w:rPr>
                <w:color w:val="000000"/>
                <w:sz w:val="16"/>
                <w:szCs w:val="16"/>
              </w:rPr>
            </w:pPr>
            <w:r w:rsidRPr="001D2E4B">
              <w:rPr>
                <w:color w:val="000000"/>
                <w:sz w:val="16"/>
                <w:szCs w:val="16"/>
              </w:rPr>
              <w:t>3</w:t>
            </w:r>
          </w:p>
        </w:tc>
        <w:tc>
          <w:tcPr>
            <w:tcW w:w="3697" w:type="dxa"/>
            <w:tcBorders>
              <w:top w:val="nil"/>
              <w:left w:val="nil"/>
              <w:bottom w:val="single" w:sz="4" w:space="0" w:color="auto"/>
              <w:right w:val="single" w:sz="8" w:space="0" w:color="000000"/>
            </w:tcBorders>
            <w:shd w:val="clear" w:color="auto" w:fill="auto"/>
            <w:vAlign w:val="center"/>
            <w:hideMark/>
          </w:tcPr>
          <w:p w14:paraId="7C6CDC3F" w14:textId="77777777" w:rsidR="00B848FD" w:rsidRPr="001D2E4B" w:rsidRDefault="00B848FD" w:rsidP="00582CA7">
            <w:pPr>
              <w:rPr>
                <w:color w:val="000000"/>
                <w:sz w:val="16"/>
                <w:szCs w:val="16"/>
              </w:rPr>
            </w:pPr>
            <w:r w:rsidRPr="001D2E4B">
              <w:rPr>
                <w:color w:val="000000"/>
                <w:sz w:val="16"/>
                <w:szCs w:val="16"/>
              </w:rPr>
              <w:t>Para el año 2023 el país ocupa la posición 88 en el ranking del Doing Business.</w:t>
            </w:r>
          </w:p>
        </w:tc>
        <w:tc>
          <w:tcPr>
            <w:tcW w:w="948" w:type="dxa"/>
            <w:tcBorders>
              <w:top w:val="nil"/>
              <w:left w:val="nil"/>
              <w:bottom w:val="single" w:sz="4" w:space="0" w:color="auto"/>
              <w:right w:val="single" w:sz="4" w:space="0" w:color="auto"/>
            </w:tcBorders>
            <w:shd w:val="clear" w:color="auto" w:fill="auto"/>
            <w:vAlign w:val="center"/>
            <w:hideMark/>
          </w:tcPr>
          <w:p w14:paraId="774A4961" w14:textId="77777777" w:rsidR="00B848FD" w:rsidRPr="001D2E4B" w:rsidRDefault="00B848FD" w:rsidP="00582CA7">
            <w:pPr>
              <w:jc w:val="center"/>
              <w:rPr>
                <w:color w:val="000000"/>
                <w:sz w:val="16"/>
                <w:szCs w:val="16"/>
              </w:rPr>
            </w:pPr>
            <w:r w:rsidRPr="001D2E4B">
              <w:rPr>
                <w:color w:val="000000"/>
                <w:sz w:val="16"/>
                <w:szCs w:val="16"/>
              </w:rPr>
              <w:t xml:space="preserve">Gabeco </w:t>
            </w:r>
          </w:p>
        </w:tc>
        <w:tc>
          <w:tcPr>
            <w:tcW w:w="805" w:type="dxa"/>
            <w:tcBorders>
              <w:top w:val="nil"/>
              <w:left w:val="nil"/>
              <w:bottom w:val="single" w:sz="4" w:space="0" w:color="auto"/>
              <w:right w:val="single" w:sz="4" w:space="0" w:color="auto"/>
            </w:tcBorders>
            <w:shd w:val="clear" w:color="auto" w:fill="auto"/>
            <w:vAlign w:val="center"/>
            <w:hideMark/>
          </w:tcPr>
          <w:p w14:paraId="77EE0F09" w14:textId="77777777" w:rsidR="00B848FD" w:rsidRPr="001D2E4B" w:rsidRDefault="00B848FD" w:rsidP="00582CA7">
            <w:pPr>
              <w:jc w:val="center"/>
              <w:rPr>
                <w:sz w:val="16"/>
                <w:szCs w:val="16"/>
              </w:rPr>
            </w:pPr>
            <w:r w:rsidRPr="001D2E4B">
              <w:rPr>
                <w:sz w:val="16"/>
                <w:szCs w:val="16"/>
              </w:rPr>
              <w:t>96</w:t>
            </w:r>
          </w:p>
        </w:tc>
        <w:tc>
          <w:tcPr>
            <w:tcW w:w="805" w:type="dxa"/>
            <w:tcBorders>
              <w:top w:val="nil"/>
              <w:left w:val="nil"/>
              <w:bottom w:val="single" w:sz="4" w:space="0" w:color="auto"/>
              <w:right w:val="single" w:sz="12" w:space="0" w:color="auto"/>
            </w:tcBorders>
            <w:shd w:val="clear" w:color="auto" w:fill="auto"/>
            <w:vAlign w:val="center"/>
            <w:hideMark/>
          </w:tcPr>
          <w:p w14:paraId="02C3D5C4" w14:textId="77777777" w:rsidR="00B848FD" w:rsidRPr="001D2E4B" w:rsidRDefault="00B848FD" w:rsidP="00582CA7">
            <w:pPr>
              <w:jc w:val="center"/>
              <w:rPr>
                <w:sz w:val="16"/>
                <w:szCs w:val="16"/>
              </w:rPr>
            </w:pPr>
            <w:r w:rsidRPr="001D2E4B">
              <w:rPr>
                <w:sz w:val="16"/>
                <w:szCs w:val="16"/>
              </w:rPr>
              <w:t>96</w:t>
            </w:r>
          </w:p>
        </w:tc>
        <w:tc>
          <w:tcPr>
            <w:tcW w:w="912" w:type="dxa"/>
            <w:tcBorders>
              <w:top w:val="nil"/>
              <w:left w:val="single" w:sz="12" w:space="0" w:color="auto"/>
              <w:bottom w:val="single" w:sz="4" w:space="0" w:color="auto"/>
              <w:right w:val="single" w:sz="4" w:space="0" w:color="auto"/>
            </w:tcBorders>
            <w:shd w:val="clear" w:color="auto" w:fill="auto"/>
            <w:vAlign w:val="center"/>
            <w:hideMark/>
          </w:tcPr>
          <w:p w14:paraId="2DEC7FAB" w14:textId="77777777" w:rsidR="00B848FD" w:rsidRPr="001D2E4B" w:rsidRDefault="00B848FD" w:rsidP="00582CA7">
            <w:pPr>
              <w:jc w:val="center"/>
              <w:rPr>
                <w:color w:val="000000"/>
                <w:sz w:val="16"/>
                <w:szCs w:val="16"/>
              </w:rPr>
            </w:pPr>
            <w:r w:rsidRPr="001D2E4B">
              <w:rPr>
                <w:color w:val="000000"/>
                <w:sz w:val="16"/>
                <w:szCs w:val="16"/>
              </w:rPr>
              <w:t>88</w:t>
            </w:r>
          </w:p>
        </w:tc>
        <w:tc>
          <w:tcPr>
            <w:tcW w:w="676" w:type="dxa"/>
            <w:tcBorders>
              <w:top w:val="nil"/>
              <w:left w:val="nil"/>
              <w:bottom w:val="single" w:sz="4" w:space="0" w:color="auto"/>
              <w:right w:val="single" w:sz="4" w:space="0" w:color="auto"/>
            </w:tcBorders>
            <w:shd w:val="clear" w:color="auto" w:fill="auto"/>
            <w:noWrap/>
            <w:vAlign w:val="center"/>
            <w:hideMark/>
          </w:tcPr>
          <w:p w14:paraId="64EA9731" w14:textId="77777777" w:rsidR="00B848FD" w:rsidRPr="001D2E4B" w:rsidRDefault="00B848FD" w:rsidP="00582CA7">
            <w:pPr>
              <w:jc w:val="center"/>
              <w:rPr>
                <w:color w:val="C00000"/>
                <w:sz w:val="16"/>
                <w:szCs w:val="16"/>
              </w:rPr>
            </w:pPr>
            <w:r w:rsidRPr="001D2E4B">
              <w:rPr>
                <w:color w:val="C00000"/>
                <w:sz w:val="16"/>
                <w:szCs w:val="16"/>
              </w:rPr>
              <w:t>-8</w:t>
            </w:r>
          </w:p>
        </w:tc>
        <w:tc>
          <w:tcPr>
            <w:tcW w:w="629" w:type="dxa"/>
            <w:tcBorders>
              <w:top w:val="nil"/>
              <w:left w:val="nil"/>
              <w:bottom w:val="single" w:sz="4" w:space="0" w:color="auto"/>
              <w:right w:val="single" w:sz="12" w:space="0" w:color="auto"/>
            </w:tcBorders>
            <w:shd w:val="clear" w:color="000000" w:fill="A9D08E"/>
            <w:vAlign w:val="center"/>
            <w:hideMark/>
          </w:tcPr>
          <w:p w14:paraId="16B71C01" w14:textId="77777777" w:rsidR="00B848FD" w:rsidRPr="001D2E4B" w:rsidRDefault="00B848FD" w:rsidP="00582CA7">
            <w:pPr>
              <w:jc w:val="center"/>
              <w:rPr>
                <w:b/>
                <w:bCs/>
                <w:sz w:val="16"/>
                <w:szCs w:val="16"/>
              </w:rPr>
            </w:pPr>
            <w:r w:rsidRPr="001D2E4B">
              <w:rPr>
                <w:b/>
                <w:bCs/>
                <w:sz w:val="16"/>
                <w:szCs w:val="16"/>
              </w:rPr>
              <w:t>91.7%</w:t>
            </w:r>
          </w:p>
        </w:tc>
      </w:tr>
      <w:tr w:rsidR="00327D34" w:rsidRPr="001D2E4B" w14:paraId="7E7BD640" w14:textId="77777777" w:rsidTr="00435EA6">
        <w:trPr>
          <w:trHeight w:val="469"/>
          <w:jc w:val="center"/>
        </w:trPr>
        <w:tc>
          <w:tcPr>
            <w:tcW w:w="366" w:type="dxa"/>
            <w:tcBorders>
              <w:top w:val="nil"/>
              <w:left w:val="single" w:sz="12" w:space="0" w:color="auto"/>
              <w:bottom w:val="single" w:sz="4" w:space="0" w:color="auto"/>
              <w:right w:val="single" w:sz="8" w:space="0" w:color="000000"/>
            </w:tcBorders>
            <w:shd w:val="clear" w:color="auto" w:fill="auto"/>
            <w:vAlign w:val="center"/>
            <w:hideMark/>
          </w:tcPr>
          <w:p w14:paraId="40A1593A" w14:textId="77777777" w:rsidR="00B848FD" w:rsidRPr="001D2E4B" w:rsidRDefault="00B848FD" w:rsidP="00582CA7">
            <w:pPr>
              <w:jc w:val="center"/>
              <w:rPr>
                <w:color w:val="000000"/>
                <w:sz w:val="16"/>
                <w:szCs w:val="16"/>
              </w:rPr>
            </w:pPr>
            <w:r w:rsidRPr="001D2E4B">
              <w:rPr>
                <w:color w:val="000000"/>
                <w:sz w:val="16"/>
                <w:szCs w:val="16"/>
              </w:rPr>
              <w:t>4</w:t>
            </w:r>
          </w:p>
        </w:tc>
        <w:tc>
          <w:tcPr>
            <w:tcW w:w="3697" w:type="dxa"/>
            <w:tcBorders>
              <w:top w:val="nil"/>
              <w:left w:val="nil"/>
              <w:bottom w:val="single" w:sz="4" w:space="0" w:color="auto"/>
              <w:right w:val="single" w:sz="8" w:space="0" w:color="000000"/>
            </w:tcBorders>
            <w:shd w:val="clear" w:color="auto" w:fill="auto"/>
            <w:vAlign w:val="center"/>
            <w:hideMark/>
          </w:tcPr>
          <w:p w14:paraId="08E8D460" w14:textId="77777777" w:rsidR="00B848FD" w:rsidRPr="001D2E4B" w:rsidRDefault="00B848FD" w:rsidP="00582CA7">
            <w:pPr>
              <w:rPr>
                <w:color w:val="000000"/>
                <w:sz w:val="16"/>
                <w:szCs w:val="16"/>
              </w:rPr>
            </w:pPr>
            <w:r w:rsidRPr="001D2E4B">
              <w:rPr>
                <w:color w:val="000000"/>
                <w:sz w:val="16"/>
                <w:szCs w:val="16"/>
              </w:rPr>
              <w:t>Para el año 2023 se redujo la tasa de informalidad del empleo en 6 puntos porcentuales.</w:t>
            </w:r>
          </w:p>
        </w:tc>
        <w:tc>
          <w:tcPr>
            <w:tcW w:w="948" w:type="dxa"/>
            <w:tcBorders>
              <w:top w:val="nil"/>
              <w:left w:val="nil"/>
              <w:bottom w:val="single" w:sz="4" w:space="0" w:color="auto"/>
              <w:right w:val="single" w:sz="4" w:space="0" w:color="auto"/>
            </w:tcBorders>
            <w:shd w:val="clear" w:color="auto" w:fill="auto"/>
            <w:vAlign w:val="center"/>
            <w:hideMark/>
          </w:tcPr>
          <w:p w14:paraId="6728133B" w14:textId="77777777" w:rsidR="00B848FD" w:rsidRPr="001D2E4B" w:rsidRDefault="00B848FD" w:rsidP="00582CA7">
            <w:pPr>
              <w:jc w:val="center"/>
              <w:rPr>
                <w:color w:val="000000"/>
                <w:sz w:val="16"/>
                <w:szCs w:val="16"/>
              </w:rPr>
            </w:pPr>
            <w:r w:rsidRPr="001D2E4B">
              <w:rPr>
                <w:color w:val="000000"/>
                <w:sz w:val="16"/>
                <w:szCs w:val="16"/>
              </w:rPr>
              <w:t xml:space="preserve">Gabeco </w:t>
            </w:r>
          </w:p>
        </w:tc>
        <w:tc>
          <w:tcPr>
            <w:tcW w:w="805" w:type="dxa"/>
            <w:tcBorders>
              <w:top w:val="nil"/>
              <w:left w:val="nil"/>
              <w:bottom w:val="single" w:sz="4" w:space="0" w:color="auto"/>
              <w:right w:val="single" w:sz="4" w:space="0" w:color="auto"/>
            </w:tcBorders>
            <w:shd w:val="clear" w:color="auto" w:fill="auto"/>
            <w:vAlign w:val="center"/>
            <w:hideMark/>
          </w:tcPr>
          <w:p w14:paraId="0776ACA8" w14:textId="77777777" w:rsidR="00B848FD" w:rsidRPr="001D2E4B" w:rsidRDefault="00B848FD" w:rsidP="00582CA7">
            <w:pPr>
              <w:jc w:val="center"/>
              <w:rPr>
                <w:sz w:val="16"/>
                <w:szCs w:val="16"/>
              </w:rPr>
            </w:pPr>
            <w:r w:rsidRPr="001D2E4B">
              <w:rPr>
                <w:sz w:val="16"/>
                <w:szCs w:val="16"/>
              </w:rPr>
              <w:t>65.30%</w:t>
            </w:r>
          </w:p>
        </w:tc>
        <w:tc>
          <w:tcPr>
            <w:tcW w:w="805" w:type="dxa"/>
            <w:tcBorders>
              <w:top w:val="nil"/>
              <w:left w:val="nil"/>
              <w:bottom w:val="single" w:sz="4" w:space="0" w:color="auto"/>
              <w:right w:val="single" w:sz="12" w:space="0" w:color="auto"/>
            </w:tcBorders>
            <w:shd w:val="clear" w:color="auto" w:fill="auto"/>
            <w:vAlign w:val="center"/>
            <w:hideMark/>
          </w:tcPr>
          <w:p w14:paraId="6ECA63EC" w14:textId="77777777" w:rsidR="00B848FD" w:rsidRPr="001D2E4B" w:rsidRDefault="00B848FD" w:rsidP="00582CA7">
            <w:pPr>
              <w:jc w:val="center"/>
              <w:rPr>
                <w:sz w:val="16"/>
                <w:szCs w:val="16"/>
              </w:rPr>
            </w:pPr>
            <w:r w:rsidRPr="001D2E4B">
              <w:rPr>
                <w:sz w:val="16"/>
                <w:szCs w:val="16"/>
              </w:rPr>
              <w:t>71.10%</w:t>
            </w:r>
          </w:p>
        </w:tc>
        <w:tc>
          <w:tcPr>
            <w:tcW w:w="912" w:type="dxa"/>
            <w:tcBorders>
              <w:top w:val="nil"/>
              <w:left w:val="single" w:sz="12" w:space="0" w:color="auto"/>
              <w:bottom w:val="single" w:sz="4" w:space="0" w:color="auto"/>
              <w:right w:val="single" w:sz="4" w:space="0" w:color="auto"/>
            </w:tcBorders>
            <w:shd w:val="clear" w:color="auto" w:fill="auto"/>
            <w:vAlign w:val="center"/>
            <w:hideMark/>
          </w:tcPr>
          <w:p w14:paraId="65684C18" w14:textId="77777777" w:rsidR="00B848FD" w:rsidRPr="001D2E4B" w:rsidRDefault="00B848FD" w:rsidP="00582CA7">
            <w:pPr>
              <w:jc w:val="center"/>
              <w:rPr>
                <w:color w:val="000000"/>
                <w:sz w:val="16"/>
                <w:szCs w:val="16"/>
              </w:rPr>
            </w:pPr>
            <w:r w:rsidRPr="001D2E4B">
              <w:rPr>
                <w:color w:val="000000"/>
                <w:sz w:val="16"/>
                <w:szCs w:val="16"/>
              </w:rPr>
              <w:t>63.50%</w:t>
            </w:r>
          </w:p>
        </w:tc>
        <w:tc>
          <w:tcPr>
            <w:tcW w:w="676" w:type="dxa"/>
            <w:tcBorders>
              <w:top w:val="nil"/>
              <w:left w:val="nil"/>
              <w:bottom w:val="single" w:sz="4" w:space="0" w:color="auto"/>
              <w:right w:val="single" w:sz="4" w:space="0" w:color="auto"/>
            </w:tcBorders>
            <w:shd w:val="clear" w:color="auto" w:fill="auto"/>
            <w:noWrap/>
            <w:vAlign w:val="center"/>
            <w:hideMark/>
          </w:tcPr>
          <w:p w14:paraId="6D3C1C31" w14:textId="77777777" w:rsidR="00B848FD" w:rsidRPr="001D2E4B" w:rsidRDefault="00B848FD" w:rsidP="00582CA7">
            <w:pPr>
              <w:jc w:val="center"/>
              <w:rPr>
                <w:color w:val="C00000"/>
                <w:sz w:val="16"/>
                <w:szCs w:val="16"/>
              </w:rPr>
            </w:pPr>
            <w:r w:rsidRPr="001D2E4B">
              <w:rPr>
                <w:color w:val="C00000"/>
                <w:sz w:val="16"/>
                <w:szCs w:val="16"/>
              </w:rPr>
              <w:t>-7.60%</w:t>
            </w:r>
          </w:p>
        </w:tc>
        <w:tc>
          <w:tcPr>
            <w:tcW w:w="629" w:type="dxa"/>
            <w:tcBorders>
              <w:top w:val="nil"/>
              <w:left w:val="nil"/>
              <w:bottom w:val="single" w:sz="4" w:space="0" w:color="auto"/>
              <w:right w:val="single" w:sz="12" w:space="0" w:color="auto"/>
            </w:tcBorders>
            <w:shd w:val="clear" w:color="000000" w:fill="C00000"/>
            <w:vAlign w:val="center"/>
            <w:hideMark/>
          </w:tcPr>
          <w:p w14:paraId="36127E16" w14:textId="77777777" w:rsidR="00B848FD" w:rsidRPr="001D2E4B" w:rsidRDefault="00B848FD" w:rsidP="00582CA7">
            <w:pPr>
              <w:jc w:val="center"/>
              <w:rPr>
                <w:b/>
                <w:bCs/>
                <w:color w:val="FFFFFF"/>
                <w:sz w:val="16"/>
                <w:szCs w:val="16"/>
              </w:rPr>
            </w:pPr>
            <w:r w:rsidRPr="001D2E4B">
              <w:rPr>
                <w:b/>
                <w:bCs/>
                <w:color w:val="FFFFFF"/>
                <w:sz w:val="16"/>
                <w:szCs w:val="16"/>
              </w:rPr>
              <w:t>-26.6%</w:t>
            </w:r>
          </w:p>
        </w:tc>
      </w:tr>
      <w:tr w:rsidR="00327D34" w:rsidRPr="001D2E4B" w14:paraId="2D7C04C3" w14:textId="77777777" w:rsidTr="00435EA6">
        <w:trPr>
          <w:trHeight w:val="773"/>
          <w:jc w:val="center"/>
        </w:trPr>
        <w:tc>
          <w:tcPr>
            <w:tcW w:w="366" w:type="dxa"/>
            <w:tcBorders>
              <w:top w:val="nil"/>
              <w:left w:val="single" w:sz="12" w:space="0" w:color="auto"/>
              <w:bottom w:val="single" w:sz="4" w:space="0" w:color="auto"/>
              <w:right w:val="single" w:sz="8" w:space="0" w:color="000000"/>
            </w:tcBorders>
            <w:shd w:val="clear" w:color="auto" w:fill="auto"/>
            <w:vAlign w:val="center"/>
            <w:hideMark/>
          </w:tcPr>
          <w:p w14:paraId="6FD7414B" w14:textId="77777777" w:rsidR="00B848FD" w:rsidRPr="001D2E4B" w:rsidRDefault="00B848FD" w:rsidP="00582CA7">
            <w:pPr>
              <w:jc w:val="center"/>
              <w:rPr>
                <w:color w:val="000000"/>
                <w:sz w:val="16"/>
                <w:szCs w:val="16"/>
              </w:rPr>
            </w:pPr>
            <w:r w:rsidRPr="001D2E4B">
              <w:rPr>
                <w:color w:val="000000"/>
                <w:sz w:val="16"/>
                <w:szCs w:val="16"/>
              </w:rPr>
              <w:t>5</w:t>
            </w:r>
          </w:p>
        </w:tc>
        <w:tc>
          <w:tcPr>
            <w:tcW w:w="3697" w:type="dxa"/>
            <w:tcBorders>
              <w:top w:val="nil"/>
              <w:left w:val="nil"/>
              <w:bottom w:val="single" w:sz="4" w:space="0" w:color="auto"/>
              <w:right w:val="single" w:sz="8" w:space="0" w:color="000000"/>
            </w:tcBorders>
            <w:shd w:val="clear" w:color="auto" w:fill="auto"/>
            <w:vAlign w:val="center"/>
            <w:hideMark/>
          </w:tcPr>
          <w:p w14:paraId="2FF0D7C1" w14:textId="77777777" w:rsidR="00B848FD" w:rsidRPr="001D2E4B" w:rsidRDefault="00B848FD" w:rsidP="00582CA7">
            <w:pPr>
              <w:rPr>
                <w:color w:val="000000"/>
                <w:sz w:val="16"/>
                <w:szCs w:val="16"/>
              </w:rPr>
            </w:pPr>
            <w:r w:rsidRPr="001D2E4B">
              <w:rPr>
                <w:color w:val="000000"/>
                <w:sz w:val="16"/>
                <w:szCs w:val="16"/>
              </w:rPr>
              <w:t>Para el año 2023 se ha incrementado el porcentaje de hogares con acceso a energía eléctrica en 1.86 puntos porcentuales (para alcanzar en el año citado, 90% de hogares con acceso a energía eléctrica en el país)</w:t>
            </w:r>
          </w:p>
        </w:tc>
        <w:tc>
          <w:tcPr>
            <w:tcW w:w="948" w:type="dxa"/>
            <w:tcBorders>
              <w:top w:val="nil"/>
              <w:left w:val="nil"/>
              <w:bottom w:val="single" w:sz="4" w:space="0" w:color="auto"/>
              <w:right w:val="single" w:sz="4" w:space="0" w:color="auto"/>
            </w:tcBorders>
            <w:shd w:val="clear" w:color="auto" w:fill="auto"/>
            <w:vAlign w:val="center"/>
            <w:hideMark/>
          </w:tcPr>
          <w:p w14:paraId="4591C42E" w14:textId="77777777" w:rsidR="00B848FD" w:rsidRPr="001D2E4B" w:rsidRDefault="00B848FD" w:rsidP="00582CA7">
            <w:pPr>
              <w:jc w:val="center"/>
              <w:rPr>
                <w:color w:val="000000"/>
                <w:sz w:val="16"/>
                <w:szCs w:val="16"/>
              </w:rPr>
            </w:pPr>
            <w:r w:rsidRPr="001D2E4B">
              <w:rPr>
                <w:color w:val="000000"/>
                <w:sz w:val="16"/>
                <w:szCs w:val="16"/>
              </w:rPr>
              <w:t>MEM / INDE</w:t>
            </w:r>
          </w:p>
        </w:tc>
        <w:tc>
          <w:tcPr>
            <w:tcW w:w="805" w:type="dxa"/>
            <w:tcBorders>
              <w:top w:val="nil"/>
              <w:left w:val="nil"/>
              <w:bottom w:val="single" w:sz="4" w:space="0" w:color="auto"/>
              <w:right w:val="single" w:sz="4" w:space="0" w:color="auto"/>
            </w:tcBorders>
            <w:shd w:val="clear" w:color="auto" w:fill="auto"/>
            <w:vAlign w:val="center"/>
            <w:hideMark/>
          </w:tcPr>
          <w:p w14:paraId="041FF3FA" w14:textId="77777777" w:rsidR="00B848FD" w:rsidRPr="001D2E4B" w:rsidRDefault="00B848FD" w:rsidP="00582CA7">
            <w:pPr>
              <w:jc w:val="center"/>
              <w:rPr>
                <w:sz w:val="16"/>
                <w:szCs w:val="16"/>
              </w:rPr>
            </w:pPr>
            <w:r w:rsidRPr="001D2E4B">
              <w:rPr>
                <w:sz w:val="16"/>
                <w:szCs w:val="16"/>
              </w:rPr>
              <w:t>89.26%</w:t>
            </w:r>
          </w:p>
        </w:tc>
        <w:tc>
          <w:tcPr>
            <w:tcW w:w="805" w:type="dxa"/>
            <w:tcBorders>
              <w:top w:val="nil"/>
              <w:left w:val="nil"/>
              <w:bottom w:val="single" w:sz="4" w:space="0" w:color="auto"/>
              <w:right w:val="single" w:sz="12" w:space="0" w:color="auto"/>
            </w:tcBorders>
            <w:shd w:val="clear" w:color="auto" w:fill="auto"/>
            <w:vAlign w:val="center"/>
            <w:hideMark/>
          </w:tcPr>
          <w:p w14:paraId="58DF7A70" w14:textId="77777777" w:rsidR="00B848FD" w:rsidRPr="001D2E4B" w:rsidRDefault="00B848FD" w:rsidP="00582CA7">
            <w:pPr>
              <w:jc w:val="center"/>
              <w:rPr>
                <w:sz w:val="16"/>
                <w:szCs w:val="16"/>
              </w:rPr>
            </w:pPr>
            <w:r w:rsidRPr="001D2E4B">
              <w:rPr>
                <w:sz w:val="16"/>
                <w:szCs w:val="16"/>
              </w:rPr>
              <w:t>89.76%</w:t>
            </w:r>
          </w:p>
        </w:tc>
        <w:tc>
          <w:tcPr>
            <w:tcW w:w="912" w:type="dxa"/>
            <w:tcBorders>
              <w:top w:val="nil"/>
              <w:left w:val="single" w:sz="12" w:space="0" w:color="auto"/>
              <w:bottom w:val="single" w:sz="4" w:space="0" w:color="auto"/>
              <w:right w:val="single" w:sz="4" w:space="0" w:color="auto"/>
            </w:tcBorders>
            <w:shd w:val="clear" w:color="auto" w:fill="auto"/>
            <w:vAlign w:val="center"/>
            <w:hideMark/>
          </w:tcPr>
          <w:p w14:paraId="1068F282" w14:textId="77777777" w:rsidR="00B848FD" w:rsidRPr="001D2E4B" w:rsidRDefault="00B848FD" w:rsidP="00582CA7">
            <w:pPr>
              <w:jc w:val="center"/>
              <w:rPr>
                <w:color w:val="000000"/>
                <w:sz w:val="16"/>
                <w:szCs w:val="16"/>
              </w:rPr>
            </w:pPr>
            <w:r w:rsidRPr="001D2E4B">
              <w:rPr>
                <w:color w:val="000000"/>
                <w:sz w:val="16"/>
                <w:szCs w:val="16"/>
              </w:rPr>
              <w:t>90</w:t>
            </w:r>
          </w:p>
        </w:tc>
        <w:tc>
          <w:tcPr>
            <w:tcW w:w="676" w:type="dxa"/>
            <w:tcBorders>
              <w:top w:val="nil"/>
              <w:left w:val="nil"/>
              <w:bottom w:val="single" w:sz="4" w:space="0" w:color="auto"/>
              <w:right w:val="single" w:sz="4" w:space="0" w:color="auto"/>
            </w:tcBorders>
            <w:shd w:val="clear" w:color="auto" w:fill="auto"/>
            <w:noWrap/>
            <w:vAlign w:val="center"/>
            <w:hideMark/>
          </w:tcPr>
          <w:p w14:paraId="252C1435" w14:textId="77777777" w:rsidR="00B848FD" w:rsidRPr="001D2E4B" w:rsidRDefault="00B848FD" w:rsidP="00582CA7">
            <w:pPr>
              <w:jc w:val="center"/>
              <w:rPr>
                <w:color w:val="C00000"/>
                <w:sz w:val="16"/>
                <w:szCs w:val="16"/>
              </w:rPr>
            </w:pPr>
            <w:r w:rsidRPr="001D2E4B">
              <w:rPr>
                <w:color w:val="C00000"/>
                <w:sz w:val="16"/>
                <w:szCs w:val="16"/>
              </w:rPr>
              <w:t>-0.2</w:t>
            </w:r>
          </w:p>
        </w:tc>
        <w:tc>
          <w:tcPr>
            <w:tcW w:w="629" w:type="dxa"/>
            <w:tcBorders>
              <w:top w:val="nil"/>
              <w:left w:val="nil"/>
              <w:bottom w:val="single" w:sz="4" w:space="0" w:color="auto"/>
              <w:right w:val="single" w:sz="12" w:space="0" w:color="auto"/>
            </w:tcBorders>
            <w:shd w:val="clear" w:color="000000" w:fill="A9D08E"/>
            <w:vAlign w:val="center"/>
            <w:hideMark/>
          </w:tcPr>
          <w:p w14:paraId="27100AD3" w14:textId="77777777" w:rsidR="00B848FD" w:rsidRPr="001D2E4B" w:rsidRDefault="00B848FD" w:rsidP="00582CA7">
            <w:pPr>
              <w:jc w:val="center"/>
              <w:rPr>
                <w:b/>
                <w:bCs/>
                <w:sz w:val="16"/>
                <w:szCs w:val="16"/>
              </w:rPr>
            </w:pPr>
            <w:r w:rsidRPr="001D2E4B">
              <w:rPr>
                <w:b/>
                <w:bCs/>
                <w:sz w:val="16"/>
                <w:szCs w:val="16"/>
              </w:rPr>
              <w:t>87.0%</w:t>
            </w:r>
          </w:p>
        </w:tc>
      </w:tr>
      <w:tr w:rsidR="00327D34" w:rsidRPr="001D2E4B" w14:paraId="152AF825" w14:textId="77777777" w:rsidTr="00435EA6">
        <w:trPr>
          <w:trHeight w:val="455"/>
          <w:jc w:val="center"/>
        </w:trPr>
        <w:tc>
          <w:tcPr>
            <w:tcW w:w="366" w:type="dxa"/>
            <w:tcBorders>
              <w:top w:val="nil"/>
              <w:left w:val="single" w:sz="12" w:space="0" w:color="auto"/>
              <w:bottom w:val="single" w:sz="4" w:space="0" w:color="auto"/>
              <w:right w:val="single" w:sz="8" w:space="0" w:color="000000"/>
            </w:tcBorders>
            <w:shd w:val="clear" w:color="auto" w:fill="auto"/>
            <w:vAlign w:val="center"/>
            <w:hideMark/>
          </w:tcPr>
          <w:p w14:paraId="09CF8AF4" w14:textId="77777777" w:rsidR="00B848FD" w:rsidRPr="001D2E4B" w:rsidRDefault="00B848FD" w:rsidP="00582CA7">
            <w:pPr>
              <w:jc w:val="center"/>
              <w:rPr>
                <w:color w:val="000000"/>
                <w:sz w:val="16"/>
                <w:szCs w:val="16"/>
              </w:rPr>
            </w:pPr>
            <w:r w:rsidRPr="001D2E4B">
              <w:rPr>
                <w:color w:val="000000"/>
                <w:sz w:val="16"/>
                <w:szCs w:val="16"/>
              </w:rPr>
              <w:t>6</w:t>
            </w:r>
          </w:p>
        </w:tc>
        <w:tc>
          <w:tcPr>
            <w:tcW w:w="3697" w:type="dxa"/>
            <w:tcBorders>
              <w:top w:val="nil"/>
              <w:left w:val="nil"/>
              <w:bottom w:val="single" w:sz="4" w:space="0" w:color="auto"/>
              <w:right w:val="single" w:sz="8" w:space="0" w:color="000000"/>
            </w:tcBorders>
            <w:shd w:val="clear" w:color="auto" w:fill="auto"/>
            <w:vAlign w:val="center"/>
            <w:hideMark/>
          </w:tcPr>
          <w:p w14:paraId="7A126B82" w14:textId="77777777" w:rsidR="00B848FD" w:rsidRPr="001D2E4B" w:rsidRDefault="00B848FD" w:rsidP="00582CA7">
            <w:pPr>
              <w:rPr>
                <w:color w:val="000000"/>
                <w:sz w:val="16"/>
                <w:szCs w:val="16"/>
              </w:rPr>
            </w:pPr>
            <w:r w:rsidRPr="001D2E4B">
              <w:rPr>
                <w:color w:val="000000"/>
                <w:sz w:val="16"/>
                <w:szCs w:val="16"/>
              </w:rPr>
              <w:t>Para el año 2023 se mejoró en un punto porcentual el índice de solvencia del sistema bancario.</w:t>
            </w:r>
          </w:p>
        </w:tc>
        <w:tc>
          <w:tcPr>
            <w:tcW w:w="948" w:type="dxa"/>
            <w:tcBorders>
              <w:top w:val="nil"/>
              <w:left w:val="nil"/>
              <w:bottom w:val="single" w:sz="4" w:space="0" w:color="auto"/>
              <w:right w:val="single" w:sz="4" w:space="0" w:color="auto"/>
            </w:tcBorders>
            <w:shd w:val="clear" w:color="auto" w:fill="auto"/>
            <w:vAlign w:val="center"/>
            <w:hideMark/>
          </w:tcPr>
          <w:p w14:paraId="2FB35543" w14:textId="77777777" w:rsidR="00B848FD" w:rsidRPr="001D2E4B" w:rsidRDefault="00B848FD" w:rsidP="00582CA7">
            <w:pPr>
              <w:jc w:val="center"/>
              <w:rPr>
                <w:color w:val="000000"/>
                <w:sz w:val="16"/>
                <w:szCs w:val="16"/>
              </w:rPr>
            </w:pPr>
            <w:r w:rsidRPr="001D2E4B">
              <w:rPr>
                <w:color w:val="000000"/>
                <w:sz w:val="16"/>
                <w:szCs w:val="16"/>
              </w:rPr>
              <w:t>SIB</w:t>
            </w:r>
          </w:p>
        </w:tc>
        <w:tc>
          <w:tcPr>
            <w:tcW w:w="805" w:type="dxa"/>
            <w:tcBorders>
              <w:top w:val="nil"/>
              <w:left w:val="nil"/>
              <w:bottom w:val="single" w:sz="4" w:space="0" w:color="auto"/>
              <w:right w:val="single" w:sz="4" w:space="0" w:color="auto"/>
            </w:tcBorders>
            <w:shd w:val="clear" w:color="auto" w:fill="auto"/>
            <w:vAlign w:val="center"/>
            <w:hideMark/>
          </w:tcPr>
          <w:p w14:paraId="0DDAA8B6" w14:textId="77777777" w:rsidR="00B848FD" w:rsidRPr="001D2E4B" w:rsidRDefault="00B848FD" w:rsidP="00582CA7">
            <w:pPr>
              <w:jc w:val="center"/>
              <w:rPr>
                <w:sz w:val="16"/>
                <w:szCs w:val="16"/>
              </w:rPr>
            </w:pPr>
            <w:r w:rsidRPr="001D2E4B">
              <w:rPr>
                <w:sz w:val="16"/>
                <w:szCs w:val="16"/>
              </w:rPr>
              <w:t>17.26%</w:t>
            </w:r>
          </w:p>
        </w:tc>
        <w:tc>
          <w:tcPr>
            <w:tcW w:w="805" w:type="dxa"/>
            <w:tcBorders>
              <w:top w:val="nil"/>
              <w:left w:val="nil"/>
              <w:bottom w:val="single" w:sz="4" w:space="0" w:color="auto"/>
              <w:right w:val="single" w:sz="12" w:space="0" w:color="auto"/>
            </w:tcBorders>
            <w:shd w:val="clear" w:color="auto" w:fill="auto"/>
            <w:vAlign w:val="center"/>
            <w:hideMark/>
          </w:tcPr>
          <w:p w14:paraId="1886F888" w14:textId="77777777" w:rsidR="00B848FD" w:rsidRPr="001D2E4B" w:rsidRDefault="00B848FD" w:rsidP="00582CA7">
            <w:pPr>
              <w:jc w:val="center"/>
              <w:rPr>
                <w:sz w:val="16"/>
                <w:szCs w:val="16"/>
              </w:rPr>
            </w:pPr>
            <w:r w:rsidRPr="001D2E4B">
              <w:rPr>
                <w:sz w:val="16"/>
                <w:szCs w:val="16"/>
              </w:rPr>
              <w:t>16.30%</w:t>
            </w:r>
          </w:p>
        </w:tc>
        <w:tc>
          <w:tcPr>
            <w:tcW w:w="912" w:type="dxa"/>
            <w:tcBorders>
              <w:top w:val="nil"/>
              <w:left w:val="single" w:sz="12" w:space="0" w:color="auto"/>
              <w:bottom w:val="single" w:sz="4" w:space="0" w:color="auto"/>
              <w:right w:val="single" w:sz="4" w:space="0" w:color="auto"/>
            </w:tcBorders>
            <w:shd w:val="clear" w:color="auto" w:fill="auto"/>
            <w:vAlign w:val="center"/>
            <w:hideMark/>
          </w:tcPr>
          <w:p w14:paraId="0CF9258B" w14:textId="77777777" w:rsidR="00B848FD" w:rsidRPr="001D2E4B" w:rsidRDefault="00B848FD" w:rsidP="00582CA7">
            <w:pPr>
              <w:jc w:val="center"/>
              <w:rPr>
                <w:color w:val="000000"/>
                <w:sz w:val="16"/>
                <w:szCs w:val="16"/>
              </w:rPr>
            </w:pPr>
            <w:r w:rsidRPr="001D2E4B">
              <w:rPr>
                <w:color w:val="000000"/>
                <w:sz w:val="16"/>
                <w:szCs w:val="16"/>
              </w:rPr>
              <w:t>16%</w:t>
            </w:r>
          </w:p>
        </w:tc>
        <w:tc>
          <w:tcPr>
            <w:tcW w:w="676" w:type="dxa"/>
            <w:tcBorders>
              <w:top w:val="nil"/>
              <w:left w:val="nil"/>
              <w:bottom w:val="single" w:sz="4" w:space="0" w:color="auto"/>
              <w:right w:val="single" w:sz="4" w:space="0" w:color="auto"/>
            </w:tcBorders>
            <w:shd w:val="clear" w:color="auto" w:fill="auto"/>
            <w:vAlign w:val="center"/>
            <w:hideMark/>
          </w:tcPr>
          <w:p w14:paraId="4D21F872" w14:textId="77777777" w:rsidR="00B848FD" w:rsidRPr="001D2E4B" w:rsidRDefault="00B848FD" w:rsidP="00582CA7">
            <w:pPr>
              <w:jc w:val="center"/>
              <w:rPr>
                <w:color w:val="000000"/>
                <w:sz w:val="16"/>
                <w:szCs w:val="16"/>
              </w:rPr>
            </w:pPr>
            <w:r w:rsidRPr="001D2E4B">
              <w:rPr>
                <w:color w:val="000000"/>
                <w:sz w:val="16"/>
                <w:szCs w:val="16"/>
              </w:rPr>
              <w:t>superada por 0.3%</w:t>
            </w:r>
          </w:p>
        </w:tc>
        <w:tc>
          <w:tcPr>
            <w:tcW w:w="629" w:type="dxa"/>
            <w:tcBorders>
              <w:top w:val="nil"/>
              <w:left w:val="nil"/>
              <w:bottom w:val="single" w:sz="4" w:space="0" w:color="auto"/>
              <w:right w:val="single" w:sz="12" w:space="0" w:color="auto"/>
            </w:tcBorders>
            <w:shd w:val="clear" w:color="000000" w:fill="A9D08E"/>
            <w:vAlign w:val="center"/>
            <w:hideMark/>
          </w:tcPr>
          <w:p w14:paraId="2B451B09" w14:textId="77777777" w:rsidR="00B848FD" w:rsidRPr="001D2E4B" w:rsidRDefault="00B848FD" w:rsidP="00582CA7">
            <w:pPr>
              <w:jc w:val="center"/>
              <w:rPr>
                <w:b/>
                <w:bCs/>
                <w:sz w:val="16"/>
                <w:szCs w:val="16"/>
              </w:rPr>
            </w:pPr>
            <w:r w:rsidRPr="001D2E4B">
              <w:rPr>
                <w:b/>
                <w:bCs/>
                <w:sz w:val="16"/>
                <w:szCs w:val="16"/>
              </w:rPr>
              <w:t>130.0%</w:t>
            </w:r>
          </w:p>
        </w:tc>
      </w:tr>
      <w:tr w:rsidR="00327D34" w:rsidRPr="001D2E4B" w14:paraId="5461C11E" w14:textId="77777777" w:rsidTr="00435EA6">
        <w:trPr>
          <w:trHeight w:val="441"/>
          <w:jc w:val="center"/>
        </w:trPr>
        <w:tc>
          <w:tcPr>
            <w:tcW w:w="366" w:type="dxa"/>
            <w:tcBorders>
              <w:top w:val="nil"/>
              <w:left w:val="single" w:sz="12" w:space="0" w:color="auto"/>
              <w:bottom w:val="single" w:sz="4" w:space="0" w:color="auto"/>
              <w:right w:val="single" w:sz="8" w:space="0" w:color="000000"/>
            </w:tcBorders>
            <w:shd w:val="clear" w:color="auto" w:fill="auto"/>
            <w:vAlign w:val="center"/>
            <w:hideMark/>
          </w:tcPr>
          <w:p w14:paraId="2C7E6F0C" w14:textId="77777777" w:rsidR="00B848FD" w:rsidRPr="001D2E4B" w:rsidRDefault="00B848FD" w:rsidP="00582CA7">
            <w:pPr>
              <w:jc w:val="center"/>
              <w:rPr>
                <w:color w:val="000000"/>
                <w:sz w:val="16"/>
                <w:szCs w:val="16"/>
              </w:rPr>
            </w:pPr>
            <w:r w:rsidRPr="001D2E4B">
              <w:rPr>
                <w:color w:val="000000"/>
                <w:sz w:val="16"/>
                <w:szCs w:val="16"/>
              </w:rPr>
              <w:t>7</w:t>
            </w:r>
          </w:p>
        </w:tc>
        <w:tc>
          <w:tcPr>
            <w:tcW w:w="3697" w:type="dxa"/>
            <w:tcBorders>
              <w:top w:val="nil"/>
              <w:left w:val="nil"/>
              <w:bottom w:val="single" w:sz="4" w:space="0" w:color="auto"/>
              <w:right w:val="single" w:sz="8" w:space="0" w:color="000000"/>
            </w:tcBorders>
            <w:shd w:val="clear" w:color="auto" w:fill="auto"/>
            <w:vAlign w:val="center"/>
            <w:hideMark/>
          </w:tcPr>
          <w:p w14:paraId="0976DD67" w14:textId="77777777" w:rsidR="00B848FD" w:rsidRPr="001D2E4B" w:rsidRDefault="00B848FD" w:rsidP="00582CA7">
            <w:pPr>
              <w:rPr>
                <w:color w:val="000000"/>
                <w:sz w:val="16"/>
                <w:szCs w:val="16"/>
              </w:rPr>
            </w:pPr>
            <w:r w:rsidRPr="001D2E4B">
              <w:rPr>
                <w:color w:val="000000"/>
                <w:sz w:val="16"/>
                <w:szCs w:val="16"/>
              </w:rPr>
              <w:t>Para el año 2023 se incrementó en 3.1 puntos porcentuales el margen de solvencia de las aseguradoras.</w:t>
            </w:r>
          </w:p>
        </w:tc>
        <w:tc>
          <w:tcPr>
            <w:tcW w:w="948" w:type="dxa"/>
            <w:tcBorders>
              <w:top w:val="nil"/>
              <w:left w:val="nil"/>
              <w:bottom w:val="single" w:sz="4" w:space="0" w:color="auto"/>
              <w:right w:val="single" w:sz="4" w:space="0" w:color="auto"/>
            </w:tcBorders>
            <w:shd w:val="clear" w:color="auto" w:fill="auto"/>
            <w:vAlign w:val="center"/>
            <w:hideMark/>
          </w:tcPr>
          <w:p w14:paraId="30187B2E" w14:textId="77777777" w:rsidR="00B848FD" w:rsidRPr="001D2E4B" w:rsidRDefault="00B848FD" w:rsidP="00582CA7">
            <w:pPr>
              <w:jc w:val="center"/>
              <w:rPr>
                <w:color w:val="000000"/>
                <w:sz w:val="16"/>
                <w:szCs w:val="16"/>
              </w:rPr>
            </w:pPr>
            <w:r w:rsidRPr="001D2E4B">
              <w:rPr>
                <w:color w:val="000000"/>
                <w:sz w:val="16"/>
                <w:szCs w:val="16"/>
              </w:rPr>
              <w:t>SIB</w:t>
            </w:r>
          </w:p>
        </w:tc>
        <w:tc>
          <w:tcPr>
            <w:tcW w:w="805" w:type="dxa"/>
            <w:tcBorders>
              <w:top w:val="nil"/>
              <w:left w:val="nil"/>
              <w:bottom w:val="single" w:sz="4" w:space="0" w:color="auto"/>
              <w:right w:val="single" w:sz="4" w:space="0" w:color="auto"/>
            </w:tcBorders>
            <w:shd w:val="clear" w:color="auto" w:fill="auto"/>
            <w:vAlign w:val="center"/>
            <w:hideMark/>
          </w:tcPr>
          <w:p w14:paraId="363A677B" w14:textId="77777777" w:rsidR="00B848FD" w:rsidRPr="001D2E4B" w:rsidRDefault="00B848FD" w:rsidP="00582CA7">
            <w:pPr>
              <w:jc w:val="center"/>
              <w:rPr>
                <w:sz w:val="16"/>
                <w:szCs w:val="16"/>
              </w:rPr>
            </w:pPr>
            <w:r w:rsidRPr="001D2E4B">
              <w:rPr>
                <w:sz w:val="16"/>
                <w:szCs w:val="16"/>
              </w:rPr>
              <w:t>67.60%</w:t>
            </w:r>
          </w:p>
        </w:tc>
        <w:tc>
          <w:tcPr>
            <w:tcW w:w="805" w:type="dxa"/>
            <w:tcBorders>
              <w:top w:val="nil"/>
              <w:left w:val="nil"/>
              <w:bottom w:val="single" w:sz="4" w:space="0" w:color="auto"/>
              <w:right w:val="single" w:sz="12" w:space="0" w:color="auto"/>
            </w:tcBorders>
            <w:shd w:val="clear" w:color="auto" w:fill="auto"/>
            <w:vAlign w:val="center"/>
            <w:hideMark/>
          </w:tcPr>
          <w:p w14:paraId="79A0B65E" w14:textId="77777777" w:rsidR="00B848FD" w:rsidRPr="001D2E4B" w:rsidRDefault="00B848FD" w:rsidP="00582CA7">
            <w:pPr>
              <w:jc w:val="center"/>
              <w:rPr>
                <w:sz w:val="16"/>
                <w:szCs w:val="16"/>
              </w:rPr>
            </w:pPr>
            <w:r w:rsidRPr="001D2E4B">
              <w:rPr>
                <w:sz w:val="16"/>
                <w:szCs w:val="16"/>
              </w:rPr>
              <w:t>65.82%</w:t>
            </w:r>
          </w:p>
        </w:tc>
        <w:tc>
          <w:tcPr>
            <w:tcW w:w="912" w:type="dxa"/>
            <w:tcBorders>
              <w:top w:val="nil"/>
              <w:left w:val="single" w:sz="12" w:space="0" w:color="auto"/>
              <w:bottom w:val="single" w:sz="4" w:space="0" w:color="auto"/>
              <w:right w:val="single" w:sz="4" w:space="0" w:color="auto"/>
            </w:tcBorders>
            <w:shd w:val="clear" w:color="auto" w:fill="auto"/>
            <w:vAlign w:val="center"/>
            <w:hideMark/>
          </w:tcPr>
          <w:p w14:paraId="25812870" w14:textId="77777777" w:rsidR="00B848FD" w:rsidRPr="001D2E4B" w:rsidRDefault="00B848FD" w:rsidP="00582CA7">
            <w:pPr>
              <w:jc w:val="center"/>
              <w:rPr>
                <w:color w:val="000000"/>
                <w:sz w:val="16"/>
                <w:szCs w:val="16"/>
              </w:rPr>
            </w:pPr>
            <w:r w:rsidRPr="001D2E4B">
              <w:rPr>
                <w:color w:val="000000"/>
                <w:sz w:val="16"/>
                <w:szCs w:val="16"/>
              </w:rPr>
              <w:t>70</w:t>
            </w:r>
          </w:p>
        </w:tc>
        <w:tc>
          <w:tcPr>
            <w:tcW w:w="676" w:type="dxa"/>
            <w:tcBorders>
              <w:top w:val="nil"/>
              <w:left w:val="nil"/>
              <w:bottom w:val="single" w:sz="4" w:space="0" w:color="auto"/>
              <w:right w:val="single" w:sz="4" w:space="0" w:color="auto"/>
            </w:tcBorders>
            <w:shd w:val="clear" w:color="auto" w:fill="auto"/>
            <w:noWrap/>
            <w:vAlign w:val="center"/>
            <w:hideMark/>
          </w:tcPr>
          <w:p w14:paraId="66F926EE" w14:textId="77777777" w:rsidR="00B848FD" w:rsidRPr="001D2E4B" w:rsidRDefault="00B848FD" w:rsidP="00582CA7">
            <w:pPr>
              <w:jc w:val="center"/>
              <w:rPr>
                <w:color w:val="C00000"/>
                <w:sz w:val="16"/>
                <w:szCs w:val="16"/>
              </w:rPr>
            </w:pPr>
            <w:r w:rsidRPr="001D2E4B">
              <w:rPr>
                <w:color w:val="C00000"/>
                <w:sz w:val="16"/>
                <w:szCs w:val="16"/>
              </w:rPr>
              <w:t>-4.18</w:t>
            </w:r>
          </w:p>
        </w:tc>
        <w:tc>
          <w:tcPr>
            <w:tcW w:w="629" w:type="dxa"/>
            <w:tcBorders>
              <w:top w:val="nil"/>
              <w:left w:val="nil"/>
              <w:bottom w:val="single" w:sz="4" w:space="0" w:color="auto"/>
              <w:right w:val="single" w:sz="12" w:space="0" w:color="auto"/>
            </w:tcBorders>
            <w:shd w:val="clear" w:color="000000" w:fill="A9D08E"/>
            <w:vAlign w:val="center"/>
            <w:hideMark/>
          </w:tcPr>
          <w:p w14:paraId="7F5754EB" w14:textId="77777777" w:rsidR="00B848FD" w:rsidRPr="001D2E4B" w:rsidRDefault="00B848FD" w:rsidP="00582CA7">
            <w:pPr>
              <w:jc w:val="center"/>
              <w:rPr>
                <w:b/>
                <w:bCs/>
                <w:sz w:val="16"/>
                <w:szCs w:val="16"/>
              </w:rPr>
            </w:pPr>
            <w:r w:rsidRPr="001D2E4B">
              <w:rPr>
                <w:b/>
                <w:bCs/>
                <w:sz w:val="16"/>
                <w:szCs w:val="16"/>
              </w:rPr>
              <w:t>94.0%</w:t>
            </w:r>
          </w:p>
        </w:tc>
      </w:tr>
      <w:tr w:rsidR="00327D34" w:rsidRPr="001D2E4B" w14:paraId="2013776A" w14:textId="77777777" w:rsidTr="00435EA6">
        <w:trPr>
          <w:trHeight w:val="538"/>
          <w:jc w:val="center"/>
        </w:trPr>
        <w:tc>
          <w:tcPr>
            <w:tcW w:w="366" w:type="dxa"/>
            <w:tcBorders>
              <w:top w:val="nil"/>
              <w:left w:val="single" w:sz="12" w:space="0" w:color="auto"/>
              <w:bottom w:val="single" w:sz="4" w:space="0" w:color="auto"/>
              <w:right w:val="single" w:sz="8" w:space="0" w:color="000000"/>
            </w:tcBorders>
            <w:shd w:val="clear" w:color="auto" w:fill="auto"/>
            <w:vAlign w:val="center"/>
            <w:hideMark/>
          </w:tcPr>
          <w:p w14:paraId="453A7E94" w14:textId="77777777" w:rsidR="00B848FD" w:rsidRPr="001D2E4B" w:rsidRDefault="00B848FD" w:rsidP="00582CA7">
            <w:pPr>
              <w:jc w:val="center"/>
              <w:rPr>
                <w:color w:val="000000"/>
                <w:sz w:val="16"/>
                <w:szCs w:val="16"/>
              </w:rPr>
            </w:pPr>
            <w:r w:rsidRPr="001D2E4B">
              <w:rPr>
                <w:color w:val="000000"/>
                <w:sz w:val="16"/>
                <w:szCs w:val="16"/>
              </w:rPr>
              <w:t>8</w:t>
            </w:r>
          </w:p>
        </w:tc>
        <w:tc>
          <w:tcPr>
            <w:tcW w:w="3697" w:type="dxa"/>
            <w:tcBorders>
              <w:top w:val="nil"/>
              <w:left w:val="nil"/>
              <w:bottom w:val="single" w:sz="4" w:space="0" w:color="auto"/>
              <w:right w:val="single" w:sz="8" w:space="0" w:color="000000"/>
            </w:tcBorders>
            <w:shd w:val="clear" w:color="auto" w:fill="auto"/>
            <w:vAlign w:val="center"/>
            <w:hideMark/>
          </w:tcPr>
          <w:p w14:paraId="7016D612" w14:textId="77777777" w:rsidR="00B848FD" w:rsidRPr="001D2E4B" w:rsidRDefault="00B848FD" w:rsidP="00582CA7">
            <w:pPr>
              <w:rPr>
                <w:color w:val="000000"/>
                <w:sz w:val="16"/>
                <w:szCs w:val="16"/>
              </w:rPr>
            </w:pPr>
            <w:r w:rsidRPr="001D2E4B">
              <w:rPr>
                <w:color w:val="000000"/>
                <w:sz w:val="16"/>
                <w:szCs w:val="16"/>
              </w:rPr>
              <w:t>Para el año 2023 se ha incrementado la cantidad de recursos destinados a seguro agrícola para pequeños parcelarios a Q 35 millones</w:t>
            </w:r>
          </w:p>
        </w:tc>
        <w:tc>
          <w:tcPr>
            <w:tcW w:w="948" w:type="dxa"/>
            <w:tcBorders>
              <w:top w:val="nil"/>
              <w:left w:val="nil"/>
              <w:bottom w:val="single" w:sz="4" w:space="0" w:color="auto"/>
              <w:right w:val="single" w:sz="4" w:space="0" w:color="auto"/>
            </w:tcBorders>
            <w:shd w:val="clear" w:color="auto" w:fill="auto"/>
            <w:vAlign w:val="center"/>
            <w:hideMark/>
          </w:tcPr>
          <w:p w14:paraId="371F565E" w14:textId="77777777" w:rsidR="00B848FD" w:rsidRPr="001D2E4B" w:rsidRDefault="00B848FD" w:rsidP="00582CA7">
            <w:pPr>
              <w:jc w:val="center"/>
              <w:rPr>
                <w:color w:val="000000"/>
                <w:sz w:val="16"/>
                <w:szCs w:val="16"/>
              </w:rPr>
            </w:pPr>
            <w:r w:rsidRPr="001D2E4B">
              <w:rPr>
                <w:color w:val="000000"/>
                <w:sz w:val="16"/>
                <w:szCs w:val="16"/>
              </w:rPr>
              <w:t>MAGA</w:t>
            </w:r>
          </w:p>
        </w:tc>
        <w:tc>
          <w:tcPr>
            <w:tcW w:w="805" w:type="dxa"/>
            <w:tcBorders>
              <w:top w:val="nil"/>
              <w:left w:val="nil"/>
              <w:bottom w:val="single" w:sz="4" w:space="0" w:color="auto"/>
              <w:right w:val="single" w:sz="4" w:space="0" w:color="auto"/>
            </w:tcBorders>
            <w:shd w:val="clear" w:color="auto" w:fill="auto"/>
            <w:vAlign w:val="center"/>
            <w:hideMark/>
          </w:tcPr>
          <w:p w14:paraId="4841284B" w14:textId="77777777" w:rsidR="00B848FD" w:rsidRPr="001D2E4B" w:rsidRDefault="00B848FD" w:rsidP="00582CA7">
            <w:pPr>
              <w:jc w:val="center"/>
              <w:rPr>
                <w:sz w:val="16"/>
                <w:szCs w:val="16"/>
              </w:rPr>
            </w:pPr>
            <w:r w:rsidRPr="001D2E4B">
              <w:rPr>
                <w:sz w:val="16"/>
                <w:szCs w:val="16"/>
              </w:rPr>
              <w:t>Q3.3 millones</w:t>
            </w:r>
          </w:p>
        </w:tc>
        <w:tc>
          <w:tcPr>
            <w:tcW w:w="805" w:type="dxa"/>
            <w:tcBorders>
              <w:top w:val="nil"/>
              <w:left w:val="nil"/>
              <w:bottom w:val="single" w:sz="4" w:space="0" w:color="auto"/>
              <w:right w:val="single" w:sz="12" w:space="0" w:color="auto"/>
            </w:tcBorders>
            <w:shd w:val="clear" w:color="auto" w:fill="auto"/>
            <w:vAlign w:val="center"/>
            <w:hideMark/>
          </w:tcPr>
          <w:p w14:paraId="06B39E6A" w14:textId="77777777" w:rsidR="00B848FD" w:rsidRPr="001D2E4B" w:rsidRDefault="00B848FD" w:rsidP="00582CA7">
            <w:pPr>
              <w:jc w:val="center"/>
              <w:rPr>
                <w:sz w:val="16"/>
                <w:szCs w:val="16"/>
              </w:rPr>
            </w:pPr>
            <w:r w:rsidRPr="001D2E4B">
              <w:rPr>
                <w:sz w:val="16"/>
                <w:szCs w:val="16"/>
              </w:rPr>
              <w:t>Q18.31 millones</w:t>
            </w:r>
          </w:p>
        </w:tc>
        <w:tc>
          <w:tcPr>
            <w:tcW w:w="912" w:type="dxa"/>
            <w:tcBorders>
              <w:top w:val="nil"/>
              <w:left w:val="single" w:sz="12" w:space="0" w:color="auto"/>
              <w:bottom w:val="single" w:sz="4" w:space="0" w:color="auto"/>
              <w:right w:val="single" w:sz="4" w:space="0" w:color="auto"/>
            </w:tcBorders>
            <w:shd w:val="clear" w:color="auto" w:fill="auto"/>
            <w:vAlign w:val="center"/>
            <w:hideMark/>
          </w:tcPr>
          <w:p w14:paraId="33D101D4" w14:textId="77777777" w:rsidR="00B848FD" w:rsidRPr="001D2E4B" w:rsidRDefault="00B848FD" w:rsidP="00582CA7">
            <w:pPr>
              <w:jc w:val="center"/>
              <w:rPr>
                <w:color w:val="000000"/>
                <w:sz w:val="16"/>
                <w:szCs w:val="16"/>
              </w:rPr>
            </w:pPr>
            <w:r w:rsidRPr="001D2E4B">
              <w:rPr>
                <w:color w:val="000000"/>
                <w:sz w:val="16"/>
                <w:szCs w:val="16"/>
              </w:rPr>
              <w:t>Q35 millones</w:t>
            </w:r>
          </w:p>
        </w:tc>
        <w:tc>
          <w:tcPr>
            <w:tcW w:w="676" w:type="dxa"/>
            <w:tcBorders>
              <w:top w:val="nil"/>
              <w:left w:val="nil"/>
              <w:bottom w:val="single" w:sz="4" w:space="0" w:color="auto"/>
              <w:right w:val="single" w:sz="4" w:space="0" w:color="auto"/>
            </w:tcBorders>
            <w:shd w:val="clear" w:color="auto" w:fill="auto"/>
            <w:noWrap/>
            <w:vAlign w:val="center"/>
            <w:hideMark/>
          </w:tcPr>
          <w:p w14:paraId="743FFA21" w14:textId="77777777" w:rsidR="00B848FD" w:rsidRPr="001D2E4B" w:rsidRDefault="00B848FD" w:rsidP="00582CA7">
            <w:pPr>
              <w:jc w:val="center"/>
              <w:rPr>
                <w:color w:val="C00000"/>
                <w:sz w:val="16"/>
                <w:szCs w:val="16"/>
              </w:rPr>
            </w:pPr>
            <w:r>
              <w:rPr>
                <w:color w:val="C00000"/>
                <w:sz w:val="16"/>
                <w:szCs w:val="16"/>
              </w:rPr>
              <w:t>-</w:t>
            </w:r>
            <w:r w:rsidRPr="001D2E4B">
              <w:rPr>
                <w:color w:val="C00000"/>
                <w:sz w:val="16"/>
                <w:szCs w:val="16"/>
              </w:rPr>
              <w:t>Q16.7 millones</w:t>
            </w:r>
          </w:p>
        </w:tc>
        <w:tc>
          <w:tcPr>
            <w:tcW w:w="629" w:type="dxa"/>
            <w:tcBorders>
              <w:top w:val="nil"/>
              <w:left w:val="nil"/>
              <w:bottom w:val="single" w:sz="4" w:space="0" w:color="auto"/>
              <w:right w:val="single" w:sz="12" w:space="0" w:color="auto"/>
            </w:tcBorders>
            <w:shd w:val="clear" w:color="000000" w:fill="FFFF00"/>
            <w:vAlign w:val="center"/>
            <w:hideMark/>
          </w:tcPr>
          <w:p w14:paraId="556BB534" w14:textId="77777777" w:rsidR="00B848FD" w:rsidRPr="001D2E4B" w:rsidRDefault="00B848FD" w:rsidP="00582CA7">
            <w:pPr>
              <w:jc w:val="center"/>
              <w:rPr>
                <w:b/>
                <w:bCs/>
                <w:sz w:val="16"/>
                <w:szCs w:val="16"/>
              </w:rPr>
            </w:pPr>
            <w:r w:rsidRPr="001D2E4B">
              <w:rPr>
                <w:b/>
                <w:bCs/>
                <w:sz w:val="16"/>
                <w:szCs w:val="16"/>
              </w:rPr>
              <w:t>52.2%</w:t>
            </w:r>
          </w:p>
        </w:tc>
      </w:tr>
      <w:tr w:rsidR="00327D34" w:rsidRPr="001D2E4B" w14:paraId="38E78942" w14:textId="77777777" w:rsidTr="00435EA6">
        <w:trPr>
          <w:trHeight w:val="635"/>
          <w:jc w:val="center"/>
        </w:trPr>
        <w:tc>
          <w:tcPr>
            <w:tcW w:w="366" w:type="dxa"/>
            <w:tcBorders>
              <w:top w:val="nil"/>
              <w:left w:val="single" w:sz="12" w:space="0" w:color="auto"/>
              <w:bottom w:val="single" w:sz="12" w:space="0" w:color="auto"/>
              <w:right w:val="single" w:sz="8" w:space="0" w:color="000000"/>
            </w:tcBorders>
            <w:shd w:val="clear" w:color="auto" w:fill="auto"/>
            <w:vAlign w:val="center"/>
            <w:hideMark/>
          </w:tcPr>
          <w:p w14:paraId="25D8EA16" w14:textId="77777777" w:rsidR="00B848FD" w:rsidRPr="001D2E4B" w:rsidRDefault="00B848FD" w:rsidP="00582CA7">
            <w:pPr>
              <w:jc w:val="center"/>
              <w:rPr>
                <w:color w:val="000000"/>
                <w:sz w:val="16"/>
                <w:szCs w:val="16"/>
              </w:rPr>
            </w:pPr>
            <w:r w:rsidRPr="001D2E4B">
              <w:rPr>
                <w:color w:val="000000"/>
                <w:sz w:val="16"/>
                <w:szCs w:val="16"/>
              </w:rPr>
              <w:t>9</w:t>
            </w:r>
          </w:p>
        </w:tc>
        <w:tc>
          <w:tcPr>
            <w:tcW w:w="3697" w:type="dxa"/>
            <w:tcBorders>
              <w:top w:val="nil"/>
              <w:left w:val="nil"/>
              <w:bottom w:val="single" w:sz="12" w:space="0" w:color="auto"/>
              <w:right w:val="single" w:sz="8" w:space="0" w:color="000000"/>
            </w:tcBorders>
            <w:shd w:val="clear" w:color="auto" w:fill="auto"/>
            <w:vAlign w:val="center"/>
            <w:hideMark/>
          </w:tcPr>
          <w:p w14:paraId="0D9919E6" w14:textId="77777777" w:rsidR="00B848FD" w:rsidRPr="001D2E4B" w:rsidRDefault="00B848FD" w:rsidP="00582CA7">
            <w:pPr>
              <w:rPr>
                <w:color w:val="000000"/>
                <w:sz w:val="16"/>
                <w:szCs w:val="16"/>
              </w:rPr>
            </w:pPr>
            <w:r w:rsidRPr="001D2E4B">
              <w:rPr>
                <w:color w:val="000000"/>
                <w:sz w:val="16"/>
                <w:szCs w:val="16"/>
              </w:rPr>
              <w:t>Para el año 2023 se ha incrementado el monto de los créditos para emprendimientos de familias pobres a Q 200 millones</w:t>
            </w:r>
          </w:p>
        </w:tc>
        <w:tc>
          <w:tcPr>
            <w:tcW w:w="948" w:type="dxa"/>
            <w:tcBorders>
              <w:top w:val="nil"/>
              <w:left w:val="nil"/>
              <w:bottom w:val="single" w:sz="12" w:space="0" w:color="auto"/>
              <w:right w:val="single" w:sz="4" w:space="0" w:color="auto"/>
            </w:tcBorders>
            <w:shd w:val="clear" w:color="auto" w:fill="auto"/>
            <w:vAlign w:val="center"/>
            <w:hideMark/>
          </w:tcPr>
          <w:p w14:paraId="4583401B" w14:textId="77777777" w:rsidR="00B848FD" w:rsidRPr="001D2E4B" w:rsidRDefault="00B848FD" w:rsidP="00582CA7">
            <w:pPr>
              <w:jc w:val="center"/>
              <w:rPr>
                <w:color w:val="000000"/>
                <w:sz w:val="16"/>
                <w:szCs w:val="16"/>
              </w:rPr>
            </w:pPr>
            <w:r w:rsidRPr="001D2E4B">
              <w:rPr>
                <w:color w:val="000000"/>
                <w:sz w:val="16"/>
                <w:szCs w:val="16"/>
              </w:rPr>
              <w:t>MINECO</w:t>
            </w:r>
          </w:p>
        </w:tc>
        <w:tc>
          <w:tcPr>
            <w:tcW w:w="805" w:type="dxa"/>
            <w:tcBorders>
              <w:top w:val="nil"/>
              <w:left w:val="nil"/>
              <w:bottom w:val="single" w:sz="12" w:space="0" w:color="auto"/>
              <w:right w:val="single" w:sz="4" w:space="0" w:color="auto"/>
            </w:tcBorders>
            <w:shd w:val="clear" w:color="auto" w:fill="auto"/>
            <w:vAlign w:val="center"/>
            <w:hideMark/>
          </w:tcPr>
          <w:p w14:paraId="573F2473" w14:textId="77777777" w:rsidR="00B848FD" w:rsidRPr="001D2E4B" w:rsidRDefault="00B848FD" w:rsidP="00582CA7">
            <w:pPr>
              <w:jc w:val="center"/>
              <w:rPr>
                <w:sz w:val="16"/>
                <w:szCs w:val="16"/>
              </w:rPr>
            </w:pPr>
            <w:r w:rsidRPr="001D2E4B">
              <w:rPr>
                <w:sz w:val="16"/>
                <w:szCs w:val="16"/>
              </w:rPr>
              <w:t>Q197.1 millones</w:t>
            </w:r>
          </w:p>
        </w:tc>
        <w:tc>
          <w:tcPr>
            <w:tcW w:w="805" w:type="dxa"/>
            <w:tcBorders>
              <w:top w:val="nil"/>
              <w:left w:val="nil"/>
              <w:bottom w:val="single" w:sz="12" w:space="0" w:color="auto"/>
              <w:right w:val="single" w:sz="12" w:space="0" w:color="auto"/>
            </w:tcBorders>
            <w:shd w:val="clear" w:color="auto" w:fill="auto"/>
            <w:vAlign w:val="center"/>
            <w:hideMark/>
          </w:tcPr>
          <w:p w14:paraId="2C66250C" w14:textId="77777777" w:rsidR="00B848FD" w:rsidRPr="001D2E4B" w:rsidRDefault="00B848FD" w:rsidP="00582CA7">
            <w:pPr>
              <w:jc w:val="center"/>
              <w:rPr>
                <w:sz w:val="16"/>
                <w:szCs w:val="16"/>
              </w:rPr>
            </w:pPr>
            <w:r w:rsidRPr="001D2E4B">
              <w:rPr>
                <w:sz w:val="16"/>
                <w:szCs w:val="16"/>
              </w:rPr>
              <w:t>Q155.5 millones</w:t>
            </w:r>
          </w:p>
        </w:tc>
        <w:tc>
          <w:tcPr>
            <w:tcW w:w="912" w:type="dxa"/>
            <w:tcBorders>
              <w:top w:val="nil"/>
              <w:left w:val="single" w:sz="12" w:space="0" w:color="auto"/>
              <w:bottom w:val="single" w:sz="12" w:space="0" w:color="auto"/>
              <w:right w:val="single" w:sz="4" w:space="0" w:color="auto"/>
            </w:tcBorders>
            <w:shd w:val="clear" w:color="auto" w:fill="auto"/>
            <w:vAlign w:val="center"/>
            <w:hideMark/>
          </w:tcPr>
          <w:p w14:paraId="65A80BF5" w14:textId="77777777" w:rsidR="00B848FD" w:rsidRPr="001D2E4B" w:rsidRDefault="00B848FD" w:rsidP="00582CA7">
            <w:pPr>
              <w:jc w:val="center"/>
              <w:rPr>
                <w:color w:val="000000"/>
                <w:sz w:val="16"/>
                <w:szCs w:val="16"/>
              </w:rPr>
            </w:pPr>
            <w:r w:rsidRPr="001D2E4B">
              <w:rPr>
                <w:color w:val="000000"/>
                <w:sz w:val="16"/>
                <w:szCs w:val="16"/>
              </w:rPr>
              <w:t>Q200 millones</w:t>
            </w:r>
          </w:p>
        </w:tc>
        <w:tc>
          <w:tcPr>
            <w:tcW w:w="676" w:type="dxa"/>
            <w:tcBorders>
              <w:top w:val="nil"/>
              <w:left w:val="nil"/>
              <w:bottom w:val="single" w:sz="12" w:space="0" w:color="auto"/>
              <w:right w:val="single" w:sz="4" w:space="0" w:color="auto"/>
            </w:tcBorders>
            <w:shd w:val="clear" w:color="auto" w:fill="auto"/>
            <w:noWrap/>
            <w:vAlign w:val="center"/>
            <w:hideMark/>
          </w:tcPr>
          <w:p w14:paraId="7ADFA498" w14:textId="77777777" w:rsidR="00B848FD" w:rsidRPr="001D2E4B" w:rsidRDefault="00B848FD" w:rsidP="00582CA7">
            <w:pPr>
              <w:jc w:val="center"/>
              <w:rPr>
                <w:color w:val="C00000"/>
                <w:sz w:val="16"/>
                <w:szCs w:val="16"/>
              </w:rPr>
            </w:pPr>
            <w:r>
              <w:rPr>
                <w:color w:val="C00000"/>
                <w:sz w:val="16"/>
                <w:szCs w:val="16"/>
              </w:rPr>
              <w:t>-</w:t>
            </w:r>
            <w:r w:rsidRPr="001D2E4B">
              <w:rPr>
                <w:color w:val="C00000"/>
                <w:sz w:val="16"/>
                <w:szCs w:val="16"/>
              </w:rPr>
              <w:t>Q44.5 millones</w:t>
            </w:r>
          </w:p>
        </w:tc>
        <w:tc>
          <w:tcPr>
            <w:tcW w:w="629" w:type="dxa"/>
            <w:tcBorders>
              <w:top w:val="nil"/>
              <w:left w:val="nil"/>
              <w:bottom w:val="single" w:sz="12" w:space="0" w:color="auto"/>
              <w:right w:val="single" w:sz="12" w:space="0" w:color="auto"/>
            </w:tcBorders>
            <w:shd w:val="clear" w:color="000000" w:fill="A9D08E"/>
            <w:vAlign w:val="center"/>
            <w:hideMark/>
          </w:tcPr>
          <w:p w14:paraId="70BA5F51" w14:textId="77777777" w:rsidR="00B848FD" w:rsidRPr="001D2E4B" w:rsidRDefault="00B848FD" w:rsidP="00582CA7">
            <w:pPr>
              <w:jc w:val="center"/>
              <w:rPr>
                <w:b/>
                <w:bCs/>
                <w:sz w:val="16"/>
                <w:szCs w:val="16"/>
              </w:rPr>
            </w:pPr>
            <w:r w:rsidRPr="001D2E4B">
              <w:rPr>
                <w:b/>
                <w:bCs/>
                <w:sz w:val="16"/>
                <w:szCs w:val="16"/>
              </w:rPr>
              <w:t>78.0%</w:t>
            </w:r>
          </w:p>
        </w:tc>
      </w:tr>
    </w:tbl>
    <w:p w14:paraId="398446B0" w14:textId="3413BCC4" w:rsidR="009F727A" w:rsidRPr="00B848FD" w:rsidRDefault="00B848FD" w:rsidP="009F727A">
      <w:pPr>
        <w:jc w:val="both"/>
        <w:rPr>
          <w:sz w:val="28"/>
          <w:szCs w:val="28"/>
        </w:rPr>
      </w:pPr>
      <w:r w:rsidRPr="00B848FD">
        <w:rPr>
          <w:sz w:val="18"/>
          <w:szCs w:val="28"/>
        </w:rPr>
        <w:t>Fuente: SEGEPLAN.</w:t>
      </w:r>
    </w:p>
    <w:p w14:paraId="53D12154" w14:textId="38FFB02B" w:rsidR="009F727A" w:rsidRDefault="009F727A" w:rsidP="009F727A">
      <w:pPr>
        <w:jc w:val="both"/>
      </w:pPr>
    </w:p>
    <w:p w14:paraId="441629B4" w14:textId="77777777" w:rsidR="00E01410" w:rsidRDefault="00E01410" w:rsidP="009F727A">
      <w:pPr>
        <w:jc w:val="both"/>
      </w:pPr>
    </w:p>
    <w:p w14:paraId="42F7162E" w14:textId="77777777" w:rsidR="00B848FD" w:rsidRPr="00B848FD" w:rsidRDefault="00B848FD" w:rsidP="00B848FD">
      <w:pPr>
        <w:jc w:val="both"/>
        <w:rPr>
          <w:b/>
          <w:bCs/>
        </w:rPr>
      </w:pPr>
      <w:r w:rsidRPr="00B848FD">
        <w:rPr>
          <w:b/>
          <w:bCs/>
        </w:rPr>
        <w:t>Pilar 2a: Desarrollo Social -Educación</w:t>
      </w:r>
    </w:p>
    <w:p w14:paraId="1C1AA82C" w14:textId="77777777" w:rsidR="00B848FD" w:rsidRDefault="00B848FD" w:rsidP="00B848FD">
      <w:pPr>
        <w:jc w:val="both"/>
      </w:pPr>
    </w:p>
    <w:p w14:paraId="45B26212" w14:textId="77777777" w:rsidR="00B848FD" w:rsidRDefault="00B848FD" w:rsidP="00B848FD">
      <w:pPr>
        <w:jc w:val="both"/>
      </w:pPr>
      <w:r>
        <w:t>Este pilar contiene 25 indicadores, siendo el pilar con el mayor número de indicadores, estando divididos en los sectores de educación, salud y protección social y vivienda. Es uno de los pilares más importantes que coincide con todas las metas y objetivos de los instrumentos de planificación, incluyendo las metas e indicadores de los Resultados Estratégicos de Desarrollo (RED).</w:t>
      </w:r>
    </w:p>
    <w:p w14:paraId="67692E52" w14:textId="77777777" w:rsidR="00B848FD" w:rsidRDefault="00B848FD" w:rsidP="00B848FD">
      <w:pPr>
        <w:jc w:val="both"/>
      </w:pPr>
    </w:p>
    <w:p w14:paraId="59402471" w14:textId="5C66D229" w:rsidR="00B848FD" w:rsidRPr="00E01410" w:rsidRDefault="00B848FD" w:rsidP="00B848FD">
      <w:pPr>
        <w:pStyle w:val="Prrafodelista"/>
        <w:numPr>
          <w:ilvl w:val="0"/>
          <w:numId w:val="52"/>
        </w:numPr>
        <w:ind w:left="567"/>
        <w:jc w:val="both"/>
        <w:rPr>
          <w:b/>
          <w:bCs/>
        </w:rPr>
      </w:pPr>
      <w:r w:rsidRPr="00A208C9">
        <w:rPr>
          <w:b/>
          <w:bCs/>
        </w:rPr>
        <w:t>Metas superadas según lo estimado al 2023</w:t>
      </w:r>
    </w:p>
    <w:p w14:paraId="0CC2F8FE" w14:textId="1CD1B45F" w:rsidR="00B848FD" w:rsidRDefault="00B848FD" w:rsidP="000D332B">
      <w:pPr>
        <w:pStyle w:val="Prrafodelista"/>
        <w:numPr>
          <w:ilvl w:val="0"/>
          <w:numId w:val="13"/>
        </w:numPr>
        <w:ind w:left="993" w:hanging="426"/>
        <w:jc w:val="both"/>
      </w:pPr>
      <w:r>
        <w:t>De conformidad con el Ministerio de Educación, en el año 2022 se alcanzó una tasa neta de cobertura en el nivel preprimario de 64.37%, superando incluso la meta al año 2023 en 1.21 puntos porcentuales. Será necesario mantener los esfuerzos, para que la cobertura se mantenga y en el mejor de los casos siga avanzando.</w:t>
      </w:r>
    </w:p>
    <w:p w14:paraId="2ED6D801" w14:textId="540C739C" w:rsidR="00B848FD" w:rsidRDefault="00B848FD" w:rsidP="000D332B">
      <w:pPr>
        <w:pStyle w:val="Prrafodelista"/>
        <w:numPr>
          <w:ilvl w:val="0"/>
          <w:numId w:val="13"/>
        </w:numPr>
        <w:ind w:left="993" w:hanging="426"/>
        <w:jc w:val="both"/>
      </w:pPr>
      <w:r>
        <w:t>Respecto al incremento en la tasa neta de cobertura en el nivel primario, destaca que, en el 2022, la tasa neta de cobertura fue de 95.41%, siendo el nivel primario el que presenta los mejores resultados en comparación de los otros niveles del sistema educativo.</w:t>
      </w:r>
    </w:p>
    <w:p w14:paraId="03296CE4" w14:textId="6F152236" w:rsidR="00B848FD" w:rsidRDefault="00B848FD" w:rsidP="000D332B">
      <w:pPr>
        <w:pStyle w:val="Prrafodelista"/>
        <w:numPr>
          <w:ilvl w:val="0"/>
          <w:numId w:val="13"/>
        </w:numPr>
        <w:ind w:left="993" w:hanging="426"/>
        <w:jc w:val="both"/>
      </w:pPr>
      <w:r>
        <w:t>En cuanto a la alimentación escolar, a partir del Acuerdo Ministerial No. 825-2020, se modificó la entrega de alimentación escolar en el nivel preprimario y primario, siendo los recursos otorgados a las Organizaciones de Padres de Familia (OPF) por un monto de Q4.0 diarios por estudiante. En 2022 el monto invertido fue de Q2,865.9 millones, superando la meta en Q236.5 millones.</w:t>
      </w:r>
    </w:p>
    <w:p w14:paraId="67432817" w14:textId="46A4B14B" w:rsidR="00B848FD" w:rsidRDefault="00B848FD" w:rsidP="000D332B">
      <w:pPr>
        <w:pStyle w:val="Prrafodelista"/>
        <w:numPr>
          <w:ilvl w:val="0"/>
          <w:numId w:val="13"/>
        </w:numPr>
        <w:ind w:left="993" w:hanging="426"/>
        <w:jc w:val="both"/>
      </w:pPr>
      <w:r>
        <w:t>Al año 2022 se han entregado 53,181 becas, superando la meta del año 2023 en 2,340 becas.</w:t>
      </w:r>
    </w:p>
    <w:p w14:paraId="1665DC38" w14:textId="2270C8EC" w:rsidR="00B848FD" w:rsidRDefault="00B848FD" w:rsidP="000D332B">
      <w:pPr>
        <w:pStyle w:val="Prrafodelista"/>
        <w:numPr>
          <w:ilvl w:val="0"/>
          <w:numId w:val="13"/>
        </w:numPr>
        <w:ind w:left="993" w:hanging="426"/>
        <w:jc w:val="both"/>
      </w:pPr>
      <w:r>
        <w:t xml:space="preserve">En cuanto al incremento del número de maestros en 8,000 para el 2023, resalta que en 2022 se reportan 155,196 maestros, superando la meta del 2023 en 3,000 docentes. </w:t>
      </w:r>
    </w:p>
    <w:p w14:paraId="5CBDFD00" w14:textId="77777777" w:rsidR="00B848FD" w:rsidRDefault="00B848FD" w:rsidP="00B848FD">
      <w:pPr>
        <w:jc w:val="both"/>
      </w:pPr>
    </w:p>
    <w:p w14:paraId="307DF2B5" w14:textId="3514B4C5" w:rsidR="00B848FD" w:rsidRPr="00E01410" w:rsidRDefault="00B848FD" w:rsidP="00B848FD">
      <w:pPr>
        <w:pStyle w:val="Prrafodelista"/>
        <w:numPr>
          <w:ilvl w:val="0"/>
          <w:numId w:val="52"/>
        </w:numPr>
        <w:ind w:left="567"/>
        <w:jc w:val="both"/>
        <w:rPr>
          <w:b/>
          <w:bCs/>
        </w:rPr>
      </w:pPr>
      <w:r w:rsidRPr="00A208C9">
        <w:rPr>
          <w:b/>
          <w:bCs/>
        </w:rPr>
        <w:t>Metas con avance mayor o igual a 70% según lo estimado al 2023</w:t>
      </w:r>
    </w:p>
    <w:p w14:paraId="6AD4DC66" w14:textId="57DF06DB" w:rsidR="00B848FD" w:rsidRDefault="00B848FD" w:rsidP="000D332B">
      <w:pPr>
        <w:pStyle w:val="Prrafodelista"/>
        <w:numPr>
          <w:ilvl w:val="0"/>
          <w:numId w:val="13"/>
        </w:numPr>
        <w:ind w:left="993" w:hanging="426"/>
        <w:jc w:val="both"/>
      </w:pPr>
      <w:r>
        <w:t>El seguro escolar fue aprobado en 2020, por medio del Acuerdo Gubernativo No. 44-2020, durante el 2022 se logró la cobertura de más de 2.56 millones de estudiantes de preprimaria y primaria con seguro médico escolar, levemente superior a la meta establecida para este año de 2.5 millones.</w:t>
      </w:r>
    </w:p>
    <w:p w14:paraId="03181C4F" w14:textId="77777777" w:rsidR="00B848FD" w:rsidRDefault="00B848FD" w:rsidP="00B848FD">
      <w:pPr>
        <w:jc w:val="both"/>
      </w:pPr>
    </w:p>
    <w:p w14:paraId="37D419D9" w14:textId="3166F3F2" w:rsidR="00B848FD" w:rsidRPr="00E01410" w:rsidRDefault="00B848FD" w:rsidP="00B848FD">
      <w:pPr>
        <w:pStyle w:val="Prrafodelista"/>
        <w:numPr>
          <w:ilvl w:val="0"/>
          <w:numId w:val="52"/>
        </w:numPr>
        <w:ind w:left="567"/>
        <w:jc w:val="both"/>
        <w:rPr>
          <w:b/>
          <w:bCs/>
        </w:rPr>
      </w:pPr>
      <w:r w:rsidRPr="00A208C9">
        <w:rPr>
          <w:b/>
          <w:bCs/>
        </w:rPr>
        <w:t>Metas con avance entre 41% a menos de 70% según lo estimado al 2023</w:t>
      </w:r>
    </w:p>
    <w:p w14:paraId="5EF06D27" w14:textId="46AE8CBE" w:rsidR="00B848FD" w:rsidRDefault="00B848FD" w:rsidP="000D332B">
      <w:pPr>
        <w:pStyle w:val="Prrafodelista"/>
        <w:numPr>
          <w:ilvl w:val="0"/>
          <w:numId w:val="13"/>
        </w:numPr>
        <w:ind w:left="993" w:hanging="426"/>
        <w:jc w:val="both"/>
      </w:pPr>
      <w:r>
        <w:t>Respecto a la reducción de la población analfabeta, para el 2022 aún persiste un 16.72% de población analfabeta no alcanzando aún la meta esperada para ese año que era del 15.40%.</w:t>
      </w:r>
    </w:p>
    <w:p w14:paraId="315A2041" w14:textId="77777777" w:rsidR="00B848FD" w:rsidRDefault="00B848FD" w:rsidP="00B848FD">
      <w:pPr>
        <w:pStyle w:val="Prrafodelista"/>
        <w:ind w:left="709"/>
        <w:jc w:val="both"/>
      </w:pPr>
    </w:p>
    <w:p w14:paraId="156B5E70" w14:textId="50B86CF2" w:rsidR="00B848FD" w:rsidRPr="00E01410" w:rsidRDefault="00B848FD" w:rsidP="00B848FD">
      <w:pPr>
        <w:pStyle w:val="Prrafodelista"/>
        <w:numPr>
          <w:ilvl w:val="0"/>
          <w:numId w:val="52"/>
        </w:numPr>
        <w:ind w:left="567"/>
        <w:jc w:val="both"/>
        <w:rPr>
          <w:b/>
          <w:bCs/>
        </w:rPr>
      </w:pPr>
      <w:r w:rsidRPr="00B848FD">
        <w:rPr>
          <w:b/>
          <w:bCs/>
        </w:rPr>
        <w:t>Metas con avance igual o menor a 40% según lo estimado al 2023</w:t>
      </w:r>
    </w:p>
    <w:p w14:paraId="53129C51" w14:textId="5FC65FE8" w:rsidR="00B848FD" w:rsidRDefault="00B848FD" w:rsidP="000D332B">
      <w:pPr>
        <w:pStyle w:val="Prrafodelista"/>
        <w:numPr>
          <w:ilvl w:val="0"/>
          <w:numId w:val="13"/>
        </w:numPr>
        <w:ind w:left="993" w:hanging="426"/>
        <w:jc w:val="both"/>
      </w:pPr>
      <w:r>
        <w:t>Respecto a incrementar la cobertura en el nivel básico en 17% para el 2023, para el año 2022 se alcanzó un 47.90% en la tasa de cobertura del nivel básico, por debajo de la meta esperada para este año que era del 54.0%.</w:t>
      </w:r>
    </w:p>
    <w:p w14:paraId="0C03C105" w14:textId="78174A46" w:rsidR="00B848FD" w:rsidRDefault="00B848FD" w:rsidP="000D332B">
      <w:pPr>
        <w:pStyle w:val="Prrafodelista"/>
        <w:numPr>
          <w:ilvl w:val="0"/>
          <w:numId w:val="13"/>
        </w:numPr>
        <w:ind w:left="993" w:hanging="426"/>
        <w:jc w:val="both"/>
      </w:pPr>
      <w:r>
        <w:t>En cuanto a la cobertura a nivel diversificado, no se alcanzó la meta para 2022 y se tuvo una tasa de cobertura en el nivel diversificado del 24.06%, dejando una brecha de 11.85% para alcanzar la meta al 2023.</w:t>
      </w:r>
    </w:p>
    <w:p w14:paraId="0EEC7DB3" w14:textId="3F3C6329" w:rsidR="009F727A" w:rsidRDefault="00B848FD" w:rsidP="000D332B">
      <w:pPr>
        <w:pStyle w:val="Prrafodelista"/>
        <w:numPr>
          <w:ilvl w:val="0"/>
          <w:numId w:val="13"/>
        </w:numPr>
        <w:ind w:left="993" w:hanging="426"/>
        <w:jc w:val="both"/>
      </w:pPr>
      <w:r>
        <w:t>De la meta de incremento de maestros graduados de licenciatura, el comportamiento no ha sido satisfactorio. Se han graduado 5,651 maestros y la brecha al 2023 se mantendrá, debido a que la siguiente cohorte se estará graduando después de finalizada la actual administración.</w:t>
      </w:r>
    </w:p>
    <w:p w14:paraId="0AB4F67D" w14:textId="049AC0E2" w:rsidR="00B848FD" w:rsidRDefault="00B848FD" w:rsidP="00B848FD">
      <w:pPr>
        <w:jc w:val="both"/>
      </w:pPr>
    </w:p>
    <w:p w14:paraId="15EFD63B" w14:textId="77777777" w:rsidR="00B848FD" w:rsidRPr="00B848FD" w:rsidRDefault="00B848FD" w:rsidP="00B848FD">
      <w:pPr>
        <w:ind w:left="1395" w:right="2530"/>
        <w:jc w:val="center"/>
        <w:rPr>
          <w:b/>
        </w:rPr>
      </w:pPr>
      <w:r w:rsidRPr="00B848FD">
        <w:rPr>
          <w:b/>
        </w:rPr>
        <w:t>Avances de metas estratégicas</w:t>
      </w:r>
    </w:p>
    <w:p w14:paraId="2CFA5D11" w14:textId="5D7B1DB8" w:rsidR="00B848FD" w:rsidRPr="0071370B" w:rsidRDefault="0071370B" w:rsidP="0071370B">
      <w:pPr>
        <w:pStyle w:val="Descripcin"/>
        <w:keepNext/>
        <w:spacing w:after="0"/>
        <w:jc w:val="center"/>
        <w:rPr>
          <w:b/>
          <w:bCs/>
          <w:i w:val="0"/>
          <w:iCs w:val="0"/>
          <w:sz w:val="24"/>
          <w:szCs w:val="24"/>
        </w:rPr>
      </w:pPr>
      <w:bookmarkStart w:id="207" w:name="_Toc143871224"/>
      <w:r w:rsidRPr="0071370B">
        <w:rPr>
          <w:b/>
          <w:bCs/>
          <w:i w:val="0"/>
          <w:iCs w:val="0"/>
          <w:color w:val="auto"/>
          <w:sz w:val="24"/>
          <w:szCs w:val="24"/>
        </w:rPr>
        <w:t xml:space="preserve">Tabla </w:t>
      </w:r>
      <w:r w:rsidRPr="0071370B">
        <w:rPr>
          <w:b/>
          <w:bCs/>
          <w:i w:val="0"/>
          <w:iCs w:val="0"/>
          <w:color w:val="auto"/>
          <w:sz w:val="24"/>
          <w:szCs w:val="24"/>
        </w:rPr>
        <w:fldChar w:fldCharType="begin"/>
      </w:r>
      <w:r w:rsidRPr="0071370B">
        <w:rPr>
          <w:b/>
          <w:bCs/>
          <w:i w:val="0"/>
          <w:iCs w:val="0"/>
          <w:color w:val="auto"/>
          <w:sz w:val="24"/>
          <w:szCs w:val="24"/>
        </w:rPr>
        <w:instrText xml:space="preserve"> SEQ Tabla \* ARABIC </w:instrText>
      </w:r>
      <w:r w:rsidRPr="0071370B">
        <w:rPr>
          <w:b/>
          <w:bCs/>
          <w:i w:val="0"/>
          <w:iCs w:val="0"/>
          <w:color w:val="auto"/>
          <w:sz w:val="24"/>
          <w:szCs w:val="24"/>
        </w:rPr>
        <w:fldChar w:fldCharType="separate"/>
      </w:r>
      <w:r w:rsidR="006622B2">
        <w:rPr>
          <w:b/>
          <w:bCs/>
          <w:i w:val="0"/>
          <w:iCs w:val="0"/>
          <w:noProof/>
          <w:color w:val="auto"/>
          <w:sz w:val="24"/>
          <w:szCs w:val="24"/>
        </w:rPr>
        <w:t>17</w:t>
      </w:r>
      <w:r w:rsidRPr="0071370B">
        <w:rPr>
          <w:b/>
          <w:bCs/>
          <w:i w:val="0"/>
          <w:iCs w:val="0"/>
          <w:color w:val="auto"/>
          <w:sz w:val="24"/>
          <w:szCs w:val="24"/>
        </w:rPr>
        <w:fldChar w:fldCharType="end"/>
      </w:r>
      <w:r w:rsidRPr="0071370B">
        <w:rPr>
          <w:b/>
          <w:bCs/>
          <w:i w:val="0"/>
          <w:iCs w:val="0"/>
          <w:color w:val="auto"/>
          <w:sz w:val="24"/>
          <w:szCs w:val="24"/>
        </w:rPr>
        <w:t>.</w:t>
      </w:r>
      <w:r w:rsidR="00B848FD" w:rsidRPr="0071370B">
        <w:rPr>
          <w:b/>
          <w:bCs/>
          <w:i w:val="0"/>
          <w:iCs w:val="0"/>
          <w:noProof/>
          <w:color w:val="auto"/>
          <w:sz w:val="24"/>
          <w:szCs w:val="24"/>
        </w:rPr>
        <mc:AlternateContent>
          <mc:Choice Requires="wps">
            <w:drawing>
              <wp:anchor distT="0" distB="0" distL="114300" distR="114300" simplePos="0" relativeHeight="251723776" behindDoc="0" locked="0" layoutInCell="1" allowOverlap="1" wp14:anchorId="2155612C" wp14:editId="637D98F1">
                <wp:simplePos x="0" y="0"/>
                <wp:positionH relativeFrom="page">
                  <wp:posOffset>6275070</wp:posOffset>
                </wp:positionH>
                <wp:positionV relativeFrom="paragraph">
                  <wp:posOffset>291465</wp:posOffset>
                </wp:positionV>
                <wp:extent cx="0" cy="0"/>
                <wp:effectExtent l="0" t="0" r="0" b="0"/>
                <wp:wrapNone/>
                <wp:docPr id="231" name="Line 9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D95B81" id="Line 973" o:spid="_x0000_s1026" style="position:absolute;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22.95pt" to="494.1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" strokecolor="#d3d3d3" strokeweight=".11725mm">
                <w10:wrap anchorx="page"/>
              </v:line>
            </w:pict>
          </mc:Fallback>
        </mc:AlternateContent>
      </w:r>
      <w:r w:rsidR="00B848FD" w:rsidRPr="0071370B">
        <w:rPr>
          <w:b/>
          <w:bCs/>
          <w:i w:val="0"/>
          <w:iCs w:val="0"/>
          <w:noProof/>
          <w:color w:val="auto"/>
          <w:sz w:val="24"/>
          <w:szCs w:val="24"/>
        </w:rPr>
        <mc:AlternateContent>
          <mc:Choice Requires="wps">
            <w:drawing>
              <wp:anchor distT="0" distB="0" distL="114300" distR="114300" simplePos="0" relativeHeight="251724800" behindDoc="0" locked="0" layoutInCell="1" allowOverlap="1" wp14:anchorId="64614C16" wp14:editId="03B0CF79">
                <wp:simplePos x="0" y="0"/>
                <wp:positionH relativeFrom="page">
                  <wp:posOffset>6275070</wp:posOffset>
                </wp:positionH>
                <wp:positionV relativeFrom="paragraph">
                  <wp:posOffset>549275</wp:posOffset>
                </wp:positionV>
                <wp:extent cx="0" cy="0"/>
                <wp:effectExtent l="0" t="0" r="0" b="0"/>
                <wp:wrapNone/>
                <wp:docPr id="230" name="Line 9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1FA347" id="Line 972" o:spid="_x0000_s1026" style="position:absolute;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43.25pt" to="494.1pt,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" strokecolor="#d3d3d3" strokeweight=".11725mm">
                <w10:wrap anchorx="page"/>
              </v:line>
            </w:pict>
          </mc:Fallback>
        </mc:AlternateContent>
      </w:r>
      <w:r w:rsidR="00B848FD" w:rsidRPr="0071370B">
        <w:rPr>
          <w:b/>
          <w:bCs/>
          <w:i w:val="0"/>
          <w:iCs w:val="0"/>
          <w:noProof/>
          <w:color w:val="auto"/>
          <w:sz w:val="24"/>
          <w:szCs w:val="24"/>
        </w:rPr>
        <mc:AlternateContent>
          <mc:Choice Requires="wps">
            <w:drawing>
              <wp:anchor distT="0" distB="0" distL="114300" distR="114300" simplePos="0" relativeHeight="251725824" behindDoc="0" locked="0" layoutInCell="1" allowOverlap="1" wp14:anchorId="31140284" wp14:editId="67B14636">
                <wp:simplePos x="0" y="0"/>
                <wp:positionH relativeFrom="page">
                  <wp:posOffset>6275070</wp:posOffset>
                </wp:positionH>
                <wp:positionV relativeFrom="paragraph">
                  <wp:posOffset>718185</wp:posOffset>
                </wp:positionV>
                <wp:extent cx="0" cy="0"/>
                <wp:effectExtent l="0" t="0" r="0" b="0"/>
                <wp:wrapNone/>
                <wp:docPr id="229" name="Line 9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A26D8E" id="Line 971" o:spid="_x0000_s1026" style="position:absolute;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56.55pt" to="494.1pt,5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" strokecolor="#d3d3d3" strokeweight=".11725mm">
                <w10:wrap anchorx="page"/>
              </v:line>
            </w:pict>
          </mc:Fallback>
        </mc:AlternateContent>
      </w:r>
      <w:r w:rsidR="00B848FD" w:rsidRPr="0071370B">
        <w:rPr>
          <w:b/>
          <w:bCs/>
          <w:i w:val="0"/>
          <w:iCs w:val="0"/>
          <w:noProof/>
          <w:color w:val="auto"/>
          <w:sz w:val="24"/>
          <w:szCs w:val="24"/>
        </w:rPr>
        <mc:AlternateContent>
          <mc:Choice Requires="wps">
            <w:drawing>
              <wp:anchor distT="0" distB="0" distL="114300" distR="114300" simplePos="0" relativeHeight="251726848" behindDoc="0" locked="0" layoutInCell="1" allowOverlap="1" wp14:anchorId="16DF71AB" wp14:editId="15185DC1">
                <wp:simplePos x="0" y="0"/>
                <wp:positionH relativeFrom="page">
                  <wp:posOffset>6275070</wp:posOffset>
                </wp:positionH>
                <wp:positionV relativeFrom="paragraph">
                  <wp:posOffset>887095</wp:posOffset>
                </wp:positionV>
                <wp:extent cx="0" cy="0"/>
                <wp:effectExtent l="0" t="0" r="0" b="0"/>
                <wp:wrapNone/>
                <wp:docPr id="228" name="Line 9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AE08B0" id="Line 970" o:spid="_x0000_s1026" style="position:absolute;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69.85pt" to="494.1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" strokecolor="#d3d3d3" strokeweight=".11725mm">
                <w10:wrap anchorx="page"/>
              </v:line>
            </w:pict>
          </mc:Fallback>
        </mc:AlternateContent>
      </w:r>
      <w:r w:rsidR="00B848FD" w:rsidRPr="0071370B">
        <w:rPr>
          <w:b/>
          <w:bCs/>
          <w:i w:val="0"/>
          <w:iCs w:val="0"/>
          <w:noProof/>
          <w:color w:val="auto"/>
          <w:sz w:val="24"/>
          <w:szCs w:val="24"/>
        </w:rPr>
        <mc:AlternateContent>
          <mc:Choice Requires="wps">
            <w:drawing>
              <wp:anchor distT="0" distB="0" distL="114300" distR="114300" simplePos="0" relativeHeight="251727872" behindDoc="0" locked="0" layoutInCell="1" allowOverlap="1" wp14:anchorId="62D1642B" wp14:editId="15FCA229">
                <wp:simplePos x="0" y="0"/>
                <wp:positionH relativeFrom="page">
                  <wp:posOffset>6275070</wp:posOffset>
                </wp:positionH>
                <wp:positionV relativeFrom="paragraph">
                  <wp:posOffset>1056640</wp:posOffset>
                </wp:positionV>
                <wp:extent cx="0" cy="0"/>
                <wp:effectExtent l="0" t="0" r="0" b="0"/>
                <wp:wrapNone/>
                <wp:docPr id="227" name="Line 9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BC8FC8" id="Line 969" o:spid="_x0000_s1026" style="position:absolute;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83.2pt" to="494.1pt,8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" strokecolor="#d3d3d3" strokeweight=".11725mm">
                <w10:wrap anchorx="page"/>
              </v:line>
            </w:pict>
          </mc:Fallback>
        </mc:AlternateContent>
      </w:r>
      <w:r w:rsidR="00B848FD" w:rsidRPr="0071370B">
        <w:rPr>
          <w:b/>
          <w:bCs/>
          <w:i w:val="0"/>
          <w:iCs w:val="0"/>
          <w:noProof/>
          <w:color w:val="auto"/>
          <w:sz w:val="24"/>
          <w:szCs w:val="24"/>
        </w:rPr>
        <mc:AlternateContent>
          <mc:Choice Requires="wps">
            <w:drawing>
              <wp:anchor distT="0" distB="0" distL="114300" distR="114300" simplePos="0" relativeHeight="251728896" behindDoc="0" locked="0" layoutInCell="1" allowOverlap="1" wp14:anchorId="17E5BEE3" wp14:editId="63D8C296">
                <wp:simplePos x="0" y="0"/>
                <wp:positionH relativeFrom="page">
                  <wp:posOffset>6275070</wp:posOffset>
                </wp:positionH>
                <wp:positionV relativeFrom="paragraph">
                  <wp:posOffset>1225550</wp:posOffset>
                </wp:positionV>
                <wp:extent cx="0" cy="0"/>
                <wp:effectExtent l="0" t="0" r="0" b="0"/>
                <wp:wrapNone/>
                <wp:docPr id="226" name="Line 9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CAA54B" id="Line 968" o:spid="_x0000_s1026" style="position:absolute;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96.5pt" to="494.1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" strokecolor="#d3d3d3" strokeweight=".11725mm">
                <w10:wrap anchorx="page"/>
              </v:line>
            </w:pict>
          </mc:Fallback>
        </mc:AlternateContent>
      </w:r>
      <w:r w:rsidR="00B848FD" w:rsidRPr="0071370B">
        <w:rPr>
          <w:b/>
          <w:bCs/>
          <w:i w:val="0"/>
          <w:iCs w:val="0"/>
          <w:noProof/>
          <w:color w:val="auto"/>
          <w:sz w:val="24"/>
          <w:szCs w:val="24"/>
        </w:rPr>
        <mc:AlternateContent>
          <mc:Choice Requires="wps">
            <w:drawing>
              <wp:anchor distT="0" distB="0" distL="114300" distR="114300" simplePos="0" relativeHeight="251729920" behindDoc="0" locked="0" layoutInCell="1" allowOverlap="1" wp14:anchorId="0DADD035" wp14:editId="60194151">
                <wp:simplePos x="0" y="0"/>
                <wp:positionH relativeFrom="page">
                  <wp:posOffset>6275070</wp:posOffset>
                </wp:positionH>
                <wp:positionV relativeFrom="paragraph">
                  <wp:posOffset>1394460</wp:posOffset>
                </wp:positionV>
                <wp:extent cx="0" cy="0"/>
                <wp:effectExtent l="0" t="0" r="0" b="0"/>
                <wp:wrapNone/>
                <wp:docPr id="225" name="Line 9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1A3F5C" id="Line 967" o:spid="_x0000_s1026" style="position:absolute;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109.8pt" to="494.1pt,10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" strokecolor="#d3d3d3" strokeweight=".11725mm">
                <w10:wrap anchorx="page"/>
              </v:line>
            </w:pict>
          </mc:Fallback>
        </mc:AlternateContent>
      </w:r>
      <w:r w:rsidR="00B848FD" w:rsidRPr="0071370B">
        <w:rPr>
          <w:b/>
          <w:bCs/>
          <w:i w:val="0"/>
          <w:iCs w:val="0"/>
          <w:noProof/>
          <w:color w:val="auto"/>
          <w:sz w:val="24"/>
          <w:szCs w:val="24"/>
        </w:rPr>
        <mc:AlternateContent>
          <mc:Choice Requires="wps">
            <w:drawing>
              <wp:anchor distT="0" distB="0" distL="114300" distR="114300" simplePos="0" relativeHeight="251730944" behindDoc="0" locked="0" layoutInCell="1" allowOverlap="1" wp14:anchorId="43EBA5E1" wp14:editId="42478054">
                <wp:simplePos x="0" y="0"/>
                <wp:positionH relativeFrom="page">
                  <wp:posOffset>6275070</wp:posOffset>
                </wp:positionH>
                <wp:positionV relativeFrom="paragraph">
                  <wp:posOffset>1563370</wp:posOffset>
                </wp:positionV>
                <wp:extent cx="0" cy="0"/>
                <wp:effectExtent l="0" t="0" r="0" b="0"/>
                <wp:wrapNone/>
                <wp:docPr id="224" name="Line 9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E8E6E5" id="Line 966" o:spid="_x0000_s1026" style="position:absolute;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123.1pt" to="494.1pt,1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" strokecolor="#d3d3d3" strokeweight=".11725mm">
                <w10:wrap anchorx="page"/>
              </v:line>
            </w:pict>
          </mc:Fallback>
        </mc:AlternateContent>
      </w:r>
      <w:r w:rsidR="00B848FD" w:rsidRPr="0071370B">
        <w:rPr>
          <w:b/>
          <w:bCs/>
          <w:i w:val="0"/>
          <w:iCs w:val="0"/>
          <w:noProof/>
          <w:color w:val="auto"/>
          <w:sz w:val="24"/>
          <w:szCs w:val="24"/>
        </w:rPr>
        <mc:AlternateContent>
          <mc:Choice Requires="wps">
            <w:drawing>
              <wp:anchor distT="0" distB="0" distL="114300" distR="114300" simplePos="0" relativeHeight="251731968" behindDoc="0" locked="0" layoutInCell="1" allowOverlap="1" wp14:anchorId="4C12FD51" wp14:editId="0F8CEE5C">
                <wp:simplePos x="0" y="0"/>
                <wp:positionH relativeFrom="page">
                  <wp:posOffset>6275070</wp:posOffset>
                </wp:positionH>
                <wp:positionV relativeFrom="paragraph">
                  <wp:posOffset>1736725</wp:posOffset>
                </wp:positionV>
                <wp:extent cx="0" cy="0"/>
                <wp:effectExtent l="0" t="0" r="0" b="0"/>
                <wp:wrapNone/>
                <wp:docPr id="223" name="Line 9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8F6288" id="Line 965" o:spid="_x0000_s1026" style="position:absolute;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136.75pt" to="494.1pt,13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" strokecolor="#d3d3d3" strokeweight=".11725mm">
                <w10:wrap anchorx="page"/>
              </v:line>
            </w:pict>
          </mc:Fallback>
        </mc:AlternateContent>
      </w:r>
      <w:r w:rsidR="00B848FD" w:rsidRPr="0071370B">
        <w:rPr>
          <w:b/>
          <w:bCs/>
          <w:i w:val="0"/>
          <w:iCs w:val="0"/>
          <w:noProof/>
          <w:color w:val="auto"/>
          <w:sz w:val="24"/>
          <w:szCs w:val="24"/>
        </w:rPr>
        <mc:AlternateContent>
          <mc:Choice Requires="wps">
            <w:drawing>
              <wp:anchor distT="0" distB="0" distL="114300" distR="114300" simplePos="0" relativeHeight="251732992" behindDoc="0" locked="0" layoutInCell="1" allowOverlap="1" wp14:anchorId="2CA10269" wp14:editId="37E63875">
                <wp:simplePos x="0" y="0"/>
                <wp:positionH relativeFrom="page">
                  <wp:posOffset>6275070</wp:posOffset>
                </wp:positionH>
                <wp:positionV relativeFrom="paragraph">
                  <wp:posOffset>1910080</wp:posOffset>
                </wp:positionV>
                <wp:extent cx="0" cy="0"/>
                <wp:effectExtent l="0" t="0" r="0" b="0"/>
                <wp:wrapNone/>
                <wp:docPr id="222" name="Line 9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62BAF7" id="Line 964" o:spid="_x0000_s1026" style="position:absolute;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150.4pt" to="494.1pt,15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" strokecolor="#d3d3d3" strokeweight=".11725mm">
                <w10:wrap anchorx="page"/>
              </v:line>
            </w:pict>
          </mc:Fallback>
        </mc:AlternateContent>
      </w:r>
      <w:r w:rsidR="00B848FD" w:rsidRPr="0071370B">
        <w:rPr>
          <w:b/>
          <w:bCs/>
          <w:i w:val="0"/>
          <w:iCs w:val="0"/>
          <w:noProof/>
          <w:color w:val="auto"/>
          <w:sz w:val="24"/>
          <w:szCs w:val="24"/>
        </w:rPr>
        <mc:AlternateContent>
          <mc:Choice Requires="wps">
            <w:drawing>
              <wp:anchor distT="0" distB="0" distL="114300" distR="114300" simplePos="0" relativeHeight="251734016" behindDoc="0" locked="0" layoutInCell="1" allowOverlap="1" wp14:anchorId="1610B0D4" wp14:editId="195C8411">
                <wp:simplePos x="0" y="0"/>
                <wp:positionH relativeFrom="page">
                  <wp:posOffset>6275070</wp:posOffset>
                </wp:positionH>
                <wp:positionV relativeFrom="paragraph">
                  <wp:posOffset>1994535</wp:posOffset>
                </wp:positionV>
                <wp:extent cx="0" cy="0"/>
                <wp:effectExtent l="0" t="0" r="0" b="0"/>
                <wp:wrapNone/>
                <wp:docPr id="221" name="Line 9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22DB80" id="Line 963" o:spid="_x0000_s1026" style="position:absolute;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157.05pt" to="494.1pt,15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" strokecolor="#d3d3d3" strokeweight=".11725mm">
                <w10:wrap anchorx="page"/>
              </v:line>
            </w:pict>
          </mc:Fallback>
        </mc:AlternateContent>
      </w:r>
      <w:r w:rsidR="00B848FD" w:rsidRPr="0071370B">
        <w:rPr>
          <w:b/>
          <w:bCs/>
          <w:i w:val="0"/>
          <w:iCs w:val="0"/>
          <w:noProof/>
          <w:color w:val="auto"/>
          <w:sz w:val="24"/>
          <w:szCs w:val="24"/>
        </w:rPr>
        <mc:AlternateContent>
          <mc:Choice Requires="wps">
            <w:drawing>
              <wp:anchor distT="0" distB="0" distL="114300" distR="114300" simplePos="0" relativeHeight="251735040" behindDoc="0" locked="0" layoutInCell="1" allowOverlap="1" wp14:anchorId="0D434BDB" wp14:editId="69C1D591">
                <wp:simplePos x="0" y="0"/>
                <wp:positionH relativeFrom="page">
                  <wp:posOffset>6275070</wp:posOffset>
                </wp:positionH>
                <wp:positionV relativeFrom="paragraph">
                  <wp:posOffset>2078990</wp:posOffset>
                </wp:positionV>
                <wp:extent cx="0" cy="0"/>
                <wp:effectExtent l="0" t="0" r="0" b="0"/>
                <wp:wrapNone/>
                <wp:docPr id="220" name="Line 9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03E65A" id="Line 962" o:spid="_x0000_s1026" style="position:absolute;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163.7pt" to="494.1pt,16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" strokecolor="#d3d3d3" strokeweight=".11725mm">
                <w10:wrap anchorx="page"/>
              </v:line>
            </w:pict>
          </mc:Fallback>
        </mc:AlternateContent>
      </w:r>
      <w:r w:rsidRPr="0071370B">
        <w:rPr>
          <w:b/>
          <w:bCs/>
          <w:i w:val="0"/>
          <w:iCs w:val="0"/>
          <w:color w:val="auto"/>
          <w:sz w:val="24"/>
          <w:szCs w:val="24"/>
        </w:rPr>
        <w:t xml:space="preserve">  </w:t>
      </w:r>
      <w:r w:rsidR="00B848FD" w:rsidRPr="0071370B">
        <w:rPr>
          <w:b/>
          <w:bCs/>
          <w:i w:val="0"/>
          <w:iCs w:val="0"/>
          <w:color w:val="auto"/>
          <w:sz w:val="24"/>
          <w:szCs w:val="24"/>
        </w:rPr>
        <w:t xml:space="preserve">Pilar 2a: Desarrollo </w:t>
      </w:r>
      <w:r w:rsidR="00D31CC8">
        <w:rPr>
          <w:b/>
          <w:bCs/>
          <w:i w:val="0"/>
          <w:iCs w:val="0"/>
          <w:color w:val="auto"/>
          <w:sz w:val="24"/>
          <w:szCs w:val="24"/>
        </w:rPr>
        <w:t>s</w:t>
      </w:r>
      <w:r w:rsidR="00B848FD" w:rsidRPr="0071370B">
        <w:rPr>
          <w:b/>
          <w:bCs/>
          <w:i w:val="0"/>
          <w:iCs w:val="0"/>
          <w:color w:val="auto"/>
          <w:sz w:val="24"/>
          <w:szCs w:val="24"/>
        </w:rPr>
        <w:t>ocial -</w:t>
      </w:r>
      <w:r w:rsidR="00D31CC8">
        <w:rPr>
          <w:b/>
          <w:bCs/>
          <w:i w:val="0"/>
          <w:iCs w:val="0"/>
          <w:color w:val="auto"/>
          <w:sz w:val="24"/>
          <w:szCs w:val="24"/>
        </w:rPr>
        <w:t xml:space="preserve"> e</w:t>
      </w:r>
      <w:r w:rsidR="00B848FD" w:rsidRPr="0071370B">
        <w:rPr>
          <w:b/>
          <w:bCs/>
          <w:i w:val="0"/>
          <w:iCs w:val="0"/>
          <w:color w:val="auto"/>
          <w:sz w:val="24"/>
          <w:szCs w:val="24"/>
        </w:rPr>
        <w:t>ducación</w:t>
      </w:r>
      <w:bookmarkEnd w:id="207"/>
    </w:p>
    <w:tbl>
      <w:tblPr>
        <w:tblW w:w="8657" w:type="dxa"/>
        <w:jc w:val="center"/>
        <w:tblCellMar>
          <w:left w:w="70" w:type="dxa"/>
          <w:right w:w="70" w:type="dxa"/>
        </w:tblCellMar>
        <w:tblLook w:val="04A0" w:firstRow="1" w:lastRow="0" w:firstColumn="1" w:lastColumn="0" w:noHBand="0" w:noVBand="1"/>
      </w:tblPr>
      <w:tblGrid>
        <w:gridCol w:w="472"/>
        <w:gridCol w:w="2947"/>
        <w:gridCol w:w="994"/>
        <w:gridCol w:w="823"/>
        <w:gridCol w:w="736"/>
        <w:gridCol w:w="979"/>
        <w:gridCol w:w="845"/>
        <w:gridCol w:w="861"/>
      </w:tblGrid>
      <w:tr w:rsidR="00B848FD" w:rsidRPr="009102B5" w14:paraId="4D5C609F" w14:textId="77777777" w:rsidTr="00435EA6">
        <w:trPr>
          <w:trHeight w:val="290"/>
          <w:jc w:val="center"/>
        </w:trPr>
        <w:tc>
          <w:tcPr>
            <w:tcW w:w="477" w:type="dxa"/>
            <w:vMerge w:val="restart"/>
            <w:tcBorders>
              <w:top w:val="single" w:sz="12" w:space="0" w:color="auto"/>
              <w:left w:val="single" w:sz="12" w:space="0" w:color="auto"/>
              <w:bottom w:val="single" w:sz="8" w:space="0" w:color="000000"/>
              <w:right w:val="single" w:sz="8" w:space="0" w:color="000000"/>
            </w:tcBorders>
            <w:shd w:val="clear" w:color="000000" w:fill="1F4E78"/>
            <w:vAlign w:val="center"/>
            <w:hideMark/>
          </w:tcPr>
          <w:p w14:paraId="1BD12188" w14:textId="77777777" w:rsidR="00B848FD" w:rsidRPr="009102B5" w:rsidRDefault="00B848FD" w:rsidP="00582CA7">
            <w:pPr>
              <w:jc w:val="center"/>
              <w:rPr>
                <w:b/>
                <w:bCs/>
                <w:color w:val="FFFFFF"/>
                <w:sz w:val="16"/>
                <w:szCs w:val="16"/>
              </w:rPr>
            </w:pPr>
            <w:r w:rsidRPr="009102B5">
              <w:rPr>
                <w:b/>
                <w:bCs/>
                <w:color w:val="FFFFFF"/>
                <w:sz w:val="16"/>
              </w:rPr>
              <w:t>No.</w:t>
            </w:r>
          </w:p>
        </w:tc>
        <w:tc>
          <w:tcPr>
            <w:tcW w:w="3052" w:type="dxa"/>
            <w:tcBorders>
              <w:top w:val="single" w:sz="12" w:space="0" w:color="auto"/>
              <w:left w:val="nil"/>
              <w:bottom w:val="nil"/>
              <w:right w:val="single" w:sz="8" w:space="0" w:color="000000"/>
            </w:tcBorders>
            <w:shd w:val="clear" w:color="000000" w:fill="1F4E78"/>
            <w:vAlign w:val="center"/>
            <w:hideMark/>
          </w:tcPr>
          <w:p w14:paraId="41001567" w14:textId="77777777" w:rsidR="00B848FD" w:rsidRPr="009102B5" w:rsidRDefault="00B848FD" w:rsidP="00582CA7">
            <w:pPr>
              <w:jc w:val="center"/>
              <w:rPr>
                <w:b/>
                <w:bCs/>
                <w:color w:val="FFFFFF"/>
                <w:sz w:val="16"/>
                <w:szCs w:val="16"/>
              </w:rPr>
            </w:pPr>
            <w:r w:rsidRPr="009102B5">
              <w:rPr>
                <w:b/>
                <w:bCs/>
                <w:color w:val="FFFFFF"/>
                <w:sz w:val="16"/>
              </w:rPr>
              <w:t>Descripción de la Meta</w:t>
            </w:r>
          </w:p>
        </w:tc>
        <w:tc>
          <w:tcPr>
            <w:tcW w:w="851" w:type="dxa"/>
            <w:vMerge w:val="restart"/>
            <w:tcBorders>
              <w:top w:val="single" w:sz="12" w:space="0" w:color="auto"/>
              <w:left w:val="single" w:sz="8" w:space="0" w:color="000000"/>
              <w:bottom w:val="single" w:sz="8" w:space="0" w:color="000000"/>
              <w:right w:val="single" w:sz="4" w:space="0" w:color="auto"/>
            </w:tcBorders>
            <w:shd w:val="clear" w:color="000000" w:fill="1F4E78"/>
            <w:vAlign w:val="center"/>
            <w:hideMark/>
          </w:tcPr>
          <w:p w14:paraId="3B41F6B2" w14:textId="77777777" w:rsidR="00B848FD" w:rsidRPr="009102B5" w:rsidRDefault="00B848FD" w:rsidP="00582CA7">
            <w:pPr>
              <w:jc w:val="center"/>
              <w:rPr>
                <w:b/>
                <w:bCs/>
                <w:color w:val="FFFFFF"/>
                <w:sz w:val="16"/>
                <w:szCs w:val="16"/>
              </w:rPr>
            </w:pPr>
            <w:r w:rsidRPr="009102B5">
              <w:rPr>
                <w:b/>
                <w:bCs/>
                <w:color w:val="FFFFFF"/>
                <w:sz w:val="16"/>
                <w:szCs w:val="16"/>
              </w:rPr>
              <w:t>Responsable</w:t>
            </w:r>
          </w:p>
        </w:tc>
        <w:tc>
          <w:tcPr>
            <w:tcW w:w="1559" w:type="dxa"/>
            <w:gridSpan w:val="2"/>
            <w:tcBorders>
              <w:top w:val="single" w:sz="12" w:space="0" w:color="auto"/>
              <w:left w:val="nil"/>
              <w:bottom w:val="single" w:sz="4" w:space="0" w:color="auto"/>
              <w:right w:val="single" w:sz="12" w:space="0" w:color="auto"/>
            </w:tcBorders>
            <w:shd w:val="clear" w:color="000000" w:fill="1F4E78"/>
            <w:vAlign w:val="center"/>
            <w:hideMark/>
          </w:tcPr>
          <w:p w14:paraId="6CA1E22E" w14:textId="77777777" w:rsidR="00B848FD" w:rsidRPr="009102B5" w:rsidRDefault="00B848FD" w:rsidP="00582CA7">
            <w:pPr>
              <w:jc w:val="center"/>
              <w:rPr>
                <w:b/>
                <w:bCs/>
                <w:color w:val="FFFFFF"/>
                <w:sz w:val="16"/>
                <w:szCs w:val="16"/>
              </w:rPr>
            </w:pPr>
            <w:r>
              <w:rPr>
                <w:b/>
                <w:bCs/>
                <w:color w:val="FFFFFF"/>
                <w:sz w:val="16"/>
                <w:szCs w:val="16"/>
              </w:rPr>
              <w:t>Avance</w:t>
            </w:r>
          </w:p>
        </w:tc>
        <w:tc>
          <w:tcPr>
            <w:tcW w:w="2718" w:type="dxa"/>
            <w:gridSpan w:val="3"/>
            <w:tcBorders>
              <w:top w:val="single" w:sz="12" w:space="0" w:color="auto"/>
              <w:left w:val="single" w:sz="12" w:space="0" w:color="auto"/>
              <w:bottom w:val="single" w:sz="4" w:space="0" w:color="auto"/>
              <w:right w:val="single" w:sz="12" w:space="0" w:color="auto"/>
            </w:tcBorders>
            <w:shd w:val="clear" w:color="000000" w:fill="1F4E78"/>
            <w:vAlign w:val="center"/>
            <w:hideMark/>
          </w:tcPr>
          <w:p w14:paraId="196EDE8C" w14:textId="77777777" w:rsidR="00B848FD" w:rsidRPr="009102B5" w:rsidRDefault="00B848FD" w:rsidP="00582CA7">
            <w:pPr>
              <w:jc w:val="center"/>
              <w:rPr>
                <w:b/>
                <w:bCs/>
                <w:color w:val="FFFFFF"/>
                <w:sz w:val="16"/>
                <w:szCs w:val="16"/>
              </w:rPr>
            </w:pPr>
            <w:r w:rsidRPr="009102B5">
              <w:rPr>
                <w:b/>
                <w:bCs/>
                <w:color w:val="FFFFFF"/>
                <w:sz w:val="16"/>
                <w:szCs w:val="16"/>
              </w:rPr>
              <w:t>2023</w:t>
            </w:r>
          </w:p>
        </w:tc>
      </w:tr>
      <w:tr w:rsidR="00435EA6" w:rsidRPr="009102B5" w14:paraId="08C293B3" w14:textId="77777777" w:rsidTr="00435EA6">
        <w:trPr>
          <w:trHeight w:val="305"/>
          <w:jc w:val="center"/>
        </w:trPr>
        <w:tc>
          <w:tcPr>
            <w:tcW w:w="477" w:type="dxa"/>
            <w:vMerge/>
            <w:tcBorders>
              <w:top w:val="single" w:sz="8" w:space="0" w:color="auto"/>
              <w:left w:val="single" w:sz="12" w:space="0" w:color="auto"/>
              <w:bottom w:val="single" w:sz="12" w:space="0" w:color="auto"/>
              <w:right w:val="single" w:sz="8" w:space="0" w:color="000000"/>
            </w:tcBorders>
            <w:vAlign w:val="center"/>
            <w:hideMark/>
          </w:tcPr>
          <w:p w14:paraId="6BF3A3B4" w14:textId="77777777" w:rsidR="00B848FD" w:rsidRPr="009102B5" w:rsidRDefault="00B848FD" w:rsidP="00582CA7">
            <w:pPr>
              <w:rPr>
                <w:b/>
                <w:bCs/>
                <w:color w:val="FFFFFF"/>
                <w:sz w:val="16"/>
                <w:szCs w:val="16"/>
              </w:rPr>
            </w:pPr>
          </w:p>
        </w:tc>
        <w:tc>
          <w:tcPr>
            <w:tcW w:w="3052" w:type="dxa"/>
            <w:tcBorders>
              <w:top w:val="nil"/>
              <w:left w:val="nil"/>
              <w:bottom w:val="single" w:sz="12" w:space="0" w:color="auto"/>
              <w:right w:val="single" w:sz="8" w:space="0" w:color="000000"/>
            </w:tcBorders>
            <w:shd w:val="clear" w:color="000000" w:fill="1F4E78"/>
            <w:vAlign w:val="center"/>
            <w:hideMark/>
          </w:tcPr>
          <w:p w14:paraId="7CDC1876" w14:textId="77777777" w:rsidR="00B848FD" w:rsidRPr="009102B5" w:rsidRDefault="00B848FD" w:rsidP="00582CA7">
            <w:pPr>
              <w:jc w:val="center"/>
              <w:rPr>
                <w:b/>
                <w:bCs/>
                <w:color w:val="FFFFFF"/>
                <w:sz w:val="16"/>
                <w:szCs w:val="16"/>
              </w:rPr>
            </w:pPr>
            <w:r w:rsidRPr="009102B5">
              <w:rPr>
                <w:b/>
                <w:bCs/>
                <w:color w:val="FFFFFF"/>
                <w:sz w:val="16"/>
              </w:rPr>
              <w:t>al 2023</w:t>
            </w:r>
          </w:p>
        </w:tc>
        <w:tc>
          <w:tcPr>
            <w:tcW w:w="851" w:type="dxa"/>
            <w:vMerge/>
            <w:tcBorders>
              <w:top w:val="single" w:sz="8" w:space="0" w:color="auto"/>
              <w:left w:val="single" w:sz="8" w:space="0" w:color="000000"/>
              <w:bottom w:val="single" w:sz="12" w:space="0" w:color="auto"/>
              <w:right w:val="single" w:sz="4" w:space="0" w:color="auto"/>
            </w:tcBorders>
            <w:vAlign w:val="center"/>
            <w:hideMark/>
          </w:tcPr>
          <w:p w14:paraId="22A3729C" w14:textId="77777777" w:rsidR="00B848FD" w:rsidRPr="009102B5" w:rsidRDefault="00B848FD" w:rsidP="00582CA7">
            <w:pPr>
              <w:rPr>
                <w:b/>
                <w:bCs/>
                <w:color w:val="FFFFFF"/>
                <w:sz w:val="16"/>
                <w:szCs w:val="16"/>
              </w:rPr>
            </w:pPr>
          </w:p>
        </w:tc>
        <w:tc>
          <w:tcPr>
            <w:tcW w:w="823" w:type="dxa"/>
            <w:tcBorders>
              <w:top w:val="nil"/>
              <w:left w:val="nil"/>
              <w:bottom w:val="single" w:sz="12" w:space="0" w:color="auto"/>
              <w:right w:val="single" w:sz="4" w:space="0" w:color="auto"/>
            </w:tcBorders>
            <w:shd w:val="clear" w:color="000000" w:fill="1F4E78"/>
            <w:vAlign w:val="center"/>
            <w:hideMark/>
          </w:tcPr>
          <w:p w14:paraId="73709B5E" w14:textId="77777777" w:rsidR="00B848FD" w:rsidRPr="009102B5" w:rsidRDefault="00B848FD" w:rsidP="00582CA7">
            <w:pPr>
              <w:jc w:val="center"/>
              <w:rPr>
                <w:b/>
                <w:bCs/>
                <w:color w:val="FFFFFF"/>
                <w:sz w:val="16"/>
                <w:szCs w:val="16"/>
              </w:rPr>
            </w:pPr>
            <w:r w:rsidRPr="009102B5">
              <w:rPr>
                <w:b/>
                <w:bCs/>
                <w:color w:val="FFFFFF"/>
                <w:sz w:val="16"/>
                <w:szCs w:val="16"/>
              </w:rPr>
              <w:t>2021</w:t>
            </w:r>
          </w:p>
        </w:tc>
        <w:tc>
          <w:tcPr>
            <w:tcW w:w="736" w:type="dxa"/>
            <w:tcBorders>
              <w:top w:val="nil"/>
              <w:left w:val="nil"/>
              <w:bottom w:val="single" w:sz="12" w:space="0" w:color="auto"/>
              <w:right w:val="single" w:sz="12" w:space="0" w:color="auto"/>
            </w:tcBorders>
            <w:shd w:val="clear" w:color="000000" w:fill="1F4E78"/>
            <w:vAlign w:val="center"/>
            <w:hideMark/>
          </w:tcPr>
          <w:p w14:paraId="4205570A" w14:textId="77777777" w:rsidR="00B848FD" w:rsidRPr="009102B5" w:rsidRDefault="00B848FD" w:rsidP="00582CA7">
            <w:pPr>
              <w:jc w:val="center"/>
              <w:rPr>
                <w:b/>
                <w:bCs/>
                <w:color w:val="FFFFFF"/>
                <w:sz w:val="16"/>
                <w:szCs w:val="16"/>
              </w:rPr>
            </w:pPr>
            <w:r w:rsidRPr="009102B5">
              <w:rPr>
                <w:b/>
                <w:bCs/>
                <w:color w:val="FFFFFF"/>
                <w:sz w:val="16"/>
                <w:szCs w:val="16"/>
              </w:rPr>
              <w:t>2022</w:t>
            </w:r>
          </w:p>
        </w:tc>
        <w:tc>
          <w:tcPr>
            <w:tcW w:w="992" w:type="dxa"/>
            <w:tcBorders>
              <w:top w:val="nil"/>
              <w:left w:val="single" w:sz="12" w:space="0" w:color="auto"/>
              <w:bottom w:val="single" w:sz="12" w:space="0" w:color="auto"/>
              <w:right w:val="single" w:sz="4" w:space="0" w:color="auto"/>
            </w:tcBorders>
            <w:shd w:val="clear" w:color="000000" w:fill="1F4E78"/>
            <w:vAlign w:val="center"/>
            <w:hideMark/>
          </w:tcPr>
          <w:p w14:paraId="61E8F811" w14:textId="77777777" w:rsidR="00B848FD" w:rsidRPr="009102B5" w:rsidRDefault="00B848FD" w:rsidP="00582CA7">
            <w:pPr>
              <w:jc w:val="center"/>
              <w:rPr>
                <w:b/>
                <w:bCs/>
                <w:color w:val="FFFFFF"/>
                <w:sz w:val="16"/>
                <w:szCs w:val="16"/>
              </w:rPr>
            </w:pPr>
            <w:r w:rsidRPr="009102B5">
              <w:rPr>
                <w:b/>
                <w:bCs/>
                <w:color w:val="FFFFFF"/>
                <w:sz w:val="16"/>
                <w:szCs w:val="16"/>
              </w:rPr>
              <w:t>Meta</w:t>
            </w:r>
          </w:p>
        </w:tc>
        <w:tc>
          <w:tcPr>
            <w:tcW w:w="851" w:type="dxa"/>
            <w:tcBorders>
              <w:top w:val="nil"/>
              <w:left w:val="nil"/>
              <w:bottom w:val="single" w:sz="12" w:space="0" w:color="auto"/>
              <w:right w:val="single" w:sz="4" w:space="0" w:color="auto"/>
            </w:tcBorders>
            <w:shd w:val="clear" w:color="000000" w:fill="1F4E78"/>
            <w:vAlign w:val="center"/>
            <w:hideMark/>
          </w:tcPr>
          <w:p w14:paraId="4181916C" w14:textId="77777777" w:rsidR="00B848FD" w:rsidRPr="009102B5" w:rsidRDefault="00B848FD" w:rsidP="00582CA7">
            <w:pPr>
              <w:jc w:val="center"/>
              <w:rPr>
                <w:b/>
                <w:bCs/>
                <w:color w:val="FFFFFF"/>
                <w:sz w:val="16"/>
                <w:szCs w:val="16"/>
              </w:rPr>
            </w:pPr>
            <w:r w:rsidRPr="009102B5">
              <w:rPr>
                <w:b/>
                <w:bCs/>
                <w:color w:val="FFFFFF"/>
                <w:sz w:val="16"/>
                <w:szCs w:val="16"/>
              </w:rPr>
              <w:t>Brecha</w:t>
            </w:r>
          </w:p>
        </w:tc>
        <w:tc>
          <w:tcPr>
            <w:tcW w:w="875" w:type="dxa"/>
            <w:tcBorders>
              <w:top w:val="nil"/>
              <w:left w:val="nil"/>
              <w:bottom w:val="single" w:sz="12" w:space="0" w:color="auto"/>
              <w:right w:val="single" w:sz="12" w:space="0" w:color="auto"/>
            </w:tcBorders>
            <w:shd w:val="clear" w:color="000000" w:fill="1F4E78"/>
            <w:vAlign w:val="center"/>
            <w:hideMark/>
          </w:tcPr>
          <w:p w14:paraId="22B4AFA2" w14:textId="77777777" w:rsidR="00B848FD" w:rsidRPr="009102B5" w:rsidRDefault="00B848FD" w:rsidP="00582CA7">
            <w:pPr>
              <w:jc w:val="center"/>
              <w:rPr>
                <w:b/>
                <w:bCs/>
                <w:color w:val="FFFFFF"/>
                <w:sz w:val="16"/>
                <w:szCs w:val="16"/>
              </w:rPr>
            </w:pPr>
            <w:r w:rsidRPr="009102B5">
              <w:rPr>
                <w:b/>
                <w:bCs/>
                <w:color w:val="FFFFFF"/>
                <w:sz w:val="16"/>
                <w:szCs w:val="16"/>
              </w:rPr>
              <w:t>% de avance</w:t>
            </w:r>
          </w:p>
        </w:tc>
      </w:tr>
      <w:tr w:rsidR="00435EA6" w:rsidRPr="009102B5" w14:paraId="29EA6B4E" w14:textId="77777777" w:rsidTr="004B6A59">
        <w:trPr>
          <w:trHeight w:val="550"/>
          <w:jc w:val="center"/>
        </w:trPr>
        <w:tc>
          <w:tcPr>
            <w:tcW w:w="477" w:type="dxa"/>
            <w:tcBorders>
              <w:top w:val="single" w:sz="12" w:space="0" w:color="auto"/>
              <w:left w:val="single" w:sz="12" w:space="0" w:color="auto"/>
              <w:bottom w:val="single" w:sz="4" w:space="0" w:color="auto"/>
              <w:right w:val="single" w:sz="8" w:space="0" w:color="000000"/>
            </w:tcBorders>
            <w:shd w:val="clear" w:color="auto" w:fill="auto"/>
            <w:vAlign w:val="center"/>
            <w:hideMark/>
          </w:tcPr>
          <w:p w14:paraId="2BA8F632" w14:textId="77777777" w:rsidR="00B848FD" w:rsidRPr="009102B5" w:rsidRDefault="00B848FD" w:rsidP="00582CA7">
            <w:pPr>
              <w:jc w:val="center"/>
              <w:rPr>
                <w:color w:val="000000"/>
                <w:sz w:val="16"/>
                <w:szCs w:val="16"/>
              </w:rPr>
            </w:pPr>
            <w:r w:rsidRPr="009102B5">
              <w:rPr>
                <w:sz w:val="16"/>
              </w:rPr>
              <w:t>1</w:t>
            </w:r>
          </w:p>
        </w:tc>
        <w:tc>
          <w:tcPr>
            <w:tcW w:w="3052" w:type="dxa"/>
            <w:tcBorders>
              <w:top w:val="single" w:sz="12" w:space="0" w:color="auto"/>
              <w:left w:val="nil"/>
              <w:bottom w:val="single" w:sz="4" w:space="0" w:color="auto"/>
              <w:right w:val="single" w:sz="8" w:space="0" w:color="000000"/>
            </w:tcBorders>
            <w:shd w:val="clear" w:color="auto" w:fill="auto"/>
            <w:vAlign w:val="center"/>
            <w:hideMark/>
          </w:tcPr>
          <w:p w14:paraId="0BF9B089" w14:textId="77777777" w:rsidR="00B848FD" w:rsidRPr="009102B5" w:rsidRDefault="00B848FD" w:rsidP="00582CA7">
            <w:pPr>
              <w:rPr>
                <w:color w:val="000000"/>
                <w:sz w:val="16"/>
                <w:szCs w:val="16"/>
              </w:rPr>
            </w:pPr>
            <w:r w:rsidRPr="009102B5">
              <w:rPr>
                <w:sz w:val="16"/>
              </w:rPr>
              <w:t>Para el año 2023 se ha incrementado la tasa neta de cobertura en el nivel preprimaria en 12 puntos porcentuales</w:t>
            </w:r>
          </w:p>
        </w:tc>
        <w:tc>
          <w:tcPr>
            <w:tcW w:w="851" w:type="dxa"/>
            <w:tcBorders>
              <w:top w:val="single" w:sz="12" w:space="0" w:color="auto"/>
              <w:left w:val="nil"/>
              <w:bottom w:val="single" w:sz="4" w:space="0" w:color="auto"/>
              <w:right w:val="single" w:sz="4" w:space="0" w:color="auto"/>
            </w:tcBorders>
            <w:shd w:val="clear" w:color="auto" w:fill="auto"/>
            <w:vAlign w:val="center"/>
            <w:hideMark/>
          </w:tcPr>
          <w:p w14:paraId="04F63F7B" w14:textId="77777777" w:rsidR="00B848FD" w:rsidRPr="009102B5" w:rsidRDefault="00B848FD" w:rsidP="00582CA7">
            <w:pPr>
              <w:jc w:val="center"/>
              <w:rPr>
                <w:color w:val="000000"/>
                <w:sz w:val="16"/>
                <w:szCs w:val="16"/>
              </w:rPr>
            </w:pPr>
            <w:r w:rsidRPr="009102B5">
              <w:rPr>
                <w:color w:val="000000"/>
                <w:sz w:val="16"/>
                <w:szCs w:val="16"/>
              </w:rPr>
              <w:t>MINEDUC</w:t>
            </w:r>
          </w:p>
        </w:tc>
        <w:tc>
          <w:tcPr>
            <w:tcW w:w="823" w:type="dxa"/>
            <w:tcBorders>
              <w:top w:val="single" w:sz="12" w:space="0" w:color="auto"/>
              <w:left w:val="nil"/>
              <w:bottom w:val="single" w:sz="4" w:space="0" w:color="auto"/>
              <w:right w:val="single" w:sz="4" w:space="0" w:color="auto"/>
            </w:tcBorders>
            <w:shd w:val="clear" w:color="auto" w:fill="auto"/>
            <w:vAlign w:val="center"/>
            <w:hideMark/>
          </w:tcPr>
          <w:p w14:paraId="75EDFEA3" w14:textId="77777777" w:rsidR="00B848FD" w:rsidRPr="009102B5" w:rsidRDefault="00B848FD" w:rsidP="00582CA7">
            <w:pPr>
              <w:jc w:val="center"/>
              <w:rPr>
                <w:sz w:val="16"/>
                <w:szCs w:val="16"/>
              </w:rPr>
            </w:pPr>
            <w:r w:rsidRPr="009102B5">
              <w:rPr>
                <w:sz w:val="16"/>
              </w:rPr>
              <w:t>62.59%</w:t>
            </w:r>
          </w:p>
        </w:tc>
        <w:tc>
          <w:tcPr>
            <w:tcW w:w="736" w:type="dxa"/>
            <w:tcBorders>
              <w:top w:val="single" w:sz="12" w:space="0" w:color="auto"/>
              <w:left w:val="nil"/>
              <w:bottom w:val="single" w:sz="4" w:space="0" w:color="auto"/>
              <w:right w:val="single" w:sz="12" w:space="0" w:color="auto"/>
            </w:tcBorders>
            <w:shd w:val="clear" w:color="auto" w:fill="auto"/>
            <w:vAlign w:val="center"/>
            <w:hideMark/>
          </w:tcPr>
          <w:p w14:paraId="464EB2D1" w14:textId="77777777" w:rsidR="00B848FD" w:rsidRPr="009102B5" w:rsidRDefault="00B848FD" w:rsidP="00582CA7">
            <w:pPr>
              <w:jc w:val="center"/>
              <w:rPr>
                <w:sz w:val="16"/>
                <w:szCs w:val="16"/>
              </w:rPr>
            </w:pPr>
            <w:r w:rsidRPr="009102B5">
              <w:rPr>
                <w:sz w:val="16"/>
                <w:szCs w:val="16"/>
              </w:rPr>
              <w:t>64.37%</w:t>
            </w:r>
          </w:p>
        </w:tc>
        <w:tc>
          <w:tcPr>
            <w:tcW w:w="992" w:type="dxa"/>
            <w:tcBorders>
              <w:top w:val="single" w:sz="12" w:space="0" w:color="auto"/>
              <w:left w:val="single" w:sz="12" w:space="0" w:color="auto"/>
              <w:bottom w:val="single" w:sz="4" w:space="0" w:color="auto"/>
              <w:right w:val="single" w:sz="4" w:space="0" w:color="auto"/>
            </w:tcBorders>
            <w:shd w:val="clear" w:color="auto" w:fill="auto"/>
            <w:vAlign w:val="center"/>
            <w:hideMark/>
          </w:tcPr>
          <w:p w14:paraId="542EE2A7" w14:textId="77777777" w:rsidR="00B848FD" w:rsidRPr="009102B5" w:rsidRDefault="00B848FD" w:rsidP="00582CA7">
            <w:pPr>
              <w:jc w:val="center"/>
              <w:rPr>
                <w:sz w:val="16"/>
                <w:szCs w:val="16"/>
              </w:rPr>
            </w:pPr>
            <w:r w:rsidRPr="009102B5">
              <w:rPr>
                <w:sz w:val="16"/>
                <w:szCs w:val="16"/>
              </w:rPr>
              <w:t>63.16%</w:t>
            </w:r>
          </w:p>
        </w:tc>
        <w:tc>
          <w:tcPr>
            <w:tcW w:w="851" w:type="dxa"/>
            <w:tcBorders>
              <w:top w:val="single" w:sz="12" w:space="0" w:color="auto"/>
              <w:left w:val="nil"/>
              <w:bottom w:val="single" w:sz="4" w:space="0" w:color="auto"/>
              <w:right w:val="single" w:sz="4" w:space="0" w:color="auto"/>
            </w:tcBorders>
            <w:shd w:val="clear" w:color="auto" w:fill="auto"/>
            <w:vAlign w:val="center"/>
            <w:hideMark/>
          </w:tcPr>
          <w:p w14:paraId="25B9FBA2" w14:textId="77777777" w:rsidR="00B848FD" w:rsidRPr="009102B5" w:rsidRDefault="00B848FD" w:rsidP="00582CA7">
            <w:pPr>
              <w:jc w:val="center"/>
              <w:rPr>
                <w:sz w:val="16"/>
                <w:szCs w:val="16"/>
              </w:rPr>
            </w:pPr>
            <w:r w:rsidRPr="009102B5">
              <w:rPr>
                <w:sz w:val="16"/>
                <w:szCs w:val="16"/>
              </w:rPr>
              <w:t>Superada por 1.21%</w:t>
            </w:r>
          </w:p>
        </w:tc>
        <w:tc>
          <w:tcPr>
            <w:tcW w:w="875" w:type="dxa"/>
            <w:tcBorders>
              <w:top w:val="single" w:sz="12" w:space="0" w:color="auto"/>
              <w:left w:val="nil"/>
              <w:bottom w:val="single" w:sz="4" w:space="0" w:color="auto"/>
              <w:right w:val="single" w:sz="12" w:space="0" w:color="auto"/>
            </w:tcBorders>
            <w:shd w:val="clear" w:color="000000" w:fill="A9D08E"/>
            <w:vAlign w:val="center"/>
            <w:hideMark/>
          </w:tcPr>
          <w:p w14:paraId="6AF73CF5" w14:textId="77777777" w:rsidR="00B848FD" w:rsidRPr="009102B5" w:rsidRDefault="00B848FD" w:rsidP="00582CA7">
            <w:pPr>
              <w:jc w:val="center"/>
              <w:rPr>
                <w:b/>
                <w:bCs/>
                <w:sz w:val="16"/>
                <w:szCs w:val="16"/>
              </w:rPr>
            </w:pPr>
            <w:r w:rsidRPr="009102B5">
              <w:rPr>
                <w:b/>
                <w:bCs/>
                <w:sz w:val="16"/>
              </w:rPr>
              <w:t>110%</w:t>
            </w:r>
          </w:p>
        </w:tc>
      </w:tr>
      <w:tr w:rsidR="00435EA6" w:rsidRPr="009102B5" w14:paraId="0CAB11E7" w14:textId="77777777" w:rsidTr="004B6A59">
        <w:trPr>
          <w:trHeight w:val="421"/>
          <w:jc w:val="center"/>
        </w:trPr>
        <w:tc>
          <w:tcPr>
            <w:tcW w:w="477" w:type="dxa"/>
            <w:tcBorders>
              <w:top w:val="nil"/>
              <w:left w:val="single" w:sz="12" w:space="0" w:color="auto"/>
              <w:bottom w:val="single" w:sz="4" w:space="0" w:color="auto"/>
              <w:right w:val="single" w:sz="8" w:space="0" w:color="000000"/>
            </w:tcBorders>
            <w:shd w:val="clear" w:color="auto" w:fill="auto"/>
            <w:vAlign w:val="center"/>
            <w:hideMark/>
          </w:tcPr>
          <w:p w14:paraId="2123632F" w14:textId="77777777" w:rsidR="00B848FD" w:rsidRPr="009102B5" w:rsidRDefault="00B848FD" w:rsidP="00582CA7">
            <w:pPr>
              <w:jc w:val="center"/>
              <w:rPr>
                <w:color w:val="000000"/>
                <w:sz w:val="16"/>
                <w:szCs w:val="16"/>
              </w:rPr>
            </w:pPr>
            <w:r w:rsidRPr="009102B5">
              <w:rPr>
                <w:sz w:val="16"/>
              </w:rPr>
              <w:t>2</w:t>
            </w:r>
          </w:p>
        </w:tc>
        <w:tc>
          <w:tcPr>
            <w:tcW w:w="3052" w:type="dxa"/>
            <w:tcBorders>
              <w:top w:val="nil"/>
              <w:left w:val="nil"/>
              <w:bottom w:val="single" w:sz="4" w:space="0" w:color="auto"/>
              <w:right w:val="single" w:sz="8" w:space="0" w:color="000000"/>
            </w:tcBorders>
            <w:shd w:val="clear" w:color="auto" w:fill="auto"/>
            <w:vAlign w:val="center"/>
            <w:hideMark/>
          </w:tcPr>
          <w:p w14:paraId="65A0BF5D" w14:textId="77777777" w:rsidR="00B848FD" w:rsidRPr="009102B5" w:rsidRDefault="00B848FD" w:rsidP="00582CA7">
            <w:pPr>
              <w:rPr>
                <w:color w:val="000000"/>
                <w:sz w:val="16"/>
                <w:szCs w:val="16"/>
              </w:rPr>
            </w:pPr>
            <w:r w:rsidRPr="009102B5">
              <w:rPr>
                <w:sz w:val="16"/>
              </w:rPr>
              <w:t>Para el año 2023 se ha incrementado la tasa neta de cobertura en el nivel primario en 17 puntos porcentuales</w:t>
            </w:r>
          </w:p>
        </w:tc>
        <w:tc>
          <w:tcPr>
            <w:tcW w:w="851" w:type="dxa"/>
            <w:tcBorders>
              <w:top w:val="nil"/>
              <w:left w:val="nil"/>
              <w:bottom w:val="single" w:sz="4" w:space="0" w:color="auto"/>
              <w:right w:val="single" w:sz="4" w:space="0" w:color="auto"/>
            </w:tcBorders>
            <w:shd w:val="clear" w:color="auto" w:fill="auto"/>
            <w:vAlign w:val="center"/>
            <w:hideMark/>
          </w:tcPr>
          <w:p w14:paraId="62DA42F3" w14:textId="77777777" w:rsidR="00B848FD" w:rsidRPr="009102B5" w:rsidRDefault="00B848FD" w:rsidP="00582CA7">
            <w:pPr>
              <w:jc w:val="center"/>
              <w:rPr>
                <w:color w:val="000000"/>
                <w:sz w:val="16"/>
                <w:szCs w:val="16"/>
              </w:rPr>
            </w:pPr>
            <w:r w:rsidRPr="009102B5">
              <w:rPr>
                <w:color w:val="000000"/>
                <w:sz w:val="16"/>
                <w:szCs w:val="16"/>
              </w:rPr>
              <w:t>MINEDUC</w:t>
            </w:r>
          </w:p>
        </w:tc>
        <w:tc>
          <w:tcPr>
            <w:tcW w:w="823" w:type="dxa"/>
            <w:tcBorders>
              <w:top w:val="nil"/>
              <w:left w:val="nil"/>
              <w:bottom w:val="single" w:sz="4" w:space="0" w:color="auto"/>
              <w:right w:val="single" w:sz="4" w:space="0" w:color="auto"/>
            </w:tcBorders>
            <w:shd w:val="clear" w:color="auto" w:fill="auto"/>
            <w:vAlign w:val="center"/>
            <w:hideMark/>
          </w:tcPr>
          <w:p w14:paraId="6A476141" w14:textId="77777777" w:rsidR="00B848FD" w:rsidRPr="009102B5" w:rsidRDefault="00B848FD" w:rsidP="00582CA7">
            <w:pPr>
              <w:jc w:val="center"/>
              <w:rPr>
                <w:sz w:val="16"/>
                <w:szCs w:val="16"/>
              </w:rPr>
            </w:pPr>
            <w:r w:rsidRPr="009102B5">
              <w:rPr>
                <w:sz w:val="16"/>
              </w:rPr>
              <w:t>95.03%</w:t>
            </w:r>
          </w:p>
        </w:tc>
        <w:tc>
          <w:tcPr>
            <w:tcW w:w="736" w:type="dxa"/>
            <w:tcBorders>
              <w:top w:val="nil"/>
              <w:left w:val="nil"/>
              <w:bottom w:val="single" w:sz="4" w:space="0" w:color="auto"/>
              <w:right w:val="single" w:sz="12" w:space="0" w:color="auto"/>
            </w:tcBorders>
            <w:shd w:val="clear" w:color="auto" w:fill="auto"/>
            <w:vAlign w:val="center"/>
            <w:hideMark/>
          </w:tcPr>
          <w:p w14:paraId="4F6AF9EA" w14:textId="77777777" w:rsidR="00B848FD" w:rsidRPr="009102B5" w:rsidRDefault="00B848FD" w:rsidP="00582CA7">
            <w:pPr>
              <w:jc w:val="center"/>
              <w:rPr>
                <w:sz w:val="16"/>
                <w:szCs w:val="16"/>
              </w:rPr>
            </w:pPr>
            <w:r w:rsidRPr="009102B5">
              <w:rPr>
                <w:sz w:val="16"/>
                <w:szCs w:val="16"/>
              </w:rPr>
              <w:t>95.41%</w:t>
            </w:r>
          </w:p>
        </w:tc>
        <w:tc>
          <w:tcPr>
            <w:tcW w:w="992" w:type="dxa"/>
            <w:tcBorders>
              <w:top w:val="nil"/>
              <w:left w:val="single" w:sz="12" w:space="0" w:color="auto"/>
              <w:bottom w:val="single" w:sz="4" w:space="0" w:color="auto"/>
              <w:right w:val="single" w:sz="4" w:space="0" w:color="auto"/>
            </w:tcBorders>
            <w:shd w:val="clear" w:color="auto" w:fill="auto"/>
            <w:vAlign w:val="center"/>
            <w:hideMark/>
          </w:tcPr>
          <w:p w14:paraId="56027726" w14:textId="77777777" w:rsidR="00B848FD" w:rsidRPr="009102B5" w:rsidRDefault="00B848FD" w:rsidP="00582CA7">
            <w:pPr>
              <w:jc w:val="center"/>
              <w:rPr>
                <w:sz w:val="16"/>
                <w:szCs w:val="16"/>
              </w:rPr>
            </w:pPr>
            <w:r w:rsidRPr="009102B5">
              <w:rPr>
                <w:sz w:val="16"/>
                <w:szCs w:val="16"/>
              </w:rPr>
              <w:t>94.53%</w:t>
            </w:r>
          </w:p>
        </w:tc>
        <w:tc>
          <w:tcPr>
            <w:tcW w:w="851" w:type="dxa"/>
            <w:tcBorders>
              <w:top w:val="nil"/>
              <w:left w:val="nil"/>
              <w:bottom w:val="single" w:sz="4" w:space="0" w:color="auto"/>
              <w:right w:val="single" w:sz="4" w:space="0" w:color="auto"/>
            </w:tcBorders>
            <w:shd w:val="clear" w:color="auto" w:fill="auto"/>
            <w:vAlign w:val="center"/>
            <w:hideMark/>
          </w:tcPr>
          <w:p w14:paraId="37A1D149" w14:textId="77777777" w:rsidR="00B848FD" w:rsidRPr="009102B5" w:rsidRDefault="00B848FD" w:rsidP="00582CA7">
            <w:pPr>
              <w:jc w:val="center"/>
              <w:rPr>
                <w:sz w:val="16"/>
                <w:szCs w:val="16"/>
              </w:rPr>
            </w:pPr>
            <w:r w:rsidRPr="009102B5">
              <w:rPr>
                <w:sz w:val="16"/>
                <w:szCs w:val="16"/>
              </w:rPr>
              <w:t>Superada por 0.88%</w:t>
            </w:r>
          </w:p>
        </w:tc>
        <w:tc>
          <w:tcPr>
            <w:tcW w:w="875" w:type="dxa"/>
            <w:tcBorders>
              <w:top w:val="nil"/>
              <w:left w:val="nil"/>
              <w:bottom w:val="single" w:sz="4" w:space="0" w:color="auto"/>
              <w:right w:val="single" w:sz="12" w:space="0" w:color="auto"/>
            </w:tcBorders>
            <w:shd w:val="clear" w:color="000000" w:fill="A9D08E"/>
            <w:vAlign w:val="center"/>
            <w:hideMark/>
          </w:tcPr>
          <w:p w14:paraId="55E6A73F" w14:textId="77777777" w:rsidR="00B848FD" w:rsidRPr="009102B5" w:rsidRDefault="00B848FD" w:rsidP="00582CA7">
            <w:pPr>
              <w:jc w:val="center"/>
              <w:rPr>
                <w:b/>
                <w:bCs/>
                <w:sz w:val="16"/>
                <w:szCs w:val="16"/>
              </w:rPr>
            </w:pPr>
            <w:r w:rsidRPr="009102B5">
              <w:rPr>
                <w:b/>
                <w:bCs/>
                <w:sz w:val="16"/>
              </w:rPr>
              <w:t>105%</w:t>
            </w:r>
          </w:p>
        </w:tc>
      </w:tr>
      <w:tr w:rsidR="00435EA6" w:rsidRPr="009102B5" w14:paraId="36E93C65" w14:textId="77777777" w:rsidTr="004B6A59">
        <w:trPr>
          <w:trHeight w:val="571"/>
          <w:jc w:val="center"/>
        </w:trPr>
        <w:tc>
          <w:tcPr>
            <w:tcW w:w="477" w:type="dxa"/>
            <w:tcBorders>
              <w:top w:val="nil"/>
              <w:left w:val="single" w:sz="12" w:space="0" w:color="auto"/>
              <w:bottom w:val="single" w:sz="4" w:space="0" w:color="auto"/>
              <w:right w:val="single" w:sz="8" w:space="0" w:color="000000"/>
            </w:tcBorders>
            <w:shd w:val="clear" w:color="auto" w:fill="auto"/>
            <w:vAlign w:val="center"/>
            <w:hideMark/>
          </w:tcPr>
          <w:p w14:paraId="19DA819E" w14:textId="77777777" w:rsidR="00B848FD" w:rsidRPr="009102B5" w:rsidRDefault="00B848FD" w:rsidP="00582CA7">
            <w:pPr>
              <w:jc w:val="center"/>
              <w:rPr>
                <w:color w:val="000000"/>
                <w:sz w:val="16"/>
                <w:szCs w:val="16"/>
              </w:rPr>
            </w:pPr>
            <w:r w:rsidRPr="009102B5">
              <w:rPr>
                <w:sz w:val="16"/>
              </w:rPr>
              <w:t>3</w:t>
            </w:r>
          </w:p>
        </w:tc>
        <w:tc>
          <w:tcPr>
            <w:tcW w:w="3052" w:type="dxa"/>
            <w:tcBorders>
              <w:top w:val="nil"/>
              <w:left w:val="nil"/>
              <w:bottom w:val="single" w:sz="4" w:space="0" w:color="auto"/>
              <w:right w:val="single" w:sz="8" w:space="0" w:color="000000"/>
            </w:tcBorders>
            <w:shd w:val="clear" w:color="auto" w:fill="auto"/>
            <w:vAlign w:val="center"/>
            <w:hideMark/>
          </w:tcPr>
          <w:p w14:paraId="6EAB54CD" w14:textId="77777777" w:rsidR="00B848FD" w:rsidRPr="009102B5" w:rsidRDefault="00B848FD" w:rsidP="00582CA7">
            <w:pPr>
              <w:rPr>
                <w:color w:val="000000"/>
                <w:sz w:val="16"/>
                <w:szCs w:val="16"/>
              </w:rPr>
            </w:pPr>
            <w:r w:rsidRPr="009102B5">
              <w:rPr>
                <w:sz w:val="16"/>
              </w:rPr>
              <w:t>Para el año 2023 se ha incrementado la tasa neta de cobertura en el nivel básico en 17 puntos porcentuales</w:t>
            </w:r>
          </w:p>
        </w:tc>
        <w:tc>
          <w:tcPr>
            <w:tcW w:w="851" w:type="dxa"/>
            <w:tcBorders>
              <w:top w:val="nil"/>
              <w:left w:val="nil"/>
              <w:bottom w:val="single" w:sz="4" w:space="0" w:color="auto"/>
              <w:right w:val="single" w:sz="4" w:space="0" w:color="auto"/>
            </w:tcBorders>
            <w:shd w:val="clear" w:color="auto" w:fill="auto"/>
            <w:vAlign w:val="center"/>
            <w:hideMark/>
          </w:tcPr>
          <w:p w14:paraId="3DE12479" w14:textId="77777777" w:rsidR="00B848FD" w:rsidRPr="009102B5" w:rsidRDefault="00B848FD" w:rsidP="00582CA7">
            <w:pPr>
              <w:jc w:val="center"/>
              <w:rPr>
                <w:color w:val="000000"/>
                <w:sz w:val="16"/>
                <w:szCs w:val="16"/>
              </w:rPr>
            </w:pPr>
            <w:r w:rsidRPr="009102B5">
              <w:rPr>
                <w:color w:val="000000"/>
                <w:sz w:val="16"/>
                <w:szCs w:val="16"/>
              </w:rPr>
              <w:t>MINEDUC</w:t>
            </w:r>
          </w:p>
        </w:tc>
        <w:tc>
          <w:tcPr>
            <w:tcW w:w="823" w:type="dxa"/>
            <w:tcBorders>
              <w:top w:val="nil"/>
              <w:left w:val="nil"/>
              <w:bottom w:val="single" w:sz="4" w:space="0" w:color="auto"/>
              <w:right w:val="single" w:sz="4" w:space="0" w:color="auto"/>
            </w:tcBorders>
            <w:shd w:val="clear" w:color="auto" w:fill="auto"/>
            <w:vAlign w:val="center"/>
            <w:hideMark/>
          </w:tcPr>
          <w:p w14:paraId="0141144C" w14:textId="77777777" w:rsidR="00B848FD" w:rsidRPr="009102B5" w:rsidRDefault="00B848FD" w:rsidP="00582CA7">
            <w:pPr>
              <w:jc w:val="center"/>
              <w:rPr>
                <w:sz w:val="16"/>
                <w:szCs w:val="16"/>
              </w:rPr>
            </w:pPr>
            <w:r w:rsidRPr="009102B5">
              <w:rPr>
                <w:sz w:val="16"/>
              </w:rPr>
              <w:t>47.81%</w:t>
            </w:r>
          </w:p>
        </w:tc>
        <w:tc>
          <w:tcPr>
            <w:tcW w:w="736" w:type="dxa"/>
            <w:tcBorders>
              <w:top w:val="nil"/>
              <w:left w:val="nil"/>
              <w:bottom w:val="single" w:sz="4" w:space="0" w:color="auto"/>
              <w:right w:val="single" w:sz="12" w:space="0" w:color="auto"/>
            </w:tcBorders>
            <w:shd w:val="clear" w:color="auto" w:fill="auto"/>
            <w:vAlign w:val="center"/>
            <w:hideMark/>
          </w:tcPr>
          <w:p w14:paraId="38B44F06" w14:textId="77777777" w:rsidR="00B848FD" w:rsidRPr="009102B5" w:rsidRDefault="00B848FD" w:rsidP="00582CA7">
            <w:pPr>
              <w:jc w:val="center"/>
              <w:rPr>
                <w:sz w:val="16"/>
                <w:szCs w:val="16"/>
              </w:rPr>
            </w:pPr>
            <w:r w:rsidRPr="009102B5">
              <w:rPr>
                <w:sz w:val="16"/>
                <w:szCs w:val="16"/>
              </w:rPr>
              <w:t>47.90%</w:t>
            </w:r>
          </w:p>
        </w:tc>
        <w:tc>
          <w:tcPr>
            <w:tcW w:w="992" w:type="dxa"/>
            <w:tcBorders>
              <w:top w:val="nil"/>
              <w:left w:val="single" w:sz="12" w:space="0" w:color="auto"/>
              <w:bottom w:val="single" w:sz="4" w:space="0" w:color="auto"/>
              <w:right w:val="single" w:sz="4" w:space="0" w:color="auto"/>
            </w:tcBorders>
            <w:shd w:val="clear" w:color="auto" w:fill="auto"/>
            <w:vAlign w:val="center"/>
            <w:hideMark/>
          </w:tcPr>
          <w:p w14:paraId="7848617C" w14:textId="77777777" w:rsidR="00B848FD" w:rsidRPr="009102B5" w:rsidRDefault="00B848FD" w:rsidP="00582CA7">
            <w:pPr>
              <w:jc w:val="center"/>
              <w:rPr>
                <w:sz w:val="16"/>
                <w:szCs w:val="16"/>
              </w:rPr>
            </w:pPr>
            <w:r w:rsidRPr="009102B5">
              <w:rPr>
                <w:sz w:val="16"/>
                <w:szCs w:val="16"/>
              </w:rPr>
              <w:t>60.24%</w:t>
            </w:r>
          </w:p>
        </w:tc>
        <w:tc>
          <w:tcPr>
            <w:tcW w:w="851" w:type="dxa"/>
            <w:tcBorders>
              <w:top w:val="nil"/>
              <w:left w:val="nil"/>
              <w:bottom w:val="single" w:sz="4" w:space="0" w:color="auto"/>
              <w:right w:val="single" w:sz="4" w:space="0" w:color="auto"/>
            </w:tcBorders>
            <w:shd w:val="clear" w:color="auto" w:fill="auto"/>
            <w:vAlign w:val="center"/>
            <w:hideMark/>
          </w:tcPr>
          <w:p w14:paraId="0BD0C238" w14:textId="77777777" w:rsidR="00B848FD" w:rsidRPr="009102B5" w:rsidRDefault="00B848FD" w:rsidP="00582CA7">
            <w:pPr>
              <w:jc w:val="center"/>
              <w:rPr>
                <w:color w:val="C00000"/>
                <w:sz w:val="16"/>
                <w:szCs w:val="16"/>
              </w:rPr>
            </w:pPr>
            <w:r w:rsidRPr="009102B5">
              <w:rPr>
                <w:color w:val="C00000"/>
                <w:sz w:val="16"/>
                <w:szCs w:val="16"/>
              </w:rPr>
              <w:t>-12.34</w:t>
            </w:r>
          </w:p>
        </w:tc>
        <w:tc>
          <w:tcPr>
            <w:tcW w:w="875" w:type="dxa"/>
            <w:tcBorders>
              <w:top w:val="nil"/>
              <w:left w:val="nil"/>
              <w:bottom w:val="single" w:sz="4" w:space="0" w:color="auto"/>
              <w:right w:val="single" w:sz="12" w:space="0" w:color="auto"/>
            </w:tcBorders>
            <w:shd w:val="clear" w:color="000000" w:fill="C00000"/>
            <w:vAlign w:val="center"/>
            <w:hideMark/>
          </w:tcPr>
          <w:p w14:paraId="62B78EAC" w14:textId="77777777" w:rsidR="00B848FD" w:rsidRPr="009102B5" w:rsidRDefault="00B848FD" w:rsidP="00582CA7">
            <w:pPr>
              <w:jc w:val="center"/>
              <w:rPr>
                <w:b/>
                <w:bCs/>
                <w:color w:val="FFFFFF"/>
                <w:sz w:val="16"/>
                <w:szCs w:val="16"/>
              </w:rPr>
            </w:pPr>
            <w:r w:rsidRPr="009102B5">
              <w:rPr>
                <w:b/>
                <w:bCs/>
                <w:color w:val="FFFFFF"/>
                <w:sz w:val="16"/>
              </w:rPr>
              <w:t>27%</w:t>
            </w:r>
          </w:p>
        </w:tc>
      </w:tr>
      <w:tr w:rsidR="00435EA6" w:rsidRPr="009102B5" w14:paraId="5D9BD5B6" w14:textId="77777777" w:rsidTr="004B6A59">
        <w:trPr>
          <w:trHeight w:val="551"/>
          <w:jc w:val="center"/>
        </w:trPr>
        <w:tc>
          <w:tcPr>
            <w:tcW w:w="477" w:type="dxa"/>
            <w:tcBorders>
              <w:top w:val="nil"/>
              <w:left w:val="single" w:sz="12" w:space="0" w:color="auto"/>
              <w:bottom w:val="single" w:sz="4" w:space="0" w:color="auto"/>
              <w:right w:val="single" w:sz="8" w:space="0" w:color="000000"/>
            </w:tcBorders>
            <w:shd w:val="clear" w:color="auto" w:fill="auto"/>
            <w:vAlign w:val="center"/>
            <w:hideMark/>
          </w:tcPr>
          <w:p w14:paraId="2CBEB55A" w14:textId="77777777" w:rsidR="00B848FD" w:rsidRPr="009102B5" w:rsidRDefault="00B848FD" w:rsidP="00582CA7">
            <w:pPr>
              <w:jc w:val="center"/>
              <w:rPr>
                <w:color w:val="000000"/>
                <w:sz w:val="16"/>
                <w:szCs w:val="16"/>
              </w:rPr>
            </w:pPr>
            <w:r w:rsidRPr="009102B5">
              <w:rPr>
                <w:sz w:val="16"/>
              </w:rPr>
              <w:t>4</w:t>
            </w:r>
          </w:p>
        </w:tc>
        <w:tc>
          <w:tcPr>
            <w:tcW w:w="3052" w:type="dxa"/>
            <w:tcBorders>
              <w:top w:val="nil"/>
              <w:left w:val="nil"/>
              <w:bottom w:val="single" w:sz="4" w:space="0" w:color="auto"/>
              <w:right w:val="single" w:sz="8" w:space="0" w:color="000000"/>
            </w:tcBorders>
            <w:shd w:val="clear" w:color="auto" w:fill="auto"/>
            <w:vAlign w:val="center"/>
            <w:hideMark/>
          </w:tcPr>
          <w:p w14:paraId="2B3FFC30" w14:textId="77777777" w:rsidR="00B848FD" w:rsidRPr="009102B5" w:rsidRDefault="00B848FD" w:rsidP="00582CA7">
            <w:pPr>
              <w:rPr>
                <w:color w:val="000000"/>
                <w:sz w:val="16"/>
                <w:szCs w:val="16"/>
              </w:rPr>
            </w:pPr>
            <w:r w:rsidRPr="009102B5">
              <w:rPr>
                <w:sz w:val="16"/>
              </w:rPr>
              <w:t>Para el año 2023 se ha incrementado la tasa neta de cobertura en el nivel diversificado en 11 puntos porcentuales</w:t>
            </w:r>
          </w:p>
        </w:tc>
        <w:tc>
          <w:tcPr>
            <w:tcW w:w="851" w:type="dxa"/>
            <w:tcBorders>
              <w:top w:val="nil"/>
              <w:left w:val="nil"/>
              <w:bottom w:val="single" w:sz="4" w:space="0" w:color="auto"/>
              <w:right w:val="single" w:sz="4" w:space="0" w:color="auto"/>
            </w:tcBorders>
            <w:shd w:val="clear" w:color="auto" w:fill="auto"/>
            <w:vAlign w:val="center"/>
            <w:hideMark/>
          </w:tcPr>
          <w:p w14:paraId="50BA83A5" w14:textId="77777777" w:rsidR="00B848FD" w:rsidRPr="009102B5" w:rsidRDefault="00B848FD" w:rsidP="00582CA7">
            <w:pPr>
              <w:jc w:val="center"/>
              <w:rPr>
                <w:color w:val="000000"/>
                <w:sz w:val="16"/>
                <w:szCs w:val="16"/>
              </w:rPr>
            </w:pPr>
            <w:r w:rsidRPr="009102B5">
              <w:rPr>
                <w:color w:val="000000"/>
                <w:sz w:val="16"/>
                <w:szCs w:val="16"/>
              </w:rPr>
              <w:t>MINEDUC</w:t>
            </w:r>
          </w:p>
        </w:tc>
        <w:tc>
          <w:tcPr>
            <w:tcW w:w="823" w:type="dxa"/>
            <w:tcBorders>
              <w:top w:val="nil"/>
              <w:left w:val="nil"/>
              <w:bottom w:val="single" w:sz="4" w:space="0" w:color="auto"/>
              <w:right w:val="single" w:sz="4" w:space="0" w:color="auto"/>
            </w:tcBorders>
            <w:shd w:val="clear" w:color="auto" w:fill="auto"/>
            <w:vAlign w:val="center"/>
            <w:hideMark/>
          </w:tcPr>
          <w:p w14:paraId="1E59325A" w14:textId="77777777" w:rsidR="00B848FD" w:rsidRPr="009102B5" w:rsidRDefault="00B848FD" w:rsidP="00582CA7">
            <w:pPr>
              <w:jc w:val="center"/>
              <w:rPr>
                <w:sz w:val="16"/>
                <w:szCs w:val="16"/>
              </w:rPr>
            </w:pPr>
            <w:r w:rsidRPr="009102B5">
              <w:rPr>
                <w:sz w:val="16"/>
              </w:rPr>
              <w:t>25.21%</w:t>
            </w:r>
          </w:p>
        </w:tc>
        <w:tc>
          <w:tcPr>
            <w:tcW w:w="736" w:type="dxa"/>
            <w:tcBorders>
              <w:top w:val="nil"/>
              <w:left w:val="nil"/>
              <w:bottom w:val="single" w:sz="4" w:space="0" w:color="auto"/>
              <w:right w:val="single" w:sz="12" w:space="0" w:color="auto"/>
            </w:tcBorders>
            <w:shd w:val="clear" w:color="auto" w:fill="auto"/>
            <w:vAlign w:val="center"/>
            <w:hideMark/>
          </w:tcPr>
          <w:p w14:paraId="5EED5F44" w14:textId="77777777" w:rsidR="00B848FD" w:rsidRPr="009102B5" w:rsidRDefault="00B848FD" w:rsidP="00582CA7">
            <w:pPr>
              <w:jc w:val="center"/>
              <w:rPr>
                <w:sz w:val="16"/>
                <w:szCs w:val="16"/>
              </w:rPr>
            </w:pPr>
            <w:r w:rsidRPr="009102B5">
              <w:rPr>
                <w:sz w:val="16"/>
                <w:szCs w:val="16"/>
              </w:rPr>
              <w:t>24.06%</w:t>
            </w:r>
          </w:p>
        </w:tc>
        <w:tc>
          <w:tcPr>
            <w:tcW w:w="992" w:type="dxa"/>
            <w:tcBorders>
              <w:top w:val="nil"/>
              <w:left w:val="single" w:sz="12" w:space="0" w:color="auto"/>
              <w:bottom w:val="single" w:sz="4" w:space="0" w:color="auto"/>
              <w:right w:val="single" w:sz="4" w:space="0" w:color="auto"/>
            </w:tcBorders>
            <w:shd w:val="clear" w:color="auto" w:fill="auto"/>
            <w:vAlign w:val="center"/>
            <w:hideMark/>
          </w:tcPr>
          <w:p w14:paraId="536C92DC" w14:textId="77777777" w:rsidR="00B848FD" w:rsidRPr="009102B5" w:rsidRDefault="00B848FD" w:rsidP="00582CA7">
            <w:pPr>
              <w:jc w:val="center"/>
              <w:rPr>
                <w:sz w:val="16"/>
                <w:szCs w:val="16"/>
              </w:rPr>
            </w:pPr>
            <w:r w:rsidRPr="009102B5">
              <w:rPr>
                <w:sz w:val="16"/>
                <w:szCs w:val="16"/>
              </w:rPr>
              <w:t>35.91%</w:t>
            </w:r>
          </w:p>
        </w:tc>
        <w:tc>
          <w:tcPr>
            <w:tcW w:w="851" w:type="dxa"/>
            <w:tcBorders>
              <w:top w:val="nil"/>
              <w:left w:val="nil"/>
              <w:bottom w:val="single" w:sz="4" w:space="0" w:color="auto"/>
              <w:right w:val="single" w:sz="4" w:space="0" w:color="auto"/>
            </w:tcBorders>
            <w:shd w:val="clear" w:color="auto" w:fill="auto"/>
            <w:vAlign w:val="center"/>
            <w:hideMark/>
          </w:tcPr>
          <w:p w14:paraId="074AF5FD" w14:textId="77777777" w:rsidR="00B848FD" w:rsidRPr="009102B5" w:rsidRDefault="00B848FD" w:rsidP="00582CA7">
            <w:pPr>
              <w:jc w:val="center"/>
              <w:rPr>
                <w:color w:val="C00000"/>
                <w:sz w:val="16"/>
                <w:szCs w:val="16"/>
              </w:rPr>
            </w:pPr>
            <w:r w:rsidRPr="009102B5">
              <w:rPr>
                <w:color w:val="C00000"/>
                <w:sz w:val="16"/>
                <w:szCs w:val="16"/>
              </w:rPr>
              <w:t>-11.85</w:t>
            </w:r>
          </w:p>
        </w:tc>
        <w:tc>
          <w:tcPr>
            <w:tcW w:w="875" w:type="dxa"/>
            <w:tcBorders>
              <w:top w:val="nil"/>
              <w:left w:val="nil"/>
              <w:bottom w:val="single" w:sz="4" w:space="0" w:color="auto"/>
              <w:right w:val="single" w:sz="12" w:space="0" w:color="auto"/>
            </w:tcBorders>
            <w:shd w:val="clear" w:color="000000" w:fill="C00000"/>
            <w:vAlign w:val="center"/>
            <w:hideMark/>
          </w:tcPr>
          <w:p w14:paraId="61CBAC3F" w14:textId="77777777" w:rsidR="00B848FD" w:rsidRPr="009102B5" w:rsidRDefault="00B848FD" w:rsidP="00582CA7">
            <w:pPr>
              <w:jc w:val="center"/>
              <w:rPr>
                <w:b/>
                <w:bCs/>
                <w:color w:val="FFFFFF"/>
                <w:sz w:val="16"/>
                <w:szCs w:val="16"/>
              </w:rPr>
            </w:pPr>
            <w:r w:rsidRPr="009102B5">
              <w:rPr>
                <w:b/>
                <w:bCs/>
                <w:color w:val="FFFFFF"/>
                <w:sz w:val="16"/>
              </w:rPr>
              <w:t>-8.0%</w:t>
            </w:r>
          </w:p>
        </w:tc>
      </w:tr>
      <w:tr w:rsidR="00435EA6" w:rsidRPr="009102B5" w14:paraId="6B037255" w14:textId="77777777" w:rsidTr="004B6A59">
        <w:trPr>
          <w:trHeight w:val="559"/>
          <w:jc w:val="center"/>
        </w:trPr>
        <w:tc>
          <w:tcPr>
            <w:tcW w:w="477" w:type="dxa"/>
            <w:tcBorders>
              <w:top w:val="nil"/>
              <w:left w:val="single" w:sz="12" w:space="0" w:color="auto"/>
              <w:bottom w:val="single" w:sz="4" w:space="0" w:color="auto"/>
              <w:right w:val="single" w:sz="8" w:space="0" w:color="000000"/>
            </w:tcBorders>
            <w:shd w:val="clear" w:color="auto" w:fill="auto"/>
            <w:vAlign w:val="center"/>
            <w:hideMark/>
          </w:tcPr>
          <w:p w14:paraId="3E628561" w14:textId="77777777" w:rsidR="00B848FD" w:rsidRPr="009102B5" w:rsidRDefault="00B848FD" w:rsidP="00582CA7">
            <w:pPr>
              <w:jc w:val="center"/>
              <w:rPr>
                <w:color w:val="000000"/>
                <w:sz w:val="16"/>
                <w:szCs w:val="16"/>
              </w:rPr>
            </w:pPr>
            <w:r w:rsidRPr="009102B5">
              <w:rPr>
                <w:sz w:val="16"/>
              </w:rPr>
              <w:t>5</w:t>
            </w:r>
          </w:p>
        </w:tc>
        <w:tc>
          <w:tcPr>
            <w:tcW w:w="3052" w:type="dxa"/>
            <w:tcBorders>
              <w:top w:val="nil"/>
              <w:left w:val="nil"/>
              <w:bottom w:val="single" w:sz="4" w:space="0" w:color="auto"/>
              <w:right w:val="single" w:sz="8" w:space="0" w:color="000000"/>
            </w:tcBorders>
            <w:shd w:val="clear" w:color="auto" w:fill="auto"/>
            <w:vAlign w:val="center"/>
            <w:hideMark/>
          </w:tcPr>
          <w:p w14:paraId="64A3A10B" w14:textId="77777777" w:rsidR="00B848FD" w:rsidRPr="009102B5" w:rsidRDefault="00B848FD" w:rsidP="00582CA7">
            <w:pPr>
              <w:rPr>
                <w:color w:val="000000"/>
                <w:sz w:val="16"/>
                <w:szCs w:val="16"/>
              </w:rPr>
            </w:pPr>
            <w:r w:rsidRPr="009102B5">
              <w:rPr>
                <w:sz w:val="16"/>
              </w:rPr>
              <w:t>Para el año 2023 se redujo el porcentaje de la población analfabeta en 5.09 puntos porcentuales</w:t>
            </w:r>
          </w:p>
        </w:tc>
        <w:tc>
          <w:tcPr>
            <w:tcW w:w="851" w:type="dxa"/>
            <w:tcBorders>
              <w:top w:val="nil"/>
              <w:left w:val="nil"/>
              <w:bottom w:val="single" w:sz="4" w:space="0" w:color="auto"/>
              <w:right w:val="single" w:sz="4" w:space="0" w:color="auto"/>
            </w:tcBorders>
            <w:shd w:val="clear" w:color="auto" w:fill="auto"/>
            <w:vAlign w:val="center"/>
            <w:hideMark/>
          </w:tcPr>
          <w:p w14:paraId="746615C9" w14:textId="77777777" w:rsidR="00B848FD" w:rsidRPr="009102B5" w:rsidRDefault="00B848FD" w:rsidP="00582CA7">
            <w:pPr>
              <w:jc w:val="center"/>
              <w:rPr>
                <w:color w:val="000000"/>
                <w:sz w:val="16"/>
                <w:szCs w:val="16"/>
              </w:rPr>
            </w:pPr>
            <w:r w:rsidRPr="009102B5">
              <w:rPr>
                <w:color w:val="000000"/>
                <w:sz w:val="16"/>
                <w:szCs w:val="16"/>
              </w:rPr>
              <w:t>CONALFA / MINEDUC</w:t>
            </w:r>
          </w:p>
        </w:tc>
        <w:tc>
          <w:tcPr>
            <w:tcW w:w="823" w:type="dxa"/>
            <w:tcBorders>
              <w:top w:val="nil"/>
              <w:left w:val="nil"/>
              <w:bottom w:val="single" w:sz="4" w:space="0" w:color="auto"/>
              <w:right w:val="single" w:sz="4" w:space="0" w:color="auto"/>
            </w:tcBorders>
            <w:shd w:val="clear" w:color="auto" w:fill="auto"/>
            <w:vAlign w:val="center"/>
            <w:hideMark/>
          </w:tcPr>
          <w:p w14:paraId="0B5EA45A" w14:textId="77777777" w:rsidR="00B848FD" w:rsidRPr="009102B5" w:rsidRDefault="00B848FD" w:rsidP="00582CA7">
            <w:pPr>
              <w:jc w:val="center"/>
              <w:rPr>
                <w:sz w:val="16"/>
                <w:szCs w:val="16"/>
              </w:rPr>
            </w:pPr>
            <w:r w:rsidRPr="009102B5">
              <w:rPr>
                <w:sz w:val="16"/>
              </w:rPr>
              <w:t>17.40%</w:t>
            </w:r>
          </w:p>
        </w:tc>
        <w:tc>
          <w:tcPr>
            <w:tcW w:w="736" w:type="dxa"/>
            <w:tcBorders>
              <w:top w:val="nil"/>
              <w:left w:val="nil"/>
              <w:bottom w:val="single" w:sz="4" w:space="0" w:color="auto"/>
              <w:right w:val="single" w:sz="12" w:space="0" w:color="auto"/>
            </w:tcBorders>
            <w:shd w:val="clear" w:color="auto" w:fill="auto"/>
            <w:vAlign w:val="center"/>
            <w:hideMark/>
          </w:tcPr>
          <w:p w14:paraId="48D3CC90" w14:textId="77777777" w:rsidR="00B848FD" w:rsidRPr="009102B5" w:rsidRDefault="00B848FD" w:rsidP="00582CA7">
            <w:pPr>
              <w:jc w:val="center"/>
              <w:rPr>
                <w:sz w:val="16"/>
                <w:szCs w:val="16"/>
              </w:rPr>
            </w:pPr>
            <w:r w:rsidRPr="009102B5">
              <w:rPr>
                <w:sz w:val="16"/>
                <w:szCs w:val="16"/>
              </w:rPr>
              <w:t>16.72%</w:t>
            </w:r>
          </w:p>
        </w:tc>
        <w:tc>
          <w:tcPr>
            <w:tcW w:w="992" w:type="dxa"/>
            <w:tcBorders>
              <w:top w:val="nil"/>
              <w:left w:val="single" w:sz="12" w:space="0" w:color="auto"/>
              <w:bottom w:val="single" w:sz="4" w:space="0" w:color="auto"/>
              <w:right w:val="single" w:sz="4" w:space="0" w:color="auto"/>
            </w:tcBorders>
            <w:shd w:val="clear" w:color="auto" w:fill="auto"/>
            <w:vAlign w:val="center"/>
            <w:hideMark/>
          </w:tcPr>
          <w:p w14:paraId="005B8F2D" w14:textId="77777777" w:rsidR="00B848FD" w:rsidRPr="009102B5" w:rsidRDefault="00B848FD" w:rsidP="00582CA7">
            <w:pPr>
              <w:jc w:val="center"/>
              <w:rPr>
                <w:sz w:val="16"/>
                <w:szCs w:val="16"/>
              </w:rPr>
            </w:pPr>
            <w:r w:rsidRPr="009102B5">
              <w:rPr>
                <w:sz w:val="16"/>
                <w:szCs w:val="16"/>
              </w:rPr>
              <w:t>14.10%</w:t>
            </w:r>
          </w:p>
        </w:tc>
        <w:tc>
          <w:tcPr>
            <w:tcW w:w="851" w:type="dxa"/>
            <w:tcBorders>
              <w:top w:val="nil"/>
              <w:left w:val="nil"/>
              <w:bottom w:val="single" w:sz="4" w:space="0" w:color="auto"/>
              <w:right w:val="single" w:sz="4" w:space="0" w:color="auto"/>
            </w:tcBorders>
            <w:shd w:val="clear" w:color="auto" w:fill="auto"/>
            <w:vAlign w:val="center"/>
            <w:hideMark/>
          </w:tcPr>
          <w:p w14:paraId="5390632D" w14:textId="77777777" w:rsidR="00B848FD" w:rsidRPr="009102B5" w:rsidRDefault="00B848FD" w:rsidP="00582CA7">
            <w:pPr>
              <w:jc w:val="center"/>
              <w:rPr>
                <w:color w:val="C00000"/>
                <w:sz w:val="16"/>
                <w:szCs w:val="16"/>
              </w:rPr>
            </w:pPr>
            <w:r w:rsidRPr="009102B5">
              <w:rPr>
                <w:color w:val="C00000"/>
                <w:sz w:val="16"/>
                <w:szCs w:val="16"/>
              </w:rPr>
              <w:t>-2.62</w:t>
            </w:r>
          </w:p>
        </w:tc>
        <w:tc>
          <w:tcPr>
            <w:tcW w:w="875" w:type="dxa"/>
            <w:tcBorders>
              <w:top w:val="nil"/>
              <w:left w:val="nil"/>
              <w:bottom w:val="single" w:sz="4" w:space="0" w:color="auto"/>
              <w:right w:val="single" w:sz="12" w:space="0" w:color="auto"/>
            </w:tcBorders>
            <w:shd w:val="clear" w:color="000000" w:fill="FFFF00"/>
            <w:vAlign w:val="center"/>
            <w:hideMark/>
          </w:tcPr>
          <w:p w14:paraId="6539872B" w14:textId="77777777" w:rsidR="00B848FD" w:rsidRPr="009102B5" w:rsidRDefault="00B848FD" w:rsidP="00582CA7">
            <w:pPr>
              <w:jc w:val="center"/>
              <w:rPr>
                <w:b/>
                <w:bCs/>
                <w:sz w:val="16"/>
                <w:szCs w:val="16"/>
              </w:rPr>
            </w:pPr>
            <w:r w:rsidRPr="009102B5">
              <w:rPr>
                <w:b/>
                <w:bCs/>
                <w:sz w:val="16"/>
              </w:rPr>
              <w:t>48.5%</w:t>
            </w:r>
          </w:p>
        </w:tc>
      </w:tr>
      <w:tr w:rsidR="00435EA6" w:rsidRPr="009102B5" w14:paraId="6F8D276C" w14:textId="77777777" w:rsidTr="004B6A59">
        <w:trPr>
          <w:trHeight w:val="412"/>
          <w:jc w:val="center"/>
        </w:trPr>
        <w:tc>
          <w:tcPr>
            <w:tcW w:w="477" w:type="dxa"/>
            <w:tcBorders>
              <w:top w:val="nil"/>
              <w:left w:val="single" w:sz="12" w:space="0" w:color="auto"/>
              <w:bottom w:val="single" w:sz="4" w:space="0" w:color="auto"/>
              <w:right w:val="single" w:sz="8" w:space="0" w:color="000000"/>
            </w:tcBorders>
            <w:shd w:val="clear" w:color="auto" w:fill="auto"/>
            <w:vAlign w:val="center"/>
            <w:hideMark/>
          </w:tcPr>
          <w:p w14:paraId="7E460E6D" w14:textId="77777777" w:rsidR="00B848FD" w:rsidRPr="009102B5" w:rsidRDefault="00B848FD" w:rsidP="00582CA7">
            <w:pPr>
              <w:jc w:val="center"/>
              <w:rPr>
                <w:color w:val="000000"/>
                <w:sz w:val="16"/>
                <w:szCs w:val="16"/>
              </w:rPr>
            </w:pPr>
            <w:r w:rsidRPr="009102B5">
              <w:rPr>
                <w:sz w:val="16"/>
              </w:rPr>
              <w:t>6</w:t>
            </w:r>
          </w:p>
        </w:tc>
        <w:tc>
          <w:tcPr>
            <w:tcW w:w="3052" w:type="dxa"/>
            <w:tcBorders>
              <w:top w:val="nil"/>
              <w:left w:val="nil"/>
              <w:bottom w:val="single" w:sz="4" w:space="0" w:color="auto"/>
              <w:right w:val="single" w:sz="8" w:space="0" w:color="000000"/>
            </w:tcBorders>
            <w:shd w:val="clear" w:color="auto" w:fill="auto"/>
            <w:vAlign w:val="center"/>
            <w:hideMark/>
          </w:tcPr>
          <w:p w14:paraId="60A46CFF" w14:textId="77777777" w:rsidR="00B848FD" w:rsidRPr="009102B5" w:rsidRDefault="00B848FD" w:rsidP="00582CA7">
            <w:pPr>
              <w:rPr>
                <w:color w:val="000000"/>
                <w:sz w:val="16"/>
                <w:szCs w:val="16"/>
              </w:rPr>
            </w:pPr>
            <w:r w:rsidRPr="009102B5">
              <w:rPr>
                <w:sz w:val="16"/>
              </w:rPr>
              <w:t>Para el año 2023 se ha incrementado la cobertura de seguro médico escolar a 3 millones de niños</w:t>
            </w:r>
          </w:p>
        </w:tc>
        <w:tc>
          <w:tcPr>
            <w:tcW w:w="851" w:type="dxa"/>
            <w:tcBorders>
              <w:top w:val="nil"/>
              <w:left w:val="nil"/>
              <w:bottom w:val="single" w:sz="4" w:space="0" w:color="auto"/>
              <w:right w:val="single" w:sz="4" w:space="0" w:color="auto"/>
            </w:tcBorders>
            <w:shd w:val="clear" w:color="auto" w:fill="auto"/>
            <w:vAlign w:val="center"/>
            <w:hideMark/>
          </w:tcPr>
          <w:p w14:paraId="1EF66727" w14:textId="77777777" w:rsidR="00B848FD" w:rsidRPr="009102B5" w:rsidRDefault="00B848FD" w:rsidP="00582CA7">
            <w:pPr>
              <w:jc w:val="center"/>
              <w:rPr>
                <w:color w:val="000000"/>
                <w:sz w:val="16"/>
                <w:szCs w:val="16"/>
              </w:rPr>
            </w:pPr>
            <w:r w:rsidRPr="009102B5">
              <w:rPr>
                <w:color w:val="000000"/>
                <w:sz w:val="16"/>
                <w:szCs w:val="16"/>
              </w:rPr>
              <w:t>MINEDUC</w:t>
            </w:r>
          </w:p>
        </w:tc>
        <w:tc>
          <w:tcPr>
            <w:tcW w:w="823" w:type="dxa"/>
            <w:tcBorders>
              <w:top w:val="nil"/>
              <w:left w:val="nil"/>
              <w:bottom w:val="single" w:sz="4" w:space="0" w:color="auto"/>
              <w:right w:val="single" w:sz="4" w:space="0" w:color="auto"/>
            </w:tcBorders>
            <w:shd w:val="clear" w:color="auto" w:fill="auto"/>
            <w:vAlign w:val="center"/>
            <w:hideMark/>
          </w:tcPr>
          <w:p w14:paraId="6DE007F3" w14:textId="77777777" w:rsidR="00B848FD" w:rsidRPr="009102B5" w:rsidRDefault="00B848FD" w:rsidP="00582CA7">
            <w:pPr>
              <w:ind w:firstLineChars="100" w:firstLine="160"/>
              <w:rPr>
                <w:sz w:val="16"/>
                <w:szCs w:val="16"/>
              </w:rPr>
            </w:pPr>
            <w:r w:rsidRPr="009102B5">
              <w:rPr>
                <w:sz w:val="16"/>
              </w:rPr>
              <w:t>1.94 millones</w:t>
            </w:r>
          </w:p>
        </w:tc>
        <w:tc>
          <w:tcPr>
            <w:tcW w:w="736" w:type="dxa"/>
            <w:tcBorders>
              <w:top w:val="nil"/>
              <w:left w:val="nil"/>
              <w:bottom w:val="single" w:sz="4" w:space="0" w:color="auto"/>
              <w:right w:val="single" w:sz="12" w:space="0" w:color="auto"/>
            </w:tcBorders>
            <w:shd w:val="clear" w:color="auto" w:fill="auto"/>
            <w:vAlign w:val="center"/>
            <w:hideMark/>
          </w:tcPr>
          <w:p w14:paraId="469DEBBD" w14:textId="77777777" w:rsidR="00B848FD" w:rsidRPr="009102B5" w:rsidRDefault="00B848FD" w:rsidP="00582CA7">
            <w:pPr>
              <w:jc w:val="center"/>
              <w:rPr>
                <w:sz w:val="16"/>
                <w:szCs w:val="16"/>
              </w:rPr>
            </w:pPr>
            <w:r w:rsidRPr="009102B5">
              <w:rPr>
                <w:sz w:val="16"/>
                <w:szCs w:val="16"/>
              </w:rPr>
              <w:t>2.56 millones</w:t>
            </w:r>
          </w:p>
        </w:tc>
        <w:tc>
          <w:tcPr>
            <w:tcW w:w="992" w:type="dxa"/>
            <w:tcBorders>
              <w:top w:val="nil"/>
              <w:left w:val="single" w:sz="12" w:space="0" w:color="auto"/>
              <w:bottom w:val="single" w:sz="4" w:space="0" w:color="auto"/>
              <w:right w:val="single" w:sz="4" w:space="0" w:color="auto"/>
            </w:tcBorders>
            <w:shd w:val="clear" w:color="auto" w:fill="auto"/>
            <w:vAlign w:val="center"/>
            <w:hideMark/>
          </w:tcPr>
          <w:p w14:paraId="3369923E" w14:textId="77777777" w:rsidR="00B848FD" w:rsidRPr="009102B5" w:rsidRDefault="00B848FD" w:rsidP="00582CA7">
            <w:pPr>
              <w:jc w:val="center"/>
              <w:rPr>
                <w:sz w:val="16"/>
                <w:szCs w:val="16"/>
              </w:rPr>
            </w:pPr>
            <w:r w:rsidRPr="009102B5">
              <w:rPr>
                <w:sz w:val="16"/>
                <w:szCs w:val="16"/>
              </w:rPr>
              <w:t>3 millones</w:t>
            </w:r>
          </w:p>
        </w:tc>
        <w:tc>
          <w:tcPr>
            <w:tcW w:w="851" w:type="dxa"/>
            <w:tcBorders>
              <w:top w:val="nil"/>
              <w:left w:val="nil"/>
              <w:bottom w:val="single" w:sz="4" w:space="0" w:color="auto"/>
              <w:right w:val="single" w:sz="4" w:space="0" w:color="auto"/>
            </w:tcBorders>
            <w:shd w:val="clear" w:color="auto" w:fill="auto"/>
            <w:vAlign w:val="center"/>
            <w:hideMark/>
          </w:tcPr>
          <w:p w14:paraId="741C3388" w14:textId="77777777" w:rsidR="00B848FD" w:rsidRPr="009102B5" w:rsidRDefault="00B848FD" w:rsidP="00582CA7">
            <w:pPr>
              <w:jc w:val="center"/>
              <w:rPr>
                <w:color w:val="C00000"/>
                <w:sz w:val="16"/>
                <w:szCs w:val="16"/>
              </w:rPr>
            </w:pPr>
            <w:r w:rsidRPr="009102B5">
              <w:rPr>
                <w:color w:val="C00000"/>
                <w:sz w:val="16"/>
                <w:szCs w:val="16"/>
              </w:rPr>
              <w:t>-0.44</w:t>
            </w:r>
          </w:p>
        </w:tc>
        <w:tc>
          <w:tcPr>
            <w:tcW w:w="875" w:type="dxa"/>
            <w:tcBorders>
              <w:top w:val="nil"/>
              <w:left w:val="nil"/>
              <w:bottom w:val="single" w:sz="4" w:space="0" w:color="auto"/>
              <w:right w:val="single" w:sz="12" w:space="0" w:color="auto"/>
            </w:tcBorders>
            <w:shd w:val="clear" w:color="000000" w:fill="A9D08E"/>
            <w:vAlign w:val="center"/>
            <w:hideMark/>
          </w:tcPr>
          <w:p w14:paraId="78F1CE88" w14:textId="77777777" w:rsidR="00B848FD" w:rsidRPr="009102B5" w:rsidRDefault="00B848FD" w:rsidP="00582CA7">
            <w:pPr>
              <w:jc w:val="center"/>
              <w:rPr>
                <w:b/>
                <w:bCs/>
                <w:sz w:val="16"/>
                <w:szCs w:val="16"/>
              </w:rPr>
            </w:pPr>
            <w:r w:rsidRPr="009102B5">
              <w:rPr>
                <w:b/>
                <w:bCs/>
                <w:sz w:val="16"/>
              </w:rPr>
              <w:t>85.4%</w:t>
            </w:r>
          </w:p>
        </w:tc>
      </w:tr>
      <w:tr w:rsidR="00435EA6" w:rsidRPr="009102B5" w14:paraId="75C8E79E" w14:textId="77777777" w:rsidTr="004B6A59">
        <w:trPr>
          <w:trHeight w:val="278"/>
          <w:jc w:val="center"/>
        </w:trPr>
        <w:tc>
          <w:tcPr>
            <w:tcW w:w="477" w:type="dxa"/>
            <w:tcBorders>
              <w:top w:val="nil"/>
              <w:left w:val="single" w:sz="12" w:space="0" w:color="auto"/>
              <w:bottom w:val="single" w:sz="4" w:space="0" w:color="auto"/>
              <w:right w:val="single" w:sz="8" w:space="0" w:color="000000"/>
            </w:tcBorders>
            <w:shd w:val="clear" w:color="auto" w:fill="auto"/>
            <w:vAlign w:val="center"/>
            <w:hideMark/>
          </w:tcPr>
          <w:p w14:paraId="152E495B" w14:textId="77777777" w:rsidR="00B848FD" w:rsidRPr="009102B5" w:rsidRDefault="00B848FD" w:rsidP="00582CA7">
            <w:pPr>
              <w:jc w:val="center"/>
              <w:rPr>
                <w:color w:val="000000"/>
                <w:sz w:val="16"/>
                <w:szCs w:val="16"/>
              </w:rPr>
            </w:pPr>
            <w:r w:rsidRPr="009102B5">
              <w:rPr>
                <w:sz w:val="16"/>
              </w:rPr>
              <w:t>7</w:t>
            </w:r>
          </w:p>
        </w:tc>
        <w:tc>
          <w:tcPr>
            <w:tcW w:w="3052" w:type="dxa"/>
            <w:tcBorders>
              <w:top w:val="nil"/>
              <w:left w:val="nil"/>
              <w:bottom w:val="single" w:sz="4" w:space="0" w:color="auto"/>
              <w:right w:val="single" w:sz="8" w:space="0" w:color="000000"/>
            </w:tcBorders>
            <w:shd w:val="clear" w:color="auto" w:fill="auto"/>
            <w:vAlign w:val="center"/>
            <w:hideMark/>
          </w:tcPr>
          <w:p w14:paraId="2BC0E9EC" w14:textId="77777777" w:rsidR="00B848FD" w:rsidRPr="009102B5" w:rsidRDefault="00B848FD" w:rsidP="00582CA7">
            <w:pPr>
              <w:rPr>
                <w:color w:val="000000"/>
                <w:sz w:val="16"/>
                <w:szCs w:val="16"/>
              </w:rPr>
            </w:pPr>
            <w:r w:rsidRPr="009102B5">
              <w:rPr>
                <w:sz w:val="16"/>
              </w:rPr>
              <w:t>Para el año 2023 se ha incrementado la inversión en servicios de alimentación escolar en Q 830.4 millones</w:t>
            </w:r>
          </w:p>
        </w:tc>
        <w:tc>
          <w:tcPr>
            <w:tcW w:w="851" w:type="dxa"/>
            <w:tcBorders>
              <w:top w:val="nil"/>
              <w:left w:val="nil"/>
              <w:bottom w:val="single" w:sz="4" w:space="0" w:color="auto"/>
              <w:right w:val="single" w:sz="4" w:space="0" w:color="auto"/>
            </w:tcBorders>
            <w:shd w:val="clear" w:color="auto" w:fill="auto"/>
            <w:vAlign w:val="center"/>
            <w:hideMark/>
          </w:tcPr>
          <w:p w14:paraId="22DACF9D" w14:textId="77777777" w:rsidR="00B848FD" w:rsidRPr="009102B5" w:rsidRDefault="00B848FD" w:rsidP="00582CA7">
            <w:pPr>
              <w:jc w:val="center"/>
              <w:rPr>
                <w:color w:val="000000"/>
                <w:sz w:val="16"/>
                <w:szCs w:val="16"/>
              </w:rPr>
            </w:pPr>
            <w:r w:rsidRPr="009102B5">
              <w:rPr>
                <w:color w:val="000000"/>
                <w:sz w:val="16"/>
                <w:szCs w:val="16"/>
              </w:rPr>
              <w:t>MINEDUC</w:t>
            </w:r>
          </w:p>
        </w:tc>
        <w:tc>
          <w:tcPr>
            <w:tcW w:w="823" w:type="dxa"/>
            <w:tcBorders>
              <w:top w:val="nil"/>
              <w:left w:val="nil"/>
              <w:bottom w:val="single" w:sz="4" w:space="0" w:color="auto"/>
              <w:right w:val="single" w:sz="4" w:space="0" w:color="auto"/>
            </w:tcBorders>
            <w:shd w:val="clear" w:color="auto" w:fill="auto"/>
            <w:vAlign w:val="center"/>
            <w:hideMark/>
          </w:tcPr>
          <w:p w14:paraId="3F5B7B73" w14:textId="77777777" w:rsidR="00B848FD" w:rsidRPr="009102B5" w:rsidRDefault="00B848FD" w:rsidP="00582CA7">
            <w:pPr>
              <w:jc w:val="center"/>
              <w:rPr>
                <w:sz w:val="16"/>
                <w:szCs w:val="16"/>
              </w:rPr>
            </w:pPr>
            <w:r w:rsidRPr="009102B5">
              <w:rPr>
                <w:sz w:val="16"/>
              </w:rPr>
              <w:t>Q1,897.44</w:t>
            </w:r>
          </w:p>
        </w:tc>
        <w:tc>
          <w:tcPr>
            <w:tcW w:w="736" w:type="dxa"/>
            <w:tcBorders>
              <w:top w:val="nil"/>
              <w:left w:val="nil"/>
              <w:bottom w:val="single" w:sz="4" w:space="0" w:color="auto"/>
              <w:right w:val="single" w:sz="12" w:space="0" w:color="auto"/>
            </w:tcBorders>
            <w:shd w:val="clear" w:color="auto" w:fill="auto"/>
            <w:vAlign w:val="center"/>
            <w:hideMark/>
          </w:tcPr>
          <w:p w14:paraId="339BB435" w14:textId="77777777" w:rsidR="00B848FD" w:rsidRPr="009102B5" w:rsidRDefault="00B848FD" w:rsidP="00582CA7">
            <w:pPr>
              <w:jc w:val="center"/>
              <w:rPr>
                <w:sz w:val="16"/>
                <w:szCs w:val="16"/>
              </w:rPr>
            </w:pPr>
            <w:r w:rsidRPr="009102B5">
              <w:rPr>
                <w:sz w:val="16"/>
                <w:szCs w:val="16"/>
              </w:rPr>
              <w:t>Q2,865.9</w:t>
            </w:r>
          </w:p>
        </w:tc>
        <w:tc>
          <w:tcPr>
            <w:tcW w:w="992" w:type="dxa"/>
            <w:tcBorders>
              <w:top w:val="nil"/>
              <w:left w:val="single" w:sz="12" w:space="0" w:color="auto"/>
              <w:bottom w:val="single" w:sz="4" w:space="0" w:color="auto"/>
              <w:right w:val="single" w:sz="4" w:space="0" w:color="auto"/>
            </w:tcBorders>
            <w:shd w:val="clear" w:color="auto" w:fill="auto"/>
            <w:vAlign w:val="center"/>
            <w:hideMark/>
          </w:tcPr>
          <w:p w14:paraId="775D2F64" w14:textId="77777777" w:rsidR="00B848FD" w:rsidRPr="009102B5" w:rsidRDefault="00B848FD" w:rsidP="00582CA7">
            <w:pPr>
              <w:jc w:val="center"/>
              <w:rPr>
                <w:sz w:val="16"/>
                <w:szCs w:val="16"/>
              </w:rPr>
            </w:pPr>
            <w:r w:rsidRPr="009102B5">
              <w:rPr>
                <w:sz w:val="16"/>
                <w:szCs w:val="16"/>
              </w:rPr>
              <w:t>Q2,629.3</w:t>
            </w:r>
          </w:p>
        </w:tc>
        <w:tc>
          <w:tcPr>
            <w:tcW w:w="851" w:type="dxa"/>
            <w:tcBorders>
              <w:top w:val="nil"/>
              <w:left w:val="nil"/>
              <w:bottom w:val="single" w:sz="4" w:space="0" w:color="auto"/>
              <w:right w:val="single" w:sz="4" w:space="0" w:color="auto"/>
            </w:tcBorders>
            <w:shd w:val="clear" w:color="auto" w:fill="auto"/>
            <w:vAlign w:val="center"/>
            <w:hideMark/>
          </w:tcPr>
          <w:p w14:paraId="4CEFFCDF" w14:textId="77777777" w:rsidR="00B848FD" w:rsidRPr="009102B5" w:rsidRDefault="00B848FD" w:rsidP="00582CA7">
            <w:pPr>
              <w:jc w:val="center"/>
              <w:rPr>
                <w:sz w:val="16"/>
                <w:szCs w:val="16"/>
              </w:rPr>
            </w:pPr>
            <w:r w:rsidRPr="009102B5">
              <w:rPr>
                <w:sz w:val="16"/>
                <w:szCs w:val="16"/>
              </w:rPr>
              <w:t>Superada por Q236.6 millones</w:t>
            </w:r>
          </w:p>
        </w:tc>
        <w:tc>
          <w:tcPr>
            <w:tcW w:w="875" w:type="dxa"/>
            <w:tcBorders>
              <w:top w:val="nil"/>
              <w:left w:val="nil"/>
              <w:bottom w:val="single" w:sz="4" w:space="0" w:color="auto"/>
              <w:right w:val="single" w:sz="12" w:space="0" w:color="auto"/>
            </w:tcBorders>
            <w:shd w:val="clear" w:color="000000" w:fill="A9D08E"/>
            <w:vAlign w:val="center"/>
            <w:hideMark/>
          </w:tcPr>
          <w:p w14:paraId="2DC4E66E" w14:textId="77777777" w:rsidR="00B848FD" w:rsidRPr="009102B5" w:rsidRDefault="00B848FD" w:rsidP="00582CA7">
            <w:pPr>
              <w:jc w:val="center"/>
              <w:rPr>
                <w:b/>
                <w:bCs/>
                <w:sz w:val="16"/>
                <w:szCs w:val="16"/>
              </w:rPr>
            </w:pPr>
            <w:r w:rsidRPr="009102B5">
              <w:rPr>
                <w:b/>
                <w:bCs/>
                <w:sz w:val="16"/>
              </w:rPr>
              <w:t>128%</w:t>
            </w:r>
          </w:p>
        </w:tc>
      </w:tr>
      <w:tr w:rsidR="00435EA6" w:rsidRPr="009102B5" w14:paraId="3778516C" w14:textId="77777777" w:rsidTr="004B6A59">
        <w:trPr>
          <w:trHeight w:val="530"/>
          <w:jc w:val="center"/>
        </w:trPr>
        <w:tc>
          <w:tcPr>
            <w:tcW w:w="477" w:type="dxa"/>
            <w:tcBorders>
              <w:top w:val="nil"/>
              <w:left w:val="single" w:sz="12" w:space="0" w:color="auto"/>
              <w:bottom w:val="single" w:sz="4" w:space="0" w:color="auto"/>
              <w:right w:val="single" w:sz="8" w:space="0" w:color="000000"/>
            </w:tcBorders>
            <w:shd w:val="clear" w:color="auto" w:fill="auto"/>
            <w:vAlign w:val="center"/>
            <w:hideMark/>
          </w:tcPr>
          <w:p w14:paraId="376A9A8D" w14:textId="77777777" w:rsidR="00B848FD" w:rsidRPr="009102B5" w:rsidRDefault="00B848FD" w:rsidP="00582CA7">
            <w:pPr>
              <w:jc w:val="center"/>
              <w:rPr>
                <w:color w:val="000000"/>
                <w:sz w:val="16"/>
                <w:szCs w:val="16"/>
              </w:rPr>
            </w:pPr>
            <w:r w:rsidRPr="009102B5">
              <w:rPr>
                <w:sz w:val="16"/>
              </w:rPr>
              <w:t>8</w:t>
            </w:r>
          </w:p>
        </w:tc>
        <w:tc>
          <w:tcPr>
            <w:tcW w:w="3052" w:type="dxa"/>
            <w:tcBorders>
              <w:top w:val="nil"/>
              <w:left w:val="nil"/>
              <w:bottom w:val="single" w:sz="4" w:space="0" w:color="auto"/>
              <w:right w:val="single" w:sz="8" w:space="0" w:color="000000"/>
            </w:tcBorders>
            <w:shd w:val="clear" w:color="auto" w:fill="auto"/>
            <w:vAlign w:val="center"/>
            <w:hideMark/>
          </w:tcPr>
          <w:p w14:paraId="0FB7DA55" w14:textId="77777777" w:rsidR="00B848FD" w:rsidRPr="009102B5" w:rsidRDefault="00B848FD" w:rsidP="00582CA7">
            <w:pPr>
              <w:rPr>
                <w:color w:val="000000"/>
                <w:sz w:val="16"/>
                <w:szCs w:val="16"/>
              </w:rPr>
            </w:pPr>
            <w:r w:rsidRPr="009102B5">
              <w:rPr>
                <w:sz w:val="16"/>
              </w:rPr>
              <w:t>Para el año 2023 se ha incrementado la cantidad de becas escolares para estudiantes del nivel básico y diversificado en 19,579</w:t>
            </w:r>
          </w:p>
        </w:tc>
        <w:tc>
          <w:tcPr>
            <w:tcW w:w="851" w:type="dxa"/>
            <w:tcBorders>
              <w:top w:val="nil"/>
              <w:left w:val="nil"/>
              <w:bottom w:val="single" w:sz="4" w:space="0" w:color="auto"/>
              <w:right w:val="single" w:sz="4" w:space="0" w:color="auto"/>
            </w:tcBorders>
            <w:shd w:val="clear" w:color="auto" w:fill="auto"/>
            <w:vAlign w:val="center"/>
            <w:hideMark/>
          </w:tcPr>
          <w:p w14:paraId="1B3FB0D2" w14:textId="77777777" w:rsidR="00B848FD" w:rsidRPr="009102B5" w:rsidRDefault="00B848FD" w:rsidP="00582CA7">
            <w:pPr>
              <w:jc w:val="center"/>
              <w:rPr>
                <w:color w:val="000000"/>
                <w:sz w:val="16"/>
                <w:szCs w:val="16"/>
              </w:rPr>
            </w:pPr>
            <w:r w:rsidRPr="009102B5">
              <w:rPr>
                <w:color w:val="000000"/>
                <w:sz w:val="16"/>
                <w:szCs w:val="16"/>
              </w:rPr>
              <w:t>MINEDUC</w:t>
            </w:r>
          </w:p>
        </w:tc>
        <w:tc>
          <w:tcPr>
            <w:tcW w:w="823" w:type="dxa"/>
            <w:tcBorders>
              <w:top w:val="nil"/>
              <w:left w:val="nil"/>
              <w:bottom w:val="single" w:sz="4" w:space="0" w:color="auto"/>
              <w:right w:val="single" w:sz="4" w:space="0" w:color="auto"/>
            </w:tcBorders>
            <w:shd w:val="clear" w:color="auto" w:fill="auto"/>
            <w:vAlign w:val="center"/>
            <w:hideMark/>
          </w:tcPr>
          <w:p w14:paraId="756F15C5" w14:textId="77777777" w:rsidR="00B848FD" w:rsidRPr="009102B5" w:rsidRDefault="00B848FD" w:rsidP="00582CA7">
            <w:pPr>
              <w:jc w:val="center"/>
              <w:rPr>
                <w:sz w:val="16"/>
                <w:szCs w:val="16"/>
              </w:rPr>
            </w:pPr>
            <w:r w:rsidRPr="009102B5">
              <w:rPr>
                <w:sz w:val="16"/>
              </w:rPr>
              <w:t>36,690</w:t>
            </w:r>
          </w:p>
        </w:tc>
        <w:tc>
          <w:tcPr>
            <w:tcW w:w="736" w:type="dxa"/>
            <w:tcBorders>
              <w:top w:val="nil"/>
              <w:left w:val="nil"/>
              <w:bottom w:val="single" w:sz="4" w:space="0" w:color="auto"/>
              <w:right w:val="single" w:sz="12" w:space="0" w:color="auto"/>
            </w:tcBorders>
            <w:shd w:val="clear" w:color="auto" w:fill="auto"/>
            <w:vAlign w:val="center"/>
            <w:hideMark/>
          </w:tcPr>
          <w:p w14:paraId="41A30A39" w14:textId="77777777" w:rsidR="00B848FD" w:rsidRPr="009102B5" w:rsidRDefault="00B848FD" w:rsidP="00582CA7">
            <w:pPr>
              <w:jc w:val="center"/>
              <w:rPr>
                <w:sz w:val="16"/>
                <w:szCs w:val="16"/>
              </w:rPr>
            </w:pPr>
            <w:r w:rsidRPr="009102B5">
              <w:rPr>
                <w:sz w:val="16"/>
                <w:szCs w:val="16"/>
              </w:rPr>
              <w:t>53,181</w:t>
            </w:r>
          </w:p>
        </w:tc>
        <w:tc>
          <w:tcPr>
            <w:tcW w:w="992" w:type="dxa"/>
            <w:tcBorders>
              <w:top w:val="nil"/>
              <w:left w:val="single" w:sz="12" w:space="0" w:color="auto"/>
              <w:bottom w:val="single" w:sz="4" w:space="0" w:color="auto"/>
              <w:right w:val="single" w:sz="4" w:space="0" w:color="auto"/>
            </w:tcBorders>
            <w:shd w:val="clear" w:color="auto" w:fill="auto"/>
            <w:vAlign w:val="center"/>
            <w:hideMark/>
          </w:tcPr>
          <w:p w14:paraId="26CBF6AA" w14:textId="77777777" w:rsidR="00B848FD" w:rsidRPr="009102B5" w:rsidRDefault="00B848FD" w:rsidP="00582CA7">
            <w:pPr>
              <w:jc w:val="center"/>
              <w:rPr>
                <w:sz w:val="16"/>
                <w:szCs w:val="16"/>
              </w:rPr>
            </w:pPr>
            <w:r w:rsidRPr="009102B5">
              <w:rPr>
                <w:sz w:val="16"/>
                <w:szCs w:val="16"/>
              </w:rPr>
              <w:t>50,841</w:t>
            </w:r>
          </w:p>
        </w:tc>
        <w:tc>
          <w:tcPr>
            <w:tcW w:w="851" w:type="dxa"/>
            <w:tcBorders>
              <w:top w:val="nil"/>
              <w:left w:val="nil"/>
              <w:bottom w:val="single" w:sz="4" w:space="0" w:color="auto"/>
              <w:right w:val="single" w:sz="4" w:space="0" w:color="auto"/>
            </w:tcBorders>
            <w:shd w:val="clear" w:color="auto" w:fill="auto"/>
            <w:vAlign w:val="center"/>
            <w:hideMark/>
          </w:tcPr>
          <w:p w14:paraId="79C295F2" w14:textId="77777777" w:rsidR="00B848FD" w:rsidRPr="009102B5" w:rsidRDefault="00B848FD" w:rsidP="00582CA7">
            <w:pPr>
              <w:jc w:val="center"/>
              <w:rPr>
                <w:sz w:val="16"/>
                <w:szCs w:val="16"/>
              </w:rPr>
            </w:pPr>
            <w:r w:rsidRPr="009102B5">
              <w:rPr>
                <w:sz w:val="16"/>
                <w:szCs w:val="16"/>
              </w:rPr>
              <w:t>Superada por 2,340 Becas</w:t>
            </w:r>
          </w:p>
        </w:tc>
        <w:tc>
          <w:tcPr>
            <w:tcW w:w="875" w:type="dxa"/>
            <w:tcBorders>
              <w:top w:val="nil"/>
              <w:left w:val="nil"/>
              <w:bottom w:val="single" w:sz="4" w:space="0" w:color="auto"/>
              <w:right w:val="single" w:sz="12" w:space="0" w:color="auto"/>
            </w:tcBorders>
            <w:shd w:val="clear" w:color="000000" w:fill="A9D08E"/>
            <w:vAlign w:val="center"/>
            <w:hideMark/>
          </w:tcPr>
          <w:p w14:paraId="38FF5BFA" w14:textId="77777777" w:rsidR="00B848FD" w:rsidRPr="009102B5" w:rsidRDefault="00B848FD" w:rsidP="00582CA7">
            <w:pPr>
              <w:jc w:val="center"/>
              <w:rPr>
                <w:b/>
                <w:bCs/>
                <w:sz w:val="16"/>
                <w:szCs w:val="16"/>
              </w:rPr>
            </w:pPr>
            <w:r w:rsidRPr="009102B5">
              <w:rPr>
                <w:b/>
                <w:bCs/>
                <w:sz w:val="16"/>
              </w:rPr>
              <w:t>112%</w:t>
            </w:r>
          </w:p>
        </w:tc>
      </w:tr>
      <w:tr w:rsidR="00435EA6" w:rsidRPr="009102B5" w14:paraId="1B929FDF" w14:textId="77777777" w:rsidTr="004B6A59">
        <w:trPr>
          <w:trHeight w:val="200"/>
          <w:jc w:val="center"/>
        </w:trPr>
        <w:tc>
          <w:tcPr>
            <w:tcW w:w="477" w:type="dxa"/>
            <w:tcBorders>
              <w:top w:val="nil"/>
              <w:left w:val="single" w:sz="12" w:space="0" w:color="auto"/>
              <w:bottom w:val="single" w:sz="4" w:space="0" w:color="auto"/>
              <w:right w:val="single" w:sz="8" w:space="0" w:color="000000"/>
            </w:tcBorders>
            <w:shd w:val="clear" w:color="auto" w:fill="auto"/>
            <w:vAlign w:val="center"/>
            <w:hideMark/>
          </w:tcPr>
          <w:p w14:paraId="1DD880A4" w14:textId="77777777" w:rsidR="00B848FD" w:rsidRPr="009102B5" w:rsidRDefault="00B848FD" w:rsidP="00582CA7">
            <w:pPr>
              <w:jc w:val="center"/>
              <w:rPr>
                <w:color w:val="000000"/>
                <w:sz w:val="16"/>
                <w:szCs w:val="16"/>
              </w:rPr>
            </w:pPr>
            <w:r w:rsidRPr="009102B5">
              <w:rPr>
                <w:sz w:val="16"/>
              </w:rPr>
              <w:t>9</w:t>
            </w:r>
          </w:p>
        </w:tc>
        <w:tc>
          <w:tcPr>
            <w:tcW w:w="3052" w:type="dxa"/>
            <w:tcBorders>
              <w:top w:val="nil"/>
              <w:left w:val="nil"/>
              <w:bottom w:val="single" w:sz="4" w:space="0" w:color="auto"/>
              <w:right w:val="single" w:sz="8" w:space="0" w:color="000000"/>
            </w:tcBorders>
            <w:shd w:val="clear" w:color="auto" w:fill="auto"/>
            <w:vAlign w:val="center"/>
            <w:hideMark/>
          </w:tcPr>
          <w:p w14:paraId="15CBD658" w14:textId="77777777" w:rsidR="00B848FD" w:rsidRPr="009102B5" w:rsidRDefault="00B848FD" w:rsidP="00582CA7">
            <w:pPr>
              <w:rPr>
                <w:color w:val="000000"/>
                <w:sz w:val="16"/>
                <w:szCs w:val="16"/>
              </w:rPr>
            </w:pPr>
            <w:r w:rsidRPr="009102B5">
              <w:rPr>
                <w:sz w:val="16"/>
              </w:rPr>
              <w:t>Para el año 2023 se ha incrementado el número de maestros graduados de licenciatura en 8,610</w:t>
            </w:r>
          </w:p>
        </w:tc>
        <w:tc>
          <w:tcPr>
            <w:tcW w:w="851" w:type="dxa"/>
            <w:tcBorders>
              <w:top w:val="nil"/>
              <w:left w:val="nil"/>
              <w:bottom w:val="single" w:sz="4" w:space="0" w:color="auto"/>
              <w:right w:val="single" w:sz="4" w:space="0" w:color="auto"/>
            </w:tcBorders>
            <w:shd w:val="clear" w:color="auto" w:fill="auto"/>
            <w:vAlign w:val="center"/>
            <w:hideMark/>
          </w:tcPr>
          <w:p w14:paraId="47EA9B60" w14:textId="77777777" w:rsidR="00B848FD" w:rsidRPr="009102B5" w:rsidRDefault="00B848FD" w:rsidP="00582CA7">
            <w:pPr>
              <w:jc w:val="center"/>
              <w:rPr>
                <w:color w:val="000000"/>
                <w:sz w:val="16"/>
                <w:szCs w:val="16"/>
              </w:rPr>
            </w:pPr>
            <w:r w:rsidRPr="009102B5">
              <w:rPr>
                <w:color w:val="000000"/>
                <w:sz w:val="16"/>
                <w:szCs w:val="16"/>
              </w:rPr>
              <w:t>MINEDUC</w:t>
            </w:r>
          </w:p>
        </w:tc>
        <w:tc>
          <w:tcPr>
            <w:tcW w:w="823" w:type="dxa"/>
            <w:tcBorders>
              <w:top w:val="nil"/>
              <w:left w:val="nil"/>
              <w:bottom w:val="single" w:sz="4" w:space="0" w:color="auto"/>
              <w:right w:val="single" w:sz="4" w:space="0" w:color="auto"/>
            </w:tcBorders>
            <w:shd w:val="clear" w:color="auto" w:fill="auto"/>
            <w:vAlign w:val="center"/>
            <w:hideMark/>
          </w:tcPr>
          <w:p w14:paraId="0E578E91" w14:textId="77777777" w:rsidR="00B848FD" w:rsidRPr="009102B5" w:rsidRDefault="00B848FD" w:rsidP="00582CA7">
            <w:pPr>
              <w:jc w:val="center"/>
              <w:rPr>
                <w:sz w:val="16"/>
                <w:szCs w:val="16"/>
              </w:rPr>
            </w:pPr>
            <w:r w:rsidRPr="009102B5">
              <w:rPr>
                <w:sz w:val="16"/>
              </w:rPr>
              <w:t>5,651</w:t>
            </w:r>
          </w:p>
        </w:tc>
        <w:tc>
          <w:tcPr>
            <w:tcW w:w="736" w:type="dxa"/>
            <w:tcBorders>
              <w:top w:val="nil"/>
              <w:left w:val="nil"/>
              <w:bottom w:val="single" w:sz="4" w:space="0" w:color="auto"/>
              <w:right w:val="single" w:sz="12" w:space="0" w:color="auto"/>
            </w:tcBorders>
            <w:shd w:val="clear" w:color="auto" w:fill="auto"/>
            <w:vAlign w:val="center"/>
            <w:hideMark/>
          </w:tcPr>
          <w:p w14:paraId="5004F83D" w14:textId="77777777" w:rsidR="00B848FD" w:rsidRPr="009102B5" w:rsidRDefault="00B848FD" w:rsidP="00582CA7">
            <w:pPr>
              <w:jc w:val="center"/>
              <w:rPr>
                <w:sz w:val="16"/>
                <w:szCs w:val="16"/>
              </w:rPr>
            </w:pPr>
            <w:r w:rsidRPr="009102B5">
              <w:rPr>
                <w:sz w:val="16"/>
                <w:szCs w:val="16"/>
              </w:rPr>
              <w:t>5,651</w:t>
            </w:r>
          </w:p>
        </w:tc>
        <w:tc>
          <w:tcPr>
            <w:tcW w:w="992" w:type="dxa"/>
            <w:tcBorders>
              <w:top w:val="nil"/>
              <w:left w:val="single" w:sz="12" w:space="0" w:color="auto"/>
              <w:bottom w:val="single" w:sz="4" w:space="0" w:color="auto"/>
              <w:right w:val="single" w:sz="4" w:space="0" w:color="auto"/>
            </w:tcBorders>
            <w:shd w:val="clear" w:color="auto" w:fill="auto"/>
            <w:vAlign w:val="center"/>
            <w:hideMark/>
          </w:tcPr>
          <w:p w14:paraId="69B41267" w14:textId="77777777" w:rsidR="00B848FD" w:rsidRPr="009102B5" w:rsidRDefault="00B848FD" w:rsidP="00582CA7">
            <w:pPr>
              <w:jc w:val="center"/>
              <w:rPr>
                <w:sz w:val="16"/>
                <w:szCs w:val="16"/>
              </w:rPr>
            </w:pPr>
            <w:r w:rsidRPr="009102B5">
              <w:rPr>
                <w:sz w:val="16"/>
                <w:szCs w:val="16"/>
              </w:rPr>
              <w:t>15,000</w:t>
            </w:r>
          </w:p>
        </w:tc>
        <w:tc>
          <w:tcPr>
            <w:tcW w:w="851" w:type="dxa"/>
            <w:tcBorders>
              <w:top w:val="nil"/>
              <w:left w:val="nil"/>
              <w:bottom w:val="single" w:sz="4" w:space="0" w:color="auto"/>
              <w:right w:val="single" w:sz="4" w:space="0" w:color="auto"/>
            </w:tcBorders>
            <w:shd w:val="clear" w:color="auto" w:fill="auto"/>
            <w:vAlign w:val="center"/>
            <w:hideMark/>
          </w:tcPr>
          <w:p w14:paraId="3C32D5E1" w14:textId="77777777" w:rsidR="00B848FD" w:rsidRPr="009102B5" w:rsidRDefault="00B848FD" w:rsidP="00582CA7">
            <w:pPr>
              <w:jc w:val="center"/>
              <w:rPr>
                <w:color w:val="C00000"/>
                <w:sz w:val="16"/>
                <w:szCs w:val="16"/>
              </w:rPr>
            </w:pPr>
            <w:r w:rsidRPr="009102B5">
              <w:rPr>
                <w:color w:val="C00000"/>
                <w:sz w:val="16"/>
                <w:szCs w:val="16"/>
              </w:rPr>
              <w:t>-9,349</w:t>
            </w:r>
          </w:p>
        </w:tc>
        <w:tc>
          <w:tcPr>
            <w:tcW w:w="875" w:type="dxa"/>
            <w:tcBorders>
              <w:top w:val="nil"/>
              <w:left w:val="nil"/>
              <w:bottom w:val="single" w:sz="4" w:space="0" w:color="auto"/>
              <w:right w:val="single" w:sz="12" w:space="0" w:color="auto"/>
            </w:tcBorders>
            <w:shd w:val="clear" w:color="000000" w:fill="C00000"/>
            <w:vAlign w:val="center"/>
            <w:hideMark/>
          </w:tcPr>
          <w:p w14:paraId="0543F820" w14:textId="77777777" w:rsidR="00B848FD" w:rsidRPr="009102B5" w:rsidRDefault="00B848FD" w:rsidP="00582CA7">
            <w:pPr>
              <w:jc w:val="center"/>
              <w:rPr>
                <w:b/>
                <w:bCs/>
                <w:color w:val="FFFFFF"/>
                <w:sz w:val="16"/>
                <w:szCs w:val="16"/>
              </w:rPr>
            </w:pPr>
            <w:r w:rsidRPr="009102B5">
              <w:rPr>
                <w:b/>
                <w:bCs/>
                <w:color w:val="FFFFFF"/>
                <w:sz w:val="16"/>
              </w:rPr>
              <w:t>9%</w:t>
            </w:r>
          </w:p>
        </w:tc>
      </w:tr>
      <w:tr w:rsidR="00435EA6" w:rsidRPr="009102B5" w14:paraId="0A0BB3A6" w14:textId="77777777" w:rsidTr="004B6A59">
        <w:trPr>
          <w:trHeight w:val="336"/>
          <w:jc w:val="center"/>
        </w:trPr>
        <w:tc>
          <w:tcPr>
            <w:tcW w:w="477" w:type="dxa"/>
            <w:tcBorders>
              <w:top w:val="nil"/>
              <w:left w:val="single" w:sz="12" w:space="0" w:color="auto"/>
              <w:bottom w:val="single" w:sz="12" w:space="0" w:color="auto"/>
              <w:right w:val="single" w:sz="8" w:space="0" w:color="000000"/>
            </w:tcBorders>
            <w:shd w:val="clear" w:color="auto" w:fill="auto"/>
            <w:vAlign w:val="center"/>
            <w:hideMark/>
          </w:tcPr>
          <w:p w14:paraId="630BE2FC" w14:textId="77777777" w:rsidR="00B848FD" w:rsidRPr="009102B5" w:rsidRDefault="00B848FD" w:rsidP="00582CA7">
            <w:pPr>
              <w:jc w:val="center"/>
              <w:rPr>
                <w:color w:val="000000"/>
                <w:sz w:val="16"/>
                <w:szCs w:val="16"/>
              </w:rPr>
            </w:pPr>
            <w:r w:rsidRPr="009102B5">
              <w:rPr>
                <w:sz w:val="16"/>
              </w:rPr>
              <w:t>10</w:t>
            </w:r>
          </w:p>
        </w:tc>
        <w:tc>
          <w:tcPr>
            <w:tcW w:w="3052" w:type="dxa"/>
            <w:tcBorders>
              <w:top w:val="nil"/>
              <w:left w:val="nil"/>
              <w:bottom w:val="single" w:sz="12" w:space="0" w:color="auto"/>
              <w:right w:val="single" w:sz="8" w:space="0" w:color="000000"/>
            </w:tcBorders>
            <w:shd w:val="clear" w:color="auto" w:fill="auto"/>
            <w:vAlign w:val="center"/>
            <w:hideMark/>
          </w:tcPr>
          <w:p w14:paraId="5A0FC77F" w14:textId="77777777" w:rsidR="00B848FD" w:rsidRPr="009102B5" w:rsidRDefault="00B848FD" w:rsidP="00582CA7">
            <w:pPr>
              <w:rPr>
                <w:color w:val="000000"/>
                <w:sz w:val="16"/>
                <w:szCs w:val="16"/>
              </w:rPr>
            </w:pPr>
            <w:r w:rsidRPr="009102B5">
              <w:rPr>
                <w:sz w:val="16"/>
              </w:rPr>
              <w:t>Para el año 2023 se ha incrementado en 8,000 el número de maestros</w:t>
            </w:r>
          </w:p>
        </w:tc>
        <w:tc>
          <w:tcPr>
            <w:tcW w:w="851" w:type="dxa"/>
            <w:tcBorders>
              <w:top w:val="nil"/>
              <w:left w:val="nil"/>
              <w:bottom w:val="single" w:sz="12" w:space="0" w:color="auto"/>
              <w:right w:val="single" w:sz="4" w:space="0" w:color="auto"/>
            </w:tcBorders>
            <w:shd w:val="clear" w:color="auto" w:fill="auto"/>
            <w:vAlign w:val="center"/>
            <w:hideMark/>
          </w:tcPr>
          <w:p w14:paraId="2A6526D5" w14:textId="77777777" w:rsidR="00B848FD" w:rsidRPr="009102B5" w:rsidRDefault="00B848FD" w:rsidP="00582CA7">
            <w:pPr>
              <w:jc w:val="center"/>
              <w:rPr>
                <w:color w:val="000000"/>
                <w:sz w:val="16"/>
                <w:szCs w:val="16"/>
              </w:rPr>
            </w:pPr>
            <w:r w:rsidRPr="009102B5">
              <w:rPr>
                <w:color w:val="000000"/>
                <w:sz w:val="16"/>
                <w:szCs w:val="16"/>
              </w:rPr>
              <w:t>MINEDUC</w:t>
            </w:r>
          </w:p>
        </w:tc>
        <w:tc>
          <w:tcPr>
            <w:tcW w:w="823" w:type="dxa"/>
            <w:tcBorders>
              <w:top w:val="nil"/>
              <w:left w:val="nil"/>
              <w:bottom w:val="single" w:sz="12" w:space="0" w:color="auto"/>
              <w:right w:val="single" w:sz="4" w:space="0" w:color="auto"/>
            </w:tcBorders>
            <w:shd w:val="clear" w:color="auto" w:fill="auto"/>
            <w:vAlign w:val="center"/>
            <w:hideMark/>
          </w:tcPr>
          <w:p w14:paraId="058F8F1A" w14:textId="77777777" w:rsidR="00B848FD" w:rsidRPr="009102B5" w:rsidRDefault="00B848FD" w:rsidP="00582CA7">
            <w:pPr>
              <w:jc w:val="center"/>
              <w:rPr>
                <w:sz w:val="16"/>
                <w:szCs w:val="16"/>
              </w:rPr>
            </w:pPr>
            <w:r w:rsidRPr="009102B5">
              <w:rPr>
                <w:sz w:val="16"/>
              </w:rPr>
              <w:t>149,258</w:t>
            </w:r>
          </w:p>
        </w:tc>
        <w:tc>
          <w:tcPr>
            <w:tcW w:w="736" w:type="dxa"/>
            <w:tcBorders>
              <w:top w:val="nil"/>
              <w:left w:val="nil"/>
              <w:bottom w:val="single" w:sz="12" w:space="0" w:color="auto"/>
              <w:right w:val="single" w:sz="12" w:space="0" w:color="auto"/>
            </w:tcBorders>
            <w:shd w:val="clear" w:color="auto" w:fill="auto"/>
            <w:vAlign w:val="center"/>
            <w:hideMark/>
          </w:tcPr>
          <w:p w14:paraId="6F718420" w14:textId="77777777" w:rsidR="00B848FD" w:rsidRPr="009102B5" w:rsidRDefault="00B848FD" w:rsidP="00582CA7">
            <w:pPr>
              <w:jc w:val="center"/>
              <w:rPr>
                <w:sz w:val="16"/>
                <w:szCs w:val="16"/>
              </w:rPr>
            </w:pPr>
            <w:r w:rsidRPr="009102B5">
              <w:rPr>
                <w:sz w:val="16"/>
                <w:szCs w:val="16"/>
              </w:rPr>
              <w:t>155,196</w:t>
            </w:r>
          </w:p>
        </w:tc>
        <w:tc>
          <w:tcPr>
            <w:tcW w:w="992" w:type="dxa"/>
            <w:tcBorders>
              <w:top w:val="nil"/>
              <w:left w:val="single" w:sz="12" w:space="0" w:color="auto"/>
              <w:bottom w:val="single" w:sz="12" w:space="0" w:color="auto"/>
              <w:right w:val="single" w:sz="4" w:space="0" w:color="auto"/>
            </w:tcBorders>
            <w:shd w:val="clear" w:color="auto" w:fill="auto"/>
            <w:vAlign w:val="center"/>
            <w:hideMark/>
          </w:tcPr>
          <w:p w14:paraId="70E6BBDA" w14:textId="77777777" w:rsidR="00B848FD" w:rsidRPr="009102B5" w:rsidRDefault="00B848FD" w:rsidP="00582CA7">
            <w:pPr>
              <w:jc w:val="center"/>
              <w:rPr>
                <w:sz w:val="16"/>
                <w:szCs w:val="16"/>
              </w:rPr>
            </w:pPr>
            <w:r w:rsidRPr="009102B5">
              <w:rPr>
                <w:sz w:val="16"/>
                <w:szCs w:val="16"/>
              </w:rPr>
              <w:t>152,196</w:t>
            </w:r>
          </w:p>
        </w:tc>
        <w:tc>
          <w:tcPr>
            <w:tcW w:w="851" w:type="dxa"/>
            <w:tcBorders>
              <w:top w:val="nil"/>
              <w:left w:val="nil"/>
              <w:bottom w:val="single" w:sz="12" w:space="0" w:color="auto"/>
              <w:right w:val="single" w:sz="4" w:space="0" w:color="auto"/>
            </w:tcBorders>
            <w:shd w:val="clear" w:color="auto" w:fill="auto"/>
            <w:vAlign w:val="center"/>
            <w:hideMark/>
          </w:tcPr>
          <w:p w14:paraId="5EC1A0B1" w14:textId="77777777" w:rsidR="00B848FD" w:rsidRPr="009102B5" w:rsidRDefault="00B848FD" w:rsidP="00582CA7">
            <w:pPr>
              <w:jc w:val="center"/>
              <w:rPr>
                <w:sz w:val="16"/>
                <w:szCs w:val="16"/>
              </w:rPr>
            </w:pPr>
            <w:r w:rsidRPr="009102B5">
              <w:rPr>
                <w:sz w:val="16"/>
                <w:szCs w:val="16"/>
              </w:rPr>
              <w:t>3,000</w:t>
            </w:r>
          </w:p>
        </w:tc>
        <w:tc>
          <w:tcPr>
            <w:tcW w:w="875" w:type="dxa"/>
            <w:tcBorders>
              <w:top w:val="nil"/>
              <w:left w:val="nil"/>
              <w:bottom w:val="single" w:sz="12" w:space="0" w:color="auto"/>
              <w:right w:val="single" w:sz="12" w:space="0" w:color="auto"/>
            </w:tcBorders>
            <w:shd w:val="clear" w:color="000000" w:fill="A9D08E"/>
            <w:vAlign w:val="center"/>
            <w:hideMark/>
          </w:tcPr>
          <w:p w14:paraId="453E81F0" w14:textId="77777777" w:rsidR="00B848FD" w:rsidRPr="009102B5" w:rsidRDefault="00B848FD" w:rsidP="00582CA7">
            <w:pPr>
              <w:jc w:val="center"/>
              <w:rPr>
                <w:b/>
                <w:bCs/>
                <w:sz w:val="16"/>
                <w:szCs w:val="16"/>
              </w:rPr>
            </w:pPr>
            <w:r w:rsidRPr="009102B5">
              <w:rPr>
                <w:b/>
                <w:bCs/>
                <w:sz w:val="16"/>
              </w:rPr>
              <w:t>138%</w:t>
            </w:r>
          </w:p>
        </w:tc>
      </w:tr>
    </w:tbl>
    <w:p w14:paraId="7B3A1B0E" w14:textId="644FECE5" w:rsidR="00B848FD" w:rsidRPr="00B848FD" w:rsidRDefault="00B848FD" w:rsidP="00B848FD">
      <w:pPr>
        <w:jc w:val="both"/>
        <w:rPr>
          <w:sz w:val="28"/>
          <w:szCs w:val="28"/>
        </w:rPr>
      </w:pPr>
      <w:r w:rsidRPr="00B848FD">
        <w:rPr>
          <w:noProof/>
          <w:szCs w:val="28"/>
        </w:rPr>
        <mc:AlternateContent>
          <mc:Choice Requires="wps">
            <w:drawing>
              <wp:anchor distT="0" distB="0" distL="114300" distR="114300" simplePos="0" relativeHeight="251736064" behindDoc="0" locked="0" layoutInCell="1" allowOverlap="1" wp14:anchorId="4C2B00AE" wp14:editId="28C5E75B">
                <wp:simplePos x="0" y="0"/>
                <wp:positionH relativeFrom="page">
                  <wp:posOffset>6275070</wp:posOffset>
                </wp:positionH>
                <wp:positionV relativeFrom="paragraph">
                  <wp:posOffset>-1836420</wp:posOffset>
                </wp:positionV>
                <wp:extent cx="0" cy="0"/>
                <wp:effectExtent l="0" t="0" r="0" b="0"/>
                <wp:wrapNone/>
                <wp:docPr id="219" name="Line 9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AEB4D4" id="Line 961" o:spid="_x0000_s1026" style="position:absolute;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144.6pt" to="494.1pt,-14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" strokecolor="#d3d3d3" strokeweight=".11725mm">
                <w10:wrap anchorx="page"/>
              </v:line>
            </w:pict>
          </mc:Fallback>
        </mc:AlternateContent>
      </w:r>
      <w:r w:rsidRPr="00B848FD">
        <w:rPr>
          <w:noProof/>
          <w:szCs w:val="28"/>
        </w:rPr>
        <mc:AlternateContent>
          <mc:Choice Requires="wps">
            <w:drawing>
              <wp:anchor distT="0" distB="0" distL="114300" distR="114300" simplePos="0" relativeHeight="251737088" behindDoc="0" locked="0" layoutInCell="1" allowOverlap="1" wp14:anchorId="4B496739" wp14:editId="5A09D564">
                <wp:simplePos x="0" y="0"/>
                <wp:positionH relativeFrom="page">
                  <wp:posOffset>6275070</wp:posOffset>
                </wp:positionH>
                <wp:positionV relativeFrom="paragraph">
                  <wp:posOffset>-1666875</wp:posOffset>
                </wp:positionV>
                <wp:extent cx="0" cy="0"/>
                <wp:effectExtent l="0" t="0" r="0" b="0"/>
                <wp:wrapNone/>
                <wp:docPr id="218" name="Line 9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41B0E0" id="Line 960" o:spid="_x0000_s1026" style="position:absolute;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131.25pt" to="494.1pt,-1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" strokecolor="#d3d3d3" strokeweight=".11725mm">
                <w10:wrap anchorx="page"/>
              </v:line>
            </w:pict>
          </mc:Fallback>
        </mc:AlternateContent>
      </w:r>
      <w:r w:rsidRPr="00B848FD">
        <w:rPr>
          <w:noProof/>
          <w:szCs w:val="28"/>
        </w:rPr>
        <mc:AlternateContent>
          <mc:Choice Requires="wps">
            <w:drawing>
              <wp:anchor distT="0" distB="0" distL="114300" distR="114300" simplePos="0" relativeHeight="251738112" behindDoc="0" locked="0" layoutInCell="1" allowOverlap="1" wp14:anchorId="464C3572" wp14:editId="74AB2144">
                <wp:simplePos x="0" y="0"/>
                <wp:positionH relativeFrom="page">
                  <wp:posOffset>6275070</wp:posOffset>
                </wp:positionH>
                <wp:positionV relativeFrom="paragraph">
                  <wp:posOffset>-1497965</wp:posOffset>
                </wp:positionV>
                <wp:extent cx="0" cy="0"/>
                <wp:effectExtent l="0" t="0" r="0" b="0"/>
                <wp:wrapNone/>
                <wp:docPr id="217" name="Line 9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B605AA" id="Line 959" o:spid="_x0000_s1026" style="position:absolute;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117.95pt" to="494.1pt,-1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" strokecolor="#d3d3d3" strokeweight=".11725mm">
                <w10:wrap anchorx="page"/>
              </v:line>
            </w:pict>
          </mc:Fallback>
        </mc:AlternateContent>
      </w:r>
      <w:r w:rsidRPr="00B848FD">
        <w:rPr>
          <w:noProof/>
          <w:szCs w:val="28"/>
        </w:rPr>
        <mc:AlternateContent>
          <mc:Choice Requires="wps">
            <w:drawing>
              <wp:anchor distT="0" distB="0" distL="114300" distR="114300" simplePos="0" relativeHeight="251739136" behindDoc="0" locked="0" layoutInCell="1" allowOverlap="1" wp14:anchorId="64281926" wp14:editId="7159B2EC">
                <wp:simplePos x="0" y="0"/>
                <wp:positionH relativeFrom="page">
                  <wp:posOffset>6275070</wp:posOffset>
                </wp:positionH>
                <wp:positionV relativeFrom="paragraph">
                  <wp:posOffset>-1413510</wp:posOffset>
                </wp:positionV>
                <wp:extent cx="0" cy="0"/>
                <wp:effectExtent l="0" t="0" r="0" b="0"/>
                <wp:wrapNone/>
                <wp:docPr id="216" name="Line 9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4A738F" id="Line 958" o:spid="_x0000_s1026" style="position:absolute;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111.3pt" to="494.1pt,-1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" strokecolor="#d3d3d3" strokeweight=".11725mm">
                <w10:wrap anchorx="page"/>
              </v:line>
            </w:pict>
          </mc:Fallback>
        </mc:AlternateContent>
      </w:r>
      <w:r w:rsidRPr="00B848FD">
        <w:rPr>
          <w:noProof/>
          <w:szCs w:val="28"/>
        </w:rPr>
        <mc:AlternateContent>
          <mc:Choice Requires="wps">
            <w:drawing>
              <wp:anchor distT="0" distB="0" distL="114300" distR="114300" simplePos="0" relativeHeight="251740160" behindDoc="0" locked="0" layoutInCell="1" allowOverlap="1" wp14:anchorId="19320C0F" wp14:editId="30056CE6">
                <wp:simplePos x="0" y="0"/>
                <wp:positionH relativeFrom="page">
                  <wp:posOffset>6275070</wp:posOffset>
                </wp:positionH>
                <wp:positionV relativeFrom="paragraph">
                  <wp:posOffset>-1244600</wp:posOffset>
                </wp:positionV>
                <wp:extent cx="0" cy="0"/>
                <wp:effectExtent l="0" t="0" r="0" b="0"/>
                <wp:wrapNone/>
                <wp:docPr id="215" name="Line 9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7CD4FF" id="Line 957" o:spid="_x0000_s1026" style="position:absolute;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98pt" to="494.1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" strokecolor="#d3d3d3" strokeweight=".11725mm">
                <w10:wrap anchorx="page"/>
              </v:line>
            </w:pict>
          </mc:Fallback>
        </mc:AlternateContent>
      </w:r>
      <w:r w:rsidRPr="00B848FD">
        <w:rPr>
          <w:noProof/>
          <w:szCs w:val="28"/>
        </w:rPr>
        <mc:AlternateContent>
          <mc:Choice Requires="wps">
            <w:drawing>
              <wp:anchor distT="0" distB="0" distL="114300" distR="114300" simplePos="0" relativeHeight="251741184" behindDoc="0" locked="0" layoutInCell="1" allowOverlap="1" wp14:anchorId="5B2F780A" wp14:editId="471CF239">
                <wp:simplePos x="0" y="0"/>
                <wp:positionH relativeFrom="page">
                  <wp:posOffset>6275070</wp:posOffset>
                </wp:positionH>
                <wp:positionV relativeFrom="paragraph">
                  <wp:posOffset>-1160145</wp:posOffset>
                </wp:positionV>
                <wp:extent cx="0" cy="0"/>
                <wp:effectExtent l="0" t="0" r="0" b="0"/>
                <wp:wrapNone/>
                <wp:docPr id="214" name="Line 9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7C3AE7" id="Line 956" o:spid="_x0000_s1026" style="position:absolute;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91.35pt" to="494.1pt,-9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" strokecolor="#d3d3d3" strokeweight=".11725mm">
                <w10:wrap anchorx="page"/>
              </v:line>
            </w:pict>
          </mc:Fallback>
        </mc:AlternateContent>
      </w:r>
      <w:r w:rsidRPr="00B848FD">
        <w:rPr>
          <w:noProof/>
          <w:szCs w:val="28"/>
        </w:rPr>
        <mc:AlternateContent>
          <mc:Choice Requires="wps">
            <w:drawing>
              <wp:anchor distT="0" distB="0" distL="114300" distR="114300" simplePos="0" relativeHeight="251742208" behindDoc="0" locked="0" layoutInCell="1" allowOverlap="1" wp14:anchorId="3C853F56" wp14:editId="5EDB9CC8">
                <wp:simplePos x="0" y="0"/>
                <wp:positionH relativeFrom="page">
                  <wp:posOffset>6275070</wp:posOffset>
                </wp:positionH>
                <wp:positionV relativeFrom="paragraph">
                  <wp:posOffset>-1066800</wp:posOffset>
                </wp:positionV>
                <wp:extent cx="0" cy="0"/>
                <wp:effectExtent l="0" t="0" r="0" b="0"/>
                <wp:wrapNone/>
                <wp:docPr id="213" name="Line 9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57FBC1" id="Line 955" o:spid="_x0000_s1026" style="position:absolute;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84pt" to="494.1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" strokecolor="#d3d3d3" strokeweight=".11725mm">
                <w10:wrap anchorx="page"/>
              </v:line>
            </w:pict>
          </mc:Fallback>
        </mc:AlternateContent>
      </w:r>
      <w:r w:rsidRPr="00B848FD">
        <w:rPr>
          <w:noProof/>
          <w:szCs w:val="28"/>
        </w:rPr>
        <mc:AlternateContent>
          <mc:Choice Requires="wps">
            <w:drawing>
              <wp:anchor distT="0" distB="0" distL="114300" distR="114300" simplePos="0" relativeHeight="251743232" behindDoc="0" locked="0" layoutInCell="1" allowOverlap="1" wp14:anchorId="2A1A9CFE" wp14:editId="5A058B2C">
                <wp:simplePos x="0" y="0"/>
                <wp:positionH relativeFrom="page">
                  <wp:posOffset>6275070</wp:posOffset>
                </wp:positionH>
                <wp:positionV relativeFrom="paragraph">
                  <wp:posOffset>-851535</wp:posOffset>
                </wp:positionV>
                <wp:extent cx="0" cy="0"/>
                <wp:effectExtent l="0" t="0" r="0" b="0"/>
                <wp:wrapNone/>
                <wp:docPr id="212" name="Line 9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1BBAF3" id="Line 954" o:spid="_x0000_s1026" style="position:absolute;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67.05pt" to="494.1pt,-6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" strokecolor="#d3d3d3" strokeweight=".11725mm">
                <w10:wrap anchorx="page"/>
              </v:line>
            </w:pict>
          </mc:Fallback>
        </mc:AlternateContent>
      </w:r>
      <w:r w:rsidRPr="00B848FD">
        <w:rPr>
          <w:noProof/>
          <w:szCs w:val="28"/>
        </w:rPr>
        <mc:AlternateContent>
          <mc:Choice Requires="wps">
            <w:drawing>
              <wp:anchor distT="0" distB="0" distL="114300" distR="114300" simplePos="0" relativeHeight="251744256" behindDoc="0" locked="0" layoutInCell="1" allowOverlap="1" wp14:anchorId="21B8FB17" wp14:editId="50856E9B">
                <wp:simplePos x="0" y="0"/>
                <wp:positionH relativeFrom="page">
                  <wp:posOffset>6275070</wp:posOffset>
                </wp:positionH>
                <wp:positionV relativeFrom="paragraph">
                  <wp:posOffset>-767080</wp:posOffset>
                </wp:positionV>
                <wp:extent cx="0" cy="0"/>
                <wp:effectExtent l="0" t="0" r="0" b="0"/>
                <wp:wrapNone/>
                <wp:docPr id="211" name="Line 9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118A47" id="Line 953" o:spid="_x0000_s1026" style="position:absolute;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60.4pt" to="494.1pt,-6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" strokecolor="#d3d3d3" strokeweight=".11725mm">
                <w10:wrap anchorx="page"/>
              </v:line>
            </w:pict>
          </mc:Fallback>
        </mc:AlternateContent>
      </w:r>
      <w:r w:rsidRPr="00B848FD">
        <w:rPr>
          <w:noProof/>
          <w:szCs w:val="28"/>
        </w:rPr>
        <mc:AlternateContent>
          <mc:Choice Requires="wps">
            <w:drawing>
              <wp:anchor distT="0" distB="0" distL="114300" distR="114300" simplePos="0" relativeHeight="251745280" behindDoc="0" locked="0" layoutInCell="1" allowOverlap="1" wp14:anchorId="29F11490" wp14:editId="20AEB381">
                <wp:simplePos x="0" y="0"/>
                <wp:positionH relativeFrom="page">
                  <wp:posOffset>6275070</wp:posOffset>
                </wp:positionH>
                <wp:positionV relativeFrom="paragraph">
                  <wp:posOffset>-682625</wp:posOffset>
                </wp:positionV>
                <wp:extent cx="0" cy="0"/>
                <wp:effectExtent l="0" t="0" r="0" b="0"/>
                <wp:wrapNone/>
                <wp:docPr id="210" name="Line 9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BEB131" id="Line 952" o:spid="_x0000_s1026" style="position:absolute;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53.75pt" to="494.1pt,-5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" strokecolor="#d3d3d3" strokeweight=".11725mm">
                <w10:wrap anchorx="page"/>
              </v:line>
            </w:pict>
          </mc:Fallback>
        </mc:AlternateContent>
      </w:r>
      <w:r w:rsidRPr="00B848FD">
        <w:rPr>
          <w:noProof/>
          <w:szCs w:val="28"/>
        </w:rPr>
        <mc:AlternateContent>
          <mc:Choice Requires="wps">
            <w:drawing>
              <wp:anchor distT="0" distB="0" distL="114300" distR="114300" simplePos="0" relativeHeight="251746304" behindDoc="0" locked="0" layoutInCell="1" allowOverlap="1" wp14:anchorId="69291182" wp14:editId="6791AA86">
                <wp:simplePos x="0" y="0"/>
                <wp:positionH relativeFrom="page">
                  <wp:posOffset>6275070</wp:posOffset>
                </wp:positionH>
                <wp:positionV relativeFrom="paragraph">
                  <wp:posOffset>-513080</wp:posOffset>
                </wp:positionV>
                <wp:extent cx="0" cy="0"/>
                <wp:effectExtent l="0" t="0" r="0" b="0"/>
                <wp:wrapNone/>
                <wp:docPr id="209" name="Line 9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C0EFDD" id="Line 951" o:spid="_x0000_s1026" style="position:absolute;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40.4pt" to="494.1pt,-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" strokecolor="#d3d3d3" strokeweight=".11725mm">
                <w10:wrap anchorx="page"/>
              </v:line>
            </w:pict>
          </mc:Fallback>
        </mc:AlternateContent>
      </w:r>
      <w:r w:rsidRPr="00B848FD">
        <w:rPr>
          <w:noProof/>
          <w:szCs w:val="28"/>
        </w:rPr>
        <mc:AlternateContent>
          <mc:Choice Requires="wps">
            <w:drawing>
              <wp:anchor distT="0" distB="0" distL="114300" distR="114300" simplePos="0" relativeHeight="251747328" behindDoc="0" locked="0" layoutInCell="1" allowOverlap="1" wp14:anchorId="5A47D203" wp14:editId="1050962F">
                <wp:simplePos x="0" y="0"/>
                <wp:positionH relativeFrom="page">
                  <wp:posOffset>6275070</wp:posOffset>
                </wp:positionH>
                <wp:positionV relativeFrom="paragraph">
                  <wp:posOffset>-344170</wp:posOffset>
                </wp:positionV>
                <wp:extent cx="0" cy="0"/>
                <wp:effectExtent l="0" t="0" r="0" b="0"/>
                <wp:wrapNone/>
                <wp:docPr id="208" name="Line 9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FCCAC9" id="Line 950" o:spid="_x0000_s1026" style="position:absolute;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27.1pt" to="494.1pt,-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" strokecolor="#d3d3d3" strokeweight=".11725mm">
                <w10:wrap anchorx="page"/>
              </v:line>
            </w:pict>
          </mc:Fallback>
        </mc:AlternateContent>
      </w:r>
      <w:r w:rsidRPr="00B848FD">
        <w:rPr>
          <w:noProof/>
          <w:szCs w:val="28"/>
        </w:rPr>
        <mc:AlternateContent>
          <mc:Choice Requires="wps">
            <w:drawing>
              <wp:anchor distT="0" distB="0" distL="114300" distR="114300" simplePos="0" relativeHeight="251748352" behindDoc="0" locked="0" layoutInCell="1" allowOverlap="1" wp14:anchorId="7E9E3B6C" wp14:editId="175AA0D6">
                <wp:simplePos x="0" y="0"/>
                <wp:positionH relativeFrom="page">
                  <wp:posOffset>6275070</wp:posOffset>
                </wp:positionH>
                <wp:positionV relativeFrom="paragraph">
                  <wp:posOffset>-175260</wp:posOffset>
                </wp:positionV>
                <wp:extent cx="0" cy="0"/>
                <wp:effectExtent l="0" t="0" r="0" b="0"/>
                <wp:wrapNone/>
                <wp:docPr id="207" name="Line 9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221">
                          <a:solidFill>
                            <a:srgbClr val="D3D3D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D1D3BE" id="Line 949" o:spid="_x0000_s1026" style="position:absolute;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1pt,-13.8pt" to="494.1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" strokecolor="#d3d3d3" strokeweight=".11725mm">
                <w10:wrap anchorx="page"/>
              </v:line>
            </w:pict>
          </mc:Fallback>
        </mc:AlternateContent>
      </w:r>
      <w:r w:rsidRPr="00B848FD">
        <w:rPr>
          <w:sz w:val="18"/>
          <w:szCs w:val="28"/>
        </w:rPr>
        <w:t>Fuente: SEGEPLAN</w:t>
      </w:r>
      <w:r>
        <w:rPr>
          <w:sz w:val="18"/>
          <w:szCs w:val="28"/>
        </w:rPr>
        <w:t>.</w:t>
      </w:r>
    </w:p>
    <w:p w14:paraId="676E4F85" w14:textId="693FF2A4" w:rsidR="009F727A" w:rsidRDefault="009F727A" w:rsidP="009F727A">
      <w:pPr>
        <w:jc w:val="both"/>
      </w:pPr>
    </w:p>
    <w:p w14:paraId="6201C160" w14:textId="3B0DAD03" w:rsidR="00D5208B" w:rsidRPr="00D5208B" w:rsidRDefault="00D5208B" w:rsidP="00D5208B">
      <w:pPr>
        <w:jc w:val="both"/>
        <w:rPr>
          <w:b/>
          <w:bCs/>
        </w:rPr>
      </w:pPr>
      <w:r w:rsidRPr="00D5208B">
        <w:rPr>
          <w:b/>
          <w:bCs/>
        </w:rPr>
        <w:t>Pilar 2b: Desarrollo Social -Salud</w:t>
      </w:r>
    </w:p>
    <w:p w14:paraId="786475CF" w14:textId="77777777" w:rsidR="00D5208B" w:rsidRDefault="00D5208B" w:rsidP="00D5208B">
      <w:pPr>
        <w:jc w:val="both"/>
      </w:pPr>
    </w:p>
    <w:p w14:paraId="7E8935A1" w14:textId="1E652B49" w:rsidR="00D5208B" w:rsidRPr="00E01410" w:rsidRDefault="00D5208B" w:rsidP="00D5208B">
      <w:pPr>
        <w:pStyle w:val="Prrafodelista"/>
        <w:numPr>
          <w:ilvl w:val="0"/>
          <w:numId w:val="52"/>
        </w:numPr>
        <w:ind w:left="567"/>
        <w:jc w:val="both"/>
        <w:rPr>
          <w:b/>
          <w:bCs/>
        </w:rPr>
      </w:pPr>
      <w:r w:rsidRPr="00D5208B">
        <w:rPr>
          <w:b/>
          <w:bCs/>
        </w:rPr>
        <w:t>Metas superadas según lo estimado al 2023</w:t>
      </w:r>
    </w:p>
    <w:p w14:paraId="70DB5014" w14:textId="78661A22" w:rsidR="00D5208B" w:rsidRDefault="00D5208B" w:rsidP="000D332B">
      <w:pPr>
        <w:pStyle w:val="Prrafodelista"/>
        <w:numPr>
          <w:ilvl w:val="0"/>
          <w:numId w:val="13"/>
        </w:numPr>
        <w:ind w:left="993" w:hanging="426"/>
        <w:jc w:val="both"/>
      </w:pPr>
      <w:r>
        <w:t>Respecto a la meta de reducción del número de casos de morbilidad infantil en un 5% anual, para el 2022 se tiene reportado que el número de casos de morbilidad infantil es de 532,407, cifra que refleja que la meta prevista al 2023 se ha superado.</w:t>
      </w:r>
    </w:p>
    <w:p w14:paraId="27A2A5C4" w14:textId="77777777" w:rsidR="00A208C9" w:rsidRDefault="00A208C9" w:rsidP="00D5208B">
      <w:pPr>
        <w:jc w:val="both"/>
      </w:pPr>
    </w:p>
    <w:p w14:paraId="38A0AC47" w14:textId="5DEBC46C" w:rsidR="00D5208B" w:rsidRPr="00E01410" w:rsidRDefault="00D5208B" w:rsidP="00D5208B">
      <w:pPr>
        <w:pStyle w:val="Prrafodelista"/>
        <w:numPr>
          <w:ilvl w:val="0"/>
          <w:numId w:val="52"/>
        </w:numPr>
        <w:ind w:left="567"/>
        <w:jc w:val="both"/>
        <w:rPr>
          <w:b/>
          <w:bCs/>
        </w:rPr>
      </w:pPr>
      <w:r w:rsidRPr="00D5208B">
        <w:rPr>
          <w:b/>
          <w:bCs/>
        </w:rPr>
        <w:t>Metas con avance mayor o igual a 70% según lo estimado al 2023</w:t>
      </w:r>
    </w:p>
    <w:p w14:paraId="06FDFD62" w14:textId="77025506" w:rsidR="00D5208B" w:rsidRDefault="00D5208B" w:rsidP="000D332B">
      <w:pPr>
        <w:pStyle w:val="Prrafodelista"/>
        <w:numPr>
          <w:ilvl w:val="0"/>
          <w:numId w:val="13"/>
        </w:numPr>
        <w:ind w:left="993" w:hanging="426"/>
        <w:jc w:val="both"/>
      </w:pPr>
      <w:r>
        <w:t>Respecto a la meta de incrementar en 50 el número de centros de salud tipo A y B, al finalizar 2022 se tuvieron 363 centros de salud, con una brecha de 24 por construir para lograr tener 387 al finalizar 2023.</w:t>
      </w:r>
    </w:p>
    <w:p w14:paraId="58EE470E" w14:textId="233EF0D2" w:rsidR="00D5208B" w:rsidRDefault="00D5208B" w:rsidP="000D332B">
      <w:pPr>
        <w:pStyle w:val="Prrafodelista"/>
        <w:numPr>
          <w:ilvl w:val="0"/>
          <w:numId w:val="13"/>
        </w:numPr>
        <w:ind w:left="993" w:hanging="426"/>
        <w:jc w:val="both"/>
      </w:pPr>
      <w:r>
        <w:t>En cuanto al incremento del porcentaje de niñas y niños con esquema de vacunación completo, para el 2022 se alcanzó 66%, superior a lo programado para ese mismo año. El reto es el incremento en 2.60% para lograr la meta de 2023.</w:t>
      </w:r>
    </w:p>
    <w:p w14:paraId="4828D59A" w14:textId="1A6F7723" w:rsidR="00D5208B" w:rsidRDefault="00D5208B" w:rsidP="000D332B">
      <w:pPr>
        <w:pStyle w:val="Prrafodelista"/>
        <w:numPr>
          <w:ilvl w:val="0"/>
          <w:numId w:val="13"/>
        </w:numPr>
        <w:ind w:left="993" w:hanging="426"/>
        <w:jc w:val="both"/>
      </w:pPr>
      <w:r>
        <w:t xml:space="preserve">En referencia al incremento de 4 unidades de la red hospitalaria, se continua con 49 hospitales, será preciso que el MSPAS mantenga las gestiones para la construcción del hospital adicional, así como velar por la asignación de recursos para asumir el costo operativo de los nuevos hospitales. </w:t>
      </w:r>
    </w:p>
    <w:p w14:paraId="554C7B88" w14:textId="1FFF4404" w:rsidR="00B848FD" w:rsidRDefault="00D5208B" w:rsidP="000D332B">
      <w:pPr>
        <w:pStyle w:val="Prrafodelista"/>
        <w:numPr>
          <w:ilvl w:val="0"/>
          <w:numId w:val="13"/>
        </w:numPr>
        <w:ind w:left="993" w:hanging="426"/>
        <w:jc w:val="both"/>
      </w:pPr>
      <w:r>
        <w:t>Respecto a la reducción de la tasa de mortalidad infantil, desde el 2020, la tasa está en 21.00 por cada mil nacidos vivos. Resultado que se mantiene al 2022; con una brecha de 3 puntos al 2023.</w:t>
      </w:r>
    </w:p>
    <w:p w14:paraId="1EE114DD" w14:textId="07C32894" w:rsidR="00D5208B" w:rsidRDefault="00D5208B" w:rsidP="00D5208B">
      <w:pPr>
        <w:jc w:val="both"/>
      </w:pPr>
    </w:p>
    <w:p w14:paraId="31B30D3E" w14:textId="51CECD84" w:rsidR="00D5208B" w:rsidRPr="0071370B" w:rsidRDefault="0071370B" w:rsidP="0071370B">
      <w:pPr>
        <w:pStyle w:val="Descripcin"/>
        <w:keepNext/>
        <w:spacing w:after="0"/>
        <w:jc w:val="center"/>
        <w:rPr>
          <w:b/>
          <w:bCs/>
          <w:i w:val="0"/>
          <w:iCs w:val="0"/>
          <w:sz w:val="24"/>
          <w:szCs w:val="24"/>
        </w:rPr>
      </w:pPr>
      <w:bookmarkStart w:id="208" w:name="_Toc143871225"/>
      <w:r w:rsidRPr="0071370B">
        <w:rPr>
          <w:b/>
          <w:bCs/>
          <w:i w:val="0"/>
          <w:iCs w:val="0"/>
          <w:color w:val="auto"/>
          <w:sz w:val="24"/>
          <w:szCs w:val="24"/>
        </w:rPr>
        <w:t xml:space="preserve">Tabla </w:t>
      </w:r>
      <w:r w:rsidRPr="0071370B">
        <w:rPr>
          <w:b/>
          <w:bCs/>
          <w:i w:val="0"/>
          <w:iCs w:val="0"/>
          <w:color w:val="auto"/>
          <w:sz w:val="24"/>
          <w:szCs w:val="24"/>
        </w:rPr>
        <w:fldChar w:fldCharType="begin"/>
      </w:r>
      <w:r w:rsidRPr="0071370B">
        <w:rPr>
          <w:b/>
          <w:bCs/>
          <w:i w:val="0"/>
          <w:iCs w:val="0"/>
          <w:color w:val="auto"/>
          <w:sz w:val="24"/>
          <w:szCs w:val="24"/>
        </w:rPr>
        <w:instrText xml:space="preserve"> SEQ Tabla \* ARABIC </w:instrText>
      </w:r>
      <w:r w:rsidRPr="0071370B">
        <w:rPr>
          <w:b/>
          <w:bCs/>
          <w:i w:val="0"/>
          <w:iCs w:val="0"/>
          <w:color w:val="auto"/>
          <w:sz w:val="24"/>
          <w:szCs w:val="24"/>
        </w:rPr>
        <w:fldChar w:fldCharType="separate"/>
      </w:r>
      <w:r w:rsidR="006622B2">
        <w:rPr>
          <w:b/>
          <w:bCs/>
          <w:i w:val="0"/>
          <w:iCs w:val="0"/>
          <w:noProof/>
          <w:color w:val="auto"/>
          <w:sz w:val="24"/>
          <w:szCs w:val="24"/>
        </w:rPr>
        <w:t>18</w:t>
      </w:r>
      <w:r w:rsidRPr="0071370B">
        <w:rPr>
          <w:b/>
          <w:bCs/>
          <w:i w:val="0"/>
          <w:iCs w:val="0"/>
          <w:color w:val="auto"/>
          <w:sz w:val="24"/>
          <w:szCs w:val="24"/>
        </w:rPr>
        <w:fldChar w:fldCharType="end"/>
      </w:r>
      <w:r w:rsidRPr="0071370B">
        <w:rPr>
          <w:b/>
          <w:bCs/>
          <w:i w:val="0"/>
          <w:iCs w:val="0"/>
          <w:color w:val="auto"/>
          <w:sz w:val="24"/>
          <w:szCs w:val="24"/>
        </w:rPr>
        <w:t xml:space="preserve">.  </w:t>
      </w:r>
      <w:r w:rsidR="00D5208B" w:rsidRPr="0071370B">
        <w:rPr>
          <w:b/>
          <w:bCs/>
          <w:i w:val="0"/>
          <w:iCs w:val="0"/>
          <w:color w:val="auto"/>
          <w:sz w:val="24"/>
          <w:szCs w:val="24"/>
        </w:rPr>
        <w:t xml:space="preserve">Pilar 2b: Desarrollo </w:t>
      </w:r>
      <w:r w:rsidR="00D31CC8">
        <w:rPr>
          <w:b/>
          <w:bCs/>
          <w:i w:val="0"/>
          <w:iCs w:val="0"/>
          <w:color w:val="auto"/>
          <w:sz w:val="24"/>
          <w:szCs w:val="24"/>
        </w:rPr>
        <w:t>s</w:t>
      </w:r>
      <w:r w:rsidR="00D5208B" w:rsidRPr="0071370B">
        <w:rPr>
          <w:b/>
          <w:bCs/>
          <w:i w:val="0"/>
          <w:iCs w:val="0"/>
          <w:color w:val="auto"/>
          <w:sz w:val="24"/>
          <w:szCs w:val="24"/>
        </w:rPr>
        <w:t>ocial -</w:t>
      </w:r>
      <w:r w:rsidR="00D31CC8">
        <w:rPr>
          <w:b/>
          <w:bCs/>
          <w:i w:val="0"/>
          <w:iCs w:val="0"/>
          <w:color w:val="auto"/>
          <w:sz w:val="24"/>
          <w:szCs w:val="24"/>
        </w:rPr>
        <w:t xml:space="preserve"> s</w:t>
      </w:r>
      <w:r w:rsidR="00D5208B" w:rsidRPr="0071370B">
        <w:rPr>
          <w:b/>
          <w:bCs/>
          <w:i w:val="0"/>
          <w:iCs w:val="0"/>
          <w:color w:val="auto"/>
          <w:sz w:val="24"/>
          <w:szCs w:val="24"/>
        </w:rPr>
        <w:t>alud</w:t>
      </w:r>
      <w:bookmarkEnd w:id="208"/>
    </w:p>
    <w:tbl>
      <w:tblPr>
        <w:tblW w:w="8349" w:type="dxa"/>
        <w:jc w:val="center"/>
        <w:tblCellMar>
          <w:left w:w="70" w:type="dxa"/>
          <w:right w:w="70" w:type="dxa"/>
        </w:tblCellMar>
        <w:tblLook w:val="04A0" w:firstRow="1" w:lastRow="0" w:firstColumn="1" w:lastColumn="0" w:noHBand="0" w:noVBand="1"/>
      </w:tblPr>
      <w:tblGrid>
        <w:gridCol w:w="481"/>
        <w:gridCol w:w="3046"/>
        <w:gridCol w:w="994"/>
        <w:gridCol w:w="709"/>
        <w:gridCol w:w="709"/>
        <w:gridCol w:w="709"/>
        <w:gridCol w:w="850"/>
        <w:gridCol w:w="851"/>
      </w:tblGrid>
      <w:tr w:rsidR="00D5208B" w:rsidRPr="005A143E" w14:paraId="74D15110" w14:textId="77777777" w:rsidTr="00A208C9">
        <w:trPr>
          <w:trHeight w:val="471"/>
          <w:jc w:val="center"/>
        </w:trPr>
        <w:tc>
          <w:tcPr>
            <w:tcW w:w="495" w:type="dxa"/>
            <w:vMerge w:val="restart"/>
            <w:tcBorders>
              <w:top w:val="single" w:sz="12" w:space="0" w:color="auto"/>
              <w:left w:val="single" w:sz="12" w:space="0" w:color="auto"/>
              <w:bottom w:val="single" w:sz="8" w:space="0" w:color="000000"/>
              <w:right w:val="single" w:sz="4" w:space="0" w:color="auto"/>
            </w:tcBorders>
            <w:shd w:val="clear" w:color="000000" w:fill="1F4E78"/>
            <w:vAlign w:val="center"/>
            <w:hideMark/>
          </w:tcPr>
          <w:p w14:paraId="3D0FC22A" w14:textId="77777777" w:rsidR="00D5208B" w:rsidRPr="005A143E" w:rsidRDefault="00D5208B" w:rsidP="00582CA7">
            <w:pPr>
              <w:jc w:val="center"/>
              <w:rPr>
                <w:b/>
                <w:bCs/>
                <w:color w:val="FFFFFF"/>
                <w:sz w:val="16"/>
                <w:szCs w:val="16"/>
              </w:rPr>
            </w:pPr>
            <w:r w:rsidRPr="005A143E">
              <w:rPr>
                <w:b/>
                <w:bCs/>
                <w:color w:val="FFFFFF"/>
                <w:sz w:val="16"/>
              </w:rPr>
              <w:t>No.</w:t>
            </w:r>
          </w:p>
        </w:tc>
        <w:tc>
          <w:tcPr>
            <w:tcW w:w="3318" w:type="dxa"/>
            <w:vMerge w:val="restart"/>
            <w:tcBorders>
              <w:top w:val="single" w:sz="12" w:space="0" w:color="auto"/>
              <w:left w:val="nil"/>
              <w:bottom w:val="single" w:sz="8" w:space="0" w:color="000000"/>
              <w:right w:val="single" w:sz="8" w:space="0" w:color="auto"/>
            </w:tcBorders>
            <w:shd w:val="clear" w:color="000000" w:fill="1F4E78"/>
            <w:vAlign w:val="center"/>
            <w:hideMark/>
          </w:tcPr>
          <w:p w14:paraId="20989968" w14:textId="77777777" w:rsidR="00D5208B" w:rsidRPr="005A143E" w:rsidRDefault="00D5208B" w:rsidP="00582CA7">
            <w:pPr>
              <w:jc w:val="center"/>
              <w:rPr>
                <w:b/>
                <w:bCs/>
                <w:color w:val="FFFFFF"/>
                <w:sz w:val="16"/>
                <w:szCs w:val="16"/>
              </w:rPr>
            </w:pPr>
            <w:r w:rsidRPr="005A143E">
              <w:rPr>
                <w:b/>
                <w:bCs/>
                <w:color w:val="FFFFFF"/>
                <w:sz w:val="16"/>
              </w:rPr>
              <w:t>Descripción de la Meta al 2023</w:t>
            </w:r>
          </w:p>
        </w:tc>
        <w:tc>
          <w:tcPr>
            <w:tcW w:w="708" w:type="dxa"/>
            <w:vMerge w:val="restart"/>
            <w:tcBorders>
              <w:top w:val="single" w:sz="12" w:space="0" w:color="auto"/>
              <w:left w:val="nil"/>
              <w:bottom w:val="single" w:sz="8" w:space="0" w:color="000000"/>
              <w:right w:val="single" w:sz="4" w:space="0" w:color="auto"/>
            </w:tcBorders>
            <w:shd w:val="clear" w:color="000000" w:fill="1F4E78"/>
            <w:vAlign w:val="center"/>
            <w:hideMark/>
          </w:tcPr>
          <w:p w14:paraId="1941DD96" w14:textId="77777777" w:rsidR="00D5208B" w:rsidRPr="005A143E" w:rsidRDefault="00D5208B" w:rsidP="00582CA7">
            <w:pPr>
              <w:jc w:val="center"/>
              <w:rPr>
                <w:b/>
                <w:bCs/>
                <w:color w:val="FFFFFF"/>
                <w:sz w:val="16"/>
                <w:szCs w:val="16"/>
              </w:rPr>
            </w:pPr>
            <w:r w:rsidRPr="005A143E">
              <w:rPr>
                <w:b/>
                <w:bCs/>
                <w:color w:val="FFFFFF"/>
                <w:sz w:val="16"/>
                <w:szCs w:val="16"/>
              </w:rPr>
              <w:t>Responsable</w:t>
            </w:r>
          </w:p>
        </w:tc>
        <w:tc>
          <w:tcPr>
            <w:tcW w:w="1418" w:type="dxa"/>
            <w:gridSpan w:val="2"/>
            <w:tcBorders>
              <w:top w:val="single" w:sz="12" w:space="0" w:color="auto"/>
              <w:left w:val="nil"/>
              <w:bottom w:val="single" w:sz="4" w:space="0" w:color="auto"/>
              <w:right w:val="single" w:sz="12" w:space="0" w:color="auto"/>
            </w:tcBorders>
            <w:shd w:val="clear" w:color="000000" w:fill="1F4E78"/>
            <w:vAlign w:val="center"/>
            <w:hideMark/>
          </w:tcPr>
          <w:p w14:paraId="0EDE7CD1" w14:textId="77777777" w:rsidR="00D5208B" w:rsidRPr="005A143E" w:rsidRDefault="00D5208B" w:rsidP="00582CA7">
            <w:pPr>
              <w:jc w:val="center"/>
              <w:rPr>
                <w:b/>
                <w:bCs/>
                <w:color w:val="FFFFFF"/>
                <w:sz w:val="16"/>
                <w:szCs w:val="16"/>
              </w:rPr>
            </w:pPr>
            <w:r w:rsidRPr="005A143E">
              <w:rPr>
                <w:b/>
                <w:bCs/>
                <w:color w:val="FFFFFF"/>
                <w:sz w:val="16"/>
                <w:szCs w:val="16"/>
              </w:rPr>
              <w:t>Resultado</w:t>
            </w:r>
          </w:p>
        </w:tc>
        <w:tc>
          <w:tcPr>
            <w:tcW w:w="2410" w:type="dxa"/>
            <w:gridSpan w:val="3"/>
            <w:tcBorders>
              <w:top w:val="single" w:sz="12" w:space="0" w:color="auto"/>
              <w:left w:val="single" w:sz="12" w:space="0" w:color="auto"/>
              <w:bottom w:val="single" w:sz="4" w:space="0" w:color="auto"/>
              <w:right w:val="single" w:sz="12" w:space="0" w:color="auto"/>
            </w:tcBorders>
            <w:shd w:val="clear" w:color="000000" w:fill="1F4E78"/>
            <w:vAlign w:val="center"/>
            <w:hideMark/>
          </w:tcPr>
          <w:p w14:paraId="08670FAF" w14:textId="77777777" w:rsidR="00D5208B" w:rsidRPr="005A143E" w:rsidRDefault="00D5208B" w:rsidP="00582CA7">
            <w:pPr>
              <w:jc w:val="center"/>
              <w:rPr>
                <w:b/>
                <w:bCs/>
                <w:color w:val="FFFFFF"/>
                <w:sz w:val="16"/>
                <w:szCs w:val="16"/>
              </w:rPr>
            </w:pPr>
            <w:r w:rsidRPr="005A143E">
              <w:rPr>
                <w:b/>
                <w:bCs/>
                <w:color w:val="FFFFFF"/>
                <w:sz w:val="16"/>
                <w:szCs w:val="16"/>
              </w:rPr>
              <w:t>2023</w:t>
            </w:r>
          </w:p>
        </w:tc>
      </w:tr>
      <w:tr w:rsidR="00D5208B" w:rsidRPr="005A143E" w14:paraId="2B188DCA" w14:textId="77777777" w:rsidTr="00A208C9">
        <w:trPr>
          <w:trHeight w:val="435"/>
          <w:jc w:val="center"/>
        </w:trPr>
        <w:tc>
          <w:tcPr>
            <w:tcW w:w="495" w:type="dxa"/>
            <w:vMerge/>
            <w:tcBorders>
              <w:top w:val="single" w:sz="8" w:space="0" w:color="auto"/>
              <w:left w:val="single" w:sz="12" w:space="0" w:color="auto"/>
              <w:bottom w:val="single" w:sz="12" w:space="0" w:color="auto"/>
              <w:right w:val="single" w:sz="4" w:space="0" w:color="auto"/>
            </w:tcBorders>
            <w:vAlign w:val="center"/>
            <w:hideMark/>
          </w:tcPr>
          <w:p w14:paraId="1D1FBE43" w14:textId="77777777" w:rsidR="00D5208B" w:rsidRPr="005A143E" w:rsidRDefault="00D5208B" w:rsidP="00582CA7">
            <w:pPr>
              <w:rPr>
                <w:b/>
                <w:bCs/>
                <w:color w:val="FFFFFF"/>
                <w:sz w:val="16"/>
                <w:szCs w:val="16"/>
              </w:rPr>
            </w:pPr>
          </w:p>
        </w:tc>
        <w:tc>
          <w:tcPr>
            <w:tcW w:w="3318" w:type="dxa"/>
            <w:vMerge/>
            <w:tcBorders>
              <w:top w:val="single" w:sz="8" w:space="0" w:color="auto"/>
              <w:left w:val="nil"/>
              <w:bottom w:val="single" w:sz="12" w:space="0" w:color="auto"/>
              <w:right w:val="single" w:sz="8" w:space="0" w:color="auto"/>
            </w:tcBorders>
            <w:vAlign w:val="center"/>
            <w:hideMark/>
          </w:tcPr>
          <w:p w14:paraId="65D2D619" w14:textId="77777777" w:rsidR="00D5208B" w:rsidRPr="005A143E" w:rsidRDefault="00D5208B" w:rsidP="00582CA7">
            <w:pPr>
              <w:rPr>
                <w:b/>
                <w:bCs/>
                <w:color w:val="FFFFFF"/>
                <w:sz w:val="16"/>
                <w:szCs w:val="16"/>
              </w:rPr>
            </w:pPr>
          </w:p>
        </w:tc>
        <w:tc>
          <w:tcPr>
            <w:tcW w:w="708" w:type="dxa"/>
            <w:vMerge/>
            <w:tcBorders>
              <w:top w:val="single" w:sz="8" w:space="0" w:color="auto"/>
              <w:left w:val="nil"/>
              <w:bottom w:val="single" w:sz="12" w:space="0" w:color="auto"/>
              <w:right w:val="single" w:sz="4" w:space="0" w:color="auto"/>
            </w:tcBorders>
            <w:vAlign w:val="center"/>
            <w:hideMark/>
          </w:tcPr>
          <w:p w14:paraId="646C5B0A" w14:textId="77777777" w:rsidR="00D5208B" w:rsidRPr="005A143E" w:rsidRDefault="00D5208B" w:rsidP="00582CA7">
            <w:pPr>
              <w:rPr>
                <w:b/>
                <w:bCs/>
                <w:color w:val="FFFFFF"/>
                <w:sz w:val="16"/>
                <w:szCs w:val="16"/>
              </w:rPr>
            </w:pPr>
          </w:p>
        </w:tc>
        <w:tc>
          <w:tcPr>
            <w:tcW w:w="709" w:type="dxa"/>
            <w:tcBorders>
              <w:top w:val="nil"/>
              <w:left w:val="nil"/>
              <w:bottom w:val="single" w:sz="12" w:space="0" w:color="auto"/>
              <w:right w:val="single" w:sz="4" w:space="0" w:color="auto"/>
            </w:tcBorders>
            <w:shd w:val="clear" w:color="000000" w:fill="1F4E78"/>
            <w:vAlign w:val="center"/>
            <w:hideMark/>
          </w:tcPr>
          <w:p w14:paraId="2BED864B" w14:textId="77777777" w:rsidR="00D5208B" w:rsidRPr="005A143E" w:rsidRDefault="00D5208B" w:rsidP="00582CA7">
            <w:pPr>
              <w:jc w:val="center"/>
              <w:rPr>
                <w:b/>
                <w:bCs/>
                <w:color w:val="FFFFFF"/>
                <w:sz w:val="16"/>
                <w:szCs w:val="16"/>
              </w:rPr>
            </w:pPr>
            <w:r w:rsidRPr="005A143E">
              <w:rPr>
                <w:b/>
                <w:bCs/>
                <w:color w:val="FFFFFF"/>
                <w:sz w:val="16"/>
                <w:szCs w:val="16"/>
              </w:rPr>
              <w:t>2021</w:t>
            </w:r>
          </w:p>
        </w:tc>
        <w:tc>
          <w:tcPr>
            <w:tcW w:w="709" w:type="dxa"/>
            <w:tcBorders>
              <w:top w:val="nil"/>
              <w:left w:val="nil"/>
              <w:bottom w:val="single" w:sz="12" w:space="0" w:color="auto"/>
              <w:right w:val="single" w:sz="12" w:space="0" w:color="auto"/>
            </w:tcBorders>
            <w:shd w:val="clear" w:color="000000" w:fill="1F4E78"/>
            <w:vAlign w:val="center"/>
            <w:hideMark/>
          </w:tcPr>
          <w:p w14:paraId="5245C828" w14:textId="77777777" w:rsidR="00D5208B" w:rsidRPr="005A143E" w:rsidRDefault="00D5208B" w:rsidP="00582CA7">
            <w:pPr>
              <w:jc w:val="center"/>
              <w:rPr>
                <w:b/>
                <w:bCs/>
                <w:color w:val="FFFFFF"/>
                <w:sz w:val="16"/>
                <w:szCs w:val="16"/>
              </w:rPr>
            </w:pPr>
            <w:r w:rsidRPr="005A143E">
              <w:rPr>
                <w:b/>
                <w:bCs/>
                <w:color w:val="FFFFFF"/>
                <w:sz w:val="16"/>
                <w:szCs w:val="16"/>
              </w:rPr>
              <w:t>2022</w:t>
            </w:r>
          </w:p>
        </w:tc>
        <w:tc>
          <w:tcPr>
            <w:tcW w:w="709" w:type="dxa"/>
            <w:tcBorders>
              <w:top w:val="nil"/>
              <w:left w:val="single" w:sz="12" w:space="0" w:color="auto"/>
              <w:bottom w:val="single" w:sz="12" w:space="0" w:color="auto"/>
              <w:right w:val="single" w:sz="4" w:space="0" w:color="auto"/>
            </w:tcBorders>
            <w:shd w:val="clear" w:color="000000" w:fill="1F4E78"/>
            <w:vAlign w:val="center"/>
            <w:hideMark/>
          </w:tcPr>
          <w:p w14:paraId="5A1C895C" w14:textId="77777777" w:rsidR="00D5208B" w:rsidRPr="005A143E" w:rsidRDefault="00D5208B" w:rsidP="00582CA7">
            <w:pPr>
              <w:jc w:val="center"/>
              <w:rPr>
                <w:b/>
                <w:bCs/>
                <w:color w:val="FFFFFF"/>
                <w:sz w:val="16"/>
                <w:szCs w:val="16"/>
              </w:rPr>
            </w:pPr>
            <w:r w:rsidRPr="005A143E">
              <w:rPr>
                <w:b/>
                <w:bCs/>
                <w:color w:val="FFFFFF"/>
                <w:sz w:val="16"/>
                <w:szCs w:val="16"/>
              </w:rPr>
              <w:t>Meta</w:t>
            </w:r>
          </w:p>
        </w:tc>
        <w:tc>
          <w:tcPr>
            <w:tcW w:w="850" w:type="dxa"/>
            <w:tcBorders>
              <w:top w:val="nil"/>
              <w:left w:val="nil"/>
              <w:bottom w:val="single" w:sz="12" w:space="0" w:color="auto"/>
              <w:right w:val="single" w:sz="4" w:space="0" w:color="auto"/>
            </w:tcBorders>
            <w:shd w:val="clear" w:color="000000" w:fill="1F4E78"/>
            <w:vAlign w:val="center"/>
            <w:hideMark/>
          </w:tcPr>
          <w:p w14:paraId="13CE7EAB" w14:textId="77777777" w:rsidR="00D5208B" w:rsidRPr="005A143E" w:rsidRDefault="00D5208B" w:rsidP="00582CA7">
            <w:pPr>
              <w:jc w:val="center"/>
              <w:rPr>
                <w:b/>
                <w:bCs/>
                <w:color w:val="FFFFFF"/>
                <w:sz w:val="16"/>
                <w:szCs w:val="16"/>
              </w:rPr>
            </w:pPr>
            <w:r w:rsidRPr="005A143E">
              <w:rPr>
                <w:b/>
                <w:bCs/>
                <w:color w:val="FFFFFF"/>
                <w:sz w:val="16"/>
                <w:szCs w:val="16"/>
              </w:rPr>
              <w:t>Brecha</w:t>
            </w:r>
          </w:p>
        </w:tc>
        <w:tc>
          <w:tcPr>
            <w:tcW w:w="851" w:type="dxa"/>
            <w:tcBorders>
              <w:top w:val="nil"/>
              <w:left w:val="nil"/>
              <w:bottom w:val="single" w:sz="12" w:space="0" w:color="auto"/>
              <w:right w:val="single" w:sz="12" w:space="0" w:color="auto"/>
            </w:tcBorders>
            <w:shd w:val="clear" w:color="000000" w:fill="1F4E78"/>
            <w:vAlign w:val="center"/>
            <w:hideMark/>
          </w:tcPr>
          <w:p w14:paraId="73DE1D57" w14:textId="77777777" w:rsidR="00D5208B" w:rsidRPr="005A143E" w:rsidRDefault="00D5208B" w:rsidP="00582CA7">
            <w:pPr>
              <w:jc w:val="center"/>
              <w:rPr>
                <w:b/>
                <w:bCs/>
                <w:color w:val="FFFFFF"/>
                <w:sz w:val="16"/>
                <w:szCs w:val="16"/>
              </w:rPr>
            </w:pPr>
            <w:r w:rsidRPr="005A143E">
              <w:rPr>
                <w:b/>
                <w:bCs/>
                <w:color w:val="FFFFFF"/>
                <w:sz w:val="16"/>
                <w:szCs w:val="16"/>
              </w:rPr>
              <w:t>% de avance</w:t>
            </w:r>
          </w:p>
        </w:tc>
      </w:tr>
      <w:tr w:rsidR="00D5208B" w:rsidRPr="005A143E" w14:paraId="6EE767E5" w14:textId="77777777" w:rsidTr="00A208C9">
        <w:trPr>
          <w:trHeight w:val="542"/>
          <w:jc w:val="center"/>
        </w:trPr>
        <w:tc>
          <w:tcPr>
            <w:tcW w:w="495" w:type="dxa"/>
            <w:tcBorders>
              <w:top w:val="single" w:sz="12" w:space="0" w:color="auto"/>
              <w:left w:val="single" w:sz="12" w:space="0" w:color="auto"/>
              <w:bottom w:val="single" w:sz="4" w:space="0" w:color="auto"/>
              <w:right w:val="single" w:sz="4" w:space="0" w:color="auto"/>
            </w:tcBorders>
            <w:shd w:val="clear" w:color="auto" w:fill="auto"/>
            <w:vAlign w:val="center"/>
            <w:hideMark/>
          </w:tcPr>
          <w:p w14:paraId="68044989" w14:textId="77777777" w:rsidR="00D5208B" w:rsidRPr="005A143E" w:rsidRDefault="00D5208B" w:rsidP="00582CA7">
            <w:pPr>
              <w:jc w:val="center"/>
              <w:rPr>
                <w:color w:val="000000"/>
                <w:sz w:val="16"/>
                <w:szCs w:val="16"/>
              </w:rPr>
            </w:pPr>
            <w:r w:rsidRPr="005A143E">
              <w:rPr>
                <w:sz w:val="16"/>
                <w:szCs w:val="16"/>
              </w:rPr>
              <w:t>11</w:t>
            </w:r>
          </w:p>
        </w:tc>
        <w:tc>
          <w:tcPr>
            <w:tcW w:w="3318" w:type="dxa"/>
            <w:tcBorders>
              <w:top w:val="single" w:sz="12" w:space="0" w:color="auto"/>
              <w:left w:val="nil"/>
              <w:bottom w:val="single" w:sz="4" w:space="0" w:color="auto"/>
              <w:right w:val="single" w:sz="8" w:space="0" w:color="auto"/>
            </w:tcBorders>
            <w:shd w:val="clear" w:color="auto" w:fill="auto"/>
            <w:vAlign w:val="center"/>
            <w:hideMark/>
          </w:tcPr>
          <w:p w14:paraId="0785EDBB" w14:textId="77777777" w:rsidR="00D5208B" w:rsidRPr="005A143E" w:rsidRDefault="00D5208B" w:rsidP="00582CA7">
            <w:pPr>
              <w:rPr>
                <w:color w:val="000000"/>
                <w:sz w:val="16"/>
                <w:szCs w:val="16"/>
              </w:rPr>
            </w:pPr>
            <w:r w:rsidRPr="005A143E">
              <w:rPr>
                <w:sz w:val="16"/>
                <w:szCs w:val="16"/>
              </w:rPr>
              <w:t>Para el año 2023 se redujo la razón de mortalidad materna en 14.4</w:t>
            </w:r>
            <w:r>
              <w:rPr>
                <w:sz w:val="16"/>
                <w:szCs w:val="16"/>
              </w:rPr>
              <w:t xml:space="preserve"> puntos porcentuales</w:t>
            </w:r>
          </w:p>
        </w:tc>
        <w:tc>
          <w:tcPr>
            <w:tcW w:w="708" w:type="dxa"/>
            <w:tcBorders>
              <w:top w:val="single" w:sz="12" w:space="0" w:color="auto"/>
              <w:left w:val="nil"/>
              <w:bottom w:val="single" w:sz="4" w:space="0" w:color="auto"/>
              <w:right w:val="single" w:sz="4" w:space="0" w:color="auto"/>
            </w:tcBorders>
            <w:shd w:val="clear" w:color="auto" w:fill="auto"/>
            <w:noWrap/>
            <w:vAlign w:val="center"/>
            <w:hideMark/>
          </w:tcPr>
          <w:p w14:paraId="37FDD40F" w14:textId="77777777" w:rsidR="00D5208B" w:rsidRPr="005A143E" w:rsidRDefault="00D5208B" w:rsidP="00582CA7">
            <w:pPr>
              <w:jc w:val="center"/>
              <w:rPr>
                <w:color w:val="000000"/>
                <w:sz w:val="16"/>
                <w:szCs w:val="16"/>
              </w:rPr>
            </w:pPr>
            <w:r w:rsidRPr="005A143E">
              <w:rPr>
                <w:color w:val="000000"/>
                <w:sz w:val="16"/>
                <w:szCs w:val="16"/>
              </w:rPr>
              <w:t>MSPAS</w:t>
            </w:r>
          </w:p>
        </w:tc>
        <w:tc>
          <w:tcPr>
            <w:tcW w:w="709" w:type="dxa"/>
            <w:tcBorders>
              <w:top w:val="single" w:sz="12" w:space="0" w:color="auto"/>
              <w:left w:val="nil"/>
              <w:bottom w:val="single" w:sz="4" w:space="0" w:color="auto"/>
              <w:right w:val="single" w:sz="4" w:space="0" w:color="auto"/>
            </w:tcBorders>
            <w:shd w:val="clear" w:color="auto" w:fill="auto"/>
            <w:noWrap/>
            <w:vAlign w:val="center"/>
            <w:hideMark/>
          </w:tcPr>
          <w:p w14:paraId="1FBD14F9" w14:textId="77777777" w:rsidR="00D5208B" w:rsidRPr="005A143E" w:rsidRDefault="00D5208B" w:rsidP="00582CA7">
            <w:pPr>
              <w:jc w:val="center"/>
              <w:rPr>
                <w:color w:val="000000"/>
                <w:sz w:val="16"/>
                <w:szCs w:val="16"/>
              </w:rPr>
            </w:pPr>
            <w:r w:rsidRPr="005A143E">
              <w:rPr>
                <w:color w:val="000000"/>
                <w:sz w:val="16"/>
                <w:szCs w:val="16"/>
              </w:rPr>
              <w:t>111</w:t>
            </w:r>
          </w:p>
        </w:tc>
        <w:tc>
          <w:tcPr>
            <w:tcW w:w="709" w:type="dxa"/>
            <w:tcBorders>
              <w:top w:val="single" w:sz="12" w:space="0" w:color="auto"/>
              <w:left w:val="nil"/>
              <w:bottom w:val="single" w:sz="4" w:space="0" w:color="auto"/>
              <w:right w:val="single" w:sz="12" w:space="0" w:color="auto"/>
            </w:tcBorders>
            <w:shd w:val="clear" w:color="auto" w:fill="auto"/>
            <w:noWrap/>
            <w:vAlign w:val="center"/>
            <w:hideMark/>
          </w:tcPr>
          <w:p w14:paraId="33DA5FE9" w14:textId="77777777" w:rsidR="00D5208B" w:rsidRPr="005A143E" w:rsidRDefault="00D5208B" w:rsidP="00582CA7">
            <w:pPr>
              <w:jc w:val="center"/>
              <w:rPr>
                <w:color w:val="000000"/>
                <w:sz w:val="16"/>
                <w:szCs w:val="16"/>
              </w:rPr>
            </w:pPr>
            <w:r w:rsidRPr="005A143E">
              <w:rPr>
                <w:color w:val="000000"/>
                <w:sz w:val="16"/>
                <w:szCs w:val="16"/>
              </w:rPr>
              <w:t>111</w:t>
            </w:r>
          </w:p>
        </w:tc>
        <w:tc>
          <w:tcPr>
            <w:tcW w:w="709"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5B9E441C" w14:textId="77777777" w:rsidR="00D5208B" w:rsidRPr="005A143E" w:rsidRDefault="00D5208B" w:rsidP="00582CA7">
            <w:pPr>
              <w:jc w:val="center"/>
              <w:rPr>
                <w:color w:val="000000"/>
                <w:sz w:val="16"/>
                <w:szCs w:val="16"/>
              </w:rPr>
            </w:pPr>
            <w:r w:rsidRPr="005A143E">
              <w:rPr>
                <w:color w:val="000000"/>
                <w:sz w:val="16"/>
                <w:szCs w:val="16"/>
              </w:rPr>
              <w:t>90.6</w:t>
            </w:r>
          </w:p>
        </w:tc>
        <w:tc>
          <w:tcPr>
            <w:tcW w:w="850" w:type="dxa"/>
            <w:tcBorders>
              <w:top w:val="single" w:sz="12" w:space="0" w:color="auto"/>
              <w:left w:val="nil"/>
              <w:bottom w:val="single" w:sz="4" w:space="0" w:color="auto"/>
              <w:right w:val="single" w:sz="4" w:space="0" w:color="auto"/>
            </w:tcBorders>
            <w:shd w:val="clear" w:color="auto" w:fill="auto"/>
            <w:noWrap/>
            <w:vAlign w:val="center"/>
            <w:hideMark/>
          </w:tcPr>
          <w:p w14:paraId="61A7D789" w14:textId="77777777" w:rsidR="00D5208B" w:rsidRPr="005A143E" w:rsidRDefault="00D5208B" w:rsidP="00582CA7">
            <w:pPr>
              <w:jc w:val="center"/>
              <w:rPr>
                <w:color w:val="C00000"/>
                <w:sz w:val="16"/>
                <w:szCs w:val="16"/>
              </w:rPr>
            </w:pPr>
            <w:r w:rsidRPr="005A143E">
              <w:rPr>
                <w:color w:val="C00000"/>
                <w:sz w:val="16"/>
                <w:szCs w:val="16"/>
              </w:rPr>
              <w:t>-20.4</w:t>
            </w:r>
          </w:p>
        </w:tc>
        <w:tc>
          <w:tcPr>
            <w:tcW w:w="851" w:type="dxa"/>
            <w:tcBorders>
              <w:top w:val="single" w:sz="12" w:space="0" w:color="auto"/>
              <w:left w:val="nil"/>
              <w:bottom w:val="single" w:sz="4" w:space="0" w:color="auto"/>
              <w:right w:val="single" w:sz="12" w:space="0" w:color="auto"/>
            </w:tcBorders>
            <w:shd w:val="clear" w:color="000000" w:fill="BFBFBF"/>
            <w:noWrap/>
            <w:vAlign w:val="center"/>
            <w:hideMark/>
          </w:tcPr>
          <w:p w14:paraId="7F049C26" w14:textId="77777777" w:rsidR="00D5208B" w:rsidRPr="005A143E" w:rsidRDefault="00D5208B" w:rsidP="00582CA7">
            <w:pPr>
              <w:jc w:val="center"/>
              <w:rPr>
                <w:color w:val="000000"/>
                <w:sz w:val="16"/>
                <w:szCs w:val="16"/>
              </w:rPr>
            </w:pPr>
            <w:r w:rsidRPr="005A143E">
              <w:rPr>
                <w:color w:val="000000"/>
                <w:sz w:val="16"/>
                <w:szCs w:val="16"/>
              </w:rPr>
              <w:t>N/A</w:t>
            </w:r>
          </w:p>
        </w:tc>
      </w:tr>
      <w:tr w:rsidR="00D5208B" w:rsidRPr="005A143E" w14:paraId="19E14480" w14:textId="77777777" w:rsidTr="00A208C9">
        <w:trPr>
          <w:trHeight w:val="542"/>
          <w:jc w:val="center"/>
        </w:trPr>
        <w:tc>
          <w:tcPr>
            <w:tcW w:w="495" w:type="dxa"/>
            <w:tcBorders>
              <w:top w:val="nil"/>
              <w:left w:val="single" w:sz="12" w:space="0" w:color="auto"/>
              <w:bottom w:val="single" w:sz="4" w:space="0" w:color="auto"/>
              <w:right w:val="single" w:sz="4" w:space="0" w:color="auto"/>
            </w:tcBorders>
            <w:shd w:val="clear" w:color="auto" w:fill="auto"/>
            <w:vAlign w:val="center"/>
            <w:hideMark/>
          </w:tcPr>
          <w:p w14:paraId="3E89B367" w14:textId="77777777" w:rsidR="00D5208B" w:rsidRPr="005A143E" w:rsidRDefault="00D5208B" w:rsidP="00582CA7">
            <w:pPr>
              <w:jc w:val="center"/>
              <w:rPr>
                <w:color w:val="000000"/>
                <w:sz w:val="16"/>
                <w:szCs w:val="16"/>
              </w:rPr>
            </w:pPr>
            <w:r w:rsidRPr="005A143E">
              <w:rPr>
                <w:sz w:val="16"/>
                <w:szCs w:val="16"/>
              </w:rPr>
              <w:t>12</w:t>
            </w:r>
          </w:p>
        </w:tc>
        <w:tc>
          <w:tcPr>
            <w:tcW w:w="3318" w:type="dxa"/>
            <w:tcBorders>
              <w:top w:val="nil"/>
              <w:left w:val="nil"/>
              <w:bottom w:val="single" w:sz="4" w:space="0" w:color="auto"/>
              <w:right w:val="single" w:sz="8" w:space="0" w:color="auto"/>
            </w:tcBorders>
            <w:shd w:val="clear" w:color="auto" w:fill="auto"/>
            <w:vAlign w:val="center"/>
            <w:hideMark/>
          </w:tcPr>
          <w:p w14:paraId="43B44FF5" w14:textId="77777777" w:rsidR="00D5208B" w:rsidRPr="005A143E" w:rsidRDefault="00D5208B" w:rsidP="00582CA7">
            <w:pPr>
              <w:rPr>
                <w:color w:val="000000"/>
                <w:sz w:val="16"/>
                <w:szCs w:val="16"/>
              </w:rPr>
            </w:pPr>
            <w:r w:rsidRPr="005A143E">
              <w:rPr>
                <w:sz w:val="16"/>
                <w:szCs w:val="16"/>
              </w:rPr>
              <w:t>Para el año 2023 se redujo la tasa de mortalidad infantil en 10</w:t>
            </w:r>
            <w:r>
              <w:rPr>
                <w:sz w:val="16"/>
                <w:szCs w:val="16"/>
              </w:rPr>
              <w:t xml:space="preserve"> puntos porcentuales</w:t>
            </w:r>
          </w:p>
        </w:tc>
        <w:tc>
          <w:tcPr>
            <w:tcW w:w="708" w:type="dxa"/>
            <w:tcBorders>
              <w:top w:val="nil"/>
              <w:left w:val="nil"/>
              <w:bottom w:val="single" w:sz="4" w:space="0" w:color="auto"/>
              <w:right w:val="single" w:sz="4" w:space="0" w:color="auto"/>
            </w:tcBorders>
            <w:shd w:val="clear" w:color="auto" w:fill="auto"/>
            <w:noWrap/>
            <w:vAlign w:val="center"/>
            <w:hideMark/>
          </w:tcPr>
          <w:p w14:paraId="776C462A" w14:textId="77777777" w:rsidR="00D5208B" w:rsidRPr="005A143E" w:rsidRDefault="00D5208B" w:rsidP="00582CA7">
            <w:pPr>
              <w:jc w:val="center"/>
              <w:rPr>
                <w:color w:val="000000"/>
                <w:sz w:val="16"/>
                <w:szCs w:val="16"/>
              </w:rPr>
            </w:pPr>
            <w:r w:rsidRPr="005A143E">
              <w:rPr>
                <w:color w:val="000000"/>
                <w:sz w:val="16"/>
                <w:szCs w:val="16"/>
              </w:rPr>
              <w:t>MSPAS</w:t>
            </w:r>
          </w:p>
        </w:tc>
        <w:tc>
          <w:tcPr>
            <w:tcW w:w="709" w:type="dxa"/>
            <w:tcBorders>
              <w:top w:val="nil"/>
              <w:left w:val="nil"/>
              <w:bottom w:val="single" w:sz="4" w:space="0" w:color="auto"/>
              <w:right w:val="single" w:sz="4" w:space="0" w:color="auto"/>
            </w:tcBorders>
            <w:shd w:val="clear" w:color="auto" w:fill="auto"/>
            <w:noWrap/>
            <w:vAlign w:val="center"/>
            <w:hideMark/>
          </w:tcPr>
          <w:p w14:paraId="0FCCA322" w14:textId="77777777" w:rsidR="00D5208B" w:rsidRPr="005A143E" w:rsidRDefault="00D5208B" w:rsidP="00582CA7">
            <w:pPr>
              <w:jc w:val="center"/>
              <w:rPr>
                <w:color w:val="000000"/>
                <w:sz w:val="16"/>
                <w:szCs w:val="16"/>
              </w:rPr>
            </w:pPr>
            <w:r w:rsidRPr="005A143E">
              <w:rPr>
                <w:color w:val="000000"/>
                <w:sz w:val="16"/>
                <w:szCs w:val="16"/>
              </w:rPr>
              <w:t>21</w:t>
            </w:r>
          </w:p>
        </w:tc>
        <w:tc>
          <w:tcPr>
            <w:tcW w:w="709" w:type="dxa"/>
            <w:tcBorders>
              <w:top w:val="nil"/>
              <w:left w:val="nil"/>
              <w:bottom w:val="single" w:sz="4" w:space="0" w:color="auto"/>
              <w:right w:val="single" w:sz="12" w:space="0" w:color="auto"/>
            </w:tcBorders>
            <w:shd w:val="clear" w:color="auto" w:fill="auto"/>
            <w:noWrap/>
            <w:vAlign w:val="center"/>
            <w:hideMark/>
          </w:tcPr>
          <w:p w14:paraId="389B1C27" w14:textId="77777777" w:rsidR="00D5208B" w:rsidRPr="005A143E" w:rsidRDefault="00D5208B" w:rsidP="00582CA7">
            <w:pPr>
              <w:jc w:val="center"/>
              <w:rPr>
                <w:color w:val="000000"/>
                <w:sz w:val="16"/>
                <w:szCs w:val="16"/>
              </w:rPr>
            </w:pPr>
            <w:r w:rsidRPr="005A143E">
              <w:rPr>
                <w:color w:val="000000"/>
                <w:sz w:val="16"/>
                <w:szCs w:val="16"/>
              </w:rPr>
              <w:t>21</w:t>
            </w:r>
          </w:p>
        </w:tc>
        <w:tc>
          <w:tcPr>
            <w:tcW w:w="709" w:type="dxa"/>
            <w:tcBorders>
              <w:top w:val="nil"/>
              <w:left w:val="single" w:sz="12" w:space="0" w:color="auto"/>
              <w:bottom w:val="single" w:sz="4" w:space="0" w:color="auto"/>
              <w:right w:val="single" w:sz="4" w:space="0" w:color="auto"/>
            </w:tcBorders>
            <w:shd w:val="clear" w:color="auto" w:fill="auto"/>
            <w:noWrap/>
            <w:vAlign w:val="center"/>
            <w:hideMark/>
          </w:tcPr>
          <w:p w14:paraId="3193E4FA" w14:textId="77777777" w:rsidR="00D5208B" w:rsidRPr="005A143E" w:rsidRDefault="00D5208B" w:rsidP="00582CA7">
            <w:pPr>
              <w:jc w:val="center"/>
              <w:rPr>
                <w:color w:val="000000"/>
                <w:sz w:val="16"/>
                <w:szCs w:val="16"/>
              </w:rPr>
            </w:pPr>
            <w:r w:rsidRPr="005A143E">
              <w:rPr>
                <w:color w:val="000000"/>
                <w:sz w:val="16"/>
                <w:szCs w:val="16"/>
              </w:rPr>
              <w:t>18</w:t>
            </w:r>
          </w:p>
        </w:tc>
        <w:tc>
          <w:tcPr>
            <w:tcW w:w="850" w:type="dxa"/>
            <w:tcBorders>
              <w:top w:val="nil"/>
              <w:left w:val="nil"/>
              <w:bottom w:val="single" w:sz="4" w:space="0" w:color="auto"/>
              <w:right w:val="single" w:sz="4" w:space="0" w:color="auto"/>
            </w:tcBorders>
            <w:shd w:val="clear" w:color="auto" w:fill="auto"/>
            <w:noWrap/>
            <w:vAlign w:val="center"/>
            <w:hideMark/>
          </w:tcPr>
          <w:p w14:paraId="11C41860" w14:textId="77777777" w:rsidR="00D5208B" w:rsidRPr="005A143E" w:rsidRDefault="00D5208B" w:rsidP="00582CA7">
            <w:pPr>
              <w:jc w:val="center"/>
              <w:rPr>
                <w:color w:val="C00000"/>
                <w:sz w:val="16"/>
                <w:szCs w:val="16"/>
              </w:rPr>
            </w:pPr>
            <w:r w:rsidRPr="005A143E">
              <w:rPr>
                <w:color w:val="C00000"/>
                <w:sz w:val="16"/>
                <w:szCs w:val="16"/>
              </w:rPr>
              <w:t>-3</w:t>
            </w:r>
          </w:p>
        </w:tc>
        <w:tc>
          <w:tcPr>
            <w:tcW w:w="851" w:type="dxa"/>
            <w:tcBorders>
              <w:top w:val="nil"/>
              <w:left w:val="nil"/>
              <w:bottom w:val="single" w:sz="4" w:space="0" w:color="auto"/>
              <w:right w:val="single" w:sz="12" w:space="0" w:color="auto"/>
            </w:tcBorders>
            <w:shd w:val="clear" w:color="000000" w:fill="92D050"/>
            <w:noWrap/>
            <w:vAlign w:val="center"/>
            <w:hideMark/>
          </w:tcPr>
          <w:p w14:paraId="2AE7CE47" w14:textId="77777777" w:rsidR="00D5208B" w:rsidRPr="005A143E" w:rsidRDefault="00D5208B" w:rsidP="00582CA7">
            <w:pPr>
              <w:jc w:val="center"/>
              <w:rPr>
                <w:color w:val="000000"/>
                <w:sz w:val="16"/>
                <w:szCs w:val="16"/>
              </w:rPr>
            </w:pPr>
            <w:r w:rsidRPr="005A143E">
              <w:rPr>
                <w:color w:val="000000"/>
                <w:sz w:val="16"/>
                <w:szCs w:val="16"/>
              </w:rPr>
              <w:t>70.0%</w:t>
            </w:r>
          </w:p>
        </w:tc>
      </w:tr>
      <w:tr w:rsidR="00D5208B" w:rsidRPr="005A143E" w14:paraId="2DE7C2E6" w14:textId="77777777" w:rsidTr="00A208C9">
        <w:trPr>
          <w:trHeight w:val="705"/>
          <w:jc w:val="center"/>
        </w:trPr>
        <w:tc>
          <w:tcPr>
            <w:tcW w:w="495" w:type="dxa"/>
            <w:tcBorders>
              <w:top w:val="nil"/>
              <w:left w:val="single" w:sz="12" w:space="0" w:color="auto"/>
              <w:bottom w:val="single" w:sz="4" w:space="0" w:color="auto"/>
              <w:right w:val="single" w:sz="4" w:space="0" w:color="auto"/>
            </w:tcBorders>
            <w:shd w:val="clear" w:color="auto" w:fill="auto"/>
            <w:vAlign w:val="center"/>
            <w:hideMark/>
          </w:tcPr>
          <w:p w14:paraId="720D99A5" w14:textId="77777777" w:rsidR="00D5208B" w:rsidRPr="005A143E" w:rsidRDefault="00D5208B" w:rsidP="00582CA7">
            <w:pPr>
              <w:jc w:val="center"/>
              <w:rPr>
                <w:color w:val="000000"/>
                <w:sz w:val="16"/>
                <w:szCs w:val="16"/>
              </w:rPr>
            </w:pPr>
            <w:r w:rsidRPr="005A143E">
              <w:rPr>
                <w:sz w:val="16"/>
                <w:szCs w:val="16"/>
              </w:rPr>
              <w:t>13</w:t>
            </w:r>
          </w:p>
        </w:tc>
        <w:tc>
          <w:tcPr>
            <w:tcW w:w="3318" w:type="dxa"/>
            <w:tcBorders>
              <w:top w:val="nil"/>
              <w:left w:val="nil"/>
              <w:bottom w:val="single" w:sz="4" w:space="0" w:color="auto"/>
              <w:right w:val="single" w:sz="8" w:space="0" w:color="auto"/>
            </w:tcBorders>
            <w:shd w:val="clear" w:color="auto" w:fill="auto"/>
            <w:vAlign w:val="center"/>
            <w:hideMark/>
          </w:tcPr>
          <w:p w14:paraId="0ECC4329" w14:textId="77777777" w:rsidR="00D5208B" w:rsidRPr="005A143E" w:rsidRDefault="00D5208B" w:rsidP="00582CA7">
            <w:pPr>
              <w:rPr>
                <w:color w:val="000000"/>
                <w:sz w:val="16"/>
                <w:szCs w:val="16"/>
              </w:rPr>
            </w:pPr>
            <w:r w:rsidRPr="005A143E">
              <w:rPr>
                <w:sz w:val="16"/>
                <w:szCs w:val="16"/>
              </w:rPr>
              <w:t>Para el año 2023, se redujo el número de casos de morbilidad infantil en 5% anual</w:t>
            </w:r>
          </w:p>
        </w:tc>
        <w:tc>
          <w:tcPr>
            <w:tcW w:w="708" w:type="dxa"/>
            <w:tcBorders>
              <w:top w:val="nil"/>
              <w:left w:val="nil"/>
              <w:bottom w:val="single" w:sz="4" w:space="0" w:color="auto"/>
              <w:right w:val="single" w:sz="4" w:space="0" w:color="auto"/>
            </w:tcBorders>
            <w:shd w:val="clear" w:color="auto" w:fill="auto"/>
            <w:noWrap/>
            <w:vAlign w:val="center"/>
            <w:hideMark/>
          </w:tcPr>
          <w:p w14:paraId="4D3924E1" w14:textId="77777777" w:rsidR="00D5208B" w:rsidRPr="005A143E" w:rsidRDefault="00D5208B" w:rsidP="00582CA7">
            <w:pPr>
              <w:jc w:val="center"/>
              <w:rPr>
                <w:color w:val="000000"/>
                <w:sz w:val="16"/>
                <w:szCs w:val="16"/>
              </w:rPr>
            </w:pPr>
            <w:r w:rsidRPr="005A143E">
              <w:rPr>
                <w:color w:val="000000"/>
                <w:sz w:val="16"/>
                <w:szCs w:val="16"/>
              </w:rPr>
              <w:t>MSPAS</w:t>
            </w:r>
          </w:p>
        </w:tc>
        <w:tc>
          <w:tcPr>
            <w:tcW w:w="709" w:type="dxa"/>
            <w:tcBorders>
              <w:top w:val="nil"/>
              <w:left w:val="nil"/>
              <w:bottom w:val="single" w:sz="4" w:space="0" w:color="auto"/>
              <w:right w:val="single" w:sz="4" w:space="0" w:color="auto"/>
            </w:tcBorders>
            <w:shd w:val="clear" w:color="auto" w:fill="auto"/>
            <w:noWrap/>
            <w:vAlign w:val="center"/>
            <w:hideMark/>
          </w:tcPr>
          <w:p w14:paraId="2448B34B" w14:textId="77777777" w:rsidR="00D5208B" w:rsidRPr="005A143E" w:rsidRDefault="00D5208B" w:rsidP="00582CA7">
            <w:pPr>
              <w:jc w:val="center"/>
              <w:rPr>
                <w:color w:val="000000"/>
                <w:sz w:val="16"/>
                <w:szCs w:val="16"/>
              </w:rPr>
            </w:pPr>
            <w:r w:rsidRPr="005A143E">
              <w:rPr>
                <w:color w:val="000000"/>
                <w:sz w:val="16"/>
                <w:szCs w:val="16"/>
              </w:rPr>
              <w:t>532,407</w:t>
            </w:r>
          </w:p>
        </w:tc>
        <w:tc>
          <w:tcPr>
            <w:tcW w:w="709" w:type="dxa"/>
            <w:tcBorders>
              <w:top w:val="nil"/>
              <w:left w:val="nil"/>
              <w:bottom w:val="single" w:sz="4" w:space="0" w:color="auto"/>
              <w:right w:val="single" w:sz="12" w:space="0" w:color="auto"/>
            </w:tcBorders>
            <w:shd w:val="clear" w:color="auto" w:fill="auto"/>
            <w:noWrap/>
            <w:vAlign w:val="center"/>
            <w:hideMark/>
          </w:tcPr>
          <w:p w14:paraId="1412F8C6" w14:textId="77777777" w:rsidR="00D5208B" w:rsidRPr="005A143E" w:rsidRDefault="00D5208B" w:rsidP="00582CA7">
            <w:pPr>
              <w:jc w:val="center"/>
              <w:rPr>
                <w:color w:val="000000"/>
                <w:sz w:val="16"/>
                <w:szCs w:val="16"/>
              </w:rPr>
            </w:pPr>
            <w:r w:rsidRPr="005A143E">
              <w:rPr>
                <w:color w:val="000000"/>
                <w:sz w:val="16"/>
                <w:szCs w:val="16"/>
              </w:rPr>
              <w:t>532,407</w:t>
            </w:r>
          </w:p>
        </w:tc>
        <w:tc>
          <w:tcPr>
            <w:tcW w:w="709" w:type="dxa"/>
            <w:tcBorders>
              <w:top w:val="nil"/>
              <w:left w:val="single" w:sz="12" w:space="0" w:color="auto"/>
              <w:bottom w:val="single" w:sz="4" w:space="0" w:color="auto"/>
              <w:right w:val="single" w:sz="4" w:space="0" w:color="auto"/>
            </w:tcBorders>
            <w:shd w:val="clear" w:color="auto" w:fill="auto"/>
            <w:noWrap/>
            <w:vAlign w:val="center"/>
            <w:hideMark/>
          </w:tcPr>
          <w:p w14:paraId="36DE8412" w14:textId="77777777" w:rsidR="00D5208B" w:rsidRPr="005A143E" w:rsidRDefault="00D5208B" w:rsidP="00582CA7">
            <w:pPr>
              <w:jc w:val="center"/>
              <w:rPr>
                <w:color w:val="000000"/>
                <w:sz w:val="16"/>
                <w:szCs w:val="16"/>
              </w:rPr>
            </w:pPr>
            <w:r w:rsidRPr="005A143E">
              <w:rPr>
                <w:color w:val="000000"/>
                <w:sz w:val="16"/>
                <w:szCs w:val="16"/>
              </w:rPr>
              <w:t>839,842</w:t>
            </w:r>
          </w:p>
        </w:tc>
        <w:tc>
          <w:tcPr>
            <w:tcW w:w="850" w:type="dxa"/>
            <w:tcBorders>
              <w:top w:val="nil"/>
              <w:left w:val="nil"/>
              <w:bottom w:val="single" w:sz="4" w:space="0" w:color="auto"/>
              <w:right w:val="single" w:sz="4" w:space="0" w:color="auto"/>
            </w:tcBorders>
            <w:shd w:val="clear" w:color="auto" w:fill="auto"/>
            <w:vAlign w:val="center"/>
            <w:hideMark/>
          </w:tcPr>
          <w:p w14:paraId="117D6C9A" w14:textId="77777777" w:rsidR="00D5208B" w:rsidRPr="005A143E" w:rsidRDefault="00D5208B" w:rsidP="00582CA7">
            <w:pPr>
              <w:jc w:val="center"/>
              <w:rPr>
                <w:color w:val="000000"/>
                <w:sz w:val="16"/>
                <w:szCs w:val="16"/>
              </w:rPr>
            </w:pPr>
            <w:r w:rsidRPr="005A143E">
              <w:rPr>
                <w:color w:val="000000"/>
                <w:sz w:val="16"/>
                <w:szCs w:val="16"/>
              </w:rPr>
              <w:t>La meta se redujo hasta 307,435 casos</w:t>
            </w:r>
          </w:p>
        </w:tc>
        <w:tc>
          <w:tcPr>
            <w:tcW w:w="851" w:type="dxa"/>
            <w:tcBorders>
              <w:top w:val="nil"/>
              <w:left w:val="nil"/>
              <w:bottom w:val="single" w:sz="4" w:space="0" w:color="auto"/>
              <w:right w:val="single" w:sz="12" w:space="0" w:color="auto"/>
            </w:tcBorders>
            <w:shd w:val="clear" w:color="000000" w:fill="92D050"/>
            <w:noWrap/>
            <w:vAlign w:val="center"/>
            <w:hideMark/>
          </w:tcPr>
          <w:p w14:paraId="13BBFD0E" w14:textId="77777777" w:rsidR="00D5208B" w:rsidRPr="005A143E" w:rsidRDefault="00D5208B" w:rsidP="00582CA7">
            <w:pPr>
              <w:jc w:val="center"/>
              <w:rPr>
                <w:color w:val="000000"/>
                <w:sz w:val="16"/>
                <w:szCs w:val="16"/>
              </w:rPr>
            </w:pPr>
            <w:r w:rsidRPr="005A143E">
              <w:rPr>
                <w:color w:val="000000"/>
                <w:sz w:val="16"/>
                <w:szCs w:val="16"/>
              </w:rPr>
              <w:t>261.0%</w:t>
            </w:r>
          </w:p>
        </w:tc>
      </w:tr>
      <w:tr w:rsidR="00D5208B" w:rsidRPr="005A143E" w14:paraId="2AB47FFB" w14:textId="77777777" w:rsidTr="00A208C9">
        <w:trPr>
          <w:trHeight w:val="620"/>
          <w:jc w:val="center"/>
        </w:trPr>
        <w:tc>
          <w:tcPr>
            <w:tcW w:w="495" w:type="dxa"/>
            <w:tcBorders>
              <w:top w:val="nil"/>
              <w:left w:val="single" w:sz="12" w:space="0" w:color="auto"/>
              <w:bottom w:val="single" w:sz="4" w:space="0" w:color="auto"/>
              <w:right w:val="single" w:sz="4" w:space="0" w:color="auto"/>
            </w:tcBorders>
            <w:shd w:val="clear" w:color="auto" w:fill="auto"/>
            <w:vAlign w:val="center"/>
            <w:hideMark/>
          </w:tcPr>
          <w:p w14:paraId="2F2CCFF7" w14:textId="77777777" w:rsidR="00D5208B" w:rsidRPr="005A143E" w:rsidRDefault="00D5208B" w:rsidP="00582CA7">
            <w:pPr>
              <w:jc w:val="center"/>
              <w:rPr>
                <w:color w:val="000000"/>
                <w:sz w:val="16"/>
                <w:szCs w:val="16"/>
              </w:rPr>
            </w:pPr>
            <w:r w:rsidRPr="005A143E">
              <w:rPr>
                <w:sz w:val="16"/>
                <w:szCs w:val="16"/>
              </w:rPr>
              <w:t>14</w:t>
            </w:r>
          </w:p>
        </w:tc>
        <w:tc>
          <w:tcPr>
            <w:tcW w:w="3318" w:type="dxa"/>
            <w:tcBorders>
              <w:top w:val="nil"/>
              <w:left w:val="nil"/>
              <w:bottom w:val="single" w:sz="4" w:space="0" w:color="auto"/>
              <w:right w:val="single" w:sz="8" w:space="0" w:color="auto"/>
            </w:tcBorders>
            <w:shd w:val="clear" w:color="auto" w:fill="auto"/>
            <w:vAlign w:val="center"/>
            <w:hideMark/>
          </w:tcPr>
          <w:p w14:paraId="65330B79" w14:textId="77777777" w:rsidR="00D5208B" w:rsidRPr="005A143E" w:rsidRDefault="00D5208B" w:rsidP="00582CA7">
            <w:pPr>
              <w:rPr>
                <w:color w:val="000000"/>
                <w:sz w:val="16"/>
                <w:szCs w:val="16"/>
              </w:rPr>
            </w:pPr>
            <w:r w:rsidRPr="005A143E">
              <w:rPr>
                <w:sz w:val="16"/>
                <w:szCs w:val="16"/>
              </w:rPr>
              <w:t>Para el año 2023 se ha incrementado el porcentaje de niñas y niños con esquema de vacunación completo en 9.6 puntos porcentuales</w:t>
            </w:r>
          </w:p>
        </w:tc>
        <w:tc>
          <w:tcPr>
            <w:tcW w:w="708" w:type="dxa"/>
            <w:tcBorders>
              <w:top w:val="nil"/>
              <w:left w:val="nil"/>
              <w:bottom w:val="single" w:sz="4" w:space="0" w:color="auto"/>
              <w:right w:val="single" w:sz="4" w:space="0" w:color="auto"/>
            </w:tcBorders>
            <w:shd w:val="clear" w:color="auto" w:fill="auto"/>
            <w:noWrap/>
            <w:vAlign w:val="center"/>
            <w:hideMark/>
          </w:tcPr>
          <w:p w14:paraId="724C0B81" w14:textId="77777777" w:rsidR="00D5208B" w:rsidRPr="005A143E" w:rsidRDefault="00D5208B" w:rsidP="00582CA7">
            <w:pPr>
              <w:jc w:val="center"/>
              <w:rPr>
                <w:color w:val="000000"/>
                <w:sz w:val="16"/>
                <w:szCs w:val="16"/>
              </w:rPr>
            </w:pPr>
            <w:r w:rsidRPr="005A143E">
              <w:rPr>
                <w:color w:val="000000"/>
                <w:sz w:val="16"/>
                <w:szCs w:val="16"/>
              </w:rPr>
              <w:t>MSPAS</w:t>
            </w:r>
          </w:p>
        </w:tc>
        <w:tc>
          <w:tcPr>
            <w:tcW w:w="709" w:type="dxa"/>
            <w:tcBorders>
              <w:top w:val="nil"/>
              <w:left w:val="nil"/>
              <w:bottom w:val="single" w:sz="4" w:space="0" w:color="auto"/>
              <w:right w:val="single" w:sz="4" w:space="0" w:color="auto"/>
            </w:tcBorders>
            <w:shd w:val="clear" w:color="auto" w:fill="auto"/>
            <w:noWrap/>
            <w:vAlign w:val="center"/>
            <w:hideMark/>
          </w:tcPr>
          <w:p w14:paraId="6A6238F0" w14:textId="77777777" w:rsidR="00D5208B" w:rsidRPr="005A143E" w:rsidRDefault="00D5208B" w:rsidP="00582CA7">
            <w:pPr>
              <w:jc w:val="center"/>
              <w:rPr>
                <w:color w:val="000000"/>
                <w:sz w:val="16"/>
                <w:szCs w:val="16"/>
              </w:rPr>
            </w:pPr>
            <w:r w:rsidRPr="005A143E">
              <w:rPr>
                <w:color w:val="000000"/>
                <w:sz w:val="16"/>
                <w:szCs w:val="16"/>
              </w:rPr>
              <w:t>68%</w:t>
            </w:r>
          </w:p>
        </w:tc>
        <w:tc>
          <w:tcPr>
            <w:tcW w:w="709" w:type="dxa"/>
            <w:tcBorders>
              <w:top w:val="nil"/>
              <w:left w:val="nil"/>
              <w:bottom w:val="single" w:sz="4" w:space="0" w:color="auto"/>
              <w:right w:val="single" w:sz="12" w:space="0" w:color="auto"/>
            </w:tcBorders>
            <w:shd w:val="clear" w:color="auto" w:fill="auto"/>
            <w:noWrap/>
            <w:vAlign w:val="center"/>
            <w:hideMark/>
          </w:tcPr>
          <w:p w14:paraId="552F50BD" w14:textId="77777777" w:rsidR="00D5208B" w:rsidRPr="005A143E" w:rsidRDefault="00D5208B" w:rsidP="00582CA7">
            <w:pPr>
              <w:jc w:val="center"/>
              <w:rPr>
                <w:color w:val="000000"/>
                <w:sz w:val="16"/>
                <w:szCs w:val="16"/>
              </w:rPr>
            </w:pPr>
            <w:r w:rsidRPr="005A143E">
              <w:rPr>
                <w:color w:val="000000"/>
                <w:sz w:val="16"/>
                <w:szCs w:val="16"/>
              </w:rPr>
              <w:t>66.00%</w:t>
            </w:r>
          </w:p>
        </w:tc>
        <w:tc>
          <w:tcPr>
            <w:tcW w:w="709" w:type="dxa"/>
            <w:tcBorders>
              <w:top w:val="nil"/>
              <w:left w:val="single" w:sz="12" w:space="0" w:color="auto"/>
              <w:bottom w:val="single" w:sz="4" w:space="0" w:color="auto"/>
              <w:right w:val="single" w:sz="4" w:space="0" w:color="auto"/>
            </w:tcBorders>
            <w:shd w:val="clear" w:color="auto" w:fill="auto"/>
            <w:noWrap/>
            <w:vAlign w:val="center"/>
            <w:hideMark/>
          </w:tcPr>
          <w:p w14:paraId="13393EAD" w14:textId="77777777" w:rsidR="00D5208B" w:rsidRPr="005A143E" w:rsidRDefault="00D5208B" w:rsidP="00582CA7">
            <w:pPr>
              <w:jc w:val="center"/>
              <w:rPr>
                <w:color w:val="000000"/>
                <w:sz w:val="16"/>
                <w:szCs w:val="16"/>
              </w:rPr>
            </w:pPr>
            <w:r w:rsidRPr="005A143E">
              <w:rPr>
                <w:color w:val="000000"/>
                <w:sz w:val="16"/>
                <w:szCs w:val="16"/>
              </w:rPr>
              <w:t>68.60%</w:t>
            </w:r>
          </w:p>
        </w:tc>
        <w:tc>
          <w:tcPr>
            <w:tcW w:w="850" w:type="dxa"/>
            <w:tcBorders>
              <w:top w:val="nil"/>
              <w:left w:val="nil"/>
              <w:bottom w:val="single" w:sz="4" w:space="0" w:color="auto"/>
              <w:right w:val="single" w:sz="4" w:space="0" w:color="auto"/>
            </w:tcBorders>
            <w:shd w:val="clear" w:color="auto" w:fill="auto"/>
            <w:noWrap/>
            <w:vAlign w:val="center"/>
            <w:hideMark/>
          </w:tcPr>
          <w:p w14:paraId="1626286D" w14:textId="77777777" w:rsidR="00D5208B" w:rsidRPr="005A143E" w:rsidRDefault="00D5208B" w:rsidP="00582CA7">
            <w:pPr>
              <w:jc w:val="center"/>
              <w:rPr>
                <w:color w:val="C00000"/>
                <w:sz w:val="16"/>
                <w:szCs w:val="16"/>
              </w:rPr>
            </w:pPr>
            <w:r w:rsidRPr="005A143E">
              <w:rPr>
                <w:color w:val="C00000"/>
                <w:sz w:val="16"/>
                <w:szCs w:val="16"/>
              </w:rPr>
              <w:t>-2.60%</w:t>
            </w:r>
          </w:p>
        </w:tc>
        <w:tc>
          <w:tcPr>
            <w:tcW w:w="851" w:type="dxa"/>
            <w:tcBorders>
              <w:top w:val="nil"/>
              <w:left w:val="nil"/>
              <w:bottom w:val="single" w:sz="4" w:space="0" w:color="auto"/>
              <w:right w:val="single" w:sz="12" w:space="0" w:color="auto"/>
            </w:tcBorders>
            <w:shd w:val="clear" w:color="000000" w:fill="92D050"/>
            <w:noWrap/>
            <w:vAlign w:val="center"/>
            <w:hideMark/>
          </w:tcPr>
          <w:p w14:paraId="50E98C34" w14:textId="77777777" w:rsidR="00D5208B" w:rsidRPr="005A143E" w:rsidRDefault="00D5208B" w:rsidP="00582CA7">
            <w:pPr>
              <w:jc w:val="center"/>
              <w:rPr>
                <w:color w:val="000000"/>
                <w:sz w:val="16"/>
                <w:szCs w:val="16"/>
              </w:rPr>
            </w:pPr>
            <w:r w:rsidRPr="005A143E">
              <w:rPr>
                <w:color w:val="000000"/>
                <w:sz w:val="16"/>
                <w:szCs w:val="16"/>
              </w:rPr>
              <w:t>73.0%</w:t>
            </w:r>
          </w:p>
        </w:tc>
      </w:tr>
      <w:tr w:rsidR="00D5208B" w:rsidRPr="005A143E" w14:paraId="0C04129A" w14:textId="77777777" w:rsidTr="00A208C9">
        <w:trPr>
          <w:trHeight w:val="304"/>
          <w:jc w:val="center"/>
        </w:trPr>
        <w:tc>
          <w:tcPr>
            <w:tcW w:w="495" w:type="dxa"/>
            <w:tcBorders>
              <w:top w:val="nil"/>
              <w:left w:val="single" w:sz="12" w:space="0" w:color="auto"/>
              <w:bottom w:val="single" w:sz="4" w:space="0" w:color="auto"/>
              <w:right w:val="single" w:sz="4" w:space="0" w:color="auto"/>
            </w:tcBorders>
            <w:shd w:val="clear" w:color="auto" w:fill="auto"/>
            <w:vAlign w:val="center"/>
            <w:hideMark/>
          </w:tcPr>
          <w:p w14:paraId="699E98E5" w14:textId="77777777" w:rsidR="00D5208B" w:rsidRPr="005A143E" w:rsidRDefault="00D5208B" w:rsidP="00582CA7">
            <w:pPr>
              <w:jc w:val="center"/>
              <w:rPr>
                <w:color w:val="000000"/>
                <w:sz w:val="16"/>
                <w:szCs w:val="16"/>
              </w:rPr>
            </w:pPr>
            <w:r w:rsidRPr="005A143E">
              <w:rPr>
                <w:sz w:val="16"/>
                <w:szCs w:val="16"/>
              </w:rPr>
              <w:t>15</w:t>
            </w:r>
          </w:p>
        </w:tc>
        <w:tc>
          <w:tcPr>
            <w:tcW w:w="3318" w:type="dxa"/>
            <w:tcBorders>
              <w:top w:val="nil"/>
              <w:left w:val="nil"/>
              <w:bottom w:val="single" w:sz="4" w:space="0" w:color="auto"/>
              <w:right w:val="single" w:sz="8" w:space="0" w:color="auto"/>
            </w:tcBorders>
            <w:shd w:val="clear" w:color="auto" w:fill="auto"/>
            <w:vAlign w:val="center"/>
            <w:hideMark/>
          </w:tcPr>
          <w:p w14:paraId="045C8BCC" w14:textId="77777777" w:rsidR="00D5208B" w:rsidRPr="005A143E" w:rsidRDefault="00D5208B" w:rsidP="00582CA7">
            <w:pPr>
              <w:rPr>
                <w:color w:val="000000"/>
                <w:sz w:val="16"/>
                <w:szCs w:val="16"/>
              </w:rPr>
            </w:pPr>
            <w:r w:rsidRPr="005A143E">
              <w:rPr>
                <w:sz w:val="16"/>
                <w:szCs w:val="16"/>
              </w:rPr>
              <w:t>Para el año 2023, se ha incrementado en 4 unidades la red hospitalaria</w:t>
            </w:r>
          </w:p>
        </w:tc>
        <w:tc>
          <w:tcPr>
            <w:tcW w:w="708" w:type="dxa"/>
            <w:tcBorders>
              <w:top w:val="nil"/>
              <w:left w:val="nil"/>
              <w:bottom w:val="single" w:sz="4" w:space="0" w:color="auto"/>
              <w:right w:val="single" w:sz="4" w:space="0" w:color="auto"/>
            </w:tcBorders>
            <w:shd w:val="clear" w:color="auto" w:fill="auto"/>
            <w:noWrap/>
            <w:vAlign w:val="center"/>
            <w:hideMark/>
          </w:tcPr>
          <w:p w14:paraId="6D6BB539" w14:textId="77777777" w:rsidR="00D5208B" w:rsidRPr="005A143E" w:rsidRDefault="00D5208B" w:rsidP="00582CA7">
            <w:pPr>
              <w:jc w:val="center"/>
              <w:rPr>
                <w:color w:val="000000"/>
                <w:sz w:val="16"/>
                <w:szCs w:val="16"/>
              </w:rPr>
            </w:pPr>
            <w:r w:rsidRPr="005A143E">
              <w:rPr>
                <w:color w:val="000000"/>
                <w:sz w:val="16"/>
                <w:szCs w:val="16"/>
              </w:rPr>
              <w:t>MSPAS</w:t>
            </w:r>
          </w:p>
        </w:tc>
        <w:tc>
          <w:tcPr>
            <w:tcW w:w="709" w:type="dxa"/>
            <w:tcBorders>
              <w:top w:val="nil"/>
              <w:left w:val="nil"/>
              <w:bottom w:val="single" w:sz="4" w:space="0" w:color="auto"/>
              <w:right w:val="single" w:sz="4" w:space="0" w:color="auto"/>
            </w:tcBorders>
            <w:shd w:val="clear" w:color="auto" w:fill="auto"/>
            <w:noWrap/>
            <w:vAlign w:val="center"/>
            <w:hideMark/>
          </w:tcPr>
          <w:p w14:paraId="58143AAD" w14:textId="77777777" w:rsidR="00D5208B" w:rsidRPr="005A143E" w:rsidRDefault="00D5208B" w:rsidP="00582CA7">
            <w:pPr>
              <w:jc w:val="center"/>
              <w:rPr>
                <w:color w:val="000000"/>
                <w:sz w:val="16"/>
                <w:szCs w:val="16"/>
              </w:rPr>
            </w:pPr>
            <w:r w:rsidRPr="005A143E">
              <w:rPr>
                <w:color w:val="000000"/>
                <w:sz w:val="16"/>
                <w:szCs w:val="16"/>
              </w:rPr>
              <w:t>49</w:t>
            </w:r>
          </w:p>
        </w:tc>
        <w:tc>
          <w:tcPr>
            <w:tcW w:w="709" w:type="dxa"/>
            <w:tcBorders>
              <w:top w:val="nil"/>
              <w:left w:val="nil"/>
              <w:bottom w:val="single" w:sz="4" w:space="0" w:color="auto"/>
              <w:right w:val="single" w:sz="12" w:space="0" w:color="auto"/>
            </w:tcBorders>
            <w:shd w:val="clear" w:color="auto" w:fill="auto"/>
            <w:noWrap/>
            <w:vAlign w:val="center"/>
            <w:hideMark/>
          </w:tcPr>
          <w:p w14:paraId="1B1BD924" w14:textId="77777777" w:rsidR="00D5208B" w:rsidRPr="005A143E" w:rsidRDefault="00D5208B" w:rsidP="00582CA7">
            <w:pPr>
              <w:jc w:val="center"/>
              <w:rPr>
                <w:color w:val="000000"/>
                <w:sz w:val="16"/>
                <w:szCs w:val="16"/>
              </w:rPr>
            </w:pPr>
            <w:r w:rsidRPr="005A143E">
              <w:rPr>
                <w:color w:val="000000"/>
                <w:sz w:val="16"/>
                <w:szCs w:val="16"/>
              </w:rPr>
              <w:t>49</w:t>
            </w:r>
          </w:p>
        </w:tc>
        <w:tc>
          <w:tcPr>
            <w:tcW w:w="709" w:type="dxa"/>
            <w:tcBorders>
              <w:top w:val="nil"/>
              <w:left w:val="single" w:sz="12" w:space="0" w:color="auto"/>
              <w:bottom w:val="single" w:sz="4" w:space="0" w:color="auto"/>
              <w:right w:val="single" w:sz="4" w:space="0" w:color="auto"/>
            </w:tcBorders>
            <w:shd w:val="clear" w:color="auto" w:fill="auto"/>
            <w:noWrap/>
            <w:vAlign w:val="center"/>
            <w:hideMark/>
          </w:tcPr>
          <w:p w14:paraId="1665E8D6" w14:textId="77777777" w:rsidR="00D5208B" w:rsidRPr="005A143E" w:rsidRDefault="00D5208B" w:rsidP="00582CA7">
            <w:pPr>
              <w:jc w:val="center"/>
              <w:rPr>
                <w:color w:val="000000"/>
                <w:sz w:val="16"/>
                <w:szCs w:val="16"/>
              </w:rPr>
            </w:pPr>
            <w:r w:rsidRPr="005A143E">
              <w:rPr>
                <w:color w:val="000000"/>
                <w:sz w:val="16"/>
                <w:szCs w:val="16"/>
              </w:rPr>
              <w:t>50</w:t>
            </w:r>
          </w:p>
        </w:tc>
        <w:tc>
          <w:tcPr>
            <w:tcW w:w="850" w:type="dxa"/>
            <w:tcBorders>
              <w:top w:val="nil"/>
              <w:left w:val="nil"/>
              <w:bottom w:val="single" w:sz="4" w:space="0" w:color="auto"/>
              <w:right w:val="single" w:sz="4" w:space="0" w:color="auto"/>
            </w:tcBorders>
            <w:shd w:val="clear" w:color="auto" w:fill="auto"/>
            <w:noWrap/>
            <w:vAlign w:val="center"/>
            <w:hideMark/>
          </w:tcPr>
          <w:p w14:paraId="5EA21A67" w14:textId="77777777" w:rsidR="00D5208B" w:rsidRPr="005A143E" w:rsidRDefault="00D5208B" w:rsidP="00582CA7">
            <w:pPr>
              <w:jc w:val="center"/>
              <w:rPr>
                <w:color w:val="C00000"/>
                <w:sz w:val="16"/>
                <w:szCs w:val="16"/>
              </w:rPr>
            </w:pPr>
            <w:r w:rsidRPr="005A143E">
              <w:rPr>
                <w:color w:val="C00000"/>
                <w:sz w:val="16"/>
                <w:szCs w:val="16"/>
              </w:rPr>
              <w:t>-1</w:t>
            </w:r>
          </w:p>
        </w:tc>
        <w:tc>
          <w:tcPr>
            <w:tcW w:w="851" w:type="dxa"/>
            <w:tcBorders>
              <w:top w:val="nil"/>
              <w:left w:val="nil"/>
              <w:bottom w:val="single" w:sz="4" w:space="0" w:color="auto"/>
              <w:right w:val="single" w:sz="12" w:space="0" w:color="auto"/>
            </w:tcBorders>
            <w:shd w:val="clear" w:color="000000" w:fill="92D050"/>
            <w:noWrap/>
            <w:vAlign w:val="center"/>
            <w:hideMark/>
          </w:tcPr>
          <w:p w14:paraId="0BDBD842" w14:textId="77777777" w:rsidR="00D5208B" w:rsidRPr="005A143E" w:rsidRDefault="00D5208B" w:rsidP="00582CA7">
            <w:pPr>
              <w:jc w:val="center"/>
              <w:rPr>
                <w:color w:val="000000"/>
                <w:sz w:val="16"/>
                <w:szCs w:val="16"/>
              </w:rPr>
            </w:pPr>
            <w:r w:rsidRPr="005A143E">
              <w:rPr>
                <w:color w:val="000000"/>
                <w:sz w:val="16"/>
                <w:szCs w:val="16"/>
              </w:rPr>
              <w:t>75.0%</w:t>
            </w:r>
          </w:p>
        </w:tc>
      </w:tr>
      <w:tr w:rsidR="00D5208B" w:rsidRPr="005A143E" w14:paraId="72F323A6" w14:textId="77777777" w:rsidTr="00A208C9">
        <w:trPr>
          <w:trHeight w:val="338"/>
          <w:jc w:val="center"/>
        </w:trPr>
        <w:tc>
          <w:tcPr>
            <w:tcW w:w="495" w:type="dxa"/>
            <w:tcBorders>
              <w:top w:val="nil"/>
              <w:left w:val="single" w:sz="12" w:space="0" w:color="auto"/>
              <w:bottom w:val="single" w:sz="4" w:space="0" w:color="auto"/>
              <w:right w:val="single" w:sz="4" w:space="0" w:color="auto"/>
            </w:tcBorders>
            <w:shd w:val="clear" w:color="auto" w:fill="auto"/>
            <w:vAlign w:val="center"/>
            <w:hideMark/>
          </w:tcPr>
          <w:p w14:paraId="134A6162" w14:textId="77777777" w:rsidR="00D5208B" w:rsidRPr="005A143E" w:rsidRDefault="00D5208B" w:rsidP="00582CA7">
            <w:pPr>
              <w:jc w:val="center"/>
              <w:rPr>
                <w:color w:val="000000"/>
                <w:sz w:val="16"/>
                <w:szCs w:val="16"/>
              </w:rPr>
            </w:pPr>
            <w:r w:rsidRPr="005A143E">
              <w:rPr>
                <w:sz w:val="16"/>
                <w:szCs w:val="16"/>
              </w:rPr>
              <w:t>16</w:t>
            </w:r>
          </w:p>
        </w:tc>
        <w:tc>
          <w:tcPr>
            <w:tcW w:w="3318" w:type="dxa"/>
            <w:tcBorders>
              <w:top w:val="nil"/>
              <w:left w:val="nil"/>
              <w:bottom w:val="single" w:sz="4" w:space="0" w:color="auto"/>
              <w:right w:val="single" w:sz="8" w:space="0" w:color="auto"/>
            </w:tcBorders>
            <w:shd w:val="clear" w:color="auto" w:fill="auto"/>
            <w:vAlign w:val="center"/>
            <w:hideMark/>
          </w:tcPr>
          <w:p w14:paraId="2786B25D" w14:textId="77777777" w:rsidR="00D5208B" w:rsidRPr="005A143E" w:rsidRDefault="00D5208B" w:rsidP="00582CA7">
            <w:pPr>
              <w:rPr>
                <w:color w:val="000000"/>
                <w:sz w:val="16"/>
                <w:szCs w:val="16"/>
              </w:rPr>
            </w:pPr>
            <w:r w:rsidRPr="005A143E">
              <w:rPr>
                <w:sz w:val="16"/>
                <w:szCs w:val="16"/>
              </w:rPr>
              <w:t>Para el año 2023 se ha incrementado en 50 el número de centros de salud tipo A y B</w:t>
            </w:r>
          </w:p>
        </w:tc>
        <w:tc>
          <w:tcPr>
            <w:tcW w:w="708" w:type="dxa"/>
            <w:tcBorders>
              <w:top w:val="nil"/>
              <w:left w:val="nil"/>
              <w:bottom w:val="single" w:sz="4" w:space="0" w:color="auto"/>
              <w:right w:val="single" w:sz="4" w:space="0" w:color="auto"/>
            </w:tcBorders>
            <w:shd w:val="clear" w:color="auto" w:fill="auto"/>
            <w:noWrap/>
            <w:vAlign w:val="center"/>
            <w:hideMark/>
          </w:tcPr>
          <w:p w14:paraId="75755161" w14:textId="77777777" w:rsidR="00D5208B" w:rsidRPr="005A143E" w:rsidRDefault="00D5208B" w:rsidP="00582CA7">
            <w:pPr>
              <w:jc w:val="center"/>
              <w:rPr>
                <w:color w:val="000000"/>
                <w:sz w:val="16"/>
                <w:szCs w:val="16"/>
              </w:rPr>
            </w:pPr>
            <w:r w:rsidRPr="005A143E">
              <w:rPr>
                <w:color w:val="000000"/>
                <w:sz w:val="16"/>
                <w:szCs w:val="16"/>
              </w:rPr>
              <w:t>MSPAS</w:t>
            </w:r>
          </w:p>
        </w:tc>
        <w:tc>
          <w:tcPr>
            <w:tcW w:w="709" w:type="dxa"/>
            <w:tcBorders>
              <w:top w:val="nil"/>
              <w:left w:val="nil"/>
              <w:bottom w:val="single" w:sz="4" w:space="0" w:color="auto"/>
              <w:right w:val="single" w:sz="4" w:space="0" w:color="auto"/>
            </w:tcBorders>
            <w:shd w:val="clear" w:color="auto" w:fill="auto"/>
            <w:noWrap/>
            <w:vAlign w:val="center"/>
            <w:hideMark/>
          </w:tcPr>
          <w:p w14:paraId="30BFEDE6" w14:textId="77777777" w:rsidR="00D5208B" w:rsidRPr="005A143E" w:rsidRDefault="00D5208B" w:rsidP="00582CA7">
            <w:pPr>
              <w:jc w:val="center"/>
              <w:rPr>
                <w:color w:val="000000"/>
                <w:sz w:val="16"/>
                <w:szCs w:val="16"/>
              </w:rPr>
            </w:pPr>
            <w:r w:rsidRPr="005A143E">
              <w:rPr>
                <w:color w:val="000000"/>
                <w:sz w:val="16"/>
                <w:szCs w:val="16"/>
              </w:rPr>
              <w:t>363</w:t>
            </w:r>
          </w:p>
        </w:tc>
        <w:tc>
          <w:tcPr>
            <w:tcW w:w="709" w:type="dxa"/>
            <w:tcBorders>
              <w:top w:val="nil"/>
              <w:left w:val="nil"/>
              <w:bottom w:val="single" w:sz="4" w:space="0" w:color="auto"/>
              <w:right w:val="single" w:sz="12" w:space="0" w:color="auto"/>
            </w:tcBorders>
            <w:shd w:val="clear" w:color="auto" w:fill="auto"/>
            <w:noWrap/>
            <w:vAlign w:val="center"/>
            <w:hideMark/>
          </w:tcPr>
          <w:p w14:paraId="4E166D8A" w14:textId="77777777" w:rsidR="00D5208B" w:rsidRPr="005A143E" w:rsidRDefault="00D5208B" w:rsidP="00582CA7">
            <w:pPr>
              <w:jc w:val="center"/>
              <w:rPr>
                <w:color w:val="000000"/>
                <w:sz w:val="16"/>
                <w:szCs w:val="16"/>
              </w:rPr>
            </w:pPr>
            <w:r w:rsidRPr="005A143E">
              <w:rPr>
                <w:color w:val="000000"/>
                <w:sz w:val="16"/>
                <w:szCs w:val="16"/>
              </w:rPr>
              <w:t>363</w:t>
            </w:r>
          </w:p>
        </w:tc>
        <w:tc>
          <w:tcPr>
            <w:tcW w:w="709" w:type="dxa"/>
            <w:tcBorders>
              <w:top w:val="nil"/>
              <w:left w:val="single" w:sz="12" w:space="0" w:color="auto"/>
              <w:bottom w:val="single" w:sz="4" w:space="0" w:color="auto"/>
              <w:right w:val="single" w:sz="4" w:space="0" w:color="auto"/>
            </w:tcBorders>
            <w:shd w:val="clear" w:color="auto" w:fill="auto"/>
            <w:noWrap/>
            <w:vAlign w:val="center"/>
            <w:hideMark/>
          </w:tcPr>
          <w:p w14:paraId="4D7530EE" w14:textId="77777777" w:rsidR="00D5208B" w:rsidRPr="005A143E" w:rsidRDefault="00D5208B" w:rsidP="00582CA7">
            <w:pPr>
              <w:jc w:val="center"/>
              <w:rPr>
                <w:color w:val="000000"/>
                <w:sz w:val="16"/>
                <w:szCs w:val="16"/>
              </w:rPr>
            </w:pPr>
            <w:r w:rsidRPr="005A143E">
              <w:rPr>
                <w:color w:val="000000"/>
                <w:sz w:val="16"/>
                <w:szCs w:val="16"/>
              </w:rPr>
              <w:t>387</w:t>
            </w:r>
          </w:p>
        </w:tc>
        <w:tc>
          <w:tcPr>
            <w:tcW w:w="850" w:type="dxa"/>
            <w:tcBorders>
              <w:top w:val="nil"/>
              <w:left w:val="nil"/>
              <w:bottom w:val="single" w:sz="4" w:space="0" w:color="auto"/>
              <w:right w:val="single" w:sz="4" w:space="0" w:color="auto"/>
            </w:tcBorders>
            <w:shd w:val="clear" w:color="auto" w:fill="auto"/>
            <w:noWrap/>
            <w:vAlign w:val="center"/>
            <w:hideMark/>
          </w:tcPr>
          <w:p w14:paraId="23E30696" w14:textId="77777777" w:rsidR="00D5208B" w:rsidRPr="005A143E" w:rsidRDefault="00D5208B" w:rsidP="00582CA7">
            <w:pPr>
              <w:jc w:val="center"/>
              <w:rPr>
                <w:color w:val="C00000"/>
                <w:sz w:val="16"/>
                <w:szCs w:val="16"/>
              </w:rPr>
            </w:pPr>
            <w:r w:rsidRPr="005A143E">
              <w:rPr>
                <w:color w:val="C00000"/>
                <w:sz w:val="16"/>
                <w:szCs w:val="16"/>
              </w:rPr>
              <w:t>-24</w:t>
            </w:r>
          </w:p>
        </w:tc>
        <w:tc>
          <w:tcPr>
            <w:tcW w:w="851" w:type="dxa"/>
            <w:tcBorders>
              <w:top w:val="nil"/>
              <w:left w:val="nil"/>
              <w:bottom w:val="single" w:sz="4" w:space="0" w:color="auto"/>
              <w:right w:val="single" w:sz="12" w:space="0" w:color="auto"/>
            </w:tcBorders>
            <w:shd w:val="clear" w:color="000000" w:fill="92D050"/>
            <w:noWrap/>
            <w:vAlign w:val="center"/>
            <w:hideMark/>
          </w:tcPr>
          <w:p w14:paraId="57806016" w14:textId="77777777" w:rsidR="00D5208B" w:rsidRPr="005A143E" w:rsidRDefault="00D5208B" w:rsidP="00582CA7">
            <w:pPr>
              <w:jc w:val="center"/>
              <w:rPr>
                <w:color w:val="000000"/>
                <w:sz w:val="16"/>
                <w:szCs w:val="16"/>
              </w:rPr>
            </w:pPr>
            <w:r w:rsidRPr="005A143E">
              <w:rPr>
                <w:color w:val="000000"/>
                <w:sz w:val="16"/>
                <w:szCs w:val="16"/>
              </w:rPr>
              <w:t>93.8%</w:t>
            </w:r>
          </w:p>
        </w:tc>
      </w:tr>
      <w:tr w:rsidR="00D5208B" w:rsidRPr="005A143E" w14:paraId="2A588DF5" w14:textId="77777777" w:rsidTr="00A208C9">
        <w:trPr>
          <w:trHeight w:val="527"/>
          <w:jc w:val="center"/>
        </w:trPr>
        <w:tc>
          <w:tcPr>
            <w:tcW w:w="495" w:type="dxa"/>
            <w:tcBorders>
              <w:top w:val="nil"/>
              <w:left w:val="single" w:sz="12" w:space="0" w:color="auto"/>
              <w:bottom w:val="single" w:sz="12" w:space="0" w:color="auto"/>
              <w:right w:val="single" w:sz="4" w:space="0" w:color="auto"/>
            </w:tcBorders>
            <w:shd w:val="clear" w:color="auto" w:fill="auto"/>
            <w:vAlign w:val="center"/>
            <w:hideMark/>
          </w:tcPr>
          <w:p w14:paraId="74AB9A93" w14:textId="77777777" w:rsidR="00D5208B" w:rsidRPr="005A143E" w:rsidRDefault="00D5208B" w:rsidP="00582CA7">
            <w:pPr>
              <w:jc w:val="center"/>
              <w:rPr>
                <w:color w:val="000000"/>
                <w:sz w:val="16"/>
                <w:szCs w:val="16"/>
              </w:rPr>
            </w:pPr>
            <w:r w:rsidRPr="005A143E">
              <w:rPr>
                <w:sz w:val="16"/>
                <w:szCs w:val="16"/>
              </w:rPr>
              <w:t>17</w:t>
            </w:r>
          </w:p>
        </w:tc>
        <w:tc>
          <w:tcPr>
            <w:tcW w:w="3318" w:type="dxa"/>
            <w:tcBorders>
              <w:top w:val="nil"/>
              <w:left w:val="nil"/>
              <w:bottom w:val="single" w:sz="12" w:space="0" w:color="auto"/>
              <w:right w:val="single" w:sz="8" w:space="0" w:color="auto"/>
            </w:tcBorders>
            <w:shd w:val="clear" w:color="auto" w:fill="auto"/>
            <w:vAlign w:val="center"/>
            <w:hideMark/>
          </w:tcPr>
          <w:p w14:paraId="76560298" w14:textId="77777777" w:rsidR="00D5208B" w:rsidRPr="005A143E" w:rsidRDefault="00D5208B" w:rsidP="00582CA7">
            <w:pPr>
              <w:rPr>
                <w:color w:val="000000"/>
                <w:sz w:val="16"/>
                <w:szCs w:val="16"/>
              </w:rPr>
            </w:pPr>
            <w:r w:rsidRPr="005A143E">
              <w:rPr>
                <w:sz w:val="16"/>
                <w:szCs w:val="16"/>
              </w:rPr>
              <w:t>Para el año 2023 se redujo la tasa desnutrición crónica en 7 puntos porcentuales</w:t>
            </w:r>
          </w:p>
        </w:tc>
        <w:tc>
          <w:tcPr>
            <w:tcW w:w="708" w:type="dxa"/>
            <w:tcBorders>
              <w:top w:val="nil"/>
              <w:left w:val="nil"/>
              <w:bottom w:val="single" w:sz="12" w:space="0" w:color="auto"/>
              <w:right w:val="single" w:sz="4" w:space="0" w:color="auto"/>
            </w:tcBorders>
            <w:shd w:val="clear" w:color="auto" w:fill="auto"/>
            <w:vAlign w:val="center"/>
            <w:hideMark/>
          </w:tcPr>
          <w:p w14:paraId="5CAE7189" w14:textId="77777777" w:rsidR="00D5208B" w:rsidRPr="005A143E" w:rsidRDefault="00D5208B" w:rsidP="00582CA7">
            <w:pPr>
              <w:jc w:val="center"/>
              <w:rPr>
                <w:color w:val="000000"/>
                <w:sz w:val="16"/>
                <w:szCs w:val="16"/>
              </w:rPr>
            </w:pPr>
            <w:r w:rsidRPr="005A143E">
              <w:rPr>
                <w:color w:val="000000"/>
                <w:sz w:val="16"/>
                <w:szCs w:val="16"/>
              </w:rPr>
              <w:t>MSPAS, SESAN, MAGA</w:t>
            </w:r>
          </w:p>
        </w:tc>
        <w:tc>
          <w:tcPr>
            <w:tcW w:w="709" w:type="dxa"/>
            <w:tcBorders>
              <w:top w:val="nil"/>
              <w:left w:val="nil"/>
              <w:bottom w:val="single" w:sz="12" w:space="0" w:color="auto"/>
              <w:right w:val="single" w:sz="4" w:space="0" w:color="auto"/>
            </w:tcBorders>
            <w:shd w:val="clear" w:color="auto" w:fill="auto"/>
            <w:noWrap/>
            <w:vAlign w:val="center"/>
            <w:hideMark/>
          </w:tcPr>
          <w:p w14:paraId="2B467966" w14:textId="77777777" w:rsidR="00D5208B" w:rsidRPr="005A143E" w:rsidRDefault="00D5208B" w:rsidP="00582CA7">
            <w:pPr>
              <w:jc w:val="center"/>
              <w:rPr>
                <w:color w:val="000000"/>
                <w:sz w:val="16"/>
                <w:szCs w:val="16"/>
              </w:rPr>
            </w:pPr>
            <w:r w:rsidRPr="005A143E">
              <w:rPr>
                <w:color w:val="000000"/>
                <w:sz w:val="16"/>
                <w:szCs w:val="16"/>
              </w:rPr>
              <w:t>46.50%</w:t>
            </w:r>
          </w:p>
        </w:tc>
        <w:tc>
          <w:tcPr>
            <w:tcW w:w="709" w:type="dxa"/>
            <w:tcBorders>
              <w:top w:val="nil"/>
              <w:left w:val="nil"/>
              <w:bottom w:val="single" w:sz="12" w:space="0" w:color="auto"/>
              <w:right w:val="single" w:sz="12" w:space="0" w:color="auto"/>
            </w:tcBorders>
            <w:shd w:val="clear" w:color="auto" w:fill="auto"/>
            <w:noWrap/>
            <w:vAlign w:val="center"/>
            <w:hideMark/>
          </w:tcPr>
          <w:p w14:paraId="49AC15B8" w14:textId="77777777" w:rsidR="00D5208B" w:rsidRPr="005A143E" w:rsidRDefault="00D5208B" w:rsidP="00582CA7">
            <w:pPr>
              <w:jc w:val="center"/>
              <w:rPr>
                <w:color w:val="000000"/>
                <w:sz w:val="16"/>
                <w:szCs w:val="16"/>
              </w:rPr>
            </w:pPr>
            <w:r w:rsidRPr="005A143E">
              <w:rPr>
                <w:color w:val="000000"/>
                <w:sz w:val="16"/>
                <w:szCs w:val="16"/>
              </w:rPr>
              <w:t>46.50%</w:t>
            </w:r>
          </w:p>
        </w:tc>
        <w:tc>
          <w:tcPr>
            <w:tcW w:w="709" w:type="dxa"/>
            <w:tcBorders>
              <w:top w:val="nil"/>
              <w:left w:val="single" w:sz="12" w:space="0" w:color="auto"/>
              <w:bottom w:val="single" w:sz="12" w:space="0" w:color="auto"/>
              <w:right w:val="single" w:sz="4" w:space="0" w:color="auto"/>
            </w:tcBorders>
            <w:shd w:val="clear" w:color="auto" w:fill="auto"/>
            <w:noWrap/>
            <w:vAlign w:val="center"/>
            <w:hideMark/>
          </w:tcPr>
          <w:p w14:paraId="69CA219D" w14:textId="77777777" w:rsidR="00D5208B" w:rsidRPr="005A143E" w:rsidRDefault="00D5208B" w:rsidP="00582CA7">
            <w:pPr>
              <w:jc w:val="center"/>
              <w:rPr>
                <w:color w:val="000000"/>
                <w:sz w:val="16"/>
                <w:szCs w:val="16"/>
              </w:rPr>
            </w:pPr>
            <w:r w:rsidRPr="005A143E">
              <w:rPr>
                <w:color w:val="000000"/>
                <w:sz w:val="16"/>
                <w:szCs w:val="16"/>
              </w:rPr>
              <w:t>39.50%</w:t>
            </w:r>
          </w:p>
        </w:tc>
        <w:tc>
          <w:tcPr>
            <w:tcW w:w="850" w:type="dxa"/>
            <w:tcBorders>
              <w:top w:val="nil"/>
              <w:left w:val="nil"/>
              <w:bottom w:val="single" w:sz="12" w:space="0" w:color="auto"/>
              <w:right w:val="single" w:sz="4" w:space="0" w:color="auto"/>
            </w:tcBorders>
            <w:shd w:val="clear" w:color="auto" w:fill="auto"/>
            <w:noWrap/>
            <w:vAlign w:val="center"/>
            <w:hideMark/>
          </w:tcPr>
          <w:p w14:paraId="0A7861D9" w14:textId="77777777" w:rsidR="00D5208B" w:rsidRPr="005A143E" w:rsidRDefault="00D5208B" w:rsidP="00582CA7">
            <w:pPr>
              <w:jc w:val="center"/>
              <w:rPr>
                <w:color w:val="C00000"/>
                <w:sz w:val="16"/>
                <w:szCs w:val="16"/>
              </w:rPr>
            </w:pPr>
            <w:r w:rsidRPr="005A143E">
              <w:rPr>
                <w:color w:val="C00000"/>
                <w:sz w:val="16"/>
                <w:szCs w:val="16"/>
              </w:rPr>
              <w:t>-7</w:t>
            </w:r>
          </w:p>
        </w:tc>
        <w:tc>
          <w:tcPr>
            <w:tcW w:w="851" w:type="dxa"/>
            <w:tcBorders>
              <w:top w:val="nil"/>
              <w:left w:val="nil"/>
              <w:bottom w:val="single" w:sz="12" w:space="0" w:color="auto"/>
              <w:right w:val="single" w:sz="12" w:space="0" w:color="auto"/>
            </w:tcBorders>
            <w:shd w:val="clear" w:color="000000" w:fill="BFBFBF"/>
            <w:noWrap/>
            <w:vAlign w:val="center"/>
            <w:hideMark/>
          </w:tcPr>
          <w:p w14:paraId="474E8531" w14:textId="77777777" w:rsidR="00D5208B" w:rsidRPr="005A143E" w:rsidRDefault="00D5208B" w:rsidP="00582CA7">
            <w:pPr>
              <w:jc w:val="center"/>
              <w:rPr>
                <w:color w:val="000000"/>
                <w:sz w:val="16"/>
                <w:szCs w:val="16"/>
              </w:rPr>
            </w:pPr>
            <w:r w:rsidRPr="005A143E">
              <w:rPr>
                <w:color w:val="000000"/>
                <w:sz w:val="16"/>
                <w:szCs w:val="16"/>
              </w:rPr>
              <w:t>N/A</w:t>
            </w:r>
          </w:p>
        </w:tc>
      </w:tr>
    </w:tbl>
    <w:p w14:paraId="224AABB9" w14:textId="77777777" w:rsidR="00D5208B" w:rsidRPr="00D5208B" w:rsidRDefault="00D5208B" w:rsidP="004B6A59">
      <w:pPr>
        <w:ind w:firstLine="708"/>
        <w:rPr>
          <w:b/>
          <w:bCs/>
          <w:sz w:val="18"/>
          <w:szCs w:val="28"/>
        </w:rPr>
      </w:pPr>
      <w:r w:rsidRPr="00D5208B">
        <w:rPr>
          <w:sz w:val="18"/>
          <w:szCs w:val="28"/>
        </w:rPr>
        <w:t>Fuente: SEGEPLAN</w:t>
      </w:r>
    </w:p>
    <w:p w14:paraId="64F8608C" w14:textId="4EA63763" w:rsidR="00D5208B" w:rsidRDefault="00D5208B" w:rsidP="004B6A59">
      <w:pPr>
        <w:ind w:left="708"/>
        <w:rPr>
          <w:sz w:val="18"/>
          <w:szCs w:val="28"/>
        </w:rPr>
      </w:pPr>
      <w:r w:rsidRPr="00D5208B">
        <w:rPr>
          <w:sz w:val="18"/>
          <w:szCs w:val="28"/>
        </w:rPr>
        <w:t>N/A son metas sin registros de medición del avance según lo estimado al año 2023 o es un hecho que no será posible alcanzar la meta establecida</w:t>
      </w:r>
      <w:r>
        <w:rPr>
          <w:sz w:val="18"/>
          <w:szCs w:val="28"/>
        </w:rPr>
        <w:t>.</w:t>
      </w:r>
    </w:p>
    <w:p w14:paraId="4B378F08" w14:textId="77777777" w:rsidR="00A208C9" w:rsidRDefault="00A208C9" w:rsidP="00D5208B">
      <w:pPr>
        <w:rPr>
          <w:sz w:val="18"/>
          <w:szCs w:val="28"/>
        </w:rPr>
      </w:pPr>
    </w:p>
    <w:p w14:paraId="626FCA50" w14:textId="556FF290" w:rsidR="00D5208B" w:rsidRPr="00D5208B" w:rsidRDefault="00D5208B" w:rsidP="00D5208B">
      <w:pPr>
        <w:rPr>
          <w:b/>
          <w:bCs/>
          <w:szCs w:val="40"/>
        </w:rPr>
      </w:pPr>
      <w:r w:rsidRPr="00D5208B">
        <w:rPr>
          <w:b/>
          <w:bCs/>
          <w:szCs w:val="40"/>
        </w:rPr>
        <w:t xml:space="preserve">Pilar 2c: Desarrollo </w:t>
      </w:r>
      <w:r w:rsidR="00D31CC8">
        <w:rPr>
          <w:b/>
          <w:bCs/>
          <w:szCs w:val="40"/>
        </w:rPr>
        <w:t>s</w:t>
      </w:r>
      <w:r w:rsidRPr="00D5208B">
        <w:rPr>
          <w:b/>
          <w:bCs/>
          <w:szCs w:val="40"/>
        </w:rPr>
        <w:t xml:space="preserve">ocial – Protección </w:t>
      </w:r>
      <w:r w:rsidR="00D31CC8">
        <w:rPr>
          <w:b/>
          <w:bCs/>
          <w:szCs w:val="40"/>
        </w:rPr>
        <w:t>s</w:t>
      </w:r>
      <w:r w:rsidRPr="00D5208B">
        <w:rPr>
          <w:b/>
          <w:bCs/>
          <w:szCs w:val="40"/>
        </w:rPr>
        <w:t xml:space="preserve">ocial y </w:t>
      </w:r>
      <w:r w:rsidR="00D31CC8">
        <w:rPr>
          <w:b/>
          <w:bCs/>
          <w:szCs w:val="40"/>
        </w:rPr>
        <w:t>v</w:t>
      </w:r>
      <w:r w:rsidRPr="00D5208B">
        <w:rPr>
          <w:b/>
          <w:bCs/>
          <w:szCs w:val="40"/>
        </w:rPr>
        <w:t>ivienda</w:t>
      </w:r>
    </w:p>
    <w:p w14:paraId="75B14530" w14:textId="77777777" w:rsidR="00D5208B" w:rsidRPr="00D5208B" w:rsidRDefault="00D5208B" w:rsidP="00D5208B">
      <w:pPr>
        <w:rPr>
          <w:szCs w:val="40"/>
        </w:rPr>
      </w:pPr>
    </w:p>
    <w:p w14:paraId="31719B77" w14:textId="0A0C89AF" w:rsidR="00D5208B" w:rsidRPr="00E01410" w:rsidRDefault="00D5208B" w:rsidP="00D5208B">
      <w:pPr>
        <w:pStyle w:val="Prrafodelista"/>
        <w:numPr>
          <w:ilvl w:val="0"/>
          <w:numId w:val="52"/>
        </w:numPr>
        <w:ind w:left="567"/>
        <w:jc w:val="both"/>
        <w:rPr>
          <w:b/>
          <w:bCs/>
        </w:rPr>
      </w:pPr>
      <w:r w:rsidRPr="00D5208B">
        <w:rPr>
          <w:b/>
          <w:bCs/>
        </w:rPr>
        <w:t>Metas superadas según lo estimado al 2023</w:t>
      </w:r>
    </w:p>
    <w:p w14:paraId="6E65F11B" w14:textId="0AF4DBE7" w:rsidR="00D5208B" w:rsidRDefault="00D5208B" w:rsidP="000D332B">
      <w:pPr>
        <w:pStyle w:val="Prrafodelista"/>
        <w:numPr>
          <w:ilvl w:val="0"/>
          <w:numId w:val="13"/>
        </w:numPr>
        <w:ind w:left="993" w:hanging="426"/>
        <w:jc w:val="both"/>
      </w:pPr>
      <w:r w:rsidRPr="00D5208B">
        <w:t>A lo largo de la aplicación de la PGG 2020-2024, la evolución de las transferencias monetarias cada año ha sido positiva. En el año 2022, se entregaron 189,199 transferencias, superando la meta de 2023 por 39,199 transferencias.</w:t>
      </w:r>
    </w:p>
    <w:p w14:paraId="57DF8095" w14:textId="45324681" w:rsidR="00D5208B" w:rsidRPr="00D5208B" w:rsidRDefault="00D5208B" w:rsidP="000D332B">
      <w:pPr>
        <w:pStyle w:val="Prrafodelista"/>
        <w:numPr>
          <w:ilvl w:val="0"/>
          <w:numId w:val="13"/>
        </w:numPr>
        <w:ind w:left="993" w:hanging="426"/>
        <w:jc w:val="both"/>
      </w:pPr>
      <w:r w:rsidRPr="000D332B">
        <w:t>Con el programa Comedor Social, la meta de raciones (desayunos y almuerzos) servidas en comedores sociales fue superada en 2021 y ampliamente en 2022. Se logró alcanzar la cantidad de 8.1 millones de raciones servidas a la población guatemalteca mientras que la meta a 2023 son 4.0 millones.</w:t>
      </w:r>
    </w:p>
    <w:p w14:paraId="32EFEEBF" w14:textId="677BA0DC" w:rsidR="00D5208B" w:rsidRPr="00E01410" w:rsidRDefault="00D5208B" w:rsidP="00D5208B">
      <w:pPr>
        <w:pStyle w:val="Prrafodelista"/>
        <w:numPr>
          <w:ilvl w:val="0"/>
          <w:numId w:val="13"/>
        </w:numPr>
        <w:ind w:left="993" w:hanging="426"/>
        <w:jc w:val="both"/>
      </w:pPr>
      <w:r w:rsidRPr="000D332B">
        <w:t xml:space="preserve">Respecto a incrementar el número de adultos mayores atendidos por el programa de pensiones, en 2022 se benefició a 147,490 personas de la tercera edad, superando en 40,360 la meta establecida para 2023. </w:t>
      </w:r>
    </w:p>
    <w:p w14:paraId="034E5B80" w14:textId="70C5175A" w:rsidR="00D5208B" w:rsidRPr="00E01410" w:rsidRDefault="00D5208B" w:rsidP="00E01410">
      <w:pPr>
        <w:pStyle w:val="Prrafodelista"/>
        <w:numPr>
          <w:ilvl w:val="0"/>
          <w:numId w:val="52"/>
        </w:numPr>
        <w:ind w:left="567"/>
        <w:jc w:val="both"/>
        <w:rPr>
          <w:b/>
          <w:bCs/>
        </w:rPr>
      </w:pPr>
      <w:r w:rsidRPr="00D5208B">
        <w:rPr>
          <w:b/>
          <w:bCs/>
        </w:rPr>
        <w:t>Metas con avance igual o menor a 40% según lo estimado al 2023</w:t>
      </w:r>
    </w:p>
    <w:p w14:paraId="5C111C6A" w14:textId="77777777" w:rsidR="00D5208B" w:rsidRPr="000D332B" w:rsidRDefault="00D5208B" w:rsidP="000D332B">
      <w:pPr>
        <w:pStyle w:val="Prrafodelista"/>
        <w:numPr>
          <w:ilvl w:val="0"/>
          <w:numId w:val="13"/>
        </w:numPr>
        <w:ind w:left="993" w:hanging="426"/>
        <w:jc w:val="both"/>
      </w:pPr>
      <w:r w:rsidRPr="000D332B">
        <w:t xml:space="preserve">En cuanto a la construcción de 100,000 viviendas sociales para 2023, en 2022 se construyeron únicamente 5,434 viviendas con un acumulado en el período de 18,326, con una brecha de 81,674 viviendas por construir, siendo el rezago bastante significativo. </w:t>
      </w:r>
    </w:p>
    <w:p w14:paraId="032C74A8" w14:textId="177BEC8C" w:rsidR="00D5208B" w:rsidRPr="000D332B" w:rsidRDefault="00D5208B" w:rsidP="000D332B">
      <w:pPr>
        <w:pStyle w:val="Prrafodelista"/>
        <w:numPr>
          <w:ilvl w:val="0"/>
          <w:numId w:val="13"/>
        </w:numPr>
        <w:ind w:left="993" w:hanging="426"/>
        <w:jc w:val="both"/>
      </w:pPr>
      <w:r w:rsidRPr="000D332B">
        <w:t>Respecto a la creación del fondo de subsidios para la construcción de vivienda social por un monto de Q2,500 millones a 2023, para el 2022 se ejecutó un total de Q235.4 millones, que tomando en consideración los montos anteriores, representa un avance de Q1,031 millones, dejando una brecha significativa para 2023.</w:t>
      </w:r>
    </w:p>
    <w:p w14:paraId="2E69C746" w14:textId="7F2AD8B1" w:rsidR="00D5208B" w:rsidRPr="000D332B" w:rsidRDefault="00D5208B" w:rsidP="000D332B">
      <w:pPr>
        <w:pStyle w:val="Prrafodelista"/>
        <w:numPr>
          <w:ilvl w:val="0"/>
          <w:numId w:val="13"/>
        </w:numPr>
        <w:ind w:left="993" w:hanging="426"/>
        <w:jc w:val="both"/>
      </w:pPr>
      <w:r w:rsidRPr="000D332B">
        <w:t>En lo que se refiere al incremento de Q17 millones al fondo social de atención a desastres, hasta el 2022 la asignación financiera fue de Q10 millones, lo que refleja un rezago importante respecto a la programación, siendo la brecha de Q15 millones.</w:t>
      </w:r>
    </w:p>
    <w:p w14:paraId="6A600F27" w14:textId="0232308D" w:rsidR="00D5208B" w:rsidRDefault="00D5208B" w:rsidP="00D5208B">
      <w:pPr>
        <w:rPr>
          <w:sz w:val="18"/>
          <w:szCs w:val="28"/>
        </w:rPr>
      </w:pPr>
    </w:p>
    <w:p w14:paraId="5A7D3B7B" w14:textId="115FC89D" w:rsidR="00D5208B" w:rsidRDefault="00D5208B" w:rsidP="00D5208B">
      <w:pPr>
        <w:rPr>
          <w:sz w:val="18"/>
          <w:szCs w:val="28"/>
        </w:rPr>
      </w:pPr>
    </w:p>
    <w:p w14:paraId="2A24AAA6" w14:textId="7C88C447" w:rsidR="00D5208B" w:rsidRPr="0071370B" w:rsidRDefault="0071370B" w:rsidP="0071370B">
      <w:pPr>
        <w:pStyle w:val="Descripcin"/>
        <w:keepNext/>
        <w:spacing w:after="0"/>
        <w:jc w:val="center"/>
        <w:rPr>
          <w:b/>
          <w:bCs/>
          <w:i w:val="0"/>
          <w:iCs w:val="0"/>
          <w:sz w:val="24"/>
          <w:szCs w:val="24"/>
        </w:rPr>
      </w:pPr>
      <w:bookmarkStart w:id="209" w:name="_Toc143871226"/>
      <w:r w:rsidRPr="0071370B">
        <w:rPr>
          <w:b/>
          <w:bCs/>
          <w:i w:val="0"/>
          <w:iCs w:val="0"/>
          <w:color w:val="auto"/>
          <w:sz w:val="24"/>
          <w:szCs w:val="24"/>
        </w:rPr>
        <w:t xml:space="preserve">Tabla </w:t>
      </w:r>
      <w:r w:rsidRPr="0071370B">
        <w:rPr>
          <w:b/>
          <w:bCs/>
          <w:i w:val="0"/>
          <w:iCs w:val="0"/>
          <w:color w:val="auto"/>
          <w:sz w:val="24"/>
          <w:szCs w:val="24"/>
        </w:rPr>
        <w:fldChar w:fldCharType="begin"/>
      </w:r>
      <w:r w:rsidRPr="0071370B">
        <w:rPr>
          <w:b/>
          <w:bCs/>
          <w:i w:val="0"/>
          <w:iCs w:val="0"/>
          <w:color w:val="auto"/>
          <w:sz w:val="24"/>
          <w:szCs w:val="24"/>
        </w:rPr>
        <w:instrText xml:space="preserve"> SEQ Tabla \* ARABIC </w:instrText>
      </w:r>
      <w:r w:rsidRPr="0071370B">
        <w:rPr>
          <w:b/>
          <w:bCs/>
          <w:i w:val="0"/>
          <w:iCs w:val="0"/>
          <w:color w:val="auto"/>
          <w:sz w:val="24"/>
          <w:szCs w:val="24"/>
        </w:rPr>
        <w:fldChar w:fldCharType="separate"/>
      </w:r>
      <w:r w:rsidR="006622B2">
        <w:rPr>
          <w:b/>
          <w:bCs/>
          <w:i w:val="0"/>
          <w:iCs w:val="0"/>
          <w:noProof/>
          <w:color w:val="auto"/>
          <w:sz w:val="24"/>
          <w:szCs w:val="24"/>
        </w:rPr>
        <w:t>19</w:t>
      </w:r>
      <w:r w:rsidRPr="0071370B">
        <w:rPr>
          <w:b/>
          <w:bCs/>
          <w:i w:val="0"/>
          <w:iCs w:val="0"/>
          <w:color w:val="auto"/>
          <w:sz w:val="24"/>
          <w:szCs w:val="24"/>
        </w:rPr>
        <w:fldChar w:fldCharType="end"/>
      </w:r>
      <w:r w:rsidRPr="0071370B">
        <w:rPr>
          <w:b/>
          <w:bCs/>
          <w:i w:val="0"/>
          <w:iCs w:val="0"/>
          <w:color w:val="auto"/>
          <w:sz w:val="24"/>
          <w:szCs w:val="24"/>
        </w:rPr>
        <w:t xml:space="preserve">.  </w:t>
      </w:r>
      <w:r w:rsidR="00D5208B" w:rsidRPr="0071370B">
        <w:rPr>
          <w:b/>
          <w:bCs/>
          <w:i w:val="0"/>
          <w:iCs w:val="0"/>
          <w:color w:val="auto"/>
          <w:sz w:val="24"/>
          <w:szCs w:val="24"/>
        </w:rPr>
        <w:t xml:space="preserve">Pilar 2c: Desarrollo </w:t>
      </w:r>
      <w:r w:rsidR="00D31CC8">
        <w:rPr>
          <w:b/>
          <w:bCs/>
          <w:i w:val="0"/>
          <w:iCs w:val="0"/>
          <w:color w:val="auto"/>
          <w:sz w:val="24"/>
          <w:szCs w:val="24"/>
        </w:rPr>
        <w:t>s</w:t>
      </w:r>
      <w:r w:rsidR="00D5208B" w:rsidRPr="0071370B">
        <w:rPr>
          <w:b/>
          <w:bCs/>
          <w:i w:val="0"/>
          <w:iCs w:val="0"/>
          <w:color w:val="auto"/>
          <w:sz w:val="24"/>
          <w:szCs w:val="24"/>
        </w:rPr>
        <w:t>ocial -</w:t>
      </w:r>
      <w:r w:rsidR="00D31CC8">
        <w:rPr>
          <w:b/>
          <w:bCs/>
          <w:i w:val="0"/>
          <w:iCs w:val="0"/>
          <w:color w:val="auto"/>
          <w:sz w:val="24"/>
          <w:szCs w:val="24"/>
        </w:rPr>
        <w:t xml:space="preserve"> </w:t>
      </w:r>
      <w:r w:rsidR="00D5208B" w:rsidRPr="0071370B">
        <w:rPr>
          <w:b/>
          <w:bCs/>
          <w:i w:val="0"/>
          <w:iCs w:val="0"/>
          <w:color w:val="auto"/>
          <w:sz w:val="24"/>
          <w:szCs w:val="24"/>
        </w:rPr>
        <w:t xml:space="preserve">Protección </w:t>
      </w:r>
      <w:r w:rsidR="00D31CC8">
        <w:rPr>
          <w:b/>
          <w:bCs/>
          <w:i w:val="0"/>
          <w:iCs w:val="0"/>
          <w:color w:val="auto"/>
          <w:sz w:val="24"/>
          <w:szCs w:val="24"/>
        </w:rPr>
        <w:t>s</w:t>
      </w:r>
      <w:r w:rsidR="00D5208B" w:rsidRPr="0071370B">
        <w:rPr>
          <w:b/>
          <w:bCs/>
          <w:i w:val="0"/>
          <w:iCs w:val="0"/>
          <w:color w:val="auto"/>
          <w:sz w:val="24"/>
          <w:szCs w:val="24"/>
        </w:rPr>
        <w:t xml:space="preserve">ocial y </w:t>
      </w:r>
      <w:r w:rsidR="00D31CC8">
        <w:rPr>
          <w:b/>
          <w:bCs/>
          <w:i w:val="0"/>
          <w:iCs w:val="0"/>
          <w:color w:val="auto"/>
          <w:sz w:val="24"/>
          <w:szCs w:val="24"/>
        </w:rPr>
        <w:t>v</w:t>
      </w:r>
      <w:r w:rsidR="00D5208B" w:rsidRPr="0071370B">
        <w:rPr>
          <w:b/>
          <w:bCs/>
          <w:i w:val="0"/>
          <w:iCs w:val="0"/>
          <w:color w:val="auto"/>
          <w:sz w:val="24"/>
          <w:szCs w:val="24"/>
        </w:rPr>
        <w:t>ivienda</w:t>
      </w:r>
      <w:bookmarkEnd w:id="209"/>
    </w:p>
    <w:tbl>
      <w:tblPr>
        <w:tblW w:w="9076" w:type="dxa"/>
        <w:jc w:val="center"/>
        <w:tblCellMar>
          <w:left w:w="70" w:type="dxa"/>
          <w:right w:w="70" w:type="dxa"/>
        </w:tblCellMar>
        <w:tblLook w:val="04A0" w:firstRow="1" w:lastRow="0" w:firstColumn="1" w:lastColumn="0" w:noHBand="0" w:noVBand="1"/>
      </w:tblPr>
      <w:tblGrid>
        <w:gridCol w:w="378"/>
        <w:gridCol w:w="3261"/>
        <w:gridCol w:w="1171"/>
        <w:gridCol w:w="709"/>
        <w:gridCol w:w="848"/>
        <w:gridCol w:w="813"/>
        <w:gridCol w:w="1029"/>
        <w:gridCol w:w="707"/>
        <w:gridCol w:w="160"/>
      </w:tblGrid>
      <w:tr w:rsidR="00435EA6" w:rsidRPr="00804ED2" w14:paraId="6EC00140" w14:textId="77777777" w:rsidTr="00A208C9">
        <w:trPr>
          <w:gridAfter w:val="1"/>
          <w:wAfter w:w="160" w:type="dxa"/>
          <w:trHeight w:val="284"/>
          <w:jc w:val="center"/>
        </w:trPr>
        <w:tc>
          <w:tcPr>
            <w:tcW w:w="378" w:type="dxa"/>
            <w:vMerge w:val="restart"/>
            <w:tcBorders>
              <w:top w:val="single" w:sz="12" w:space="0" w:color="auto"/>
              <w:left w:val="single" w:sz="12" w:space="0" w:color="auto"/>
              <w:bottom w:val="single" w:sz="8" w:space="0" w:color="000000"/>
              <w:right w:val="single" w:sz="8" w:space="0" w:color="000000"/>
            </w:tcBorders>
            <w:shd w:val="clear" w:color="000000" w:fill="1F4E78"/>
            <w:vAlign w:val="center"/>
            <w:hideMark/>
          </w:tcPr>
          <w:p w14:paraId="5BB36CEF" w14:textId="77777777" w:rsidR="00D5208B" w:rsidRPr="004D6CF0" w:rsidRDefault="00D5208B" w:rsidP="00582CA7">
            <w:pPr>
              <w:jc w:val="center"/>
              <w:rPr>
                <w:b/>
                <w:bCs/>
                <w:color w:val="FFFFFF"/>
                <w:sz w:val="16"/>
                <w:szCs w:val="16"/>
              </w:rPr>
            </w:pPr>
            <w:r w:rsidRPr="004D6CF0">
              <w:rPr>
                <w:b/>
                <w:bCs/>
                <w:color w:val="FFFFFF"/>
                <w:sz w:val="16"/>
                <w:szCs w:val="16"/>
              </w:rPr>
              <w:t>No.</w:t>
            </w:r>
          </w:p>
        </w:tc>
        <w:tc>
          <w:tcPr>
            <w:tcW w:w="3293" w:type="dxa"/>
            <w:vMerge w:val="restart"/>
            <w:tcBorders>
              <w:top w:val="single" w:sz="12" w:space="0" w:color="auto"/>
              <w:left w:val="single" w:sz="8" w:space="0" w:color="000000"/>
              <w:bottom w:val="single" w:sz="8" w:space="0" w:color="000000"/>
              <w:right w:val="single" w:sz="8" w:space="0" w:color="000000"/>
            </w:tcBorders>
            <w:shd w:val="clear" w:color="000000" w:fill="1F4E78"/>
            <w:vAlign w:val="center"/>
            <w:hideMark/>
          </w:tcPr>
          <w:p w14:paraId="0D66E35F" w14:textId="77777777" w:rsidR="00D5208B" w:rsidRPr="004D6CF0" w:rsidRDefault="00D5208B" w:rsidP="00582CA7">
            <w:pPr>
              <w:jc w:val="center"/>
              <w:rPr>
                <w:b/>
                <w:bCs/>
                <w:color w:val="FFFFFF"/>
                <w:sz w:val="16"/>
                <w:szCs w:val="16"/>
              </w:rPr>
            </w:pPr>
            <w:r w:rsidRPr="004D6CF0">
              <w:rPr>
                <w:b/>
                <w:bCs/>
                <w:color w:val="FFFFFF"/>
                <w:sz w:val="16"/>
                <w:szCs w:val="16"/>
              </w:rPr>
              <w:t xml:space="preserve">Descripción </w:t>
            </w:r>
            <w:r w:rsidRPr="00804ED2">
              <w:rPr>
                <w:b/>
                <w:bCs/>
                <w:color w:val="FFFFFF"/>
                <w:sz w:val="16"/>
                <w:szCs w:val="16"/>
              </w:rPr>
              <w:t>de la</w:t>
            </w:r>
            <w:r w:rsidRPr="004D6CF0">
              <w:rPr>
                <w:b/>
                <w:bCs/>
                <w:color w:val="FFFFFF"/>
                <w:sz w:val="16"/>
                <w:szCs w:val="16"/>
              </w:rPr>
              <w:t xml:space="preserve"> Meta al 2023</w:t>
            </w:r>
          </w:p>
        </w:tc>
        <w:tc>
          <w:tcPr>
            <w:tcW w:w="1134" w:type="dxa"/>
            <w:vMerge w:val="restart"/>
            <w:tcBorders>
              <w:top w:val="single" w:sz="12" w:space="0" w:color="auto"/>
              <w:left w:val="single" w:sz="8" w:space="0" w:color="000000"/>
              <w:bottom w:val="single" w:sz="8" w:space="0" w:color="000000"/>
              <w:right w:val="single" w:sz="4" w:space="0" w:color="000000"/>
            </w:tcBorders>
            <w:shd w:val="clear" w:color="000000" w:fill="1F4E78"/>
            <w:vAlign w:val="center"/>
            <w:hideMark/>
          </w:tcPr>
          <w:p w14:paraId="3F2D5F1F" w14:textId="77777777" w:rsidR="00D5208B" w:rsidRPr="004D6CF0" w:rsidRDefault="00D5208B" w:rsidP="00582CA7">
            <w:pPr>
              <w:jc w:val="center"/>
              <w:rPr>
                <w:b/>
                <w:bCs/>
                <w:color w:val="FFFFFF"/>
                <w:sz w:val="16"/>
                <w:szCs w:val="16"/>
              </w:rPr>
            </w:pPr>
            <w:r w:rsidRPr="004D6CF0">
              <w:rPr>
                <w:b/>
                <w:bCs/>
                <w:color w:val="FFFFFF"/>
                <w:sz w:val="16"/>
                <w:szCs w:val="16"/>
              </w:rPr>
              <w:t>Responsable</w:t>
            </w:r>
          </w:p>
        </w:tc>
        <w:tc>
          <w:tcPr>
            <w:tcW w:w="1559" w:type="dxa"/>
            <w:gridSpan w:val="2"/>
            <w:tcBorders>
              <w:top w:val="single" w:sz="8" w:space="0" w:color="auto"/>
              <w:left w:val="single" w:sz="8" w:space="0" w:color="auto"/>
              <w:bottom w:val="single" w:sz="8" w:space="0" w:color="auto"/>
              <w:right w:val="single" w:sz="12" w:space="0" w:color="auto"/>
            </w:tcBorders>
            <w:shd w:val="clear" w:color="000000" w:fill="1F4E78"/>
            <w:vAlign w:val="center"/>
            <w:hideMark/>
          </w:tcPr>
          <w:p w14:paraId="4AA6F729" w14:textId="77777777" w:rsidR="00D5208B" w:rsidRPr="004D6CF0" w:rsidRDefault="00D5208B" w:rsidP="00582CA7">
            <w:pPr>
              <w:jc w:val="center"/>
              <w:rPr>
                <w:b/>
                <w:bCs/>
                <w:color w:val="FFFFFF"/>
                <w:sz w:val="16"/>
                <w:szCs w:val="16"/>
              </w:rPr>
            </w:pPr>
            <w:r w:rsidRPr="004D6CF0">
              <w:rPr>
                <w:b/>
                <w:bCs/>
                <w:color w:val="FFFFFF"/>
                <w:sz w:val="16"/>
                <w:szCs w:val="16"/>
              </w:rPr>
              <w:t>Avance</w:t>
            </w:r>
          </w:p>
        </w:tc>
        <w:tc>
          <w:tcPr>
            <w:tcW w:w="2552" w:type="dxa"/>
            <w:gridSpan w:val="3"/>
            <w:tcBorders>
              <w:top w:val="single" w:sz="12" w:space="0" w:color="auto"/>
              <w:left w:val="single" w:sz="12" w:space="0" w:color="auto"/>
              <w:bottom w:val="single" w:sz="8" w:space="0" w:color="auto"/>
              <w:right w:val="single" w:sz="12" w:space="0" w:color="auto"/>
            </w:tcBorders>
            <w:shd w:val="clear" w:color="000000" w:fill="1F4E78"/>
            <w:vAlign w:val="center"/>
            <w:hideMark/>
          </w:tcPr>
          <w:p w14:paraId="0264C401" w14:textId="77777777" w:rsidR="00D5208B" w:rsidRPr="004D6CF0" w:rsidRDefault="00D5208B" w:rsidP="00582CA7">
            <w:pPr>
              <w:jc w:val="center"/>
              <w:rPr>
                <w:b/>
                <w:bCs/>
                <w:color w:val="FFFFFF"/>
                <w:sz w:val="16"/>
                <w:szCs w:val="16"/>
              </w:rPr>
            </w:pPr>
            <w:r w:rsidRPr="004D6CF0">
              <w:rPr>
                <w:b/>
                <w:bCs/>
                <w:color w:val="FFFFFF"/>
                <w:sz w:val="16"/>
                <w:szCs w:val="16"/>
              </w:rPr>
              <w:t>2023</w:t>
            </w:r>
          </w:p>
        </w:tc>
      </w:tr>
      <w:tr w:rsidR="004B6A59" w:rsidRPr="00804ED2" w14:paraId="6FD03B82" w14:textId="77777777" w:rsidTr="00A208C9">
        <w:trPr>
          <w:gridAfter w:val="1"/>
          <w:wAfter w:w="160" w:type="dxa"/>
          <w:trHeight w:val="298"/>
          <w:jc w:val="center"/>
        </w:trPr>
        <w:tc>
          <w:tcPr>
            <w:tcW w:w="378" w:type="dxa"/>
            <w:vMerge/>
            <w:tcBorders>
              <w:top w:val="single" w:sz="8" w:space="0" w:color="auto"/>
              <w:left w:val="single" w:sz="12" w:space="0" w:color="auto"/>
              <w:bottom w:val="single" w:sz="8" w:space="0" w:color="000000"/>
              <w:right w:val="single" w:sz="8" w:space="0" w:color="000000"/>
            </w:tcBorders>
            <w:vAlign w:val="center"/>
            <w:hideMark/>
          </w:tcPr>
          <w:p w14:paraId="56FCD881" w14:textId="77777777" w:rsidR="00D5208B" w:rsidRPr="004D6CF0" w:rsidRDefault="00D5208B" w:rsidP="00582CA7">
            <w:pPr>
              <w:rPr>
                <w:b/>
                <w:bCs/>
                <w:color w:val="FFFFFF"/>
                <w:sz w:val="16"/>
                <w:szCs w:val="16"/>
              </w:rPr>
            </w:pPr>
          </w:p>
        </w:tc>
        <w:tc>
          <w:tcPr>
            <w:tcW w:w="3293" w:type="dxa"/>
            <w:vMerge/>
            <w:tcBorders>
              <w:top w:val="single" w:sz="8" w:space="0" w:color="auto"/>
              <w:left w:val="single" w:sz="8" w:space="0" w:color="000000"/>
              <w:bottom w:val="single" w:sz="8" w:space="0" w:color="000000"/>
              <w:right w:val="single" w:sz="8" w:space="0" w:color="000000"/>
            </w:tcBorders>
            <w:vAlign w:val="center"/>
            <w:hideMark/>
          </w:tcPr>
          <w:p w14:paraId="3D0ABF21" w14:textId="77777777" w:rsidR="00D5208B" w:rsidRPr="004D6CF0" w:rsidRDefault="00D5208B" w:rsidP="00582CA7">
            <w:pPr>
              <w:rPr>
                <w:b/>
                <w:bCs/>
                <w:color w:val="FFFFFF"/>
                <w:sz w:val="16"/>
                <w:szCs w:val="16"/>
              </w:rPr>
            </w:pPr>
          </w:p>
        </w:tc>
        <w:tc>
          <w:tcPr>
            <w:tcW w:w="1134" w:type="dxa"/>
            <w:vMerge/>
            <w:tcBorders>
              <w:top w:val="single" w:sz="8" w:space="0" w:color="auto"/>
              <w:left w:val="single" w:sz="8" w:space="0" w:color="000000"/>
              <w:bottom w:val="single" w:sz="8" w:space="0" w:color="000000"/>
              <w:right w:val="single" w:sz="4" w:space="0" w:color="000000"/>
            </w:tcBorders>
            <w:vAlign w:val="center"/>
            <w:hideMark/>
          </w:tcPr>
          <w:p w14:paraId="60532EE7" w14:textId="77777777" w:rsidR="00D5208B" w:rsidRPr="004D6CF0" w:rsidRDefault="00D5208B" w:rsidP="00582CA7">
            <w:pPr>
              <w:rPr>
                <w:b/>
                <w:bCs/>
                <w:color w:val="FFFFFF"/>
                <w:sz w:val="16"/>
                <w:szCs w:val="16"/>
              </w:rPr>
            </w:pPr>
          </w:p>
        </w:tc>
        <w:tc>
          <w:tcPr>
            <w:tcW w:w="709" w:type="dxa"/>
            <w:tcBorders>
              <w:top w:val="nil"/>
              <w:left w:val="nil"/>
              <w:bottom w:val="single" w:sz="8" w:space="0" w:color="auto"/>
              <w:right w:val="single" w:sz="4" w:space="0" w:color="auto"/>
            </w:tcBorders>
            <w:shd w:val="clear" w:color="000000" w:fill="1F4E78"/>
            <w:vAlign w:val="center"/>
            <w:hideMark/>
          </w:tcPr>
          <w:p w14:paraId="723B2C8E" w14:textId="77777777" w:rsidR="00D5208B" w:rsidRPr="004D6CF0" w:rsidRDefault="00D5208B" w:rsidP="00582CA7">
            <w:pPr>
              <w:jc w:val="center"/>
              <w:rPr>
                <w:b/>
                <w:bCs/>
                <w:color w:val="FFFFFF"/>
                <w:sz w:val="16"/>
                <w:szCs w:val="16"/>
              </w:rPr>
            </w:pPr>
            <w:r w:rsidRPr="004D6CF0">
              <w:rPr>
                <w:b/>
                <w:bCs/>
                <w:color w:val="FFFFFF"/>
                <w:sz w:val="16"/>
                <w:szCs w:val="16"/>
              </w:rPr>
              <w:t>2021</w:t>
            </w:r>
          </w:p>
        </w:tc>
        <w:tc>
          <w:tcPr>
            <w:tcW w:w="850" w:type="dxa"/>
            <w:tcBorders>
              <w:top w:val="nil"/>
              <w:left w:val="nil"/>
              <w:bottom w:val="single" w:sz="8" w:space="0" w:color="auto"/>
              <w:right w:val="single" w:sz="12" w:space="0" w:color="auto"/>
            </w:tcBorders>
            <w:shd w:val="clear" w:color="000000" w:fill="1F4E78"/>
            <w:vAlign w:val="center"/>
            <w:hideMark/>
          </w:tcPr>
          <w:p w14:paraId="63293F37" w14:textId="77777777" w:rsidR="00D5208B" w:rsidRPr="004D6CF0" w:rsidRDefault="00D5208B" w:rsidP="00582CA7">
            <w:pPr>
              <w:jc w:val="center"/>
              <w:rPr>
                <w:b/>
                <w:bCs/>
                <w:color w:val="FFFFFF"/>
                <w:sz w:val="16"/>
                <w:szCs w:val="16"/>
              </w:rPr>
            </w:pPr>
            <w:r w:rsidRPr="004D6CF0">
              <w:rPr>
                <w:b/>
                <w:bCs/>
                <w:color w:val="FFFFFF"/>
                <w:sz w:val="16"/>
                <w:szCs w:val="16"/>
              </w:rPr>
              <w:t>2022</w:t>
            </w:r>
          </w:p>
        </w:tc>
        <w:tc>
          <w:tcPr>
            <w:tcW w:w="815" w:type="dxa"/>
            <w:tcBorders>
              <w:top w:val="nil"/>
              <w:left w:val="single" w:sz="12" w:space="0" w:color="auto"/>
              <w:bottom w:val="single" w:sz="8" w:space="0" w:color="auto"/>
              <w:right w:val="single" w:sz="4" w:space="0" w:color="auto"/>
            </w:tcBorders>
            <w:shd w:val="clear" w:color="000000" w:fill="1F4E78"/>
            <w:vAlign w:val="center"/>
            <w:hideMark/>
          </w:tcPr>
          <w:p w14:paraId="406B1618" w14:textId="77777777" w:rsidR="00D5208B" w:rsidRPr="004D6CF0" w:rsidRDefault="00D5208B" w:rsidP="00582CA7">
            <w:pPr>
              <w:jc w:val="center"/>
              <w:rPr>
                <w:b/>
                <w:bCs/>
                <w:color w:val="FFFFFF"/>
                <w:sz w:val="16"/>
                <w:szCs w:val="16"/>
              </w:rPr>
            </w:pPr>
            <w:r w:rsidRPr="004D6CF0">
              <w:rPr>
                <w:b/>
                <w:bCs/>
                <w:color w:val="FFFFFF"/>
                <w:sz w:val="16"/>
                <w:szCs w:val="16"/>
              </w:rPr>
              <w:t>Meta</w:t>
            </w:r>
          </w:p>
        </w:tc>
        <w:tc>
          <w:tcPr>
            <w:tcW w:w="1029" w:type="dxa"/>
            <w:tcBorders>
              <w:top w:val="nil"/>
              <w:left w:val="nil"/>
              <w:bottom w:val="single" w:sz="8" w:space="0" w:color="auto"/>
              <w:right w:val="single" w:sz="4" w:space="0" w:color="auto"/>
            </w:tcBorders>
            <w:shd w:val="clear" w:color="000000" w:fill="1F4E78"/>
            <w:vAlign w:val="center"/>
            <w:hideMark/>
          </w:tcPr>
          <w:p w14:paraId="673B6CE2" w14:textId="77777777" w:rsidR="00D5208B" w:rsidRPr="004D6CF0" w:rsidRDefault="00D5208B" w:rsidP="00582CA7">
            <w:pPr>
              <w:jc w:val="center"/>
              <w:rPr>
                <w:b/>
                <w:bCs/>
                <w:color w:val="FFFFFF"/>
                <w:sz w:val="16"/>
                <w:szCs w:val="16"/>
              </w:rPr>
            </w:pPr>
            <w:r w:rsidRPr="004D6CF0">
              <w:rPr>
                <w:b/>
                <w:bCs/>
                <w:color w:val="FFFFFF"/>
                <w:sz w:val="16"/>
                <w:szCs w:val="16"/>
              </w:rPr>
              <w:t>Brecha</w:t>
            </w:r>
          </w:p>
        </w:tc>
        <w:tc>
          <w:tcPr>
            <w:tcW w:w="708" w:type="dxa"/>
            <w:tcBorders>
              <w:top w:val="nil"/>
              <w:left w:val="nil"/>
              <w:bottom w:val="single" w:sz="8" w:space="0" w:color="auto"/>
              <w:right w:val="single" w:sz="12" w:space="0" w:color="auto"/>
            </w:tcBorders>
            <w:shd w:val="clear" w:color="000000" w:fill="1F4E78"/>
            <w:vAlign w:val="center"/>
            <w:hideMark/>
          </w:tcPr>
          <w:p w14:paraId="6DCD15F5" w14:textId="77777777" w:rsidR="00D5208B" w:rsidRPr="004D6CF0" w:rsidRDefault="00D5208B" w:rsidP="00582CA7">
            <w:pPr>
              <w:jc w:val="center"/>
              <w:rPr>
                <w:b/>
                <w:bCs/>
                <w:color w:val="FFFFFF"/>
                <w:sz w:val="16"/>
                <w:szCs w:val="16"/>
              </w:rPr>
            </w:pPr>
            <w:r w:rsidRPr="004D6CF0">
              <w:rPr>
                <w:b/>
                <w:bCs/>
                <w:color w:val="FFFFFF"/>
                <w:sz w:val="16"/>
                <w:szCs w:val="16"/>
              </w:rPr>
              <w:t>% de avance</w:t>
            </w:r>
          </w:p>
        </w:tc>
      </w:tr>
      <w:tr w:rsidR="004B6A59" w:rsidRPr="00804ED2" w14:paraId="4DBF0B49" w14:textId="77777777" w:rsidTr="00A208C9">
        <w:trPr>
          <w:gridAfter w:val="1"/>
          <w:wAfter w:w="160" w:type="dxa"/>
          <w:trHeight w:val="342"/>
          <w:jc w:val="center"/>
        </w:trPr>
        <w:tc>
          <w:tcPr>
            <w:tcW w:w="378" w:type="dxa"/>
            <w:tcBorders>
              <w:top w:val="nil"/>
              <w:left w:val="single" w:sz="12" w:space="0" w:color="auto"/>
              <w:bottom w:val="single" w:sz="4" w:space="0" w:color="auto"/>
              <w:right w:val="single" w:sz="8" w:space="0" w:color="000000"/>
            </w:tcBorders>
            <w:shd w:val="clear" w:color="auto" w:fill="auto"/>
            <w:vAlign w:val="center"/>
            <w:hideMark/>
          </w:tcPr>
          <w:p w14:paraId="2287CC76" w14:textId="77777777" w:rsidR="00D5208B" w:rsidRPr="004D6CF0" w:rsidRDefault="00D5208B" w:rsidP="00582CA7">
            <w:pPr>
              <w:jc w:val="center"/>
              <w:rPr>
                <w:color w:val="000000"/>
                <w:sz w:val="16"/>
                <w:szCs w:val="16"/>
              </w:rPr>
            </w:pPr>
            <w:r w:rsidRPr="004D6CF0">
              <w:rPr>
                <w:sz w:val="16"/>
                <w:szCs w:val="16"/>
              </w:rPr>
              <w:t>18</w:t>
            </w:r>
          </w:p>
        </w:tc>
        <w:tc>
          <w:tcPr>
            <w:tcW w:w="3293" w:type="dxa"/>
            <w:tcBorders>
              <w:top w:val="nil"/>
              <w:left w:val="nil"/>
              <w:bottom w:val="single" w:sz="4" w:space="0" w:color="auto"/>
              <w:right w:val="single" w:sz="8" w:space="0" w:color="000000"/>
            </w:tcBorders>
            <w:shd w:val="clear" w:color="auto" w:fill="auto"/>
            <w:vAlign w:val="center"/>
            <w:hideMark/>
          </w:tcPr>
          <w:p w14:paraId="4EBB8370" w14:textId="77777777" w:rsidR="00D5208B" w:rsidRPr="004D6CF0" w:rsidRDefault="00D5208B" w:rsidP="00582CA7">
            <w:pPr>
              <w:rPr>
                <w:color w:val="000000"/>
                <w:sz w:val="16"/>
                <w:szCs w:val="16"/>
              </w:rPr>
            </w:pPr>
            <w:r w:rsidRPr="004D6CF0">
              <w:rPr>
                <w:sz w:val="16"/>
                <w:szCs w:val="16"/>
              </w:rPr>
              <w:t>Para el año 2023 se han construido 100,000 viviendas sociales</w:t>
            </w:r>
          </w:p>
        </w:tc>
        <w:tc>
          <w:tcPr>
            <w:tcW w:w="1134" w:type="dxa"/>
            <w:tcBorders>
              <w:top w:val="nil"/>
              <w:left w:val="nil"/>
              <w:bottom w:val="single" w:sz="4" w:space="0" w:color="auto"/>
              <w:right w:val="single" w:sz="4" w:space="0" w:color="auto"/>
            </w:tcBorders>
            <w:shd w:val="clear" w:color="auto" w:fill="auto"/>
            <w:vAlign w:val="center"/>
            <w:hideMark/>
          </w:tcPr>
          <w:p w14:paraId="0AAE3EDA" w14:textId="77777777" w:rsidR="00D5208B" w:rsidRPr="004D6CF0" w:rsidRDefault="00D5208B" w:rsidP="00582CA7">
            <w:pPr>
              <w:jc w:val="center"/>
              <w:rPr>
                <w:color w:val="000000"/>
                <w:sz w:val="16"/>
                <w:szCs w:val="16"/>
              </w:rPr>
            </w:pPr>
            <w:r w:rsidRPr="004D6CF0">
              <w:rPr>
                <w:color w:val="000000"/>
                <w:sz w:val="16"/>
                <w:szCs w:val="16"/>
              </w:rPr>
              <w:t>MICIVI/ MIDES/ FHA</w:t>
            </w:r>
          </w:p>
        </w:tc>
        <w:tc>
          <w:tcPr>
            <w:tcW w:w="709" w:type="dxa"/>
            <w:tcBorders>
              <w:top w:val="nil"/>
              <w:left w:val="nil"/>
              <w:bottom w:val="single" w:sz="4" w:space="0" w:color="auto"/>
              <w:right w:val="single" w:sz="4" w:space="0" w:color="auto"/>
            </w:tcBorders>
            <w:shd w:val="clear" w:color="auto" w:fill="auto"/>
            <w:vAlign w:val="center"/>
            <w:hideMark/>
          </w:tcPr>
          <w:p w14:paraId="59ADD888" w14:textId="77777777" w:rsidR="00D5208B" w:rsidRPr="004D6CF0" w:rsidRDefault="00D5208B" w:rsidP="00582CA7">
            <w:pPr>
              <w:jc w:val="center"/>
              <w:rPr>
                <w:sz w:val="16"/>
                <w:szCs w:val="16"/>
              </w:rPr>
            </w:pPr>
            <w:r w:rsidRPr="004D6CF0">
              <w:rPr>
                <w:sz w:val="16"/>
                <w:szCs w:val="16"/>
              </w:rPr>
              <w:t>7,150</w:t>
            </w:r>
          </w:p>
        </w:tc>
        <w:tc>
          <w:tcPr>
            <w:tcW w:w="850" w:type="dxa"/>
            <w:tcBorders>
              <w:top w:val="nil"/>
              <w:left w:val="nil"/>
              <w:bottom w:val="single" w:sz="4" w:space="0" w:color="auto"/>
              <w:right w:val="single" w:sz="12" w:space="0" w:color="auto"/>
            </w:tcBorders>
            <w:shd w:val="clear" w:color="auto" w:fill="auto"/>
            <w:vAlign w:val="center"/>
            <w:hideMark/>
          </w:tcPr>
          <w:p w14:paraId="7D58C11B" w14:textId="77777777" w:rsidR="00D5208B" w:rsidRPr="004D6CF0" w:rsidRDefault="00D5208B" w:rsidP="00582CA7">
            <w:pPr>
              <w:jc w:val="center"/>
              <w:rPr>
                <w:sz w:val="16"/>
                <w:szCs w:val="16"/>
              </w:rPr>
            </w:pPr>
            <w:r w:rsidRPr="004D6CF0">
              <w:rPr>
                <w:sz w:val="16"/>
                <w:szCs w:val="16"/>
              </w:rPr>
              <w:t>18,326</w:t>
            </w:r>
          </w:p>
        </w:tc>
        <w:tc>
          <w:tcPr>
            <w:tcW w:w="815" w:type="dxa"/>
            <w:tcBorders>
              <w:top w:val="nil"/>
              <w:left w:val="single" w:sz="12" w:space="0" w:color="auto"/>
              <w:bottom w:val="single" w:sz="4" w:space="0" w:color="auto"/>
              <w:right w:val="single" w:sz="4" w:space="0" w:color="auto"/>
            </w:tcBorders>
            <w:shd w:val="clear" w:color="auto" w:fill="auto"/>
            <w:vAlign w:val="center"/>
            <w:hideMark/>
          </w:tcPr>
          <w:p w14:paraId="50F511A2" w14:textId="77777777" w:rsidR="00D5208B" w:rsidRPr="004D6CF0" w:rsidRDefault="00D5208B" w:rsidP="00582CA7">
            <w:pPr>
              <w:jc w:val="center"/>
              <w:rPr>
                <w:sz w:val="16"/>
                <w:szCs w:val="16"/>
              </w:rPr>
            </w:pPr>
            <w:r w:rsidRPr="004D6CF0">
              <w:rPr>
                <w:sz w:val="16"/>
                <w:szCs w:val="16"/>
              </w:rPr>
              <w:t>100,000</w:t>
            </w:r>
          </w:p>
        </w:tc>
        <w:tc>
          <w:tcPr>
            <w:tcW w:w="1029" w:type="dxa"/>
            <w:tcBorders>
              <w:top w:val="nil"/>
              <w:left w:val="nil"/>
              <w:bottom w:val="single" w:sz="4" w:space="0" w:color="auto"/>
              <w:right w:val="single" w:sz="4" w:space="0" w:color="auto"/>
            </w:tcBorders>
            <w:shd w:val="clear" w:color="auto" w:fill="auto"/>
            <w:vAlign w:val="center"/>
            <w:hideMark/>
          </w:tcPr>
          <w:p w14:paraId="64B2522F" w14:textId="77777777" w:rsidR="00D5208B" w:rsidRPr="004D6CF0" w:rsidRDefault="00D5208B" w:rsidP="00582CA7">
            <w:pPr>
              <w:jc w:val="center"/>
              <w:rPr>
                <w:color w:val="C00000"/>
                <w:sz w:val="16"/>
                <w:szCs w:val="16"/>
              </w:rPr>
            </w:pPr>
            <w:r w:rsidRPr="004D6CF0">
              <w:rPr>
                <w:color w:val="C00000"/>
                <w:sz w:val="16"/>
                <w:szCs w:val="16"/>
              </w:rPr>
              <w:t>-81,674</w:t>
            </w:r>
          </w:p>
        </w:tc>
        <w:tc>
          <w:tcPr>
            <w:tcW w:w="708" w:type="dxa"/>
            <w:tcBorders>
              <w:top w:val="nil"/>
              <w:left w:val="nil"/>
              <w:bottom w:val="single" w:sz="4" w:space="0" w:color="auto"/>
              <w:right w:val="single" w:sz="12" w:space="0" w:color="auto"/>
            </w:tcBorders>
            <w:shd w:val="clear" w:color="000000" w:fill="C00000"/>
            <w:vAlign w:val="center"/>
            <w:hideMark/>
          </w:tcPr>
          <w:p w14:paraId="2807C937" w14:textId="77777777" w:rsidR="00D5208B" w:rsidRPr="004D6CF0" w:rsidRDefault="00D5208B" w:rsidP="00582CA7">
            <w:pPr>
              <w:jc w:val="center"/>
              <w:rPr>
                <w:b/>
                <w:bCs/>
                <w:color w:val="FFFFFF"/>
                <w:sz w:val="16"/>
                <w:szCs w:val="16"/>
              </w:rPr>
            </w:pPr>
            <w:r w:rsidRPr="004D6CF0">
              <w:rPr>
                <w:b/>
                <w:bCs/>
                <w:color w:val="FFFFFF"/>
                <w:sz w:val="16"/>
                <w:szCs w:val="16"/>
              </w:rPr>
              <w:t>18.3%</w:t>
            </w:r>
          </w:p>
        </w:tc>
      </w:tr>
      <w:tr w:rsidR="004B6A59" w:rsidRPr="00804ED2" w14:paraId="616F99DC" w14:textId="77777777" w:rsidTr="00A208C9">
        <w:trPr>
          <w:gridAfter w:val="1"/>
          <w:wAfter w:w="160" w:type="dxa"/>
          <w:trHeight w:val="458"/>
          <w:jc w:val="center"/>
        </w:trPr>
        <w:tc>
          <w:tcPr>
            <w:tcW w:w="378" w:type="dxa"/>
            <w:vMerge w:val="restart"/>
            <w:tcBorders>
              <w:top w:val="nil"/>
              <w:left w:val="single" w:sz="12" w:space="0" w:color="auto"/>
              <w:bottom w:val="single" w:sz="4" w:space="0" w:color="000000"/>
              <w:right w:val="single" w:sz="8" w:space="0" w:color="000000"/>
            </w:tcBorders>
            <w:shd w:val="clear" w:color="auto" w:fill="auto"/>
            <w:vAlign w:val="center"/>
            <w:hideMark/>
          </w:tcPr>
          <w:p w14:paraId="3520D439" w14:textId="77777777" w:rsidR="00D5208B" w:rsidRPr="004D6CF0" w:rsidRDefault="00D5208B" w:rsidP="00582CA7">
            <w:pPr>
              <w:jc w:val="center"/>
              <w:rPr>
                <w:color w:val="000000"/>
                <w:sz w:val="16"/>
                <w:szCs w:val="16"/>
              </w:rPr>
            </w:pPr>
            <w:r w:rsidRPr="004D6CF0">
              <w:rPr>
                <w:sz w:val="16"/>
                <w:szCs w:val="16"/>
              </w:rPr>
              <w:t>19</w:t>
            </w:r>
          </w:p>
        </w:tc>
        <w:tc>
          <w:tcPr>
            <w:tcW w:w="3293" w:type="dxa"/>
            <w:vMerge w:val="restart"/>
            <w:tcBorders>
              <w:top w:val="nil"/>
              <w:left w:val="single" w:sz="8" w:space="0" w:color="000000"/>
              <w:bottom w:val="single" w:sz="4" w:space="0" w:color="000000"/>
              <w:right w:val="single" w:sz="8" w:space="0" w:color="000000"/>
            </w:tcBorders>
            <w:shd w:val="clear" w:color="auto" w:fill="auto"/>
            <w:vAlign w:val="center"/>
            <w:hideMark/>
          </w:tcPr>
          <w:p w14:paraId="477A6D57" w14:textId="77777777" w:rsidR="00D5208B" w:rsidRPr="004D6CF0" w:rsidRDefault="00D5208B" w:rsidP="00582CA7">
            <w:pPr>
              <w:rPr>
                <w:color w:val="000000"/>
                <w:sz w:val="16"/>
                <w:szCs w:val="16"/>
              </w:rPr>
            </w:pPr>
            <w:r w:rsidRPr="004D6CF0">
              <w:rPr>
                <w:sz w:val="16"/>
                <w:szCs w:val="16"/>
              </w:rPr>
              <w:t>Para el año 2023 se ha creado el fondo de subsidios para la construcción de vivienda social por un monto de Q. 2,500.0 millones</w:t>
            </w:r>
          </w:p>
        </w:tc>
        <w:tc>
          <w:tcPr>
            <w:tcW w:w="1134" w:type="dxa"/>
            <w:vMerge w:val="restart"/>
            <w:tcBorders>
              <w:top w:val="nil"/>
              <w:left w:val="single" w:sz="8" w:space="0" w:color="000000"/>
              <w:bottom w:val="single" w:sz="4" w:space="0" w:color="000000"/>
              <w:right w:val="single" w:sz="4" w:space="0" w:color="auto"/>
            </w:tcBorders>
            <w:shd w:val="clear" w:color="auto" w:fill="auto"/>
            <w:vAlign w:val="center"/>
            <w:hideMark/>
          </w:tcPr>
          <w:p w14:paraId="3EC18C41" w14:textId="77777777" w:rsidR="00D5208B" w:rsidRPr="004D6CF0" w:rsidRDefault="00D5208B" w:rsidP="00582CA7">
            <w:pPr>
              <w:jc w:val="center"/>
              <w:rPr>
                <w:color w:val="000000"/>
                <w:sz w:val="16"/>
                <w:szCs w:val="16"/>
              </w:rPr>
            </w:pPr>
            <w:r w:rsidRPr="004D6CF0">
              <w:rPr>
                <w:color w:val="000000"/>
                <w:sz w:val="16"/>
                <w:szCs w:val="16"/>
              </w:rPr>
              <w:t>MICIVI / MIDES</w:t>
            </w:r>
          </w:p>
        </w:tc>
        <w:tc>
          <w:tcPr>
            <w:tcW w:w="709" w:type="dxa"/>
            <w:vMerge w:val="restart"/>
            <w:tcBorders>
              <w:top w:val="nil"/>
              <w:left w:val="single" w:sz="4" w:space="0" w:color="auto"/>
              <w:bottom w:val="single" w:sz="4" w:space="0" w:color="000000"/>
              <w:right w:val="single" w:sz="4" w:space="0" w:color="auto"/>
            </w:tcBorders>
            <w:shd w:val="clear" w:color="auto" w:fill="auto"/>
            <w:vAlign w:val="center"/>
            <w:hideMark/>
          </w:tcPr>
          <w:p w14:paraId="222E77CD" w14:textId="77777777" w:rsidR="00D5208B" w:rsidRPr="004D6CF0" w:rsidRDefault="00D5208B" w:rsidP="00582CA7">
            <w:pPr>
              <w:jc w:val="center"/>
              <w:rPr>
                <w:sz w:val="16"/>
                <w:szCs w:val="16"/>
              </w:rPr>
            </w:pPr>
            <w:r w:rsidRPr="004D6CF0">
              <w:rPr>
                <w:sz w:val="16"/>
                <w:szCs w:val="16"/>
              </w:rPr>
              <w:t>Q436.16 millones</w:t>
            </w:r>
          </w:p>
        </w:tc>
        <w:tc>
          <w:tcPr>
            <w:tcW w:w="850" w:type="dxa"/>
            <w:vMerge w:val="restart"/>
            <w:tcBorders>
              <w:top w:val="nil"/>
              <w:left w:val="single" w:sz="4" w:space="0" w:color="auto"/>
              <w:bottom w:val="single" w:sz="4" w:space="0" w:color="000000"/>
              <w:right w:val="single" w:sz="12" w:space="0" w:color="auto"/>
            </w:tcBorders>
            <w:shd w:val="clear" w:color="auto" w:fill="auto"/>
            <w:vAlign w:val="center"/>
            <w:hideMark/>
          </w:tcPr>
          <w:p w14:paraId="6BB6B34F" w14:textId="77777777" w:rsidR="00D5208B" w:rsidRPr="004D6CF0" w:rsidRDefault="00D5208B" w:rsidP="00582CA7">
            <w:pPr>
              <w:jc w:val="center"/>
              <w:rPr>
                <w:sz w:val="16"/>
                <w:szCs w:val="16"/>
              </w:rPr>
            </w:pPr>
            <w:r w:rsidRPr="004D6CF0">
              <w:rPr>
                <w:sz w:val="16"/>
                <w:szCs w:val="16"/>
              </w:rPr>
              <w:t>Q235.4 millones</w:t>
            </w:r>
          </w:p>
        </w:tc>
        <w:tc>
          <w:tcPr>
            <w:tcW w:w="815" w:type="dxa"/>
            <w:vMerge w:val="restart"/>
            <w:tcBorders>
              <w:top w:val="nil"/>
              <w:left w:val="single" w:sz="12" w:space="0" w:color="auto"/>
              <w:bottom w:val="single" w:sz="4" w:space="0" w:color="000000"/>
              <w:right w:val="single" w:sz="4" w:space="0" w:color="auto"/>
            </w:tcBorders>
            <w:shd w:val="clear" w:color="auto" w:fill="auto"/>
            <w:vAlign w:val="center"/>
            <w:hideMark/>
          </w:tcPr>
          <w:p w14:paraId="5B09D49C" w14:textId="77777777" w:rsidR="00D5208B" w:rsidRPr="004D6CF0" w:rsidRDefault="00D5208B" w:rsidP="00582CA7">
            <w:pPr>
              <w:jc w:val="center"/>
              <w:rPr>
                <w:sz w:val="16"/>
                <w:szCs w:val="16"/>
              </w:rPr>
            </w:pPr>
            <w:r w:rsidRPr="004D6CF0">
              <w:rPr>
                <w:sz w:val="16"/>
                <w:szCs w:val="16"/>
              </w:rPr>
              <w:t>Q2,500 millones</w:t>
            </w:r>
          </w:p>
        </w:tc>
        <w:tc>
          <w:tcPr>
            <w:tcW w:w="1029" w:type="dxa"/>
            <w:vMerge w:val="restart"/>
            <w:tcBorders>
              <w:top w:val="nil"/>
              <w:left w:val="single" w:sz="4" w:space="0" w:color="auto"/>
              <w:bottom w:val="single" w:sz="4" w:space="0" w:color="000000"/>
              <w:right w:val="single" w:sz="4" w:space="0" w:color="auto"/>
            </w:tcBorders>
            <w:shd w:val="clear" w:color="auto" w:fill="auto"/>
            <w:vAlign w:val="center"/>
            <w:hideMark/>
          </w:tcPr>
          <w:p w14:paraId="232E48B4" w14:textId="77777777" w:rsidR="00D5208B" w:rsidRPr="004D6CF0" w:rsidRDefault="00D5208B" w:rsidP="00582CA7">
            <w:pPr>
              <w:jc w:val="center"/>
              <w:rPr>
                <w:sz w:val="16"/>
                <w:szCs w:val="16"/>
              </w:rPr>
            </w:pPr>
            <w:r w:rsidRPr="004D6CF0">
              <w:rPr>
                <w:color w:val="FF0000"/>
                <w:sz w:val="16"/>
                <w:szCs w:val="16"/>
              </w:rPr>
              <w:t>-Q1,524</w:t>
            </w:r>
          </w:p>
        </w:tc>
        <w:tc>
          <w:tcPr>
            <w:tcW w:w="708" w:type="dxa"/>
            <w:vMerge w:val="restart"/>
            <w:tcBorders>
              <w:top w:val="nil"/>
              <w:left w:val="nil"/>
              <w:bottom w:val="single" w:sz="4" w:space="0" w:color="000000"/>
              <w:right w:val="single" w:sz="12" w:space="0" w:color="auto"/>
            </w:tcBorders>
            <w:shd w:val="clear" w:color="000000" w:fill="C00000"/>
            <w:vAlign w:val="center"/>
            <w:hideMark/>
          </w:tcPr>
          <w:p w14:paraId="41A7E7AC" w14:textId="77777777" w:rsidR="00D5208B" w:rsidRPr="004D6CF0" w:rsidRDefault="00D5208B" w:rsidP="00582CA7">
            <w:pPr>
              <w:jc w:val="center"/>
              <w:rPr>
                <w:b/>
                <w:bCs/>
                <w:color w:val="FFFFFF"/>
                <w:sz w:val="16"/>
                <w:szCs w:val="16"/>
              </w:rPr>
            </w:pPr>
            <w:r w:rsidRPr="004D6CF0">
              <w:rPr>
                <w:b/>
                <w:bCs/>
                <w:color w:val="FFFFFF"/>
                <w:sz w:val="16"/>
                <w:szCs w:val="16"/>
              </w:rPr>
              <w:t>39.0%</w:t>
            </w:r>
          </w:p>
        </w:tc>
      </w:tr>
      <w:tr w:rsidR="004B6A59" w:rsidRPr="00804ED2" w14:paraId="77D4AC11" w14:textId="77777777" w:rsidTr="00A208C9">
        <w:trPr>
          <w:trHeight w:val="56"/>
          <w:jc w:val="center"/>
        </w:trPr>
        <w:tc>
          <w:tcPr>
            <w:tcW w:w="378" w:type="dxa"/>
            <w:vMerge/>
            <w:tcBorders>
              <w:top w:val="nil"/>
              <w:left w:val="single" w:sz="12" w:space="0" w:color="auto"/>
              <w:bottom w:val="single" w:sz="4" w:space="0" w:color="000000"/>
              <w:right w:val="single" w:sz="8" w:space="0" w:color="000000"/>
            </w:tcBorders>
            <w:vAlign w:val="center"/>
            <w:hideMark/>
          </w:tcPr>
          <w:p w14:paraId="116E67BD" w14:textId="77777777" w:rsidR="00D5208B" w:rsidRPr="004D6CF0" w:rsidRDefault="00D5208B" w:rsidP="00582CA7">
            <w:pPr>
              <w:rPr>
                <w:color w:val="000000"/>
                <w:sz w:val="16"/>
                <w:szCs w:val="16"/>
              </w:rPr>
            </w:pPr>
          </w:p>
        </w:tc>
        <w:tc>
          <w:tcPr>
            <w:tcW w:w="3293" w:type="dxa"/>
            <w:vMerge/>
            <w:tcBorders>
              <w:top w:val="nil"/>
              <w:left w:val="single" w:sz="8" w:space="0" w:color="000000"/>
              <w:bottom w:val="single" w:sz="4" w:space="0" w:color="000000"/>
              <w:right w:val="single" w:sz="8" w:space="0" w:color="000000"/>
            </w:tcBorders>
            <w:vAlign w:val="center"/>
            <w:hideMark/>
          </w:tcPr>
          <w:p w14:paraId="538E76D4" w14:textId="77777777" w:rsidR="00D5208B" w:rsidRPr="004D6CF0" w:rsidRDefault="00D5208B" w:rsidP="00582CA7">
            <w:pPr>
              <w:rPr>
                <w:color w:val="000000"/>
                <w:sz w:val="16"/>
                <w:szCs w:val="16"/>
              </w:rPr>
            </w:pPr>
          </w:p>
        </w:tc>
        <w:tc>
          <w:tcPr>
            <w:tcW w:w="1134" w:type="dxa"/>
            <w:vMerge/>
            <w:tcBorders>
              <w:top w:val="nil"/>
              <w:left w:val="single" w:sz="8" w:space="0" w:color="000000"/>
              <w:bottom w:val="single" w:sz="4" w:space="0" w:color="000000"/>
              <w:right w:val="single" w:sz="4" w:space="0" w:color="auto"/>
            </w:tcBorders>
            <w:vAlign w:val="center"/>
            <w:hideMark/>
          </w:tcPr>
          <w:p w14:paraId="1B71938F" w14:textId="77777777" w:rsidR="00D5208B" w:rsidRPr="004D6CF0" w:rsidRDefault="00D5208B" w:rsidP="00582CA7">
            <w:pPr>
              <w:rPr>
                <w:color w:val="000000"/>
                <w:sz w:val="16"/>
                <w:szCs w:val="16"/>
              </w:rPr>
            </w:pPr>
          </w:p>
        </w:tc>
        <w:tc>
          <w:tcPr>
            <w:tcW w:w="709" w:type="dxa"/>
            <w:vMerge/>
            <w:tcBorders>
              <w:top w:val="nil"/>
              <w:left w:val="single" w:sz="4" w:space="0" w:color="auto"/>
              <w:bottom w:val="single" w:sz="4" w:space="0" w:color="000000"/>
              <w:right w:val="single" w:sz="4" w:space="0" w:color="auto"/>
            </w:tcBorders>
            <w:vAlign w:val="center"/>
            <w:hideMark/>
          </w:tcPr>
          <w:p w14:paraId="6F36A80B" w14:textId="77777777" w:rsidR="00D5208B" w:rsidRPr="004D6CF0" w:rsidRDefault="00D5208B" w:rsidP="00582CA7">
            <w:pPr>
              <w:rPr>
                <w:sz w:val="16"/>
                <w:szCs w:val="16"/>
              </w:rPr>
            </w:pPr>
          </w:p>
        </w:tc>
        <w:tc>
          <w:tcPr>
            <w:tcW w:w="850" w:type="dxa"/>
            <w:vMerge/>
            <w:tcBorders>
              <w:top w:val="nil"/>
              <w:left w:val="single" w:sz="4" w:space="0" w:color="auto"/>
              <w:bottom w:val="single" w:sz="4" w:space="0" w:color="000000"/>
              <w:right w:val="single" w:sz="12" w:space="0" w:color="auto"/>
            </w:tcBorders>
            <w:vAlign w:val="center"/>
            <w:hideMark/>
          </w:tcPr>
          <w:p w14:paraId="1ED998B2" w14:textId="77777777" w:rsidR="00D5208B" w:rsidRPr="004D6CF0" w:rsidRDefault="00D5208B" w:rsidP="00582CA7">
            <w:pPr>
              <w:rPr>
                <w:sz w:val="16"/>
                <w:szCs w:val="16"/>
              </w:rPr>
            </w:pPr>
          </w:p>
        </w:tc>
        <w:tc>
          <w:tcPr>
            <w:tcW w:w="815" w:type="dxa"/>
            <w:vMerge/>
            <w:tcBorders>
              <w:top w:val="nil"/>
              <w:left w:val="single" w:sz="12" w:space="0" w:color="auto"/>
              <w:bottom w:val="single" w:sz="4" w:space="0" w:color="000000"/>
              <w:right w:val="single" w:sz="4" w:space="0" w:color="auto"/>
            </w:tcBorders>
            <w:vAlign w:val="center"/>
            <w:hideMark/>
          </w:tcPr>
          <w:p w14:paraId="1CC3B151" w14:textId="77777777" w:rsidR="00D5208B" w:rsidRPr="004D6CF0" w:rsidRDefault="00D5208B" w:rsidP="00582CA7">
            <w:pPr>
              <w:rPr>
                <w:sz w:val="16"/>
                <w:szCs w:val="16"/>
              </w:rPr>
            </w:pPr>
          </w:p>
        </w:tc>
        <w:tc>
          <w:tcPr>
            <w:tcW w:w="1029" w:type="dxa"/>
            <w:vMerge/>
            <w:tcBorders>
              <w:top w:val="nil"/>
              <w:left w:val="single" w:sz="4" w:space="0" w:color="auto"/>
              <w:bottom w:val="single" w:sz="4" w:space="0" w:color="000000"/>
              <w:right w:val="single" w:sz="4" w:space="0" w:color="auto"/>
            </w:tcBorders>
            <w:vAlign w:val="center"/>
            <w:hideMark/>
          </w:tcPr>
          <w:p w14:paraId="1A76434D" w14:textId="77777777" w:rsidR="00D5208B" w:rsidRPr="004D6CF0" w:rsidRDefault="00D5208B" w:rsidP="00582CA7">
            <w:pPr>
              <w:rPr>
                <w:sz w:val="16"/>
                <w:szCs w:val="16"/>
              </w:rPr>
            </w:pPr>
          </w:p>
        </w:tc>
        <w:tc>
          <w:tcPr>
            <w:tcW w:w="708" w:type="dxa"/>
            <w:vMerge/>
            <w:tcBorders>
              <w:top w:val="nil"/>
              <w:left w:val="nil"/>
              <w:bottom w:val="single" w:sz="4" w:space="0" w:color="000000"/>
              <w:right w:val="single" w:sz="12" w:space="0" w:color="auto"/>
            </w:tcBorders>
            <w:vAlign w:val="center"/>
            <w:hideMark/>
          </w:tcPr>
          <w:p w14:paraId="46009067" w14:textId="77777777" w:rsidR="00D5208B" w:rsidRPr="004D6CF0" w:rsidRDefault="00D5208B" w:rsidP="00582CA7">
            <w:pPr>
              <w:rPr>
                <w:b/>
                <w:bCs/>
                <w:color w:val="FFFFFF"/>
                <w:sz w:val="16"/>
                <w:szCs w:val="16"/>
              </w:rPr>
            </w:pPr>
          </w:p>
        </w:tc>
        <w:tc>
          <w:tcPr>
            <w:tcW w:w="160" w:type="dxa"/>
            <w:tcBorders>
              <w:top w:val="nil"/>
              <w:left w:val="single" w:sz="12" w:space="0" w:color="auto"/>
              <w:bottom w:val="nil"/>
              <w:right w:val="nil"/>
            </w:tcBorders>
            <w:shd w:val="clear" w:color="auto" w:fill="auto"/>
            <w:noWrap/>
            <w:vAlign w:val="bottom"/>
            <w:hideMark/>
          </w:tcPr>
          <w:p w14:paraId="1EB0986F" w14:textId="77777777" w:rsidR="00D5208B" w:rsidRPr="004D6CF0" w:rsidRDefault="00D5208B" w:rsidP="00582CA7">
            <w:pPr>
              <w:jc w:val="center"/>
              <w:rPr>
                <w:b/>
                <w:bCs/>
                <w:color w:val="FFFFFF"/>
                <w:sz w:val="16"/>
                <w:szCs w:val="16"/>
              </w:rPr>
            </w:pPr>
          </w:p>
        </w:tc>
      </w:tr>
      <w:tr w:rsidR="004B6A59" w:rsidRPr="00804ED2" w14:paraId="58514FA4" w14:textId="77777777" w:rsidTr="00A208C9">
        <w:trPr>
          <w:trHeight w:val="512"/>
          <w:jc w:val="center"/>
        </w:trPr>
        <w:tc>
          <w:tcPr>
            <w:tcW w:w="378" w:type="dxa"/>
            <w:tcBorders>
              <w:top w:val="nil"/>
              <w:left w:val="single" w:sz="12" w:space="0" w:color="auto"/>
              <w:bottom w:val="single" w:sz="4" w:space="0" w:color="auto"/>
              <w:right w:val="single" w:sz="8" w:space="0" w:color="000000"/>
            </w:tcBorders>
            <w:shd w:val="clear" w:color="auto" w:fill="auto"/>
            <w:vAlign w:val="center"/>
            <w:hideMark/>
          </w:tcPr>
          <w:p w14:paraId="34DA0EE6" w14:textId="4F196A58" w:rsidR="00D5208B" w:rsidRPr="004D6CF0" w:rsidRDefault="00D5208B" w:rsidP="00582CA7">
            <w:pPr>
              <w:jc w:val="center"/>
              <w:rPr>
                <w:color w:val="000000"/>
                <w:sz w:val="16"/>
                <w:szCs w:val="16"/>
              </w:rPr>
            </w:pPr>
            <w:r w:rsidRPr="004D6CF0">
              <w:rPr>
                <w:sz w:val="16"/>
                <w:szCs w:val="16"/>
              </w:rPr>
              <w:t>0</w:t>
            </w:r>
          </w:p>
        </w:tc>
        <w:tc>
          <w:tcPr>
            <w:tcW w:w="3293" w:type="dxa"/>
            <w:tcBorders>
              <w:top w:val="nil"/>
              <w:left w:val="nil"/>
              <w:bottom w:val="single" w:sz="4" w:space="0" w:color="auto"/>
              <w:right w:val="single" w:sz="8" w:space="0" w:color="000000"/>
            </w:tcBorders>
            <w:shd w:val="clear" w:color="auto" w:fill="auto"/>
            <w:vAlign w:val="center"/>
            <w:hideMark/>
          </w:tcPr>
          <w:p w14:paraId="2C7A57CF" w14:textId="77777777" w:rsidR="00D5208B" w:rsidRPr="004D6CF0" w:rsidRDefault="00D5208B" w:rsidP="00582CA7">
            <w:pPr>
              <w:rPr>
                <w:color w:val="000000"/>
                <w:sz w:val="16"/>
                <w:szCs w:val="16"/>
              </w:rPr>
            </w:pPr>
            <w:r w:rsidRPr="004D6CF0">
              <w:rPr>
                <w:sz w:val="16"/>
                <w:szCs w:val="16"/>
              </w:rPr>
              <w:t>Para el año 2023 se redujo la pobreza general en 9.3 puntos porcentuales</w:t>
            </w:r>
          </w:p>
        </w:tc>
        <w:tc>
          <w:tcPr>
            <w:tcW w:w="1134" w:type="dxa"/>
            <w:tcBorders>
              <w:top w:val="nil"/>
              <w:left w:val="nil"/>
              <w:bottom w:val="single" w:sz="4" w:space="0" w:color="auto"/>
              <w:right w:val="single" w:sz="4" w:space="0" w:color="auto"/>
            </w:tcBorders>
            <w:shd w:val="clear" w:color="auto" w:fill="auto"/>
            <w:vAlign w:val="center"/>
            <w:hideMark/>
          </w:tcPr>
          <w:p w14:paraId="6C877A43" w14:textId="77777777" w:rsidR="00D5208B" w:rsidRPr="004D6CF0" w:rsidRDefault="00D5208B" w:rsidP="00582CA7">
            <w:pPr>
              <w:jc w:val="center"/>
              <w:rPr>
                <w:color w:val="000000"/>
                <w:sz w:val="16"/>
                <w:szCs w:val="16"/>
              </w:rPr>
            </w:pPr>
            <w:r w:rsidRPr="004D6CF0">
              <w:rPr>
                <w:color w:val="000000"/>
                <w:sz w:val="16"/>
                <w:szCs w:val="16"/>
              </w:rPr>
              <w:t>Presidencia y Vicepresidencia (reporta Segeplan)</w:t>
            </w:r>
          </w:p>
        </w:tc>
        <w:tc>
          <w:tcPr>
            <w:tcW w:w="709" w:type="dxa"/>
            <w:tcBorders>
              <w:top w:val="nil"/>
              <w:left w:val="nil"/>
              <w:bottom w:val="single" w:sz="4" w:space="0" w:color="auto"/>
              <w:right w:val="single" w:sz="4" w:space="0" w:color="auto"/>
            </w:tcBorders>
            <w:shd w:val="clear" w:color="auto" w:fill="auto"/>
            <w:vAlign w:val="center"/>
            <w:hideMark/>
          </w:tcPr>
          <w:p w14:paraId="246A42EB" w14:textId="77777777" w:rsidR="00D5208B" w:rsidRPr="004D6CF0" w:rsidRDefault="00D5208B" w:rsidP="00582CA7">
            <w:pPr>
              <w:jc w:val="center"/>
              <w:rPr>
                <w:sz w:val="16"/>
                <w:szCs w:val="16"/>
              </w:rPr>
            </w:pPr>
            <w:r w:rsidRPr="004D6CF0">
              <w:rPr>
                <w:sz w:val="16"/>
                <w:szCs w:val="16"/>
              </w:rPr>
              <w:t>59.30%</w:t>
            </w:r>
          </w:p>
        </w:tc>
        <w:tc>
          <w:tcPr>
            <w:tcW w:w="850" w:type="dxa"/>
            <w:tcBorders>
              <w:top w:val="nil"/>
              <w:left w:val="nil"/>
              <w:bottom w:val="single" w:sz="4" w:space="0" w:color="auto"/>
              <w:right w:val="single" w:sz="12" w:space="0" w:color="auto"/>
            </w:tcBorders>
            <w:shd w:val="clear" w:color="auto" w:fill="auto"/>
            <w:vAlign w:val="center"/>
            <w:hideMark/>
          </w:tcPr>
          <w:p w14:paraId="1B95FE7A" w14:textId="77777777" w:rsidR="00D5208B" w:rsidRPr="004D6CF0" w:rsidRDefault="00D5208B" w:rsidP="00582CA7">
            <w:pPr>
              <w:jc w:val="center"/>
              <w:rPr>
                <w:sz w:val="16"/>
                <w:szCs w:val="16"/>
              </w:rPr>
            </w:pPr>
            <w:r w:rsidRPr="004D6CF0">
              <w:rPr>
                <w:sz w:val="16"/>
                <w:szCs w:val="16"/>
              </w:rPr>
              <w:t>59.30%</w:t>
            </w:r>
          </w:p>
        </w:tc>
        <w:tc>
          <w:tcPr>
            <w:tcW w:w="815" w:type="dxa"/>
            <w:tcBorders>
              <w:top w:val="nil"/>
              <w:left w:val="single" w:sz="12" w:space="0" w:color="auto"/>
              <w:bottom w:val="single" w:sz="4" w:space="0" w:color="auto"/>
              <w:right w:val="single" w:sz="4" w:space="0" w:color="auto"/>
            </w:tcBorders>
            <w:shd w:val="clear" w:color="auto" w:fill="auto"/>
            <w:vAlign w:val="center"/>
            <w:hideMark/>
          </w:tcPr>
          <w:p w14:paraId="64503E46" w14:textId="77777777" w:rsidR="00D5208B" w:rsidRPr="004D6CF0" w:rsidRDefault="00D5208B" w:rsidP="00582CA7">
            <w:pPr>
              <w:jc w:val="center"/>
              <w:rPr>
                <w:sz w:val="16"/>
                <w:szCs w:val="16"/>
              </w:rPr>
            </w:pPr>
            <w:r w:rsidRPr="004D6CF0">
              <w:rPr>
                <w:sz w:val="16"/>
                <w:szCs w:val="16"/>
              </w:rPr>
              <w:t>50.00%</w:t>
            </w:r>
          </w:p>
        </w:tc>
        <w:tc>
          <w:tcPr>
            <w:tcW w:w="1029" w:type="dxa"/>
            <w:tcBorders>
              <w:top w:val="nil"/>
              <w:left w:val="nil"/>
              <w:bottom w:val="single" w:sz="4" w:space="0" w:color="auto"/>
              <w:right w:val="single" w:sz="4" w:space="0" w:color="auto"/>
            </w:tcBorders>
            <w:shd w:val="clear" w:color="auto" w:fill="auto"/>
            <w:vAlign w:val="center"/>
            <w:hideMark/>
          </w:tcPr>
          <w:p w14:paraId="7571E6DB" w14:textId="77777777" w:rsidR="00D5208B" w:rsidRPr="004D6CF0" w:rsidRDefault="00D5208B" w:rsidP="00582CA7">
            <w:pPr>
              <w:jc w:val="center"/>
              <w:rPr>
                <w:color w:val="C00000"/>
                <w:sz w:val="16"/>
                <w:szCs w:val="16"/>
              </w:rPr>
            </w:pPr>
            <w:r w:rsidRPr="004D6CF0">
              <w:rPr>
                <w:color w:val="C00000"/>
                <w:sz w:val="16"/>
                <w:szCs w:val="16"/>
              </w:rPr>
              <w:t>-9.30%</w:t>
            </w:r>
          </w:p>
        </w:tc>
        <w:tc>
          <w:tcPr>
            <w:tcW w:w="708" w:type="dxa"/>
            <w:tcBorders>
              <w:top w:val="nil"/>
              <w:left w:val="nil"/>
              <w:bottom w:val="single" w:sz="4" w:space="0" w:color="auto"/>
              <w:right w:val="single" w:sz="12" w:space="0" w:color="auto"/>
            </w:tcBorders>
            <w:shd w:val="clear" w:color="000000" w:fill="D0CECE"/>
            <w:vAlign w:val="center"/>
            <w:hideMark/>
          </w:tcPr>
          <w:p w14:paraId="2DB26130" w14:textId="77777777" w:rsidR="00D5208B" w:rsidRPr="004D6CF0" w:rsidRDefault="00D5208B" w:rsidP="00582CA7">
            <w:pPr>
              <w:jc w:val="center"/>
              <w:rPr>
                <w:b/>
                <w:bCs/>
                <w:sz w:val="16"/>
                <w:szCs w:val="16"/>
              </w:rPr>
            </w:pPr>
            <w:r w:rsidRPr="004D6CF0">
              <w:rPr>
                <w:b/>
                <w:bCs/>
                <w:sz w:val="16"/>
                <w:szCs w:val="16"/>
              </w:rPr>
              <w:t>N/A</w:t>
            </w:r>
          </w:p>
        </w:tc>
        <w:tc>
          <w:tcPr>
            <w:tcW w:w="160" w:type="dxa"/>
            <w:tcBorders>
              <w:left w:val="single" w:sz="12" w:space="0" w:color="auto"/>
            </w:tcBorders>
            <w:vAlign w:val="center"/>
            <w:hideMark/>
          </w:tcPr>
          <w:p w14:paraId="2F472B35" w14:textId="77777777" w:rsidR="00D5208B" w:rsidRPr="004D6CF0" w:rsidRDefault="00D5208B" w:rsidP="00582CA7">
            <w:pPr>
              <w:rPr>
                <w:sz w:val="16"/>
                <w:szCs w:val="16"/>
              </w:rPr>
            </w:pPr>
          </w:p>
        </w:tc>
      </w:tr>
      <w:tr w:rsidR="004B6A59" w:rsidRPr="00804ED2" w14:paraId="64754567" w14:textId="77777777" w:rsidTr="00A208C9">
        <w:trPr>
          <w:trHeight w:val="594"/>
          <w:jc w:val="center"/>
        </w:trPr>
        <w:tc>
          <w:tcPr>
            <w:tcW w:w="378" w:type="dxa"/>
            <w:tcBorders>
              <w:top w:val="nil"/>
              <w:left w:val="single" w:sz="12" w:space="0" w:color="auto"/>
              <w:bottom w:val="single" w:sz="4" w:space="0" w:color="auto"/>
              <w:right w:val="single" w:sz="8" w:space="0" w:color="000000"/>
            </w:tcBorders>
            <w:shd w:val="clear" w:color="auto" w:fill="auto"/>
            <w:vAlign w:val="center"/>
            <w:hideMark/>
          </w:tcPr>
          <w:p w14:paraId="42693A0B" w14:textId="77777777" w:rsidR="00D5208B" w:rsidRPr="004D6CF0" w:rsidRDefault="00D5208B" w:rsidP="00582CA7">
            <w:pPr>
              <w:jc w:val="center"/>
              <w:rPr>
                <w:color w:val="000000"/>
                <w:sz w:val="16"/>
                <w:szCs w:val="16"/>
              </w:rPr>
            </w:pPr>
            <w:r w:rsidRPr="004D6CF0">
              <w:rPr>
                <w:sz w:val="16"/>
                <w:szCs w:val="16"/>
              </w:rPr>
              <w:t>21</w:t>
            </w:r>
          </w:p>
        </w:tc>
        <w:tc>
          <w:tcPr>
            <w:tcW w:w="3293" w:type="dxa"/>
            <w:tcBorders>
              <w:top w:val="nil"/>
              <w:left w:val="nil"/>
              <w:bottom w:val="single" w:sz="4" w:space="0" w:color="auto"/>
              <w:right w:val="single" w:sz="8" w:space="0" w:color="000000"/>
            </w:tcBorders>
            <w:shd w:val="clear" w:color="auto" w:fill="auto"/>
            <w:vAlign w:val="center"/>
            <w:hideMark/>
          </w:tcPr>
          <w:p w14:paraId="59E48E50" w14:textId="77777777" w:rsidR="00D5208B" w:rsidRPr="004D6CF0" w:rsidRDefault="00D5208B" w:rsidP="00582CA7">
            <w:pPr>
              <w:rPr>
                <w:color w:val="000000"/>
                <w:sz w:val="16"/>
                <w:szCs w:val="16"/>
              </w:rPr>
            </w:pPr>
            <w:r w:rsidRPr="004D6CF0">
              <w:rPr>
                <w:sz w:val="16"/>
                <w:szCs w:val="16"/>
              </w:rPr>
              <w:t>Para el año 2023 se redujo la pobreza extrema en 5 puntos porcentuales</w:t>
            </w:r>
          </w:p>
        </w:tc>
        <w:tc>
          <w:tcPr>
            <w:tcW w:w="1134" w:type="dxa"/>
            <w:tcBorders>
              <w:top w:val="nil"/>
              <w:left w:val="nil"/>
              <w:bottom w:val="single" w:sz="4" w:space="0" w:color="auto"/>
              <w:right w:val="single" w:sz="4" w:space="0" w:color="auto"/>
            </w:tcBorders>
            <w:shd w:val="clear" w:color="auto" w:fill="auto"/>
            <w:vAlign w:val="center"/>
            <w:hideMark/>
          </w:tcPr>
          <w:p w14:paraId="3034767E" w14:textId="77777777" w:rsidR="00D5208B" w:rsidRPr="004D6CF0" w:rsidRDefault="00D5208B" w:rsidP="00582CA7">
            <w:pPr>
              <w:jc w:val="center"/>
              <w:rPr>
                <w:color w:val="000000"/>
                <w:sz w:val="16"/>
                <w:szCs w:val="16"/>
              </w:rPr>
            </w:pPr>
            <w:r w:rsidRPr="004D6CF0">
              <w:rPr>
                <w:color w:val="000000"/>
                <w:sz w:val="16"/>
                <w:szCs w:val="16"/>
              </w:rPr>
              <w:t>Presidencia y Vicepresidencia (reporta Segeplan)</w:t>
            </w:r>
          </w:p>
        </w:tc>
        <w:tc>
          <w:tcPr>
            <w:tcW w:w="709" w:type="dxa"/>
            <w:tcBorders>
              <w:top w:val="nil"/>
              <w:left w:val="nil"/>
              <w:bottom w:val="single" w:sz="4" w:space="0" w:color="auto"/>
              <w:right w:val="single" w:sz="4" w:space="0" w:color="auto"/>
            </w:tcBorders>
            <w:shd w:val="clear" w:color="auto" w:fill="auto"/>
            <w:vAlign w:val="center"/>
            <w:hideMark/>
          </w:tcPr>
          <w:p w14:paraId="67B29B09" w14:textId="77777777" w:rsidR="00D5208B" w:rsidRPr="004D6CF0" w:rsidRDefault="00D5208B" w:rsidP="00582CA7">
            <w:pPr>
              <w:jc w:val="center"/>
              <w:rPr>
                <w:sz w:val="16"/>
                <w:szCs w:val="16"/>
              </w:rPr>
            </w:pPr>
            <w:r w:rsidRPr="004D6CF0">
              <w:rPr>
                <w:sz w:val="16"/>
                <w:szCs w:val="16"/>
              </w:rPr>
              <w:t>23.40%</w:t>
            </w:r>
          </w:p>
        </w:tc>
        <w:tc>
          <w:tcPr>
            <w:tcW w:w="850" w:type="dxa"/>
            <w:tcBorders>
              <w:top w:val="nil"/>
              <w:left w:val="nil"/>
              <w:bottom w:val="single" w:sz="4" w:space="0" w:color="auto"/>
              <w:right w:val="single" w:sz="12" w:space="0" w:color="auto"/>
            </w:tcBorders>
            <w:shd w:val="clear" w:color="auto" w:fill="auto"/>
            <w:vAlign w:val="center"/>
            <w:hideMark/>
          </w:tcPr>
          <w:p w14:paraId="49F28B40" w14:textId="77777777" w:rsidR="00D5208B" w:rsidRPr="004D6CF0" w:rsidRDefault="00D5208B" w:rsidP="00582CA7">
            <w:pPr>
              <w:jc w:val="center"/>
              <w:rPr>
                <w:sz w:val="16"/>
                <w:szCs w:val="16"/>
              </w:rPr>
            </w:pPr>
            <w:r w:rsidRPr="004D6CF0">
              <w:rPr>
                <w:sz w:val="16"/>
                <w:szCs w:val="16"/>
              </w:rPr>
              <w:t>23.40%</w:t>
            </w:r>
          </w:p>
        </w:tc>
        <w:tc>
          <w:tcPr>
            <w:tcW w:w="815" w:type="dxa"/>
            <w:tcBorders>
              <w:top w:val="nil"/>
              <w:left w:val="single" w:sz="12" w:space="0" w:color="auto"/>
              <w:bottom w:val="single" w:sz="4" w:space="0" w:color="auto"/>
              <w:right w:val="single" w:sz="4" w:space="0" w:color="auto"/>
            </w:tcBorders>
            <w:shd w:val="clear" w:color="auto" w:fill="auto"/>
            <w:vAlign w:val="center"/>
            <w:hideMark/>
          </w:tcPr>
          <w:p w14:paraId="78D4EE10" w14:textId="77777777" w:rsidR="00D5208B" w:rsidRPr="004D6CF0" w:rsidRDefault="00D5208B" w:rsidP="00582CA7">
            <w:pPr>
              <w:jc w:val="center"/>
              <w:rPr>
                <w:sz w:val="16"/>
                <w:szCs w:val="16"/>
              </w:rPr>
            </w:pPr>
            <w:r w:rsidRPr="004D6CF0">
              <w:rPr>
                <w:sz w:val="16"/>
                <w:szCs w:val="16"/>
              </w:rPr>
              <w:t>18.40%</w:t>
            </w:r>
          </w:p>
        </w:tc>
        <w:tc>
          <w:tcPr>
            <w:tcW w:w="1029" w:type="dxa"/>
            <w:tcBorders>
              <w:top w:val="nil"/>
              <w:left w:val="nil"/>
              <w:bottom w:val="single" w:sz="4" w:space="0" w:color="auto"/>
              <w:right w:val="single" w:sz="4" w:space="0" w:color="auto"/>
            </w:tcBorders>
            <w:shd w:val="clear" w:color="auto" w:fill="auto"/>
            <w:vAlign w:val="center"/>
            <w:hideMark/>
          </w:tcPr>
          <w:p w14:paraId="1BBDD786" w14:textId="77777777" w:rsidR="00D5208B" w:rsidRPr="004D6CF0" w:rsidRDefault="00D5208B" w:rsidP="00582CA7">
            <w:pPr>
              <w:jc w:val="center"/>
              <w:rPr>
                <w:color w:val="C00000"/>
                <w:sz w:val="16"/>
                <w:szCs w:val="16"/>
              </w:rPr>
            </w:pPr>
            <w:r w:rsidRPr="004D6CF0">
              <w:rPr>
                <w:color w:val="C00000"/>
                <w:sz w:val="16"/>
                <w:szCs w:val="16"/>
              </w:rPr>
              <w:t>-5.00%</w:t>
            </w:r>
          </w:p>
        </w:tc>
        <w:tc>
          <w:tcPr>
            <w:tcW w:w="708" w:type="dxa"/>
            <w:tcBorders>
              <w:top w:val="nil"/>
              <w:left w:val="nil"/>
              <w:bottom w:val="single" w:sz="4" w:space="0" w:color="auto"/>
              <w:right w:val="single" w:sz="12" w:space="0" w:color="auto"/>
            </w:tcBorders>
            <w:shd w:val="clear" w:color="000000" w:fill="D0CECE"/>
            <w:vAlign w:val="center"/>
            <w:hideMark/>
          </w:tcPr>
          <w:p w14:paraId="5D01DEF5" w14:textId="77777777" w:rsidR="00D5208B" w:rsidRPr="004D6CF0" w:rsidRDefault="00D5208B" w:rsidP="00582CA7">
            <w:pPr>
              <w:jc w:val="center"/>
              <w:rPr>
                <w:b/>
                <w:bCs/>
                <w:sz w:val="16"/>
                <w:szCs w:val="16"/>
              </w:rPr>
            </w:pPr>
            <w:r w:rsidRPr="004D6CF0">
              <w:rPr>
                <w:b/>
                <w:bCs/>
                <w:sz w:val="16"/>
                <w:szCs w:val="16"/>
              </w:rPr>
              <w:t>N/A</w:t>
            </w:r>
          </w:p>
        </w:tc>
        <w:tc>
          <w:tcPr>
            <w:tcW w:w="160" w:type="dxa"/>
            <w:tcBorders>
              <w:left w:val="single" w:sz="12" w:space="0" w:color="auto"/>
            </w:tcBorders>
            <w:vAlign w:val="center"/>
            <w:hideMark/>
          </w:tcPr>
          <w:p w14:paraId="2BD34E72" w14:textId="77777777" w:rsidR="00D5208B" w:rsidRPr="004D6CF0" w:rsidRDefault="00D5208B" w:rsidP="00582CA7">
            <w:pPr>
              <w:rPr>
                <w:sz w:val="16"/>
                <w:szCs w:val="16"/>
              </w:rPr>
            </w:pPr>
          </w:p>
        </w:tc>
      </w:tr>
      <w:tr w:rsidR="004B6A59" w:rsidRPr="00804ED2" w14:paraId="5F5A86ED" w14:textId="77777777" w:rsidTr="00A208C9">
        <w:trPr>
          <w:trHeight w:val="406"/>
          <w:jc w:val="center"/>
        </w:trPr>
        <w:tc>
          <w:tcPr>
            <w:tcW w:w="378" w:type="dxa"/>
            <w:tcBorders>
              <w:top w:val="nil"/>
              <w:left w:val="single" w:sz="12" w:space="0" w:color="auto"/>
              <w:bottom w:val="single" w:sz="4" w:space="0" w:color="auto"/>
              <w:right w:val="single" w:sz="8" w:space="0" w:color="000000"/>
            </w:tcBorders>
            <w:shd w:val="clear" w:color="auto" w:fill="auto"/>
            <w:vAlign w:val="center"/>
            <w:hideMark/>
          </w:tcPr>
          <w:p w14:paraId="01F46008" w14:textId="77777777" w:rsidR="00D5208B" w:rsidRPr="004D6CF0" w:rsidRDefault="00D5208B" w:rsidP="00582CA7">
            <w:pPr>
              <w:jc w:val="center"/>
              <w:rPr>
                <w:color w:val="000000"/>
                <w:sz w:val="16"/>
                <w:szCs w:val="16"/>
              </w:rPr>
            </w:pPr>
            <w:r w:rsidRPr="004D6CF0">
              <w:rPr>
                <w:sz w:val="16"/>
                <w:szCs w:val="16"/>
              </w:rPr>
              <w:t>22</w:t>
            </w:r>
          </w:p>
        </w:tc>
        <w:tc>
          <w:tcPr>
            <w:tcW w:w="3293" w:type="dxa"/>
            <w:tcBorders>
              <w:top w:val="nil"/>
              <w:left w:val="nil"/>
              <w:bottom w:val="single" w:sz="4" w:space="0" w:color="auto"/>
              <w:right w:val="single" w:sz="8" w:space="0" w:color="000000"/>
            </w:tcBorders>
            <w:shd w:val="clear" w:color="auto" w:fill="auto"/>
            <w:vAlign w:val="center"/>
            <w:hideMark/>
          </w:tcPr>
          <w:p w14:paraId="1714BDB1" w14:textId="77777777" w:rsidR="00D5208B" w:rsidRPr="004D6CF0" w:rsidRDefault="00D5208B" w:rsidP="00582CA7">
            <w:pPr>
              <w:rPr>
                <w:color w:val="000000"/>
                <w:sz w:val="16"/>
                <w:szCs w:val="16"/>
              </w:rPr>
            </w:pPr>
            <w:r w:rsidRPr="004D6CF0">
              <w:rPr>
                <w:sz w:val="16"/>
                <w:szCs w:val="16"/>
              </w:rPr>
              <w:t>Para el año 2023 se ha incrementado a 150,000 el número de familias atendidas por el programa de transferencias monetarias</w:t>
            </w:r>
          </w:p>
        </w:tc>
        <w:tc>
          <w:tcPr>
            <w:tcW w:w="1134" w:type="dxa"/>
            <w:tcBorders>
              <w:top w:val="nil"/>
              <w:left w:val="nil"/>
              <w:bottom w:val="single" w:sz="4" w:space="0" w:color="auto"/>
              <w:right w:val="single" w:sz="4" w:space="0" w:color="auto"/>
            </w:tcBorders>
            <w:shd w:val="clear" w:color="auto" w:fill="auto"/>
            <w:vAlign w:val="center"/>
            <w:hideMark/>
          </w:tcPr>
          <w:p w14:paraId="11BDFE48" w14:textId="77777777" w:rsidR="00D5208B" w:rsidRPr="004D6CF0" w:rsidRDefault="00D5208B" w:rsidP="00582CA7">
            <w:pPr>
              <w:jc w:val="center"/>
              <w:rPr>
                <w:color w:val="000000"/>
                <w:sz w:val="16"/>
                <w:szCs w:val="16"/>
              </w:rPr>
            </w:pPr>
            <w:r w:rsidRPr="004D6CF0">
              <w:rPr>
                <w:color w:val="000000"/>
                <w:sz w:val="16"/>
                <w:szCs w:val="16"/>
              </w:rPr>
              <w:t>MIDES</w:t>
            </w:r>
          </w:p>
        </w:tc>
        <w:tc>
          <w:tcPr>
            <w:tcW w:w="709" w:type="dxa"/>
            <w:tcBorders>
              <w:top w:val="nil"/>
              <w:left w:val="nil"/>
              <w:bottom w:val="single" w:sz="4" w:space="0" w:color="auto"/>
              <w:right w:val="single" w:sz="4" w:space="0" w:color="auto"/>
            </w:tcBorders>
            <w:shd w:val="clear" w:color="auto" w:fill="auto"/>
            <w:vAlign w:val="center"/>
            <w:hideMark/>
          </w:tcPr>
          <w:p w14:paraId="40D0C581" w14:textId="77777777" w:rsidR="00D5208B" w:rsidRPr="004D6CF0" w:rsidRDefault="00D5208B" w:rsidP="00582CA7">
            <w:pPr>
              <w:jc w:val="center"/>
              <w:rPr>
                <w:sz w:val="16"/>
                <w:szCs w:val="16"/>
              </w:rPr>
            </w:pPr>
            <w:r w:rsidRPr="004D6CF0">
              <w:rPr>
                <w:sz w:val="16"/>
                <w:szCs w:val="16"/>
              </w:rPr>
              <w:t>181,688</w:t>
            </w:r>
          </w:p>
        </w:tc>
        <w:tc>
          <w:tcPr>
            <w:tcW w:w="850" w:type="dxa"/>
            <w:tcBorders>
              <w:top w:val="nil"/>
              <w:left w:val="nil"/>
              <w:bottom w:val="single" w:sz="4" w:space="0" w:color="auto"/>
              <w:right w:val="single" w:sz="12" w:space="0" w:color="auto"/>
            </w:tcBorders>
            <w:shd w:val="clear" w:color="auto" w:fill="auto"/>
            <w:vAlign w:val="center"/>
            <w:hideMark/>
          </w:tcPr>
          <w:p w14:paraId="2435CC4B" w14:textId="77777777" w:rsidR="00D5208B" w:rsidRPr="004D6CF0" w:rsidRDefault="00D5208B" w:rsidP="00582CA7">
            <w:pPr>
              <w:jc w:val="center"/>
              <w:rPr>
                <w:sz w:val="16"/>
                <w:szCs w:val="16"/>
              </w:rPr>
            </w:pPr>
            <w:r w:rsidRPr="004D6CF0">
              <w:rPr>
                <w:sz w:val="16"/>
                <w:szCs w:val="16"/>
              </w:rPr>
              <w:t>189,199</w:t>
            </w:r>
          </w:p>
        </w:tc>
        <w:tc>
          <w:tcPr>
            <w:tcW w:w="815" w:type="dxa"/>
            <w:tcBorders>
              <w:top w:val="nil"/>
              <w:left w:val="single" w:sz="12" w:space="0" w:color="auto"/>
              <w:bottom w:val="single" w:sz="4" w:space="0" w:color="auto"/>
              <w:right w:val="single" w:sz="4" w:space="0" w:color="auto"/>
            </w:tcBorders>
            <w:shd w:val="clear" w:color="auto" w:fill="auto"/>
            <w:vAlign w:val="center"/>
            <w:hideMark/>
          </w:tcPr>
          <w:p w14:paraId="3EEB1856" w14:textId="77777777" w:rsidR="00D5208B" w:rsidRPr="004D6CF0" w:rsidRDefault="00D5208B" w:rsidP="00582CA7">
            <w:pPr>
              <w:jc w:val="center"/>
              <w:rPr>
                <w:sz w:val="16"/>
                <w:szCs w:val="16"/>
              </w:rPr>
            </w:pPr>
            <w:r w:rsidRPr="004D6CF0">
              <w:rPr>
                <w:sz w:val="16"/>
                <w:szCs w:val="16"/>
              </w:rPr>
              <w:t>150,000</w:t>
            </w:r>
          </w:p>
        </w:tc>
        <w:tc>
          <w:tcPr>
            <w:tcW w:w="1029" w:type="dxa"/>
            <w:tcBorders>
              <w:top w:val="nil"/>
              <w:left w:val="nil"/>
              <w:bottom w:val="single" w:sz="4" w:space="0" w:color="auto"/>
              <w:right w:val="single" w:sz="4" w:space="0" w:color="auto"/>
            </w:tcBorders>
            <w:shd w:val="clear" w:color="auto" w:fill="auto"/>
            <w:vAlign w:val="center"/>
            <w:hideMark/>
          </w:tcPr>
          <w:p w14:paraId="5C1172D5" w14:textId="77777777" w:rsidR="00D5208B" w:rsidRPr="004D6CF0" w:rsidRDefault="00D5208B" w:rsidP="00582CA7">
            <w:pPr>
              <w:jc w:val="center"/>
              <w:rPr>
                <w:sz w:val="16"/>
                <w:szCs w:val="16"/>
              </w:rPr>
            </w:pPr>
            <w:r w:rsidRPr="004D6CF0">
              <w:rPr>
                <w:sz w:val="16"/>
                <w:szCs w:val="16"/>
              </w:rPr>
              <w:t>Superada por 39,199 transferencias</w:t>
            </w:r>
          </w:p>
        </w:tc>
        <w:tc>
          <w:tcPr>
            <w:tcW w:w="708" w:type="dxa"/>
            <w:tcBorders>
              <w:top w:val="nil"/>
              <w:left w:val="nil"/>
              <w:bottom w:val="single" w:sz="4" w:space="0" w:color="auto"/>
              <w:right w:val="single" w:sz="12" w:space="0" w:color="auto"/>
            </w:tcBorders>
            <w:shd w:val="clear" w:color="000000" w:fill="92D050"/>
            <w:vAlign w:val="center"/>
            <w:hideMark/>
          </w:tcPr>
          <w:p w14:paraId="246F3C2F" w14:textId="77777777" w:rsidR="00D5208B" w:rsidRPr="004D6CF0" w:rsidRDefault="00D5208B" w:rsidP="00582CA7">
            <w:pPr>
              <w:jc w:val="center"/>
              <w:rPr>
                <w:b/>
                <w:bCs/>
                <w:sz w:val="16"/>
                <w:szCs w:val="16"/>
              </w:rPr>
            </w:pPr>
            <w:r w:rsidRPr="004D6CF0">
              <w:rPr>
                <w:b/>
                <w:bCs/>
                <w:sz w:val="16"/>
                <w:szCs w:val="16"/>
              </w:rPr>
              <w:t>228.0%</w:t>
            </w:r>
          </w:p>
        </w:tc>
        <w:tc>
          <w:tcPr>
            <w:tcW w:w="160" w:type="dxa"/>
            <w:tcBorders>
              <w:left w:val="single" w:sz="12" w:space="0" w:color="auto"/>
            </w:tcBorders>
            <w:vAlign w:val="center"/>
            <w:hideMark/>
          </w:tcPr>
          <w:p w14:paraId="5A6492A4" w14:textId="77777777" w:rsidR="00D5208B" w:rsidRPr="004D6CF0" w:rsidRDefault="00D5208B" w:rsidP="00582CA7">
            <w:pPr>
              <w:rPr>
                <w:sz w:val="16"/>
                <w:szCs w:val="16"/>
              </w:rPr>
            </w:pPr>
          </w:p>
        </w:tc>
      </w:tr>
      <w:tr w:rsidR="004B6A59" w:rsidRPr="00804ED2" w14:paraId="0690B508" w14:textId="77777777" w:rsidTr="00A208C9">
        <w:trPr>
          <w:trHeight w:val="414"/>
          <w:jc w:val="center"/>
        </w:trPr>
        <w:tc>
          <w:tcPr>
            <w:tcW w:w="378" w:type="dxa"/>
            <w:tcBorders>
              <w:top w:val="nil"/>
              <w:left w:val="single" w:sz="12" w:space="0" w:color="auto"/>
              <w:bottom w:val="single" w:sz="4" w:space="0" w:color="auto"/>
              <w:right w:val="single" w:sz="8" w:space="0" w:color="000000"/>
            </w:tcBorders>
            <w:shd w:val="clear" w:color="auto" w:fill="auto"/>
            <w:vAlign w:val="center"/>
            <w:hideMark/>
          </w:tcPr>
          <w:p w14:paraId="2EF71AC6" w14:textId="77777777" w:rsidR="00D5208B" w:rsidRPr="004D6CF0" w:rsidRDefault="00D5208B" w:rsidP="00582CA7">
            <w:pPr>
              <w:jc w:val="center"/>
              <w:rPr>
                <w:color w:val="000000"/>
                <w:sz w:val="16"/>
                <w:szCs w:val="16"/>
              </w:rPr>
            </w:pPr>
            <w:r w:rsidRPr="004D6CF0">
              <w:rPr>
                <w:sz w:val="16"/>
                <w:szCs w:val="16"/>
              </w:rPr>
              <w:t>23</w:t>
            </w:r>
          </w:p>
        </w:tc>
        <w:tc>
          <w:tcPr>
            <w:tcW w:w="3293" w:type="dxa"/>
            <w:tcBorders>
              <w:top w:val="nil"/>
              <w:left w:val="nil"/>
              <w:bottom w:val="single" w:sz="4" w:space="0" w:color="auto"/>
              <w:right w:val="single" w:sz="8" w:space="0" w:color="000000"/>
            </w:tcBorders>
            <w:shd w:val="clear" w:color="auto" w:fill="auto"/>
            <w:vAlign w:val="center"/>
            <w:hideMark/>
          </w:tcPr>
          <w:p w14:paraId="58CAEE40" w14:textId="77777777" w:rsidR="00D5208B" w:rsidRPr="004D6CF0" w:rsidRDefault="00D5208B" w:rsidP="00582CA7">
            <w:pPr>
              <w:rPr>
                <w:color w:val="000000"/>
                <w:sz w:val="16"/>
                <w:szCs w:val="16"/>
              </w:rPr>
            </w:pPr>
            <w:r w:rsidRPr="004D6CF0">
              <w:rPr>
                <w:sz w:val="16"/>
                <w:szCs w:val="16"/>
              </w:rPr>
              <w:t>Para el año 2023, se ha incrementado a 4.0 millones el número de raciones (desayunos y almuerzos) servidos en comedores sociales</w:t>
            </w:r>
          </w:p>
        </w:tc>
        <w:tc>
          <w:tcPr>
            <w:tcW w:w="1134" w:type="dxa"/>
            <w:tcBorders>
              <w:top w:val="nil"/>
              <w:left w:val="nil"/>
              <w:bottom w:val="single" w:sz="4" w:space="0" w:color="auto"/>
              <w:right w:val="single" w:sz="4" w:space="0" w:color="auto"/>
            </w:tcBorders>
            <w:shd w:val="clear" w:color="auto" w:fill="auto"/>
            <w:vAlign w:val="center"/>
            <w:hideMark/>
          </w:tcPr>
          <w:p w14:paraId="7C2302A9" w14:textId="77777777" w:rsidR="00D5208B" w:rsidRPr="004D6CF0" w:rsidRDefault="00D5208B" w:rsidP="00582CA7">
            <w:pPr>
              <w:jc w:val="center"/>
              <w:rPr>
                <w:color w:val="000000"/>
                <w:sz w:val="16"/>
                <w:szCs w:val="16"/>
              </w:rPr>
            </w:pPr>
            <w:r w:rsidRPr="004D6CF0">
              <w:rPr>
                <w:color w:val="000000"/>
                <w:sz w:val="16"/>
                <w:szCs w:val="16"/>
              </w:rPr>
              <w:t>MIDES</w:t>
            </w:r>
          </w:p>
        </w:tc>
        <w:tc>
          <w:tcPr>
            <w:tcW w:w="709" w:type="dxa"/>
            <w:tcBorders>
              <w:top w:val="nil"/>
              <w:left w:val="nil"/>
              <w:bottom w:val="single" w:sz="4" w:space="0" w:color="auto"/>
              <w:right w:val="single" w:sz="4" w:space="0" w:color="auto"/>
            </w:tcBorders>
            <w:shd w:val="clear" w:color="auto" w:fill="auto"/>
            <w:vAlign w:val="center"/>
            <w:hideMark/>
          </w:tcPr>
          <w:p w14:paraId="6629FF6F" w14:textId="77777777" w:rsidR="00D5208B" w:rsidRPr="004D6CF0" w:rsidRDefault="00D5208B" w:rsidP="00582CA7">
            <w:pPr>
              <w:jc w:val="center"/>
              <w:rPr>
                <w:sz w:val="16"/>
                <w:szCs w:val="16"/>
              </w:rPr>
            </w:pPr>
            <w:r w:rsidRPr="004D6CF0">
              <w:rPr>
                <w:sz w:val="16"/>
                <w:szCs w:val="16"/>
              </w:rPr>
              <w:t>4.96</w:t>
            </w:r>
          </w:p>
        </w:tc>
        <w:tc>
          <w:tcPr>
            <w:tcW w:w="850" w:type="dxa"/>
            <w:tcBorders>
              <w:top w:val="nil"/>
              <w:left w:val="nil"/>
              <w:bottom w:val="single" w:sz="4" w:space="0" w:color="auto"/>
              <w:right w:val="single" w:sz="12" w:space="0" w:color="auto"/>
            </w:tcBorders>
            <w:shd w:val="clear" w:color="auto" w:fill="auto"/>
            <w:vAlign w:val="center"/>
            <w:hideMark/>
          </w:tcPr>
          <w:p w14:paraId="743930D8" w14:textId="77777777" w:rsidR="00D5208B" w:rsidRPr="004D6CF0" w:rsidRDefault="00D5208B" w:rsidP="00582CA7">
            <w:pPr>
              <w:jc w:val="center"/>
              <w:rPr>
                <w:sz w:val="16"/>
                <w:szCs w:val="16"/>
              </w:rPr>
            </w:pPr>
            <w:r w:rsidRPr="004D6CF0">
              <w:rPr>
                <w:sz w:val="16"/>
                <w:szCs w:val="16"/>
              </w:rPr>
              <w:t>8.13</w:t>
            </w:r>
          </w:p>
        </w:tc>
        <w:tc>
          <w:tcPr>
            <w:tcW w:w="815" w:type="dxa"/>
            <w:tcBorders>
              <w:top w:val="nil"/>
              <w:left w:val="single" w:sz="12" w:space="0" w:color="auto"/>
              <w:bottom w:val="single" w:sz="4" w:space="0" w:color="auto"/>
              <w:right w:val="single" w:sz="4" w:space="0" w:color="auto"/>
            </w:tcBorders>
            <w:shd w:val="clear" w:color="auto" w:fill="auto"/>
            <w:vAlign w:val="center"/>
            <w:hideMark/>
          </w:tcPr>
          <w:p w14:paraId="5113C168" w14:textId="77777777" w:rsidR="00D5208B" w:rsidRPr="004D6CF0" w:rsidRDefault="00D5208B" w:rsidP="00582CA7">
            <w:pPr>
              <w:jc w:val="center"/>
              <w:rPr>
                <w:sz w:val="16"/>
                <w:szCs w:val="16"/>
              </w:rPr>
            </w:pPr>
            <w:r w:rsidRPr="004D6CF0">
              <w:rPr>
                <w:sz w:val="16"/>
                <w:szCs w:val="16"/>
              </w:rPr>
              <w:t>4.0</w:t>
            </w:r>
          </w:p>
        </w:tc>
        <w:tc>
          <w:tcPr>
            <w:tcW w:w="1029" w:type="dxa"/>
            <w:tcBorders>
              <w:top w:val="nil"/>
              <w:left w:val="nil"/>
              <w:bottom w:val="single" w:sz="4" w:space="0" w:color="auto"/>
              <w:right w:val="single" w:sz="4" w:space="0" w:color="auto"/>
            </w:tcBorders>
            <w:shd w:val="clear" w:color="auto" w:fill="auto"/>
            <w:vAlign w:val="center"/>
            <w:hideMark/>
          </w:tcPr>
          <w:p w14:paraId="7DEFA531" w14:textId="77777777" w:rsidR="00D5208B" w:rsidRPr="004D6CF0" w:rsidRDefault="00D5208B" w:rsidP="00582CA7">
            <w:pPr>
              <w:jc w:val="center"/>
              <w:rPr>
                <w:sz w:val="16"/>
                <w:szCs w:val="16"/>
              </w:rPr>
            </w:pPr>
            <w:r w:rsidRPr="004D6CF0">
              <w:rPr>
                <w:sz w:val="16"/>
                <w:szCs w:val="16"/>
              </w:rPr>
              <w:t>Superada por 4.13</w:t>
            </w:r>
            <w:r>
              <w:rPr>
                <w:sz w:val="16"/>
                <w:szCs w:val="16"/>
              </w:rPr>
              <w:t xml:space="preserve"> millones de </w:t>
            </w:r>
            <w:r w:rsidRPr="004D6CF0">
              <w:rPr>
                <w:sz w:val="16"/>
                <w:szCs w:val="16"/>
              </w:rPr>
              <w:t>raciones</w:t>
            </w:r>
          </w:p>
        </w:tc>
        <w:tc>
          <w:tcPr>
            <w:tcW w:w="708" w:type="dxa"/>
            <w:tcBorders>
              <w:top w:val="nil"/>
              <w:left w:val="nil"/>
              <w:bottom w:val="single" w:sz="4" w:space="0" w:color="auto"/>
              <w:right w:val="single" w:sz="12" w:space="0" w:color="auto"/>
            </w:tcBorders>
            <w:shd w:val="clear" w:color="000000" w:fill="92D050"/>
            <w:vAlign w:val="center"/>
            <w:hideMark/>
          </w:tcPr>
          <w:p w14:paraId="6DA15703" w14:textId="77777777" w:rsidR="00D5208B" w:rsidRPr="004D6CF0" w:rsidRDefault="00D5208B" w:rsidP="00582CA7">
            <w:pPr>
              <w:jc w:val="center"/>
              <w:rPr>
                <w:b/>
                <w:bCs/>
                <w:sz w:val="16"/>
                <w:szCs w:val="16"/>
              </w:rPr>
            </w:pPr>
            <w:r w:rsidRPr="004D6CF0">
              <w:rPr>
                <w:b/>
                <w:bCs/>
                <w:sz w:val="16"/>
                <w:szCs w:val="16"/>
              </w:rPr>
              <w:t>520.0%</w:t>
            </w:r>
          </w:p>
        </w:tc>
        <w:tc>
          <w:tcPr>
            <w:tcW w:w="160" w:type="dxa"/>
            <w:tcBorders>
              <w:left w:val="single" w:sz="12" w:space="0" w:color="auto"/>
            </w:tcBorders>
            <w:vAlign w:val="center"/>
            <w:hideMark/>
          </w:tcPr>
          <w:p w14:paraId="61940500" w14:textId="77777777" w:rsidR="00D5208B" w:rsidRPr="004D6CF0" w:rsidRDefault="00D5208B" w:rsidP="00582CA7">
            <w:pPr>
              <w:rPr>
                <w:sz w:val="16"/>
                <w:szCs w:val="16"/>
              </w:rPr>
            </w:pPr>
          </w:p>
        </w:tc>
      </w:tr>
      <w:tr w:rsidR="004B6A59" w:rsidRPr="00804ED2" w14:paraId="1F2267C8" w14:textId="77777777" w:rsidTr="00A208C9">
        <w:trPr>
          <w:trHeight w:val="422"/>
          <w:jc w:val="center"/>
        </w:trPr>
        <w:tc>
          <w:tcPr>
            <w:tcW w:w="378" w:type="dxa"/>
            <w:tcBorders>
              <w:top w:val="nil"/>
              <w:left w:val="single" w:sz="12" w:space="0" w:color="auto"/>
              <w:bottom w:val="single" w:sz="4" w:space="0" w:color="auto"/>
              <w:right w:val="single" w:sz="8" w:space="0" w:color="000000"/>
            </w:tcBorders>
            <w:shd w:val="clear" w:color="auto" w:fill="auto"/>
            <w:vAlign w:val="center"/>
            <w:hideMark/>
          </w:tcPr>
          <w:p w14:paraId="787DBA30" w14:textId="77777777" w:rsidR="00D5208B" w:rsidRPr="004D6CF0" w:rsidRDefault="00D5208B" w:rsidP="00582CA7">
            <w:pPr>
              <w:jc w:val="center"/>
              <w:rPr>
                <w:color w:val="000000"/>
                <w:sz w:val="16"/>
                <w:szCs w:val="16"/>
              </w:rPr>
            </w:pPr>
            <w:r w:rsidRPr="004D6CF0">
              <w:rPr>
                <w:sz w:val="16"/>
                <w:szCs w:val="16"/>
              </w:rPr>
              <w:t>24</w:t>
            </w:r>
          </w:p>
        </w:tc>
        <w:tc>
          <w:tcPr>
            <w:tcW w:w="3293" w:type="dxa"/>
            <w:tcBorders>
              <w:top w:val="nil"/>
              <w:left w:val="nil"/>
              <w:bottom w:val="single" w:sz="4" w:space="0" w:color="auto"/>
              <w:right w:val="single" w:sz="8" w:space="0" w:color="000000"/>
            </w:tcBorders>
            <w:shd w:val="clear" w:color="auto" w:fill="auto"/>
            <w:vAlign w:val="center"/>
            <w:hideMark/>
          </w:tcPr>
          <w:p w14:paraId="0A5CABD1" w14:textId="77777777" w:rsidR="00D5208B" w:rsidRPr="004D6CF0" w:rsidRDefault="00D5208B" w:rsidP="00582CA7">
            <w:pPr>
              <w:rPr>
                <w:color w:val="000000"/>
                <w:sz w:val="16"/>
                <w:szCs w:val="16"/>
              </w:rPr>
            </w:pPr>
            <w:r w:rsidRPr="004D6CF0">
              <w:rPr>
                <w:sz w:val="16"/>
                <w:szCs w:val="16"/>
              </w:rPr>
              <w:t>Para el año 2023 se ha incrementado en 6,000 el número de adultos mayores atendidos por el programa de pensiones.</w:t>
            </w:r>
          </w:p>
        </w:tc>
        <w:tc>
          <w:tcPr>
            <w:tcW w:w="1134" w:type="dxa"/>
            <w:tcBorders>
              <w:top w:val="nil"/>
              <w:left w:val="nil"/>
              <w:bottom w:val="single" w:sz="4" w:space="0" w:color="auto"/>
              <w:right w:val="single" w:sz="4" w:space="0" w:color="auto"/>
            </w:tcBorders>
            <w:shd w:val="clear" w:color="auto" w:fill="auto"/>
            <w:vAlign w:val="center"/>
            <w:hideMark/>
          </w:tcPr>
          <w:p w14:paraId="20382574" w14:textId="77777777" w:rsidR="00D5208B" w:rsidRPr="004D6CF0" w:rsidRDefault="00D5208B" w:rsidP="00582CA7">
            <w:pPr>
              <w:jc w:val="center"/>
              <w:rPr>
                <w:color w:val="000000"/>
                <w:sz w:val="16"/>
                <w:szCs w:val="16"/>
              </w:rPr>
            </w:pPr>
            <w:r w:rsidRPr="004D6CF0">
              <w:rPr>
                <w:color w:val="000000"/>
                <w:sz w:val="16"/>
                <w:szCs w:val="16"/>
              </w:rPr>
              <w:t>MINTRAB</w:t>
            </w:r>
          </w:p>
        </w:tc>
        <w:tc>
          <w:tcPr>
            <w:tcW w:w="709" w:type="dxa"/>
            <w:tcBorders>
              <w:top w:val="nil"/>
              <w:left w:val="nil"/>
              <w:bottom w:val="single" w:sz="4" w:space="0" w:color="auto"/>
              <w:right w:val="single" w:sz="4" w:space="0" w:color="auto"/>
            </w:tcBorders>
            <w:shd w:val="clear" w:color="auto" w:fill="auto"/>
            <w:vAlign w:val="center"/>
            <w:hideMark/>
          </w:tcPr>
          <w:p w14:paraId="25019348" w14:textId="77777777" w:rsidR="00D5208B" w:rsidRPr="004D6CF0" w:rsidRDefault="00D5208B" w:rsidP="00582CA7">
            <w:pPr>
              <w:jc w:val="center"/>
              <w:rPr>
                <w:sz w:val="16"/>
                <w:szCs w:val="16"/>
              </w:rPr>
            </w:pPr>
            <w:r w:rsidRPr="004D6CF0">
              <w:rPr>
                <w:sz w:val="16"/>
                <w:szCs w:val="16"/>
              </w:rPr>
              <w:t>119,756</w:t>
            </w:r>
          </w:p>
        </w:tc>
        <w:tc>
          <w:tcPr>
            <w:tcW w:w="850" w:type="dxa"/>
            <w:tcBorders>
              <w:top w:val="nil"/>
              <w:left w:val="nil"/>
              <w:bottom w:val="single" w:sz="4" w:space="0" w:color="auto"/>
              <w:right w:val="single" w:sz="12" w:space="0" w:color="auto"/>
            </w:tcBorders>
            <w:shd w:val="clear" w:color="auto" w:fill="auto"/>
            <w:vAlign w:val="center"/>
            <w:hideMark/>
          </w:tcPr>
          <w:p w14:paraId="487BF737" w14:textId="77777777" w:rsidR="00D5208B" w:rsidRPr="004D6CF0" w:rsidRDefault="00D5208B" w:rsidP="00582CA7">
            <w:pPr>
              <w:jc w:val="center"/>
              <w:rPr>
                <w:sz w:val="16"/>
                <w:szCs w:val="16"/>
              </w:rPr>
            </w:pPr>
            <w:r w:rsidRPr="004D6CF0">
              <w:rPr>
                <w:sz w:val="16"/>
                <w:szCs w:val="16"/>
              </w:rPr>
              <w:t>147,490</w:t>
            </w:r>
          </w:p>
        </w:tc>
        <w:tc>
          <w:tcPr>
            <w:tcW w:w="815" w:type="dxa"/>
            <w:tcBorders>
              <w:top w:val="nil"/>
              <w:left w:val="single" w:sz="12" w:space="0" w:color="auto"/>
              <w:bottom w:val="single" w:sz="4" w:space="0" w:color="auto"/>
              <w:right w:val="single" w:sz="4" w:space="0" w:color="auto"/>
            </w:tcBorders>
            <w:shd w:val="clear" w:color="auto" w:fill="auto"/>
            <w:vAlign w:val="center"/>
            <w:hideMark/>
          </w:tcPr>
          <w:p w14:paraId="56C7CC73" w14:textId="77777777" w:rsidR="00D5208B" w:rsidRPr="004D6CF0" w:rsidRDefault="00D5208B" w:rsidP="00582CA7">
            <w:pPr>
              <w:jc w:val="center"/>
              <w:rPr>
                <w:sz w:val="16"/>
                <w:szCs w:val="16"/>
              </w:rPr>
            </w:pPr>
            <w:r w:rsidRPr="004D6CF0">
              <w:rPr>
                <w:sz w:val="16"/>
                <w:szCs w:val="16"/>
              </w:rPr>
              <w:t>107,130</w:t>
            </w:r>
          </w:p>
        </w:tc>
        <w:tc>
          <w:tcPr>
            <w:tcW w:w="1029" w:type="dxa"/>
            <w:tcBorders>
              <w:top w:val="nil"/>
              <w:left w:val="nil"/>
              <w:bottom w:val="single" w:sz="4" w:space="0" w:color="auto"/>
              <w:right w:val="single" w:sz="4" w:space="0" w:color="auto"/>
            </w:tcBorders>
            <w:shd w:val="clear" w:color="auto" w:fill="auto"/>
            <w:vAlign w:val="center"/>
            <w:hideMark/>
          </w:tcPr>
          <w:p w14:paraId="49FB3EF4" w14:textId="77777777" w:rsidR="00D5208B" w:rsidRPr="004D6CF0" w:rsidRDefault="00D5208B" w:rsidP="00582CA7">
            <w:pPr>
              <w:jc w:val="center"/>
              <w:rPr>
                <w:sz w:val="16"/>
                <w:szCs w:val="16"/>
              </w:rPr>
            </w:pPr>
            <w:r w:rsidRPr="004D6CF0">
              <w:rPr>
                <w:sz w:val="16"/>
                <w:szCs w:val="16"/>
              </w:rPr>
              <w:t>superada por 40,360 adultos mayores</w:t>
            </w:r>
          </w:p>
        </w:tc>
        <w:tc>
          <w:tcPr>
            <w:tcW w:w="708" w:type="dxa"/>
            <w:tcBorders>
              <w:top w:val="nil"/>
              <w:left w:val="nil"/>
              <w:bottom w:val="single" w:sz="4" w:space="0" w:color="auto"/>
              <w:right w:val="single" w:sz="12" w:space="0" w:color="auto"/>
            </w:tcBorders>
            <w:shd w:val="clear" w:color="000000" w:fill="92D050"/>
            <w:vAlign w:val="center"/>
            <w:hideMark/>
          </w:tcPr>
          <w:p w14:paraId="46AAF50D" w14:textId="77777777" w:rsidR="00D5208B" w:rsidRPr="004D6CF0" w:rsidRDefault="00D5208B" w:rsidP="00582CA7">
            <w:pPr>
              <w:jc w:val="center"/>
              <w:rPr>
                <w:b/>
                <w:bCs/>
                <w:sz w:val="16"/>
                <w:szCs w:val="16"/>
              </w:rPr>
            </w:pPr>
            <w:r w:rsidRPr="004D6CF0">
              <w:rPr>
                <w:b/>
                <w:bCs/>
                <w:sz w:val="16"/>
                <w:szCs w:val="16"/>
              </w:rPr>
              <w:t>773.0%</w:t>
            </w:r>
          </w:p>
        </w:tc>
        <w:tc>
          <w:tcPr>
            <w:tcW w:w="160" w:type="dxa"/>
            <w:tcBorders>
              <w:left w:val="single" w:sz="12" w:space="0" w:color="auto"/>
            </w:tcBorders>
            <w:vAlign w:val="center"/>
            <w:hideMark/>
          </w:tcPr>
          <w:p w14:paraId="2787C878" w14:textId="77777777" w:rsidR="00D5208B" w:rsidRPr="004D6CF0" w:rsidRDefault="00D5208B" w:rsidP="00582CA7">
            <w:pPr>
              <w:rPr>
                <w:sz w:val="16"/>
                <w:szCs w:val="16"/>
              </w:rPr>
            </w:pPr>
          </w:p>
        </w:tc>
      </w:tr>
      <w:tr w:rsidR="004B6A59" w:rsidRPr="00804ED2" w14:paraId="1FF8AFA6" w14:textId="77777777" w:rsidTr="00A208C9">
        <w:trPr>
          <w:trHeight w:val="390"/>
          <w:jc w:val="center"/>
        </w:trPr>
        <w:tc>
          <w:tcPr>
            <w:tcW w:w="378" w:type="dxa"/>
            <w:tcBorders>
              <w:top w:val="nil"/>
              <w:left w:val="single" w:sz="12" w:space="0" w:color="auto"/>
              <w:bottom w:val="single" w:sz="12" w:space="0" w:color="auto"/>
              <w:right w:val="single" w:sz="8" w:space="0" w:color="000000"/>
            </w:tcBorders>
            <w:shd w:val="clear" w:color="auto" w:fill="auto"/>
            <w:vAlign w:val="center"/>
            <w:hideMark/>
          </w:tcPr>
          <w:p w14:paraId="05F42260" w14:textId="77777777" w:rsidR="00D5208B" w:rsidRPr="004D6CF0" w:rsidRDefault="00D5208B" w:rsidP="00582CA7">
            <w:pPr>
              <w:jc w:val="center"/>
              <w:rPr>
                <w:color w:val="000000"/>
                <w:sz w:val="16"/>
                <w:szCs w:val="16"/>
              </w:rPr>
            </w:pPr>
            <w:r w:rsidRPr="004D6CF0">
              <w:rPr>
                <w:sz w:val="16"/>
                <w:szCs w:val="16"/>
              </w:rPr>
              <w:t>25</w:t>
            </w:r>
          </w:p>
        </w:tc>
        <w:tc>
          <w:tcPr>
            <w:tcW w:w="3293" w:type="dxa"/>
            <w:tcBorders>
              <w:top w:val="nil"/>
              <w:left w:val="nil"/>
              <w:bottom w:val="single" w:sz="12" w:space="0" w:color="auto"/>
              <w:right w:val="single" w:sz="8" w:space="0" w:color="000000"/>
            </w:tcBorders>
            <w:shd w:val="clear" w:color="auto" w:fill="auto"/>
            <w:vAlign w:val="center"/>
            <w:hideMark/>
          </w:tcPr>
          <w:p w14:paraId="01D771A1" w14:textId="77777777" w:rsidR="00D5208B" w:rsidRPr="004D6CF0" w:rsidRDefault="00D5208B" w:rsidP="00582CA7">
            <w:pPr>
              <w:rPr>
                <w:color w:val="000000"/>
                <w:sz w:val="16"/>
                <w:szCs w:val="16"/>
              </w:rPr>
            </w:pPr>
            <w:r w:rsidRPr="004D6CF0">
              <w:rPr>
                <w:sz w:val="16"/>
                <w:szCs w:val="16"/>
              </w:rPr>
              <w:t>Para el año 2023 se ha incrementado en Q 17.0 millones el monto asignado al fondo social para la atención a desastres</w:t>
            </w:r>
          </w:p>
        </w:tc>
        <w:tc>
          <w:tcPr>
            <w:tcW w:w="1134" w:type="dxa"/>
            <w:tcBorders>
              <w:top w:val="nil"/>
              <w:left w:val="nil"/>
              <w:bottom w:val="single" w:sz="12" w:space="0" w:color="auto"/>
              <w:right w:val="single" w:sz="4" w:space="0" w:color="auto"/>
            </w:tcBorders>
            <w:shd w:val="clear" w:color="auto" w:fill="auto"/>
            <w:vAlign w:val="center"/>
            <w:hideMark/>
          </w:tcPr>
          <w:p w14:paraId="412EDC2B" w14:textId="77777777" w:rsidR="00D5208B" w:rsidRPr="004D6CF0" w:rsidRDefault="00D5208B" w:rsidP="00582CA7">
            <w:pPr>
              <w:jc w:val="center"/>
              <w:rPr>
                <w:color w:val="000000"/>
                <w:sz w:val="16"/>
                <w:szCs w:val="16"/>
              </w:rPr>
            </w:pPr>
            <w:r w:rsidRPr="004D6CF0">
              <w:rPr>
                <w:color w:val="000000"/>
                <w:sz w:val="16"/>
                <w:szCs w:val="16"/>
              </w:rPr>
              <w:t>SE-CONRED</w:t>
            </w:r>
          </w:p>
        </w:tc>
        <w:tc>
          <w:tcPr>
            <w:tcW w:w="709" w:type="dxa"/>
            <w:tcBorders>
              <w:top w:val="nil"/>
              <w:left w:val="nil"/>
              <w:bottom w:val="single" w:sz="12" w:space="0" w:color="auto"/>
              <w:right w:val="single" w:sz="4" w:space="0" w:color="auto"/>
            </w:tcBorders>
            <w:shd w:val="clear" w:color="auto" w:fill="auto"/>
            <w:vAlign w:val="center"/>
            <w:hideMark/>
          </w:tcPr>
          <w:p w14:paraId="3DC13DAF" w14:textId="77777777" w:rsidR="00D5208B" w:rsidRPr="004D6CF0" w:rsidRDefault="00D5208B" w:rsidP="00582CA7">
            <w:pPr>
              <w:jc w:val="center"/>
              <w:rPr>
                <w:sz w:val="16"/>
                <w:szCs w:val="16"/>
              </w:rPr>
            </w:pPr>
            <w:r w:rsidRPr="004D6CF0">
              <w:rPr>
                <w:sz w:val="16"/>
                <w:szCs w:val="16"/>
              </w:rPr>
              <w:t>Q8.0 millones</w:t>
            </w:r>
          </w:p>
        </w:tc>
        <w:tc>
          <w:tcPr>
            <w:tcW w:w="850" w:type="dxa"/>
            <w:tcBorders>
              <w:top w:val="nil"/>
              <w:left w:val="nil"/>
              <w:bottom w:val="single" w:sz="12" w:space="0" w:color="auto"/>
              <w:right w:val="single" w:sz="12" w:space="0" w:color="auto"/>
            </w:tcBorders>
            <w:shd w:val="clear" w:color="auto" w:fill="auto"/>
            <w:vAlign w:val="center"/>
            <w:hideMark/>
          </w:tcPr>
          <w:p w14:paraId="396827CF" w14:textId="77777777" w:rsidR="00D5208B" w:rsidRPr="004D6CF0" w:rsidRDefault="00D5208B" w:rsidP="00582CA7">
            <w:pPr>
              <w:jc w:val="center"/>
              <w:rPr>
                <w:sz w:val="16"/>
                <w:szCs w:val="16"/>
              </w:rPr>
            </w:pPr>
            <w:r w:rsidRPr="004D6CF0">
              <w:rPr>
                <w:sz w:val="16"/>
                <w:szCs w:val="16"/>
              </w:rPr>
              <w:t>Q10 millones</w:t>
            </w:r>
          </w:p>
        </w:tc>
        <w:tc>
          <w:tcPr>
            <w:tcW w:w="815" w:type="dxa"/>
            <w:tcBorders>
              <w:top w:val="nil"/>
              <w:left w:val="single" w:sz="12" w:space="0" w:color="auto"/>
              <w:bottom w:val="single" w:sz="12" w:space="0" w:color="auto"/>
              <w:right w:val="single" w:sz="4" w:space="0" w:color="auto"/>
            </w:tcBorders>
            <w:shd w:val="clear" w:color="auto" w:fill="auto"/>
            <w:vAlign w:val="center"/>
            <w:hideMark/>
          </w:tcPr>
          <w:p w14:paraId="6BCC03BE" w14:textId="77777777" w:rsidR="00D5208B" w:rsidRPr="004D6CF0" w:rsidRDefault="00D5208B" w:rsidP="00582CA7">
            <w:pPr>
              <w:jc w:val="center"/>
              <w:rPr>
                <w:sz w:val="16"/>
                <w:szCs w:val="16"/>
              </w:rPr>
            </w:pPr>
            <w:r w:rsidRPr="004D6CF0">
              <w:rPr>
                <w:sz w:val="16"/>
                <w:szCs w:val="16"/>
              </w:rPr>
              <w:t>Q25 millones</w:t>
            </w:r>
          </w:p>
        </w:tc>
        <w:tc>
          <w:tcPr>
            <w:tcW w:w="1029" w:type="dxa"/>
            <w:tcBorders>
              <w:top w:val="nil"/>
              <w:left w:val="nil"/>
              <w:bottom w:val="single" w:sz="12" w:space="0" w:color="auto"/>
              <w:right w:val="single" w:sz="4" w:space="0" w:color="auto"/>
            </w:tcBorders>
            <w:shd w:val="clear" w:color="auto" w:fill="auto"/>
            <w:vAlign w:val="center"/>
            <w:hideMark/>
          </w:tcPr>
          <w:p w14:paraId="0CB87E2C" w14:textId="77777777" w:rsidR="00D5208B" w:rsidRPr="004D6CF0" w:rsidRDefault="00D5208B" w:rsidP="00582CA7">
            <w:pPr>
              <w:jc w:val="center"/>
              <w:rPr>
                <w:color w:val="C00000"/>
                <w:sz w:val="16"/>
                <w:szCs w:val="16"/>
              </w:rPr>
            </w:pPr>
            <w:r w:rsidRPr="004D6CF0">
              <w:rPr>
                <w:color w:val="C00000"/>
                <w:sz w:val="16"/>
                <w:szCs w:val="16"/>
              </w:rPr>
              <w:t>-Q15</w:t>
            </w:r>
          </w:p>
        </w:tc>
        <w:tc>
          <w:tcPr>
            <w:tcW w:w="708" w:type="dxa"/>
            <w:tcBorders>
              <w:top w:val="nil"/>
              <w:left w:val="nil"/>
              <w:bottom w:val="single" w:sz="12" w:space="0" w:color="auto"/>
              <w:right w:val="single" w:sz="12" w:space="0" w:color="auto"/>
            </w:tcBorders>
            <w:shd w:val="clear" w:color="000000" w:fill="C00000"/>
            <w:vAlign w:val="center"/>
            <w:hideMark/>
          </w:tcPr>
          <w:p w14:paraId="1CCD1210" w14:textId="77777777" w:rsidR="00D5208B" w:rsidRPr="004D6CF0" w:rsidRDefault="00D5208B" w:rsidP="00582CA7">
            <w:pPr>
              <w:jc w:val="center"/>
              <w:rPr>
                <w:b/>
                <w:bCs/>
                <w:color w:val="FFFFFF"/>
                <w:sz w:val="16"/>
                <w:szCs w:val="16"/>
              </w:rPr>
            </w:pPr>
            <w:r w:rsidRPr="004D6CF0">
              <w:rPr>
                <w:b/>
                <w:bCs/>
                <w:color w:val="FFFFFF"/>
                <w:sz w:val="16"/>
                <w:szCs w:val="16"/>
              </w:rPr>
              <w:t>12.0%</w:t>
            </w:r>
          </w:p>
        </w:tc>
        <w:tc>
          <w:tcPr>
            <w:tcW w:w="160" w:type="dxa"/>
            <w:tcBorders>
              <w:left w:val="single" w:sz="12" w:space="0" w:color="auto"/>
            </w:tcBorders>
            <w:vAlign w:val="center"/>
            <w:hideMark/>
          </w:tcPr>
          <w:p w14:paraId="023AAC82" w14:textId="77777777" w:rsidR="00D5208B" w:rsidRPr="004D6CF0" w:rsidRDefault="00D5208B" w:rsidP="00582CA7">
            <w:pPr>
              <w:rPr>
                <w:sz w:val="16"/>
                <w:szCs w:val="16"/>
              </w:rPr>
            </w:pPr>
          </w:p>
        </w:tc>
      </w:tr>
    </w:tbl>
    <w:p w14:paraId="22774488" w14:textId="77777777" w:rsidR="00D5208B" w:rsidRPr="00D5208B" w:rsidRDefault="00D5208B" w:rsidP="00D5208B">
      <w:pPr>
        <w:rPr>
          <w:b/>
          <w:bCs/>
          <w:sz w:val="18"/>
          <w:szCs w:val="28"/>
        </w:rPr>
      </w:pPr>
      <w:r w:rsidRPr="00D5208B">
        <w:rPr>
          <w:sz w:val="18"/>
          <w:szCs w:val="28"/>
        </w:rPr>
        <w:t>Fuente: SEGEPLAN</w:t>
      </w:r>
    </w:p>
    <w:p w14:paraId="229FDADF" w14:textId="7AA65153" w:rsidR="00D5208B" w:rsidRDefault="00D5208B" w:rsidP="00D5208B">
      <w:pPr>
        <w:rPr>
          <w:sz w:val="18"/>
          <w:szCs w:val="28"/>
        </w:rPr>
      </w:pPr>
      <w:r w:rsidRPr="00D5208B">
        <w:rPr>
          <w:sz w:val="18"/>
          <w:szCs w:val="28"/>
        </w:rPr>
        <w:t>N/A son metas sin registros de medición del avance según lo estimado al año 2023 o es un hecho que no será posible alcanzar la meta establecida</w:t>
      </w:r>
      <w:r>
        <w:rPr>
          <w:sz w:val="18"/>
          <w:szCs w:val="28"/>
        </w:rPr>
        <w:t>.</w:t>
      </w:r>
    </w:p>
    <w:p w14:paraId="598AD137" w14:textId="3BC82FF5" w:rsidR="00D5208B" w:rsidRDefault="00D5208B" w:rsidP="00D5208B">
      <w:pPr>
        <w:rPr>
          <w:sz w:val="18"/>
          <w:szCs w:val="28"/>
        </w:rPr>
      </w:pPr>
    </w:p>
    <w:p w14:paraId="49E36DA9" w14:textId="5C1A3C2B" w:rsidR="00D5208B" w:rsidRPr="00D5208B" w:rsidRDefault="00D5208B" w:rsidP="00D5208B">
      <w:pPr>
        <w:rPr>
          <w:b/>
          <w:bCs/>
        </w:rPr>
      </w:pPr>
      <w:r w:rsidRPr="00D5208B">
        <w:rPr>
          <w:b/>
          <w:bCs/>
        </w:rPr>
        <w:t xml:space="preserve">Pilar 3: Gobernabilidad y </w:t>
      </w:r>
      <w:r w:rsidR="00D31CC8">
        <w:rPr>
          <w:b/>
          <w:bCs/>
        </w:rPr>
        <w:t>s</w:t>
      </w:r>
      <w:r w:rsidRPr="00D5208B">
        <w:rPr>
          <w:b/>
          <w:bCs/>
        </w:rPr>
        <w:t xml:space="preserve">eguridad en </w:t>
      </w:r>
      <w:r w:rsidR="00D31CC8">
        <w:rPr>
          <w:b/>
          <w:bCs/>
        </w:rPr>
        <w:t>d</w:t>
      </w:r>
      <w:r w:rsidRPr="00D5208B">
        <w:rPr>
          <w:b/>
          <w:bCs/>
        </w:rPr>
        <w:t>esarrollo</w:t>
      </w:r>
    </w:p>
    <w:p w14:paraId="34F2DB97" w14:textId="77777777" w:rsidR="00D5208B" w:rsidRPr="00D5208B" w:rsidRDefault="00D5208B" w:rsidP="00D5208B"/>
    <w:p w14:paraId="63DEF89C" w14:textId="77777777" w:rsidR="00D5208B" w:rsidRPr="00D5208B" w:rsidRDefault="00D5208B" w:rsidP="00D5208B">
      <w:r w:rsidRPr="00D5208B">
        <w:t>Este pilar contiene 6 indicadores, con resultados dispersos, en algunos se han dado avances y en otros han sido avances parciales, además que en algunos no se han logrado progresos, siendo uno de los obstáculos la pandemia del COVID-19, desviando recursos importantes.</w:t>
      </w:r>
    </w:p>
    <w:p w14:paraId="7BF460D2" w14:textId="0CD70ADE" w:rsidR="00D5208B" w:rsidRDefault="00D5208B" w:rsidP="00D5208B"/>
    <w:p w14:paraId="30C88C30" w14:textId="77777777" w:rsidR="00E01410" w:rsidRPr="00D5208B" w:rsidRDefault="00E01410" w:rsidP="00D5208B"/>
    <w:p w14:paraId="6EDA0DEB" w14:textId="123078A5" w:rsidR="00D5208B" w:rsidRPr="00E01410" w:rsidRDefault="00D5208B" w:rsidP="00D5208B">
      <w:pPr>
        <w:pStyle w:val="Prrafodelista"/>
        <w:numPr>
          <w:ilvl w:val="0"/>
          <w:numId w:val="52"/>
        </w:numPr>
        <w:ind w:left="567"/>
        <w:jc w:val="both"/>
        <w:rPr>
          <w:b/>
          <w:bCs/>
        </w:rPr>
      </w:pPr>
      <w:r w:rsidRPr="00D5208B">
        <w:rPr>
          <w:b/>
          <w:bCs/>
        </w:rPr>
        <w:t>Metas superadas según lo estimado al año 2023</w:t>
      </w:r>
    </w:p>
    <w:p w14:paraId="3E54E6C2" w14:textId="50A4AEBA" w:rsidR="00D5208B" w:rsidRPr="00D5208B" w:rsidRDefault="00D5208B" w:rsidP="000D332B">
      <w:pPr>
        <w:pStyle w:val="Prrafodelista"/>
        <w:numPr>
          <w:ilvl w:val="0"/>
          <w:numId w:val="13"/>
        </w:numPr>
        <w:ind w:left="993" w:hanging="426"/>
        <w:jc w:val="both"/>
        <w:rPr>
          <w:szCs w:val="40"/>
        </w:rPr>
      </w:pPr>
      <w:r w:rsidRPr="00D5208B">
        <w:rPr>
          <w:szCs w:val="40"/>
        </w:rPr>
        <w:t xml:space="preserve">De la meta de organizaciones comunitarias, municipales y departamentales de prevención de la violencia y el delito a 2022 se tienen 1,787 organizaciones, siendo un logro a la prevención de la violencia y el delito en el ámbito territorial. </w:t>
      </w:r>
    </w:p>
    <w:p w14:paraId="5A257A04" w14:textId="77777777" w:rsidR="00D5208B" w:rsidRPr="00D5208B" w:rsidRDefault="00D5208B" w:rsidP="00D5208B"/>
    <w:p w14:paraId="66E4BBE8" w14:textId="2CDBA6EE" w:rsidR="00D5208B" w:rsidRPr="00E01410" w:rsidRDefault="00D5208B" w:rsidP="00D5208B">
      <w:pPr>
        <w:pStyle w:val="Prrafodelista"/>
        <w:numPr>
          <w:ilvl w:val="0"/>
          <w:numId w:val="52"/>
        </w:numPr>
        <w:ind w:left="567"/>
        <w:jc w:val="both"/>
        <w:rPr>
          <w:b/>
          <w:bCs/>
        </w:rPr>
      </w:pPr>
      <w:r w:rsidRPr="00D5208B">
        <w:rPr>
          <w:b/>
          <w:bCs/>
        </w:rPr>
        <w:t>Metas con avance mayor o igual a 70% según lo estimado al 2023</w:t>
      </w:r>
    </w:p>
    <w:p w14:paraId="7009A672" w14:textId="13C30CEB" w:rsidR="00D5208B" w:rsidRPr="000D332B" w:rsidRDefault="00D5208B" w:rsidP="000D332B">
      <w:pPr>
        <w:pStyle w:val="Prrafodelista"/>
        <w:numPr>
          <w:ilvl w:val="0"/>
          <w:numId w:val="13"/>
        </w:numPr>
        <w:ind w:left="993" w:hanging="426"/>
        <w:jc w:val="both"/>
      </w:pPr>
      <w:r w:rsidRPr="000D332B">
        <w:t>En cuanto a la reducción de la incidencia criminal, la tasa tuvo una reducción sustancial en 2020, producto del aislamiento poblacional derivado de la pandemia COVID-19. Se previó que la tasa iba a crecer en 2021 y 2022 derivada la normalización de actividades, pese a la tendencia a finales de 2022 se tuvo una reducción de 7.28 puntos respecto a la línea base.</w:t>
      </w:r>
    </w:p>
    <w:p w14:paraId="3D434439" w14:textId="26FE4718" w:rsidR="00D5208B" w:rsidRPr="000D332B" w:rsidRDefault="00D5208B" w:rsidP="000D332B">
      <w:pPr>
        <w:pStyle w:val="Prrafodelista"/>
        <w:numPr>
          <w:ilvl w:val="0"/>
          <w:numId w:val="13"/>
        </w:numPr>
        <w:ind w:left="993" w:hanging="426"/>
        <w:jc w:val="both"/>
      </w:pPr>
      <w:r w:rsidRPr="000D332B">
        <w:t>Referente a la meta de incrementar en 4 el número de centros penitenciarios, se ha tenido un avance menor al previsto, al construirse únicamente un presidio en el período. Sin embargo, se encuentra en constricción el Centro de Cumplimiento de Condena de Masagua, Escuintla, el cual es un complejo carcelario que incluye 4 cárceles, 2 de máxima seguridad, 1 de mediana seguridad y 1 de mínima seguridad. De concluirse el complejo antes de finalizar el año, se estaría alcanzando y superando la meta establecida.</w:t>
      </w:r>
    </w:p>
    <w:p w14:paraId="589D0C42" w14:textId="325B6AF9" w:rsidR="00D5208B" w:rsidRPr="000D332B" w:rsidRDefault="00D5208B" w:rsidP="000D332B">
      <w:pPr>
        <w:pStyle w:val="Prrafodelista"/>
        <w:numPr>
          <w:ilvl w:val="0"/>
          <w:numId w:val="13"/>
        </w:numPr>
        <w:ind w:left="993" w:hanging="426"/>
        <w:jc w:val="both"/>
      </w:pPr>
      <w:r w:rsidRPr="000D332B">
        <w:t>Del Sistema de Inteligencia Reformado, se tiene que esta meta alcanzó un avance de 85% en 2021 y de 93% en 2022 de conformidad con la Secretaría de Inteligencia Estratégica (SIE). Existe una alta posibilidad de que la meta en materia de innovaciones al sistema de inteligencia será alcanzada en el año 2023.</w:t>
      </w:r>
    </w:p>
    <w:p w14:paraId="1BEC19BE" w14:textId="402FEE42" w:rsidR="00D5208B" w:rsidRPr="000D332B" w:rsidRDefault="00D5208B" w:rsidP="000D332B">
      <w:pPr>
        <w:pStyle w:val="Prrafodelista"/>
        <w:numPr>
          <w:ilvl w:val="0"/>
          <w:numId w:val="13"/>
        </w:numPr>
        <w:ind w:left="993" w:hanging="426"/>
        <w:jc w:val="both"/>
      </w:pPr>
      <w:r w:rsidRPr="000D332B">
        <w:t xml:space="preserve">Del incremento en 5,000 agentes de la Política Nacional Civil para el 2023, cabe resaltar que en 2022 se incorporaron 1,066 agentes a las fuerzas policiales, para un total de 3,119 nuevos integrantes en el período en análisis. Para 2023 se contempla la integración de 2,542 nuevos elementos, con lo cual se sobrepasaría la meta, al llegar a 5,660 agentes incorporados. </w:t>
      </w:r>
    </w:p>
    <w:p w14:paraId="4BA458BA" w14:textId="77777777" w:rsidR="00D5208B" w:rsidRPr="00D5208B" w:rsidRDefault="00D5208B" w:rsidP="00D5208B"/>
    <w:p w14:paraId="65EBB47A" w14:textId="37411CBC" w:rsidR="00D5208B" w:rsidRPr="00E01410" w:rsidRDefault="00D5208B" w:rsidP="00D5208B">
      <w:pPr>
        <w:pStyle w:val="Prrafodelista"/>
        <w:numPr>
          <w:ilvl w:val="0"/>
          <w:numId w:val="52"/>
        </w:numPr>
        <w:ind w:left="567"/>
        <w:jc w:val="both"/>
        <w:rPr>
          <w:b/>
          <w:bCs/>
        </w:rPr>
      </w:pPr>
      <w:r w:rsidRPr="00D5208B">
        <w:rPr>
          <w:b/>
          <w:bCs/>
        </w:rPr>
        <w:t>Metas con avance mayor o igual a 70% según lo estimado al 2023</w:t>
      </w:r>
    </w:p>
    <w:p w14:paraId="1E77A209" w14:textId="3C37832A" w:rsidR="00D5208B" w:rsidRPr="00D5208B" w:rsidRDefault="00D5208B" w:rsidP="000D332B">
      <w:pPr>
        <w:pStyle w:val="Prrafodelista"/>
        <w:numPr>
          <w:ilvl w:val="0"/>
          <w:numId w:val="13"/>
        </w:numPr>
        <w:ind w:left="993" w:hanging="426"/>
        <w:jc w:val="both"/>
      </w:pPr>
      <w:r w:rsidRPr="00D5208B">
        <w:t xml:space="preserve">Del incremento en 5,000 agentes de la Política Nacional Civil para el 2023, cabe resaltar que en 2022 se incorporaron 1,066 agentes a las fuerzas policiales, para un total de 3,119 nuevos integrantes en el período en análisis. Para 2023 se contempla la integración de 2,542 nuevos elementos, con lo cual se sobrepasaría la meta, al llegar a 5,660 agentes incorporados. </w:t>
      </w:r>
    </w:p>
    <w:p w14:paraId="3856E872" w14:textId="77777777" w:rsidR="00A208C9" w:rsidRDefault="00A208C9" w:rsidP="00D5208B"/>
    <w:p w14:paraId="1A026DE8" w14:textId="13DEB3DC" w:rsidR="00D5208B" w:rsidRPr="00E01410" w:rsidRDefault="00D5208B" w:rsidP="00D5208B">
      <w:pPr>
        <w:pStyle w:val="Prrafodelista"/>
        <w:numPr>
          <w:ilvl w:val="0"/>
          <w:numId w:val="52"/>
        </w:numPr>
        <w:ind w:left="567"/>
        <w:jc w:val="both"/>
        <w:rPr>
          <w:b/>
          <w:bCs/>
        </w:rPr>
      </w:pPr>
      <w:r w:rsidRPr="00D5208B">
        <w:rPr>
          <w:b/>
          <w:bCs/>
        </w:rPr>
        <w:t>Metas con avance entre 41% a menos de 70% según lo estimado al 2023</w:t>
      </w:r>
    </w:p>
    <w:p w14:paraId="4EA165E8" w14:textId="62C6BBBE" w:rsidR="00D5208B" w:rsidRPr="00D5208B" w:rsidRDefault="00D5208B" w:rsidP="000D332B">
      <w:pPr>
        <w:pStyle w:val="Prrafodelista"/>
        <w:numPr>
          <w:ilvl w:val="0"/>
          <w:numId w:val="13"/>
        </w:numPr>
        <w:ind w:left="993" w:hanging="426"/>
        <w:jc w:val="both"/>
      </w:pPr>
      <w:r w:rsidRPr="00D5208B">
        <w:t>Respecto a la reducción de la tasa de homicidios en 8.8 puntos, se tiene que en 2020 se logró una reducción sustancial a 15.3 por cada 100,000 habitantes, aunque no se puede dejar de lado que esto se debió en una buena parte al aislamiento provocado por la pandemia, En 2021 y 2022 se tuvo un alza progresiva y derivado de ello no se cumplió con la meta establecida para cada año.</w:t>
      </w:r>
    </w:p>
    <w:p w14:paraId="4C26A96A" w14:textId="61A6C594" w:rsidR="00D5208B" w:rsidRDefault="00D5208B" w:rsidP="00D5208B">
      <w:pPr>
        <w:rPr>
          <w:sz w:val="20"/>
          <w:szCs w:val="32"/>
        </w:rPr>
      </w:pPr>
    </w:p>
    <w:p w14:paraId="55F6A39E" w14:textId="71EFD0F8" w:rsidR="00E01410" w:rsidRDefault="00E01410" w:rsidP="00D5208B">
      <w:pPr>
        <w:rPr>
          <w:sz w:val="20"/>
          <w:szCs w:val="32"/>
        </w:rPr>
      </w:pPr>
    </w:p>
    <w:p w14:paraId="18309B81" w14:textId="31CB7BC0" w:rsidR="00E01410" w:rsidRDefault="00E01410" w:rsidP="00D5208B">
      <w:pPr>
        <w:rPr>
          <w:sz w:val="20"/>
          <w:szCs w:val="32"/>
        </w:rPr>
      </w:pPr>
    </w:p>
    <w:p w14:paraId="66573616" w14:textId="2F424A3F" w:rsidR="00E01410" w:rsidRDefault="00E01410" w:rsidP="00D5208B">
      <w:pPr>
        <w:rPr>
          <w:sz w:val="20"/>
          <w:szCs w:val="32"/>
        </w:rPr>
      </w:pPr>
    </w:p>
    <w:p w14:paraId="1D271F51" w14:textId="77777777" w:rsidR="00E01410" w:rsidRPr="00D5208B" w:rsidRDefault="00E01410" w:rsidP="00D5208B">
      <w:pPr>
        <w:rPr>
          <w:sz w:val="20"/>
          <w:szCs w:val="32"/>
        </w:rPr>
      </w:pPr>
    </w:p>
    <w:p w14:paraId="7CBE7790" w14:textId="7AAF4F43" w:rsidR="00D5208B" w:rsidRPr="0071370B" w:rsidRDefault="0071370B" w:rsidP="0071370B">
      <w:pPr>
        <w:pStyle w:val="Descripcin"/>
        <w:keepNext/>
        <w:spacing w:after="0"/>
        <w:jc w:val="center"/>
        <w:rPr>
          <w:b/>
          <w:bCs/>
          <w:i w:val="0"/>
          <w:iCs w:val="0"/>
          <w:sz w:val="24"/>
          <w:szCs w:val="24"/>
        </w:rPr>
      </w:pPr>
      <w:bookmarkStart w:id="210" w:name="_Toc143871227"/>
      <w:r w:rsidRPr="0071370B">
        <w:rPr>
          <w:b/>
          <w:bCs/>
          <w:i w:val="0"/>
          <w:iCs w:val="0"/>
          <w:color w:val="auto"/>
          <w:sz w:val="24"/>
          <w:szCs w:val="24"/>
        </w:rPr>
        <w:t xml:space="preserve">Tabla </w:t>
      </w:r>
      <w:r w:rsidRPr="0071370B">
        <w:rPr>
          <w:b/>
          <w:bCs/>
          <w:i w:val="0"/>
          <w:iCs w:val="0"/>
          <w:color w:val="auto"/>
          <w:sz w:val="24"/>
          <w:szCs w:val="24"/>
        </w:rPr>
        <w:fldChar w:fldCharType="begin"/>
      </w:r>
      <w:r w:rsidRPr="0071370B">
        <w:rPr>
          <w:b/>
          <w:bCs/>
          <w:i w:val="0"/>
          <w:iCs w:val="0"/>
          <w:color w:val="auto"/>
          <w:sz w:val="24"/>
          <w:szCs w:val="24"/>
        </w:rPr>
        <w:instrText xml:space="preserve"> SEQ Tabla \* ARABIC </w:instrText>
      </w:r>
      <w:r w:rsidRPr="0071370B">
        <w:rPr>
          <w:b/>
          <w:bCs/>
          <w:i w:val="0"/>
          <w:iCs w:val="0"/>
          <w:color w:val="auto"/>
          <w:sz w:val="24"/>
          <w:szCs w:val="24"/>
        </w:rPr>
        <w:fldChar w:fldCharType="separate"/>
      </w:r>
      <w:r w:rsidR="006622B2">
        <w:rPr>
          <w:b/>
          <w:bCs/>
          <w:i w:val="0"/>
          <w:iCs w:val="0"/>
          <w:noProof/>
          <w:color w:val="auto"/>
          <w:sz w:val="24"/>
          <w:szCs w:val="24"/>
        </w:rPr>
        <w:t>20</w:t>
      </w:r>
      <w:r w:rsidRPr="0071370B">
        <w:rPr>
          <w:b/>
          <w:bCs/>
          <w:i w:val="0"/>
          <w:iCs w:val="0"/>
          <w:color w:val="auto"/>
          <w:sz w:val="24"/>
          <w:szCs w:val="24"/>
        </w:rPr>
        <w:fldChar w:fldCharType="end"/>
      </w:r>
      <w:r w:rsidRPr="0071370B">
        <w:rPr>
          <w:b/>
          <w:bCs/>
          <w:i w:val="0"/>
          <w:iCs w:val="0"/>
          <w:color w:val="auto"/>
          <w:sz w:val="24"/>
          <w:szCs w:val="24"/>
        </w:rPr>
        <w:t xml:space="preserve">.  </w:t>
      </w:r>
      <w:r w:rsidR="00D5208B" w:rsidRPr="0071370B">
        <w:rPr>
          <w:b/>
          <w:bCs/>
          <w:i w:val="0"/>
          <w:iCs w:val="0"/>
          <w:color w:val="auto"/>
          <w:sz w:val="24"/>
          <w:szCs w:val="24"/>
        </w:rPr>
        <w:t xml:space="preserve">Pilar 3: Gobernabilidad y </w:t>
      </w:r>
      <w:r w:rsidR="00D31CC8">
        <w:rPr>
          <w:b/>
          <w:bCs/>
          <w:i w:val="0"/>
          <w:iCs w:val="0"/>
          <w:color w:val="auto"/>
          <w:sz w:val="24"/>
          <w:szCs w:val="24"/>
        </w:rPr>
        <w:t>s</w:t>
      </w:r>
      <w:r w:rsidR="00D5208B" w:rsidRPr="0071370B">
        <w:rPr>
          <w:b/>
          <w:bCs/>
          <w:i w:val="0"/>
          <w:iCs w:val="0"/>
          <w:color w:val="auto"/>
          <w:sz w:val="24"/>
          <w:szCs w:val="24"/>
        </w:rPr>
        <w:t xml:space="preserve">eguridad en </w:t>
      </w:r>
      <w:r w:rsidR="00D31CC8">
        <w:rPr>
          <w:b/>
          <w:bCs/>
          <w:i w:val="0"/>
          <w:iCs w:val="0"/>
          <w:color w:val="auto"/>
          <w:sz w:val="24"/>
          <w:szCs w:val="24"/>
        </w:rPr>
        <w:t>d</w:t>
      </w:r>
      <w:r w:rsidR="00D5208B" w:rsidRPr="0071370B">
        <w:rPr>
          <w:b/>
          <w:bCs/>
          <w:i w:val="0"/>
          <w:iCs w:val="0"/>
          <w:color w:val="auto"/>
          <w:sz w:val="24"/>
          <w:szCs w:val="24"/>
        </w:rPr>
        <w:t>esarrollo</w:t>
      </w:r>
      <w:bookmarkEnd w:id="210"/>
    </w:p>
    <w:tbl>
      <w:tblPr>
        <w:tblW w:w="8774" w:type="dxa"/>
        <w:jc w:val="center"/>
        <w:tblCellMar>
          <w:left w:w="70" w:type="dxa"/>
          <w:right w:w="70" w:type="dxa"/>
        </w:tblCellMar>
        <w:tblLook w:val="04A0" w:firstRow="1" w:lastRow="0" w:firstColumn="1" w:lastColumn="0" w:noHBand="0" w:noVBand="1"/>
      </w:tblPr>
      <w:tblGrid>
        <w:gridCol w:w="581"/>
        <w:gridCol w:w="2948"/>
        <w:gridCol w:w="1276"/>
        <w:gridCol w:w="709"/>
        <w:gridCol w:w="708"/>
        <w:gridCol w:w="745"/>
        <w:gridCol w:w="1100"/>
        <w:gridCol w:w="707"/>
      </w:tblGrid>
      <w:tr w:rsidR="00D5208B" w:rsidRPr="004F0F3C" w14:paraId="7759BD02" w14:textId="77777777" w:rsidTr="00827ED5">
        <w:trPr>
          <w:trHeight w:val="294"/>
          <w:jc w:val="center"/>
        </w:trPr>
        <w:tc>
          <w:tcPr>
            <w:tcW w:w="581" w:type="dxa"/>
            <w:vMerge w:val="restart"/>
            <w:tcBorders>
              <w:top w:val="single" w:sz="12" w:space="0" w:color="auto"/>
              <w:left w:val="single" w:sz="12" w:space="0" w:color="auto"/>
              <w:bottom w:val="single" w:sz="12" w:space="0" w:color="auto"/>
              <w:right w:val="single" w:sz="4" w:space="0" w:color="auto"/>
            </w:tcBorders>
            <w:shd w:val="clear" w:color="000000" w:fill="1F4E78"/>
            <w:vAlign w:val="center"/>
            <w:hideMark/>
          </w:tcPr>
          <w:p w14:paraId="31FDC4E0" w14:textId="77777777" w:rsidR="00D5208B" w:rsidRPr="004F0F3C" w:rsidRDefault="00D5208B" w:rsidP="00582CA7">
            <w:pPr>
              <w:jc w:val="center"/>
              <w:rPr>
                <w:b/>
                <w:bCs/>
                <w:color w:val="FFFFFF"/>
                <w:sz w:val="16"/>
                <w:szCs w:val="16"/>
              </w:rPr>
            </w:pPr>
            <w:r w:rsidRPr="004F0F3C">
              <w:rPr>
                <w:b/>
                <w:bCs/>
                <w:color w:val="FFFFFF"/>
                <w:w w:val="105"/>
                <w:sz w:val="16"/>
              </w:rPr>
              <w:t>No.</w:t>
            </w:r>
          </w:p>
        </w:tc>
        <w:tc>
          <w:tcPr>
            <w:tcW w:w="2948" w:type="dxa"/>
            <w:tcBorders>
              <w:top w:val="single" w:sz="12" w:space="0" w:color="auto"/>
              <w:left w:val="nil"/>
              <w:bottom w:val="single" w:sz="4" w:space="0" w:color="auto"/>
              <w:right w:val="single" w:sz="4" w:space="0" w:color="auto"/>
            </w:tcBorders>
            <w:shd w:val="clear" w:color="000000" w:fill="1F4E78"/>
            <w:vAlign w:val="center"/>
            <w:hideMark/>
          </w:tcPr>
          <w:p w14:paraId="6F769F10" w14:textId="77777777" w:rsidR="00D5208B" w:rsidRPr="004F0F3C" w:rsidRDefault="00D5208B" w:rsidP="00582CA7">
            <w:pPr>
              <w:jc w:val="center"/>
              <w:rPr>
                <w:b/>
                <w:bCs/>
                <w:color w:val="FFFFFF"/>
                <w:sz w:val="16"/>
                <w:szCs w:val="16"/>
              </w:rPr>
            </w:pPr>
            <w:r w:rsidRPr="004F0F3C">
              <w:rPr>
                <w:b/>
                <w:bCs/>
                <w:color w:val="FFFFFF"/>
                <w:w w:val="105"/>
                <w:sz w:val="16"/>
              </w:rPr>
              <w:t>Descripción de la Meta</w:t>
            </w:r>
          </w:p>
        </w:tc>
        <w:tc>
          <w:tcPr>
            <w:tcW w:w="1276" w:type="dxa"/>
            <w:vMerge w:val="restart"/>
            <w:tcBorders>
              <w:top w:val="single" w:sz="12" w:space="0" w:color="auto"/>
              <w:left w:val="nil"/>
              <w:bottom w:val="single" w:sz="12" w:space="0" w:color="auto"/>
              <w:right w:val="nil"/>
            </w:tcBorders>
            <w:shd w:val="clear" w:color="000000" w:fill="1F4E78"/>
            <w:vAlign w:val="center"/>
            <w:hideMark/>
          </w:tcPr>
          <w:p w14:paraId="34C112E9" w14:textId="77777777" w:rsidR="00D5208B" w:rsidRPr="004F0F3C" w:rsidRDefault="00D5208B" w:rsidP="00582CA7">
            <w:pPr>
              <w:jc w:val="center"/>
              <w:rPr>
                <w:b/>
                <w:bCs/>
                <w:color w:val="FFFFFF"/>
                <w:sz w:val="16"/>
                <w:szCs w:val="16"/>
              </w:rPr>
            </w:pPr>
            <w:r w:rsidRPr="004F0F3C">
              <w:rPr>
                <w:b/>
                <w:bCs/>
                <w:color w:val="FFFFFF"/>
                <w:sz w:val="16"/>
                <w:szCs w:val="16"/>
              </w:rPr>
              <w:t>Responsable</w:t>
            </w:r>
          </w:p>
        </w:tc>
        <w:tc>
          <w:tcPr>
            <w:tcW w:w="1417" w:type="dxa"/>
            <w:gridSpan w:val="2"/>
            <w:tcBorders>
              <w:top w:val="single" w:sz="12" w:space="0" w:color="auto"/>
              <w:left w:val="single" w:sz="8" w:space="0" w:color="auto"/>
              <w:bottom w:val="single" w:sz="4" w:space="0" w:color="auto"/>
              <w:right w:val="single" w:sz="12" w:space="0" w:color="auto"/>
            </w:tcBorders>
            <w:shd w:val="clear" w:color="000000" w:fill="1F4E78"/>
            <w:vAlign w:val="center"/>
            <w:hideMark/>
          </w:tcPr>
          <w:p w14:paraId="6DFF5646" w14:textId="77777777" w:rsidR="00D5208B" w:rsidRPr="004F0F3C" w:rsidRDefault="00D5208B" w:rsidP="00582CA7">
            <w:pPr>
              <w:jc w:val="center"/>
              <w:rPr>
                <w:b/>
                <w:bCs/>
                <w:color w:val="FFFFFF"/>
                <w:sz w:val="16"/>
                <w:szCs w:val="16"/>
              </w:rPr>
            </w:pPr>
            <w:r w:rsidRPr="004F0F3C">
              <w:rPr>
                <w:b/>
                <w:bCs/>
                <w:color w:val="FFFFFF"/>
                <w:sz w:val="16"/>
                <w:szCs w:val="16"/>
              </w:rPr>
              <w:t>Avance</w:t>
            </w:r>
          </w:p>
        </w:tc>
        <w:tc>
          <w:tcPr>
            <w:tcW w:w="2552" w:type="dxa"/>
            <w:gridSpan w:val="3"/>
            <w:tcBorders>
              <w:top w:val="single" w:sz="12" w:space="0" w:color="auto"/>
              <w:left w:val="single" w:sz="12" w:space="0" w:color="auto"/>
              <w:bottom w:val="single" w:sz="4" w:space="0" w:color="auto"/>
              <w:right w:val="single" w:sz="12" w:space="0" w:color="auto"/>
            </w:tcBorders>
            <w:shd w:val="clear" w:color="000000" w:fill="1F4E78"/>
            <w:vAlign w:val="center"/>
            <w:hideMark/>
          </w:tcPr>
          <w:p w14:paraId="779DAF44" w14:textId="77777777" w:rsidR="00D5208B" w:rsidRPr="004F0F3C" w:rsidRDefault="00D5208B" w:rsidP="00582CA7">
            <w:pPr>
              <w:jc w:val="center"/>
              <w:rPr>
                <w:b/>
                <w:bCs/>
                <w:color w:val="FFFFFF"/>
                <w:sz w:val="16"/>
                <w:szCs w:val="16"/>
              </w:rPr>
            </w:pPr>
            <w:r w:rsidRPr="004F0F3C">
              <w:rPr>
                <w:b/>
                <w:bCs/>
                <w:color w:val="FFFFFF"/>
                <w:sz w:val="16"/>
                <w:szCs w:val="16"/>
              </w:rPr>
              <w:t>2023</w:t>
            </w:r>
          </w:p>
        </w:tc>
      </w:tr>
      <w:tr w:rsidR="00D5208B" w:rsidRPr="004F0F3C" w14:paraId="42B193AF" w14:textId="77777777" w:rsidTr="00827ED5">
        <w:trPr>
          <w:trHeight w:val="294"/>
          <w:jc w:val="center"/>
        </w:trPr>
        <w:tc>
          <w:tcPr>
            <w:tcW w:w="581" w:type="dxa"/>
            <w:vMerge/>
            <w:tcBorders>
              <w:top w:val="single" w:sz="12" w:space="0" w:color="auto"/>
              <w:left w:val="single" w:sz="12" w:space="0" w:color="auto"/>
              <w:bottom w:val="single" w:sz="12" w:space="0" w:color="auto"/>
              <w:right w:val="single" w:sz="4" w:space="0" w:color="auto"/>
            </w:tcBorders>
            <w:vAlign w:val="center"/>
            <w:hideMark/>
          </w:tcPr>
          <w:p w14:paraId="48B4F8ED" w14:textId="77777777" w:rsidR="00D5208B" w:rsidRPr="004F0F3C" w:rsidRDefault="00D5208B" w:rsidP="00582CA7">
            <w:pPr>
              <w:rPr>
                <w:b/>
                <w:bCs/>
                <w:color w:val="FFFFFF"/>
                <w:sz w:val="16"/>
                <w:szCs w:val="16"/>
              </w:rPr>
            </w:pPr>
          </w:p>
        </w:tc>
        <w:tc>
          <w:tcPr>
            <w:tcW w:w="2948" w:type="dxa"/>
            <w:tcBorders>
              <w:top w:val="single" w:sz="4" w:space="0" w:color="auto"/>
              <w:left w:val="nil"/>
              <w:bottom w:val="single" w:sz="12" w:space="0" w:color="auto"/>
              <w:right w:val="single" w:sz="4" w:space="0" w:color="auto"/>
            </w:tcBorders>
            <w:shd w:val="clear" w:color="000000" w:fill="1F4E78"/>
            <w:vAlign w:val="center"/>
            <w:hideMark/>
          </w:tcPr>
          <w:p w14:paraId="61BE7808" w14:textId="77777777" w:rsidR="00D5208B" w:rsidRPr="004F0F3C" w:rsidRDefault="00D5208B" w:rsidP="00582CA7">
            <w:pPr>
              <w:jc w:val="center"/>
              <w:rPr>
                <w:b/>
                <w:bCs/>
                <w:color w:val="FFFFFF"/>
                <w:sz w:val="16"/>
                <w:szCs w:val="16"/>
              </w:rPr>
            </w:pPr>
            <w:r w:rsidRPr="004F0F3C">
              <w:rPr>
                <w:b/>
                <w:bCs/>
                <w:color w:val="FFFFFF"/>
                <w:w w:val="105"/>
                <w:sz w:val="16"/>
              </w:rPr>
              <w:t>al 2023</w:t>
            </w:r>
          </w:p>
        </w:tc>
        <w:tc>
          <w:tcPr>
            <w:tcW w:w="1276" w:type="dxa"/>
            <w:vMerge/>
            <w:tcBorders>
              <w:top w:val="single" w:sz="12" w:space="0" w:color="auto"/>
              <w:left w:val="nil"/>
              <w:bottom w:val="single" w:sz="12" w:space="0" w:color="auto"/>
              <w:right w:val="nil"/>
            </w:tcBorders>
            <w:vAlign w:val="center"/>
            <w:hideMark/>
          </w:tcPr>
          <w:p w14:paraId="630FC63D" w14:textId="77777777" w:rsidR="00D5208B" w:rsidRPr="004F0F3C" w:rsidRDefault="00D5208B" w:rsidP="00582CA7">
            <w:pPr>
              <w:rPr>
                <w:b/>
                <w:bCs/>
                <w:color w:val="FFFFFF"/>
                <w:sz w:val="16"/>
                <w:szCs w:val="16"/>
              </w:rPr>
            </w:pPr>
          </w:p>
        </w:tc>
        <w:tc>
          <w:tcPr>
            <w:tcW w:w="709" w:type="dxa"/>
            <w:tcBorders>
              <w:top w:val="single" w:sz="4" w:space="0" w:color="auto"/>
              <w:left w:val="single" w:sz="8" w:space="0" w:color="auto"/>
              <w:bottom w:val="single" w:sz="12" w:space="0" w:color="auto"/>
              <w:right w:val="single" w:sz="4" w:space="0" w:color="auto"/>
            </w:tcBorders>
            <w:shd w:val="clear" w:color="000000" w:fill="1F4E78"/>
            <w:vAlign w:val="center"/>
            <w:hideMark/>
          </w:tcPr>
          <w:p w14:paraId="6F34EB3F" w14:textId="77777777" w:rsidR="00D5208B" w:rsidRPr="004F0F3C" w:rsidRDefault="00D5208B" w:rsidP="00582CA7">
            <w:pPr>
              <w:jc w:val="center"/>
              <w:rPr>
                <w:b/>
                <w:bCs/>
                <w:color w:val="FFFFFF"/>
                <w:sz w:val="16"/>
                <w:szCs w:val="16"/>
              </w:rPr>
            </w:pPr>
            <w:r w:rsidRPr="004F0F3C">
              <w:rPr>
                <w:b/>
                <w:bCs/>
                <w:color w:val="FFFFFF"/>
                <w:sz w:val="16"/>
                <w:szCs w:val="16"/>
              </w:rPr>
              <w:t>2021</w:t>
            </w:r>
          </w:p>
        </w:tc>
        <w:tc>
          <w:tcPr>
            <w:tcW w:w="708" w:type="dxa"/>
            <w:tcBorders>
              <w:top w:val="single" w:sz="4" w:space="0" w:color="auto"/>
              <w:left w:val="nil"/>
              <w:bottom w:val="single" w:sz="12" w:space="0" w:color="auto"/>
              <w:right w:val="single" w:sz="12" w:space="0" w:color="auto"/>
            </w:tcBorders>
            <w:shd w:val="clear" w:color="000000" w:fill="1F4E78"/>
            <w:vAlign w:val="center"/>
            <w:hideMark/>
          </w:tcPr>
          <w:p w14:paraId="5C31CEF7" w14:textId="77777777" w:rsidR="00D5208B" w:rsidRPr="004F0F3C" w:rsidRDefault="00D5208B" w:rsidP="00582CA7">
            <w:pPr>
              <w:jc w:val="center"/>
              <w:rPr>
                <w:b/>
                <w:bCs/>
                <w:color w:val="FFFFFF"/>
                <w:sz w:val="16"/>
                <w:szCs w:val="16"/>
              </w:rPr>
            </w:pPr>
            <w:r w:rsidRPr="004F0F3C">
              <w:rPr>
                <w:b/>
                <w:bCs/>
                <w:color w:val="FFFFFF"/>
                <w:sz w:val="16"/>
                <w:szCs w:val="16"/>
              </w:rPr>
              <w:t>2022</w:t>
            </w:r>
          </w:p>
        </w:tc>
        <w:tc>
          <w:tcPr>
            <w:tcW w:w="745" w:type="dxa"/>
            <w:tcBorders>
              <w:top w:val="single" w:sz="4" w:space="0" w:color="auto"/>
              <w:left w:val="single" w:sz="12" w:space="0" w:color="auto"/>
              <w:bottom w:val="single" w:sz="12" w:space="0" w:color="auto"/>
              <w:right w:val="single" w:sz="4" w:space="0" w:color="auto"/>
            </w:tcBorders>
            <w:shd w:val="clear" w:color="000000" w:fill="1F4E78"/>
            <w:vAlign w:val="center"/>
            <w:hideMark/>
          </w:tcPr>
          <w:p w14:paraId="7DDDB5F7" w14:textId="77777777" w:rsidR="00D5208B" w:rsidRPr="004F0F3C" w:rsidRDefault="00D5208B" w:rsidP="00582CA7">
            <w:pPr>
              <w:jc w:val="center"/>
              <w:rPr>
                <w:b/>
                <w:bCs/>
                <w:color w:val="FFFFFF"/>
                <w:sz w:val="16"/>
                <w:szCs w:val="16"/>
              </w:rPr>
            </w:pPr>
            <w:r w:rsidRPr="004F0F3C">
              <w:rPr>
                <w:b/>
                <w:bCs/>
                <w:color w:val="FFFFFF"/>
                <w:sz w:val="16"/>
                <w:szCs w:val="16"/>
              </w:rPr>
              <w:t>Meta</w:t>
            </w:r>
          </w:p>
        </w:tc>
        <w:tc>
          <w:tcPr>
            <w:tcW w:w="1100" w:type="dxa"/>
            <w:tcBorders>
              <w:top w:val="single" w:sz="4" w:space="0" w:color="auto"/>
              <w:left w:val="nil"/>
              <w:bottom w:val="single" w:sz="12" w:space="0" w:color="auto"/>
              <w:right w:val="single" w:sz="4" w:space="0" w:color="auto"/>
            </w:tcBorders>
            <w:shd w:val="clear" w:color="000000" w:fill="1F4E78"/>
            <w:vAlign w:val="center"/>
            <w:hideMark/>
          </w:tcPr>
          <w:p w14:paraId="3D9AB593" w14:textId="77777777" w:rsidR="00D5208B" w:rsidRPr="004F0F3C" w:rsidRDefault="00D5208B" w:rsidP="00582CA7">
            <w:pPr>
              <w:jc w:val="center"/>
              <w:rPr>
                <w:b/>
                <w:bCs/>
                <w:color w:val="FFFFFF"/>
                <w:sz w:val="16"/>
                <w:szCs w:val="16"/>
              </w:rPr>
            </w:pPr>
            <w:r w:rsidRPr="004F0F3C">
              <w:rPr>
                <w:b/>
                <w:bCs/>
                <w:color w:val="FFFFFF"/>
                <w:sz w:val="16"/>
                <w:szCs w:val="16"/>
              </w:rPr>
              <w:t>Brecha</w:t>
            </w:r>
          </w:p>
        </w:tc>
        <w:tc>
          <w:tcPr>
            <w:tcW w:w="707" w:type="dxa"/>
            <w:tcBorders>
              <w:top w:val="single" w:sz="4" w:space="0" w:color="auto"/>
              <w:left w:val="nil"/>
              <w:bottom w:val="single" w:sz="12" w:space="0" w:color="auto"/>
              <w:right w:val="single" w:sz="12" w:space="0" w:color="auto"/>
            </w:tcBorders>
            <w:shd w:val="clear" w:color="000000" w:fill="1F4E78"/>
            <w:vAlign w:val="center"/>
            <w:hideMark/>
          </w:tcPr>
          <w:p w14:paraId="73349128" w14:textId="77777777" w:rsidR="00D5208B" w:rsidRPr="004F0F3C" w:rsidRDefault="00D5208B" w:rsidP="00582CA7">
            <w:pPr>
              <w:jc w:val="center"/>
              <w:rPr>
                <w:b/>
                <w:bCs/>
                <w:color w:val="FFFFFF"/>
                <w:sz w:val="16"/>
                <w:szCs w:val="16"/>
              </w:rPr>
            </w:pPr>
            <w:r w:rsidRPr="004F0F3C">
              <w:rPr>
                <w:b/>
                <w:bCs/>
                <w:color w:val="FFFFFF"/>
                <w:sz w:val="16"/>
                <w:szCs w:val="16"/>
              </w:rPr>
              <w:t>% de avance</w:t>
            </w:r>
          </w:p>
        </w:tc>
      </w:tr>
      <w:tr w:rsidR="00D5208B" w:rsidRPr="004F0F3C" w14:paraId="01093677" w14:textId="77777777" w:rsidTr="00827ED5">
        <w:trPr>
          <w:trHeight w:val="478"/>
          <w:jc w:val="center"/>
        </w:trPr>
        <w:tc>
          <w:tcPr>
            <w:tcW w:w="581" w:type="dxa"/>
            <w:tcBorders>
              <w:top w:val="single" w:sz="12" w:space="0" w:color="auto"/>
              <w:left w:val="single" w:sz="12" w:space="0" w:color="auto"/>
              <w:bottom w:val="single" w:sz="4" w:space="0" w:color="auto"/>
              <w:right w:val="single" w:sz="4" w:space="0" w:color="auto"/>
            </w:tcBorders>
            <w:shd w:val="clear" w:color="auto" w:fill="auto"/>
            <w:vAlign w:val="center"/>
            <w:hideMark/>
          </w:tcPr>
          <w:p w14:paraId="317B66A2" w14:textId="77777777" w:rsidR="00D5208B" w:rsidRPr="004F0F3C" w:rsidRDefault="00D5208B" w:rsidP="00582CA7">
            <w:pPr>
              <w:jc w:val="center"/>
              <w:rPr>
                <w:color w:val="000000"/>
                <w:sz w:val="16"/>
                <w:szCs w:val="16"/>
              </w:rPr>
            </w:pPr>
            <w:r w:rsidRPr="004F0F3C">
              <w:rPr>
                <w:color w:val="000000"/>
                <w:sz w:val="16"/>
                <w:szCs w:val="16"/>
              </w:rPr>
              <w:t>1</w:t>
            </w:r>
          </w:p>
        </w:tc>
        <w:tc>
          <w:tcPr>
            <w:tcW w:w="2948" w:type="dxa"/>
            <w:tcBorders>
              <w:top w:val="single" w:sz="12" w:space="0" w:color="auto"/>
              <w:left w:val="nil"/>
              <w:bottom w:val="single" w:sz="4" w:space="0" w:color="auto"/>
              <w:right w:val="single" w:sz="4" w:space="0" w:color="auto"/>
            </w:tcBorders>
            <w:shd w:val="clear" w:color="auto" w:fill="auto"/>
            <w:vAlign w:val="center"/>
            <w:hideMark/>
          </w:tcPr>
          <w:p w14:paraId="661D2852" w14:textId="77777777" w:rsidR="00D5208B" w:rsidRPr="004F0F3C" w:rsidRDefault="00D5208B" w:rsidP="00582CA7">
            <w:pPr>
              <w:rPr>
                <w:color w:val="000000"/>
                <w:sz w:val="16"/>
                <w:szCs w:val="16"/>
              </w:rPr>
            </w:pPr>
            <w:r w:rsidRPr="004F0F3C">
              <w:rPr>
                <w:color w:val="000000"/>
                <w:sz w:val="16"/>
                <w:szCs w:val="16"/>
              </w:rPr>
              <w:t>Para el año 2023 se ha disminuido la incidencia criminal en 20 puntos de tasa.</w:t>
            </w:r>
          </w:p>
        </w:tc>
        <w:tc>
          <w:tcPr>
            <w:tcW w:w="1276" w:type="dxa"/>
            <w:tcBorders>
              <w:top w:val="single" w:sz="12" w:space="0" w:color="auto"/>
              <w:left w:val="nil"/>
              <w:bottom w:val="single" w:sz="4" w:space="0" w:color="auto"/>
              <w:right w:val="nil"/>
            </w:tcBorders>
            <w:shd w:val="clear" w:color="auto" w:fill="auto"/>
            <w:vAlign w:val="center"/>
            <w:hideMark/>
          </w:tcPr>
          <w:p w14:paraId="07A0B8F8" w14:textId="77777777" w:rsidR="00D5208B" w:rsidRPr="004F0F3C" w:rsidRDefault="00D5208B" w:rsidP="00582CA7">
            <w:pPr>
              <w:jc w:val="center"/>
              <w:rPr>
                <w:color w:val="000000"/>
                <w:sz w:val="16"/>
                <w:szCs w:val="16"/>
              </w:rPr>
            </w:pPr>
            <w:r w:rsidRPr="004F0F3C">
              <w:rPr>
                <w:color w:val="000000"/>
                <w:sz w:val="16"/>
                <w:szCs w:val="16"/>
              </w:rPr>
              <w:t>MINGOB / MP/ OJ</w:t>
            </w:r>
          </w:p>
        </w:tc>
        <w:tc>
          <w:tcPr>
            <w:tcW w:w="709" w:type="dxa"/>
            <w:tcBorders>
              <w:top w:val="single" w:sz="12" w:space="0" w:color="auto"/>
              <w:left w:val="single" w:sz="8" w:space="0" w:color="auto"/>
              <w:bottom w:val="single" w:sz="4" w:space="0" w:color="auto"/>
              <w:right w:val="single" w:sz="4" w:space="0" w:color="auto"/>
            </w:tcBorders>
            <w:shd w:val="clear" w:color="auto" w:fill="auto"/>
            <w:vAlign w:val="center"/>
            <w:hideMark/>
          </w:tcPr>
          <w:p w14:paraId="3BE4BA24" w14:textId="77777777" w:rsidR="00D5208B" w:rsidRPr="004F0F3C" w:rsidRDefault="00D5208B" w:rsidP="00582CA7">
            <w:pPr>
              <w:jc w:val="center"/>
              <w:rPr>
                <w:color w:val="000000"/>
                <w:sz w:val="16"/>
                <w:szCs w:val="16"/>
              </w:rPr>
            </w:pPr>
            <w:r w:rsidRPr="004F0F3C">
              <w:rPr>
                <w:color w:val="000000"/>
                <w:sz w:val="16"/>
                <w:szCs w:val="16"/>
              </w:rPr>
              <w:t>89.14</w:t>
            </w:r>
          </w:p>
        </w:tc>
        <w:tc>
          <w:tcPr>
            <w:tcW w:w="708" w:type="dxa"/>
            <w:tcBorders>
              <w:top w:val="single" w:sz="12" w:space="0" w:color="auto"/>
              <w:left w:val="nil"/>
              <w:bottom w:val="single" w:sz="4" w:space="0" w:color="auto"/>
              <w:right w:val="single" w:sz="12" w:space="0" w:color="auto"/>
            </w:tcBorders>
            <w:shd w:val="clear" w:color="auto" w:fill="auto"/>
            <w:vAlign w:val="center"/>
            <w:hideMark/>
          </w:tcPr>
          <w:p w14:paraId="50C5CBD2" w14:textId="77777777" w:rsidR="00D5208B" w:rsidRPr="004F0F3C" w:rsidRDefault="00D5208B" w:rsidP="00582CA7">
            <w:pPr>
              <w:jc w:val="center"/>
              <w:rPr>
                <w:color w:val="000000"/>
                <w:sz w:val="16"/>
                <w:szCs w:val="16"/>
              </w:rPr>
            </w:pPr>
            <w:r w:rsidRPr="004F0F3C">
              <w:rPr>
                <w:color w:val="000000"/>
                <w:sz w:val="16"/>
                <w:szCs w:val="16"/>
              </w:rPr>
              <w:t>93.35</w:t>
            </w:r>
          </w:p>
        </w:tc>
        <w:tc>
          <w:tcPr>
            <w:tcW w:w="745" w:type="dxa"/>
            <w:tcBorders>
              <w:top w:val="single" w:sz="12" w:space="0" w:color="auto"/>
              <w:left w:val="single" w:sz="12" w:space="0" w:color="auto"/>
              <w:bottom w:val="single" w:sz="4" w:space="0" w:color="auto"/>
              <w:right w:val="single" w:sz="4" w:space="0" w:color="auto"/>
            </w:tcBorders>
            <w:shd w:val="clear" w:color="auto" w:fill="auto"/>
            <w:vAlign w:val="center"/>
            <w:hideMark/>
          </w:tcPr>
          <w:p w14:paraId="4F2921D6" w14:textId="77777777" w:rsidR="00D5208B" w:rsidRPr="004F0F3C" w:rsidRDefault="00D5208B" w:rsidP="00582CA7">
            <w:pPr>
              <w:jc w:val="center"/>
              <w:rPr>
                <w:sz w:val="16"/>
                <w:szCs w:val="16"/>
              </w:rPr>
            </w:pPr>
            <w:r w:rsidRPr="004F0F3C">
              <w:rPr>
                <w:sz w:val="16"/>
                <w:szCs w:val="16"/>
              </w:rPr>
              <w:t>80.63</w:t>
            </w:r>
          </w:p>
        </w:tc>
        <w:tc>
          <w:tcPr>
            <w:tcW w:w="1100" w:type="dxa"/>
            <w:tcBorders>
              <w:top w:val="single" w:sz="12" w:space="0" w:color="auto"/>
              <w:left w:val="nil"/>
              <w:bottom w:val="single" w:sz="4" w:space="0" w:color="auto"/>
              <w:right w:val="single" w:sz="4" w:space="0" w:color="auto"/>
            </w:tcBorders>
            <w:shd w:val="clear" w:color="auto" w:fill="auto"/>
            <w:vAlign w:val="center"/>
            <w:hideMark/>
          </w:tcPr>
          <w:p w14:paraId="7803F3D1" w14:textId="77777777" w:rsidR="00D5208B" w:rsidRPr="004F0F3C" w:rsidRDefault="00D5208B" w:rsidP="00582CA7">
            <w:pPr>
              <w:jc w:val="center"/>
              <w:rPr>
                <w:color w:val="C00000"/>
                <w:sz w:val="16"/>
                <w:szCs w:val="16"/>
              </w:rPr>
            </w:pPr>
            <w:r w:rsidRPr="004F0F3C">
              <w:rPr>
                <w:color w:val="C00000"/>
                <w:sz w:val="16"/>
                <w:szCs w:val="16"/>
              </w:rPr>
              <w:t>-12.72</w:t>
            </w:r>
          </w:p>
        </w:tc>
        <w:tc>
          <w:tcPr>
            <w:tcW w:w="707" w:type="dxa"/>
            <w:tcBorders>
              <w:top w:val="single" w:sz="12" w:space="0" w:color="auto"/>
              <w:left w:val="nil"/>
              <w:bottom w:val="single" w:sz="4" w:space="0" w:color="auto"/>
              <w:right w:val="single" w:sz="12" w:space="0" w:color="auto"/>
            </w:tcBorders>
            <w:shd w:val="clear" w:color="000000" w:fill="92D050"/>
            <w:vAlign w:val="center"/>
            <w:hideMark/>
          </w:tcPr>
          <w:p w14:paraId="4AAD9A67" w14:textId="77777777" w:rsidR="00D5208B" w:rsidRPr="004F0F3C" w:rsidRDefault="00D5208B" w:rsidP="00582CA7">
            <w:pPr>
              <w:jc w:val="center"/>
              <w:rPr>
                <w:b/>
                <w:bCs/>
                <w:color w:val="000000"/>
                <w:sz w:val="16"/>
                <w:szCs w:val="16"/>
              </w:rPr>
            </w:pPr>
            <w:r w:rsidRPr="004F0F3C">
              <w:rPr>
                <w:b/>
                <w:bCs/>
                <w:color w:val="000000"/>
                <w:sz w:val="16"/>
                <w:szCs w:val="16"/>
              </w:rPr>
              <w:t>86.4%</w:t>
            </w:r>
          </w:p>
        </w:tc>
      </w:tr>
      <w:tr w:rsidR="00D5208B" w:rsidRPr="004F0F3C" w14:paraId="4F2600E4" w14:textId="77777777" w:rsidTr="00827ED5">
        <w:trPr>
          <w:trHeight w:val="420"/>
          <w:jc w:val="center"/>
        </w:trPr>
        <w:tc>
          <w:tcPr>
            <w:tcW w:w="581" w:type="dxa"/>
            <w:tcBorders>
              <w:top w:val="nil"/>
              <w:left w:val="single" w:sz="12" w:space="0" w:color="auto"/>
              <w:bottom w:val="single" w:sz="4" w:space="0" w:color="auto"/>
              <w:right w:val="single" w:sz="4" w:space="0" w:color="auto"/>
            </w:tcBorders>
            <w:shd w:val="clear" w:color="auto" w:fill="auto"/>
            <w:vAlign w:val="center"/>
            <w:hideMark/>
          </w:tcPr>
          <w:p w14:paraId="597B2CED" w14:textId="77777777" w:rsidR="00D5208B" w:rsidRPr="004F0F3C" w:rsidRDefault="00D5208B" w:rsidP="00582CA7">
            <w:pPr>
              <w:jc w:val="center"/>
              <w:rPr>
                <w:color w:val="000000"/>
                <w:sz w:val="16"/>
                <w:szCs w:val="16"/>
              </w:rPr>
            </w:pPr>
            <w:r w:rsidRPr="004F0F3C">
              <w:rPr>
                <w:color w:val="000000"/>
                <w:sz w:val="16"/>
                <w:szCs w:val="16"/>
              </w:rPr>
              <w:t>2</w:t>
            </w:r>
          </w:p>
        </w:tc>
        <w:tc>
          <w:tcPr>
            <w:tcW w:w="2948" w:type="dxa"/>
            <w:tcBorders>
              <w:top w:val="single" w:sz="4" w:space="0" w:color="auto"/>
              <w:left w:val="nil"/>
              <w:bottom w:val="single" w:sz="4" w:space="0" w:color="auto"/>
              <w:right w:val="single" w:sz="4" w:space="0" w:color="auto"/>
            </w:tcBorders>
            <w:shd w:val="clear" w:color="auto" w:fill="auto"/>
            <w:vAlign w:val="center"/>
            <w:hideMark/>
          </w:tcPr>
          <w:p w14:paraId="657754B1" w14:textId="77777777" w:rsidR="00D5208B" w:rsidRPr="004F0F3C" w:rsidRDefault="00D5208B" w:rsidP="00582CA7">
            <w:pPr>
              <w:rPr>
                <w:color w:val="000000"/>
                <w:sz w:val="16"/>
                <w:szCs w:val="16"/>
              </w:rPr>
            </w:pPr>
            <w:r w:rsidRPr="004F0F3C">
              <w:rPr>
                <w:color w:val="000000"/>
                <w:sz w:val="16"/>
                <w:szCs w:val="16"/>
              </w:rPr>
              <w:t xml:space="preserve">Para el año 2023 se ha reducido la tasa de homicidios en 8.8 </w:t>
            </w:r>
            <w:r>
              <w:rPr>
                <w:color w:val="000000"/>
                <w:sz w:val="16"/>
                <w:szCs w:val="16"/>
              </w:rPr>
              <w:t>puntos</w:t>
            </w:r>
          </w:p>
        </w:tc>
        <w:tc>
          <w:tcPr>
            <w:tcW w:w="1276" w:type="dxa"/>
            <w:tcBorders>
              <w:top w:val="nil"/>
              <w:left w:val="nil"/>
              <w:bottom w:val="single" w:sz="4" w:space="0" w:color="auto"/>
              <w:right w:val="nil"/>
            </w:tcBorders>
            <w:shd w:val="clear" w:color="auto" w:fill="auto"/>
            <w:vAlign w:val="center"/>
            <w:hideMark/>
          </w:tcPr>
          <w:p w14:paraId="2DF8F261" w14:textId="77777777" w:rsidR="00D5208B" w:rsidRPr="004F0F3C" w:rsidRDefault="00D5208B" w:rsidP="00582CA7">
            <w:pPr>
              <w:jc w:val="center"/>
              <w:rPr>
                <w:color w:val="000000"/>
                <w:sz w:val="16"/>
                <w:szCs w:val="16"/>
              </w:rPr>
            </w:pPr>
            <w:r w:rsidRPr="004F0F3C">
              <w:rPr>
                <w:color w:val="000000"/>
                <w:sz w:val="16"/>
                <w:szCs w:val="16"/>
              </w:rPr>
              <w:t>MINGOB</w:t>
            </w:r>
          </w:p>
        </w:tc>
        <w:tc>
          <w:tcPr>
            <w:tcW w:w="709"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4277322E" w14:textId="77777777" w:rsidR="00D5208B" w:rsidRPr="004F0F3C" w:rsidRDefault="00D5208B" w:rsidP="00582CA7">
            <w:pPr>
              <w:jc w:val="center"/>
              <w:rPr>
                <w:color w:val="000000"/>
                <w:sz w:val="16"/>
                <w:szCs w:val="16"/>
              </w:rPr>
            </w:pPr>
            <w:r w:rsidRPr="004F0F3C">
              <w:rPr>
                <w:color w:val="000000"/>
                <w:sz w:val="16"/>
                <w:szCs w:val="16"/>
              </w:rPr>
              <w:t>16.6</w:t>
            </w:r>
          </w:p>
        </w:tc>
        <w:tc>
          <w:tcPr>
            <w:tcW w:w="708" w:type="dxa"/>
            <w:tcBorders>
              <w:top w:val="nil"/>
              <w:left w:val="nil"/>
              <w:bottom w:val="single" w:sz="4" w:space="0" w:color="auto"/>
              <w:right w:val="single" w:sz="12" w:space="0" w:color="auto"/>
            </w:tcBorders>
            <w:shd w:val="clear" w:color="auto" w:fill="auto"/>
            <w:vAlign w:val="center"/>
            <w:hideMark/>
          </w:tcPr>
          <w:p w14:paraId="71CCD85D" w14:textId="77777777" w:rsidR="00D5208B" w:rsidRPr="004F0F3C" w:rsidRDefault="00D5208B" w:rsidP="00582CA7">
            <w:pPr>
              <w:jc w:val="center"/>
              <w:rPr>
                <w:color w:val="000000"/>
                <w:sz w:val="16"/>
                <w:szCs w:val="16"/>
              </w:rPr>
            </w:pPr>
            <w:r w:rsidRPr="004F0F3C">
              <w:rPr>
                <w:color w:val="000000"/>
                <w:sz w:val="16"/>
                <w:szCs w:val="16"/>
              </w:rPr>
              <w:t>17.4</w:t>
            </w:r>
          </w:p>
        </w:tc>
        <w:tc>
          <w:tcPr>
            <w:tcW w:w="745" w:type="dxa"/>
            <w:tcBorders>
              <w:top w:val="nil"/>
              <w:left w:val="single" w:sz="12" w:space="0" w:color="auto"/>
              <w:bottom w:val="single" w:sz="4" w:space="0" w:color="auto"/>
              <w:right w:val="single" w:sz="4" w:space="0" w:color="auto"/>
            </w:tcBorders>
            <w:shd w:val="clear" w:color="auto" w:fill="auto"/>
            <w:vAlign w:val="center"/>
            <w:hideMark/>
          </w:tcPr>
          <w:p w14:paraId="5A9556D4" w14:textId="77777777" w:rsidR="00D5208B" w:rsidRPr="004F0F3C" w:rsidRDefault="00D5208B" w:rsidP="00582CA7">
            <w:pPr>
              <w:jc w:val="center"/>
              <w:rPr>
                <w:sz w:val="16"/>
                <w:szCs w:val="16"/>
              </w:rPr>
            </w:pPr>
            <w:r w:rsidRPr="004F0F3C">
              <w:rPr>
                <w:sz w:val="16"/>
                <w:szCs w:val="16"/>
              </w:rPr>
              <w:t>11.8</w:t>
            </w:r>
          </w:p>
        </w:tc>
        <w:tc>
          <w:tcPr>
            <w:tcW w:w="1100" w:type="dxa"/>
            <w:tcBorders>
              <w:top w:val="nil"/>
              <w:left w:val="nil"/>
              <w:bottom w:val="single" w:sz="4" w:space="0" w:color="auto"/>
              <w:right w:val="single" w:sz="4" w:space="0" w:color="auto"/>
            </w:tcBorders>
            <w:shd w:val="clear" w:color="auto" w:fill="auto"/>
            <w:vAlign w:val="center"/>
            <w:hideMark/>
          </w:tcPr>
          <w:p w14:paraId="2E30E459" w14:textId="77777777" w:rsidR="00D5208B" w:rsidRPr="004F0F3C" w:rsidRDefault="00D5208B" w:rsidP="00582CA7">
            <w:pPr>
              <w:jc w:val="center"/>
              <w:rPr>
                <w:color w:val="C00000"/>
                <w:sz w:val="16"/>
                <w:szCs w:val="16"/>
              </w:rPr>
            </w:pPr>
            <w:r w:rsidRPr="004F0F3C">
              <w:rPr>
                <w:color w:val="C00000"/>
                <w:sz w:val="16"/>
                <w:szCs w:val="16"/>
              </w:rPr>
              <w:t>-5.6</w:t>
            </w:r>
          </w:p>
        </w:tc>
        <w:tc>
          <w:tcPr>
            <w:tcW w:w="707" w:type="dxa"/>
            <w:tcBorders>
              <w:top w:val="nil"/>
              <w:left w:val="nil"/>
              <w:bottom w:val="single" w:sz="4" w:space="0" w:color="auto"/>
              <w:right w:val="single" w:sz="12" w:space="0" w:color="auto"/>
            </w:tcBorders>
            <w:shd w:val="clear" w:color="000000" w:fill="FFFF00"/>
            <w:vAlign w:val="center"/>
            <w:hideMark/>
          </w:tcPr>
          <w:p w14:paraId="24B5024D" w14:textId="77777777" w:rsidR="00D5208B" w:rsidRPr="004F0F3C" w:rsidRDefault="00D5208B" w:rsidP="00582CA7">
            <w:pPr>
              <w:jc w:val="center"/>
              <w:rPr>
                <w:b/>
                <w:bCs/>
                <w:color w:val="000000"/>
                <w:sz w:val="16"/>
                <w:szCs w:val="16"/>
              </w:rPr>
            </w:pPr>
            <w:r w:rsidRPr="004F0F3C">
              <w:rPr>
                <w:b/>
                <w:bCs/>
                <w:color w:val="000000"/>
                <w:sz w:val="16"/>
                <w:szCs w:val="16"/>
              </w:rPr>
              <w:t>67.8%</w:t>
            </w:r>
          </w:p>
        </w:tc>
      </w:tr>
      <w:tr w:rsidR="00D5208B" w:rsidRPr="004F0F3C" w14:paraId="35D36C06" w14:textId="77777777" w:rsidTr="00827ED5">
        <w:trPr>
          <w:trHeight w:val="412"/>
          <w:jc w:val="center"/>
        </w:trPr>
        <w:tc>
          <w:tcPr>
            <w:tcW w:w="581" w:type="dxa"/>
            <w:tcBorders>
              <w:top w:val="nil"/>
              <w:left w:val="single" w:sz="12" w:space="0" w:color="auto"/>
              <w:bottom w:val="single" w:sz="4" w:space="0" w:color="auto"/>
              <w:right w:val="single" w:sz="4" w:space="0" w:color="auto"/>
            </w:tcBorders>
            <w:shd w:val="clear" w:color="auto" w:fill="auto"/>
            <w:vAlign w:val="center"/>
            <w:hideMark/>
          </w:tcPr>
          <w:p w14:paraId="7FFCF827" w14:textId="77777777" w:rsidR="00D5208B" w:rsidRPr="004F0F3C" w:rsidRDefault="00D5208B" w:rsidP="00582CA7">
            <w:pPr>
              <w:jc w:val="center"/>
              <w:rPr>
                <w:color w:val="000000"/>
                <w:sz w:val="16"/>
                <w:szCs w:val="16"/>
              </w:rPr>
            </w:pPr>
            <w:r w:rsidRPr="004F0F3C">
              <w:rPr>
                <w:color w:val="000000"/>
                <w:sz w:val="16"/>
                <w:szCs w:val="16"/>
              </w:rPr>
              <w:t>3</w:t>
            </w:r>
          </w:p>
        </w:tc>
        <w:tc>
          <w:tcPr>
            <w:tcW w:w="2948" w:type="dxa"/>
            <w:tcBorders>
              <w:top w:val="nil"/>
              <w:left w:val="nil"/>
              <w:bottom w:val="single" w:sz="4" w:space="0" w:color="auto"/>
              <w:right w:val="single" w:sz="4" w:space="0" w:color="auto"/>
            </w:tcBorders>
            <w:shd w:val="clear" w:color="auto" w:fill="auto"/>
            <w:vAlign w:val="center"/>
            <w:hideMark/>
          </w:tcPr>
          <w:p w14:paraId="26C8DB64" w14:textId="77777777" w:rsidR="00D5208B" w:rsidRPr="004F0F3C" w:rsidRDefault="00D5208B" w:rsidP="00582CA7">
            <w:pPr>
              <w:rPr>
                <w:color w:val="000000"/>
                <w:sz w:val="16"/>
                <w:szCs w:val="16"/>
              </w:rPr>
            </w:pPr>
            <w:r w:rsidRPr="004F0F3C">
              <w:rPr>
                <w:color w:val="000000"/>
                <w:sz w:val="16"/>
                <w:szCs w:val="16"/>
              </w:rPr>
              <w:t>Para el año 2023 se ha incrementado en 4 el número de centros penitenciarios</w:t>
            </w:r>
          </w:p>
        </w:tc>
        <w:tc>
          <w:tcPr>
            <w:tcW w:w="1276" w:type="dxa"/>
            <w:tcBorders>
              <w:top w:val="nil"/>
              <w:left w:val="nil"/>
              <w:bottom w:val="single" w:sz="4" w:space="0" w:color="auto"/>
              <w:right w:val="nil"/>
            </w:tcBorders>
            <w:shd w:val="clear" w:color="auto" w:fill="auto"/>
            <w:vAlign w:val="center"/>
            <w:hideMark/>
          </w:tcPr>
          <w:p w14:paraId="02956279" w14:textId="77777777" w:rsidR="00D5208B" w:rsidRPr="004F0F3C" w:rsidRDefault="00D5208B" w:rsidP="00582CA7">
            <w:pPr>
              <w:jc w:val="center"/>
              <w:rPr>
                <w:color w:val="000000"/>
                <w:sz w:val="16"/>
                <w:szCs w:val="16"/>
              </w:rPr>
            </w:pPr>
            <w:r w:rsidRPr="004F0F3C">
              <w:rPr>
                <w:color w:val="000000"/>
                <w:sz w:val="16"/>
                <w:szCs w:val="16"/>
              </w:rPr>
              <w:t>MINGOB</w:t>
            </w:r>
          </w:p>
        </w:tc>
        <w:tc>
          <w:tcPr>
            <w:tcW w:w="709"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37EF78F3" w14:textId="77777777" w:rsidR="00D5208B" w:rsidRPr="004F0F3C" w:rsidRDefault="00D5208B" w:rsidP="00582CA7">
            <w:pPr>
              <w:jc w:val="center"/>
              <w:rPr>
                <w:color w:val="000000"/>
                <w:sz w:val="16"/>
                <w:szCs w:val="16"/>
              </w:rPr>
            </w:pPr>
            <w:r w:rsidRPr="004F0F3C">
              <w:rPr>
                <w:color w:val="000000"/>
                <w:sz w:val="16"/>
                <w:szCs w:val="16"/>
              </w:rPr>
              <w:t>23</w:t>
            </w:r>
          </w:p>
        </w:tc>
        <w:tc>
          <w:tcPr>
            <w:tcW w:w="708" w:type="dxa"/>
            <w:tcBorders>
              <w:top w:val="nil"/>
              <w:left w:val="nil"/>
              <w:bottom w:val="single" w:sz="4" w:space="0" w:color="auto"/>
              <w:right w:val="single" w:sz="12" w:space="0" w:color="auto"/>
            </w:tcBorders>
            <w:shd w:val="clear" w:color="auto" w:fill="auto"/>
            <w:vAlign w:val="center"/>
            <w:hideMark/>
          </w:tcPr>
          <w:p w14:paraId="78FFD692" w14:textId="77777777" w:rsidR="00D5208B" w:rsidRPr="004F0F3C" w:rsidRDefault="00D5208B" w:rsidP="00582CA7">
            <w:pPr>
              <w:jc w:val="center"/>
              <w:rPr>
                <w:color w:val="000000"/>
                <w:sz w:val="16"/>
                <w:szCs w:val="16"/>
              </w:rPr>
            </w:pPr>
            <w:r w:rsidRPr="004F0F3C">
              <w:rPr>
                <w:color w:val="000000"/>
                <w:sz w:val="16"/>
                <w:szCs w:val="16"/>
              </w:rPr>
              <w:t>23</w:t>
            </w:r>
          </w:p>
        </w:tc>
        <w:tc>
          <w:tcPr>
            <w:tcW w:w="745" w:type="dxa"/>
            <w:tcBorders>
              <w:top w:val="nil"/>
              <w:left w:val="single" w:sz="12" w:space="0" w:color="auto"/>
              <w:bottom w:val="single" w:sz="4" w:space="0" w:color="auto"/>
              <w:right w:val="single" w:sz="4" w:space="0" w:color="auto"/>
            </w:tcBorders>
            <w:shd w:val="clear" w:color="auto" w:fill="auto"/>
            <w:vAlign w:val="center"/>
            <w:hideMark/>
          </w:tcPr>
          <w:p w14:paraId="09D79D26" w14:textId="77777777" w:rsidR="00D5208B" w:rsidRPr="004F0F3C" w:rsidRDefault="00D5208B" w:rsidP="00582CA7">
            <w:pPr>
              <w:jc w:val="center"/>
              <w:rPr>
                <w:sz w:val="16"/>
                <w:szCs w:val="16"/>
              </w:rPr>
            </w:pPr>
            <w:r w:rsidRPr="004F0F3C">
              <w:rPr>
                <w:sz w:val="16"/>
                <w:szCs w:val="16"/>
              </w:rPr>
              <w:t>26</w:t>
            </w:r>
          </w:p>
        </w:tc>
        <w:tc>
          <w:tcPr>
            <w:tcW w:w="1100" w:type="dxa"/>
            <w:tcBorders>
              <w:top w:val="nil"/>
              <w:left w:val="nil"/>
              <w:bottom w:val="single" w:sz="4" w:space="0" w:color="auto"/>
              <w:right w:val="single" w:sz="4" w:space="0" w:color="auto"/>
            </w:tcBorders>
            <w:shd w:val="clear" w:color="auto" w:fill="auto"/>
            <w:vAlign w:val="center"/>
            <w:hideMark/>
          </w:tcPr>
          <w:p w14:paraId="2FB462E5" w14:textId="77777777" w:rsidR="00D5208B" w:rsidRPr="004F0F3C" w:rsidRDefault="00D5208B" w:rsidP="00582CA7">
            <w:pPr>
              <w:jc w:val="center"/>
              <w:rPr>
                <w:color w:val="C00000"/>
                <w:sz w:val="16"/>
                <w:szCs w:val="16"/>
              </w:rPr>
            </w:pPr>
            <w:r w:rsidRPr="004F0F3C">
              <w:rPr>
                <w:color w:val="C00000"/>
                <w:sz w:val="16"/>
                <w:szCs w:val="16"/>
              </w:rPr>
              <w:t>-3</w:t>
            </w:r>
          </w:p>
        </w:tc>
        <w:tc>
          <w:tcPr>
            <w:tcW w:w="707" w:type="dxa"/>
            <w:tcBorders>
              <w:top w:val="nil"/>
              <w:left w:val="nil"/>
              <w:bottom w:val="single" w:sz="4" w:space="0" w:color="auto"/>
              <w:right w:val="single" w:sz="12" w:space="0" w:color="auto"/>
            </w:tcBorders>
            <w:shd w:val="clear" w:color="000000" w:fill="92D050"/>
            <w:vAlign w:val="center"/>
            <w:hideMark/>
          </w:tcPr>
          <w:p w14:paraId="3642A57D" w14:textId="77777777" w:rsidR="00D5208B" w:rsidRPr="004F0F3C" w:rsidRDefault="00D5208B" w:rsidP="00582CA7">
            <w:pPr>
              <w:jc w:val="center"/>
              <w:rPr>
                <w:b/>
                <w:bCs/>
                <w:color w:val="000000"/>
                <w:sz w:val="16"/>
                <w:szCs w:val="16"/>
              </w:rPr>
            </w:pPr>
            <w:r w:rsidRPr="004F0F3C">
              <w:rPr>
                <w:b/>
                <w:bCs/>
                <w:color w:val="000000"/>
                <w:sz w:val="16"/>
                <w:szCs w:val="16"/>
              </w:rPr>
              <w:t>88.5%</w:t>
            </w:r>
          </w:p>
        </w:tc>
      </w:tr>
      <w:tr w:rsidR="00D5208B" w:rsidRPr="004F0F3C" w14:paraId="3C5B5388" w14:textId="77777777" w:rsidTr="00827ED5">
        <w:trPr>
          <w:trHeight w:val="701"/>
          <w:jc w:val="center"/>
        </w:trPr>
        <w:tc>
          <w:tcPr>
            <w:tcW w:w="581" w:type="dxa"/>
            <w:tcBorders>
              <w:top w:val="nil"/>
              <w:left w:val="single" w:sz="12" w:space="0" w:color="auto"/>
              <w:bottom w:val="single" w:sz="4" w:space="0" w:color="auto"/>
              <w:right w:val="single" w:sz="4" w:space="0" w:color="auto"/>
            </w:tcBorders>
            <w:shd w:val="clear" w:color="auto" w:fill="auto"/>
            <w:vAlign w:val="center"/>
            <w:hideMark/>
          </w:tcPr>
          <w:p w14:paraId="0AE40431" w14:textId="77777777" w:rsidR="00D5208B" w:rsidRPr="004F0F3C" w:rsidRDefault="00D5208B" w:rsidP="00582CA7">
            <w:pPr>
              <w:jc w:val="center"/>
              <w:rPr>
                <w:color w:val="000000"/>
                <w:sz w:val="16"/>
                <w:szCs w:val="16"/>
              </w:rPr>
            </w:pPr>
            <w:r w:rsidRPr="004F0F3C">
              <w:rPr>
                <w:color w:val="000000"/>
                <w:sz w:val="16"/>
              </w:rPr>
              <w:t>4</w:t>
            </w:r>
          </w:p>
        </w:tc>
        <w:tc>
          <w:tcPr>
            <w:tcW w:w="2948" w:type="dxa"/>
            <w:tcBorders>
              <w:top w:val="nil"/>
              <w:left w:val="nil"/>
              <w:bottom w:val="single" w:sz="4" w:space="0" w:color="auto"/>
              <w:right w:val="single" w:sz="4" w:space="0" w:color="auto"/>
            </w:tcBorders>
            <w:shd w:val="clear" w:color="auto" w:fill="auto"/>
            <w:vAlign w:val="center"/>
            <w:hideMark/>
          </w:tcPr>
          <w:p w14:paraId="68816F64" w14:textId="77777777" w:rsidR="00D5208B" w:rsidRPr="004F0F3C" w:rsidRDefault="00D5208B" w:rsidP="00582CA7">
            <w:pPr>
              <w:rPr>
                <w:color w:val="000000"/>
                <w:sz w:val="16"/>
                <w:szCs w:val="16"/>
              </w:rPr>
            </w:pPr>
            <w:r w:rsidRPr="004F0F3C">
              <w:rPr>
                <w:color w:val="000000"/>
                <w:sz w:val="16"/>
                <w:szCs w:val="16"/>
              </w:rPr>
              <w:t>Para el año 2023 se han conformado 340 organizaciones comunitarias, municipales y departamentales de prevención de la violencia y el delito</w:t>
            </w:r>
          </w:p>
        </w:tc>
        <w:tc>
          <w:tcPr>
            <w:tcW w:w="1276" w:type="dxa"/>
            <w:tcBorders>
              <w:top w:val="nil"/>
              <w:left w:val="nil"/>
              <w:bottom w:val="single" w:sz="4" w:space="0" w:color="auto"/>
              <w:right w:val="nil"/>
            </w:tcBorders>
            <w:shd w:val="clear" w:color="auto" w:fill="auto"/>
            <w:vAlign w:val="center"/>
            <w:hideMark/>
          </w:tcPr>
          <w:p w14:paraId="489B33E2" w14:textId="77777777" w:rsidR="00D5208B" w:rsidRPr="004F0F3C" w:rsidRDefault="00D5208B" w:rsidP="00582CA7">
            <w:pPr>
              <w:jc w:val="center"/>
              <w:rPr>
                <w:color w:val="000000"/>
                <w:sz w:val="16"/>
                <w:szCs w:val="16"/>
              </w:rPr>
            </w:pPr>
            <w:r w:rsidRPr="004F0F3C">
              <w:rPr>
                <w:color w:val="000000"/>
                <w:sz w:val="16"/>
                <w:szCs w:val="16"/>
              </w:rPr>
              <w:t>MINGOB</w:t>
            </w:r>
          </w:p>
        </w:tc>
        <w:tc>
          <w:tcPr>
            <w:tcW w:w="709" w:type="dxa"/>
            <w:tcBorders>
              <w:top w:val="nil"/>
              <w:left w:val="single" w:sz="8" w:space="0" w:color="auto"/>
              <w:bottom w:val="single" w:sz="4" w:space="0" w:color="auto"/>
              <w:right w:val="single" w:sz="4" w:space="0" w:color="auto"/>
            </w:tcBorders>
            <w:shd w:val="clear" w:color="auto" w:fill="auto"/>
            <w:vAlign w:val="center"/>
            <w:hideMark/>
          </w:tcPr>
          <w:p w14:paraId="052235CE" w14:textId="77777777" w:rsidR="00D5208B" w:rsidRPr="004F0F3C" w:rsidRDefault="00D5208B" w:rsidP="00582CA7">
            <w:pPr>
              <w:jc w:val="center"/>
              <w:rPr>
                <w:color w:val="000000"/>
                <w:sz w:val="16"/>
                <w:szCs w:val="16"/>
              </w:rPr>
            </w:pPr>
            <w:r w:rsidRPr="004F0F3C">
              <w:rPr>
                <w:color w:val="000000"/>
                <w:sz w:val="16"/>
                <w:szCs w:val="16"/>
              </w:rPr>
              <w:t>316</w:t>
            </w:r>
          </w:p>
        </w:tc>
        <w:tc>
          <w:tcPr>
            <w:tcW w:w="708" w:type="dxa"/>
            <w:tcBorders>
              <w:top w:val="nil"/>
              <w:left w:val="nil"/>
              <w:bottom w:val="single" w:sz="4" w:space="0" w:color="auto"/>
              <w:right w:val="single" w:sz="12" w:space="0" w:color="auto"/>
            </w:tcBorders>
            <w:shd w:val="clear" w:color="auto" w:fill="auto"/>
            <w:vAlign w:val="center"/>
            <w:hideMark/>
          </w:tcPr>
          <w:p w14:paraId="0C76C501" w14:textId="77777777" w:rsidR="00D5208B" w:rsidRPr="004F0F3C" w:rsidRDefault="00D5208B" w:rsidP="00582CA7">
            <w:pPr>
              <w:jc w:val="center"/>
              <w:rPr>
                <w:color w:val="000000"/>
                <w:sz w:val="16"/>
                <w:szCs w:val="16"/>
              </w:rPr>
            </w:pPr>
            <w:r w:rsidRPr="004F0F3C">
              <w:rPr>
                <w:color w:val="000000"/>
                <w:sz w:val="16"/>
                <w:szCs w:val="16"/>
              </w:rPr>
              <w:t>1787</w:t>
            </w:r>
          </w:p>
        </w:tc>
        <w:tc>
          <w:tcPr>
            <w:tcW w:w="745" w:type="dxa"/>
            <w:tcBorders>
              <w:top w:val="nil"/>
              <w:left w:val="single" w:sz="12" w:space="0" w:color="auto"/>
              <w:bottom w:val="single" w:sz="4" w:space="0" w:color="auto"/>
              <w:right w:val="single" w:sz="4" w:space="0" w:color="auto"/>
            </w:tcBorders>
            <w:shd w:val="clear" w:color="auto" w:fill="auto"/>
            <w:vAlign w:val="center"/>
            <w:hideMark/>
          </w:tcPr>
          <w:p w14:paraId="43706E70" w14:textId="77777777" w:rsidR="00D5208B" w:rsidRPr="004F0F3C" w:rsidRDefault="00D5208B" w:rsidP="00582CA7">
            <w:pPr>
              <w:jc w:val="center"/>
              <w:rPr>
                <w:sz w:val="16"/>
                <w:szCs w:val="16"/>
              </w:rPr>
            </w:pPr>
            <w:r w:rsidRPr="004F0F3C">
              <w:rPr>
                <w:sz w:val="16"/>
                <w:szCs w:val="16"/>
              </w:rPr>
              <w:t>340</w:t>
            </w:r>
          </w:p>
        </w:tc>
        <w:tc>
          <w:tcPr>
            <w:tcW w:w="1100" w:type="dxa"/>
            <w:tcBorders>
              <w:top w:val="nil"/>
              <w:left w:val="nil"/>
              <w:bottom w:val="single" w:sz="4" w:space="0" w:color="auto"/>
              <w:right w:val="single" w:sz="4" w:space="0" w:color="auto"/>
            </w:tcBorders>
            <w:shd w:val="clear" w:color="auto" w:fill="auto"/>
            <w:vAlign w:val="center"/>
            <w:hideMark/>
          </w:tcPr>
          <w:p w14:paraId="4B498592" w14:textId="77777777" w:rsidR="00D5208B" w:rsidRPr="004F0F3C" w:rsidRDefault="00D5208B" w:rsidP="00582CA7">
            <w:pPr>
              <w:jc w:val="center"/>
              <w:rPr>
                <w:color w:val="000000"/>
                <w:sz w:val="16"/>
                <w:szCs w:val="16"/>
              </w:rPr>
            </w:pPr>
            <w:r w:rsidRPr="004F0F3C">
              <w:rPr>
                <w:color w:val="000000"/>
                <w:sz w:val="16"/>
                <w:szCs w:val="16"/>
              </w:rPr>
              <w:t>Superada por 1,447 organizaciones</w:t>
            </w:r>
          </w:p>
        </w:tc>
        <w:tc>
          <w:tcPr>
            <w:tcW w:w="707" w:type="dxa"/>
            <w:tcBorders>
              <w:top w:val="nil"/>
              <w:left w:val="nil"/>
              <w:bottom w:val="single" w:sz="4" w:space="0" w:color="auto"/>
              <w:right w:val="single" w:sz="12" w:space="0" w:color="auto"/>
            </w:tcBorders>
            <w:shd w:val="clear" w:color="000000" w:fill="92D050"/>
            <w:vAlign w:val="center"/>
            <w:hideMark/>
          </w:tcPr>
          <w:p w14:paraId="5E96056F" w14:textId="77777777" w:rsidR="00D5208B" w:rsidRPr="004F0F3C" w:rsidRDefault="00D5208B" w:rsidP="00582CA7">
            <w:pPr>
              <w:jc w:val="center"/>
              <w:rPr>
                <w:b/>
                <w:bCs/>
                <w:color w:val="000000"/>
                <w:sz w:val="16"/>
                <w:szCs w:val="16"/>
              </w:rPr>
            </w:pPr>
            <w:r w:rsidRPr="004F0F3C">
              <w:rPr>
                <w:b/>
                <w:bCs/>
                <w:color w:val="000000"/>
                <w:sz w:val="16"/>
                <w:szCs w:val="16"/>
              </w:rPr>
              <w:t>525.6%</w:t>
            </w:r>
          </w:p>
        </w:tc>
      </w:tr>
      <w:tr w:rsidR="00D5208B" w:rsidRPr="004F0F3C" w14:paraId="5E59C2B4" w14:textId="77777777" w:rsidTr="00827ED5">
        <w:trPr>
          <w:trHeight w:val="386"/>
          <w:jc w:val="center"/>
        </w:trPr>
        <w:tc>
          <w:tcPr>
            <w:tcW w:w="581" w:type="dxa"/>
            <w:tcBorders>
              <w:top w:val="nil"/>
              <w:left w:val="single" w:sz="12" w:space="0" w:color="auto"/>
              <w:bottom w:val="single" w:sz="4" w:space="0" w:color="auto"/>
              <w:right w:val="single" w:sz="4" w:space="0" w:color="auto"/>
            </w:tcBorders>
            <w:shd w:val="clear" w:color="auto" w:fill="auto"/>
            <w:vAlign w:val="center"/>
            <w:hideMark/>
          </w:tcPr>
          <w:p w14:paraId="16A06AF1" w14:textId="77777777" w:rsidR="00D5208B" w:rsidRPr="004F0F3C" w:rsidRDefault="00D5208B" w:rsidP="00582CA7">
            <w:pPr>
              <w:jc w:val="center"/>
              <w:rPr>
                <w:color w:val="000000"/>
                <w:sz w:val="16"/>
                <w:szCs w:val="16"/>
              </w:rPr>
            </w:pPr>
            <w:r w:rsidRPr="004F0F3C">
              <w:rPr>
                <w:color w:val="000000"/>
                <w:sz w:val="16"/>
                <w:szCs w:val="16"/>
              </w:rPr>
              <w:t>5</w:t>
            </w:r>
          </w:p>
        </w:tc>
        <w:tc>
          <w:tcPr>
            <w:tcW w:w="2948" w:type="dxa"/>
            <w:tcBorders>
              <w:top w:val="nil"/>
              <w:left w:val="nil"/>
              <w:bottom w:val="single" w:sz="4" w:space="0" w:color="auto"/>
              <w:right w:val="single" w:sz="4" w:space="0" w:color="auto"/>
            </w:tcBorders>
            <w:shd w:val="clear" w:color="auto" w:fill="auto"/>
            <w:vAlign w:val="center"/>
            <w:hideMark/>
          </w:tcPr>
          <w:p w14:paraId="23334D8F" w14:textId="77777777" w:rsidR="00D5208B" w:rsidRPr="004F0F3C" w:rsidRDefault="00D5208B" w:rsidP="00582CA7">
            <w:pPr>
              <w:rPr>
                <w:color w:val="000000"/>
                <w:sz w:val="16"/>
                <w:szCs w:val="16"/>
              </w:rPr>
            </w:pPr>
            <w:r w:rsidRPr="004F0F3C">
              <w:rPr>
                <w:color w:val="000000"/>
                <w:sz w:val="16"/>
                <w:szCs w:val="16"/>
              </w:rPr>
              <w:t>Para el año 2023 se cuenta con un sistema de inteligencia reformado</w:t>
            </w:r>
          </w:p>
        </w:tc>
        <w:tc>
          <w:tcPr>
            <w:tcW w:w="1276" w:type="dxa"/>
            <w:tcBorders>
              <w:top w:val="nil"/>
              <w:left w:val="nil"/>
              <w:bottom w:val="single" w:sz="4" w:space="0" w:color="auto"/>
              <w:right w:val="nil"/>
            </w:tcBorders>
            <w:shd w:val="clear" w:color="auto" w:fill="auto"/>
            <w:vAlign w:val="center"/>
            <w:hideMark/>
          </w:tcPr>
          <w:p w14:paraId="02332EA9" w14:textId="77777777" w:rsidR="00D5208B" w:rsidRPr="004F0F3C" w:rsidRDefault="00D5208B" w:rsidP="00582CA7">
            <w:pPr>
              <w:jc w:val="center"/>
              <w:rPr>
                <w:color w:val="000000"/>
                <w:sz w:val="16"/>
                <w:szCs w:val="16"/>
              </w:rPr>
            </w:pPr>
            <w:r w:rsidRPr="004F0F3C">
              <w:rPr>
                <w:color w:val="000000"/>
                <w:sz w:val="16"/>
                <w:szCs w:val="16"/>
              </w:rPr>
              <w:t>SIE (MIGOB y MINDEF)</w:t>
            </w:r>
          </w:p>
        </w:tc>
        <w:tc>
          <w:tcPr>
            <w:tcW w:w="709" w:type="dxa"/>
            <w:tcBorders>
              <w:top w:val="nil"/>
              <w:left w:val="single" w:sz="8" w:space="0" w:color="auto"/>
              <w:bottom w:val="single" w:sz="4" w:space="0" w:color="auto"/>
              <w:right w:val="single" w:sz="4" w:space="0" w:color="auto"/>
            </w:tcBorders>
            <w:shd w:val="clear" w:color="auto" w:fill="auto"/>
            <w:vAlign w:val="center"/>
            <w:hideMark/>
          </w:tcPr>
          <w:p w14:paraId="0091B65B" w14:textId="77777777" w:rsidR="00D5208B" w:rsidRPr="004F0F3C" w:rsidRDefault="00D5208B" w:rsidP="00582CA7">
            <w:pPr>
              <w:jc w:val="center"/>
              <w:rPr>
                <w:color w:val="000000"/>
                <w:sz w:val="16"/>
                <w:szCs w:val="16"/>
              </w:rPr>
            </w:pPr>
            <w:r w:rsidRPr="004F0F3C">
              <w:rPr>
                <w:color w:val="000000"/>
                <w:sz w:val="16"/>
                <w:szCs w:val="16"/>
              </w:rPr>
              <w:t>84.85%</w:t>
            </w:r>
          </w:p>
        </w:tc>
        <w:tc>
          <w:tcPr>
            <w:tcW w:w="708" w:type="dxa"/>
            <w:tcBorders>
              <w:top w:val="nil"/>
              <w:left w:val="nil"/>
              <w:bottom w:val="single" w:sz="4" w:space="0" w:color="auto"/>
              <w:right w:val="single" w:sz="12" w:space="0" w:color="auto"/>
            </w:tcBorders>
            <w:shd w:val="clear" w:color="auto" w:fill="auto"/>
            <w:vAlign w:val="center"/>
            <w:hideMark/>
          </w:tcPr>
          <w:p w14:paraId="710D73EF" w14:textId="77777777" w:rsidR="00D5208B" w:rsidRPr="004F0F3C" w:rsidRDefault="00D5208B" w:rsidP="00582CA7">
            <w:pPr>
              <w:jc w:val="center"/>
              <w:rPr>
                <w:color w:val="000000"/>
                <w:sz w:val="16"/>
                <w:szCs w:val="16"/>
              </w:rPr>
            </w:pPr>
            <w:r w:rsidRPr="004F0F3C">
              <w:rPr>
                <w:color w:val="000000"/>
                <w:sz w:val="16"/>
                <w:szCs w:val="16"/>
              </w:rPr>
              <w:t>92.75%</w:t>
            </w:r>
          </w:p>
        </w:tc>
        <w:tc>
          <w:tcPr>
            <w:tcW w:w="745" w:type="dxa"/>
            <w:tcBorders>
              <w:top w:val="nil"/>
              <w:left w:val="single" w:sz="12" w:space="0" w:color="auto"/>
              <w:bottom w:val="single" w:sz="4" w:space="0" w:color="auto"/>
              <w:right w:val="single" w:sz="4" w:space="0" w:color="auto"/>
            </w:tcBorders>
            <w:shd w:val="clear" w:color="auto" w:fill="auto"/>
            <w:vAlign w:val="center"/>
            <w:hideMark/>
          </w:tcPr>
          <w:p w14:paraId="2C25957A" w14:textId="77777777" w:rsidR="00D5208B" w:rsidRPr="004F0F3C" w:rsidRDefault="00D5208B" w:rsidP="00582CA7">
            <w:pPr>
              <w:jc w:val="center"/>
              <w:rPr>
                <w:sz w:val="16"/>
                <w:szCs w:val="16"/>
              </w:rPr>
            </w:pPr>
            <w:r w:rsidRPr="004F0F3C">
              <w:rPr>
                <w:sz w:val="16"/>
                <w:szCs w:val="16"/>
              </w:rPr>
              <w:t>100%</w:t>
            </w:r>
          </w:p>
        </w:tc>
        <w:tc>
          <w:tcPr>
            <w:tcW w:w="1100" w:type="dxa"/>
            <w:tcBorders>
              <w:top w:val="nil"/>
              <w:left w:val="nil"/>
              <w:bottom w:val="single" w:sz="4" w:space="0" w:color="auto"/>
              <w:right w:val="single" w:sz="4" w:space="0" w:color="auto"/>
            </w:tcBorders>
            <w:shd w:val="clear" w:color="auto" w:fill="auto"/>
            <w:vAlign w:val="center"/>
            <w:hideMark/>
          </w:tcPr>
          <w:p w14:paraId="38E42125" w14:textId="77777777" w:rsidR="00D5208B" w:rsidRPr="004F0F3C" w:rsidRDefault="00D5208B" w:rsidP="00582CA7">
            <w:pPr>
              <w:jc w:val="center"/>
              <w:rPr>
                <w:color w:val="C00000"/>
                <w:sz w:val="16"/>
                <w:szCs w:val="16"/>
              </w:rPr>
            </w:pPr>
            <w:r w:rsidRPr="004F0F3C">
              <w:rPr>
                <w:color w:val="C00000"/>
                <w:sz w:val="16"/>
                <w:szCs w:val="16"/>
              </w:rPr>
              <w:t>-7.3</w:t>
            </w:r>
          </w:p>
        </w:tc>
        <w:tc>
          <w:tcPr>
            <w:tcW w:w="707" w:type="dxa"/>
            <w:tcBorders>
              <w:top w:val="nil"/>
              <w:left w:val="nil"/>
              <w:bottom w:val="single" w:sz="4" w:space="0" w:color="auto"/>
              <w:right w:val="single" w:sz="12" w:space="0" w:color="auto"/>
            </w:tcBorders>
            <w:shd w:val="clear" w:color="000000" w:fill="92D050"/>
            <w:vAlign w:val="center"/>
            <w:hideMark/>
          </w:tcPr>
          <w:p w14:paraId="22D84848" w14:textId="77777777" w:rsidR="00D5208B" w:rsidRPr="004F0F3C" w:rsidRDefault="00D5208B" w:rsidP="00582CA7">
            <w:pPr>
              <w:jc w:val="center"/>
              <w:rPr>
                <w:b/>
                <w:bCs/>
                <w:color w:val="000000"/>
                <w:sz w:val="16"/>
                <w:szCs w:val="16"/>
              </w:rPr>
            </w:pPr>
            <w:r w:rsidRPr="004F0F3C">
              <w:rPr>
                <w:b/>
                <w:bCs/>
                <w:color w:val="000000"/>
                <w:sz w:val="16"/>
                <w:szCs w:val="16"/>
              </w:rPr>
              <w:t>92.8%</w:t>
            </w:r>
          </w:p>
        </w:tc>
      </w:tr>
      <w:tr w:rsidR="00D5208B" w:rsidRPr="004F0F3C" w14:paraId="31B35789" w14:textId="77777777" w:rsidTr="00827ED5">
        <w:trPr>
          <w:trHeight w:val="406"/>
          <w:jc w:val="center"/>
        </w:trPr>
        <w:tc>
          <w:tcPr>
            <w:tcW w:w="581" w:type="dxa"/>
            <w:tcBorders>
              <w:top w:val="nil"/>
              <w:left w:val="single" w:sz="12" w:space="0" w:color="auto"/>
              <w:bottom w:val="single" w:sz="12" w:space="0" w:color="auto"/>
              <w:right w:val="single" w:sz="4" w:space="0" w:color="auto"/>
            </w:tcBorders>
            <w:shd w:val="clear" w:color="auto" w:fill="auto"/>
            <w:vAlign w:val="center"/>
            <w:hideMark/>
          </w:tcPr>
          <w:p w14:paraId="348F5759" w14:textId="77777777" w:rsidR="00D5208B" w:rsidRPr="004F0F3C" w:rsidRDefault="00D5208B" w:rsidP="00582CA7">
            <w:pPr>
              <w:jc w:val="center"/>
              <w:rPr>
                <w:color w:val="000000"/>
                <w:sz w:val="16"/>
                <w:szCs w:val="16"/>
              </w:rPr>
            </w:pPr>
            <w:r w:rsidRPr="004F0F3C">
              <w:rPr>
                <w:color w:val="000000"/>
                <w:sz w:val="16"/>
                <w:szCs w:val="16"/>
              </w:rPr>
              <w:t>6</w:t>
            </w:r>
          </w:p>
        </w:tc>
        <w:tc>
          <w:tcPr>
            <w:tcW w:w="2948" w:type="dxa"/>
            <w:tcBorders>
              <w:top w:val="nil"/>
              <w:left w:val="nil"/>
              <w:bottom w:val="single" w:sz="12" w:space="0" w:color="auto"/>
              <w:right w:val="single" w:sz="4" w:space="0" w:color="auto"/>
            </w:tcBorders>
            <w:shd w:val="clear" w:color="auto" w:fill="auto"/>
            <w:vAlign w:val="center"/>
            <w:hideMark/>
          </w:tcPr>
          <w:p w14:paraId="7A16B0A5" w14:textId="77777777" w:rsidR="00D5208B" w:rsidRPr="004F0F3C" w:rsidRDefault="00D5208B" w:rsidP="00582CA7">
            <w:pPr>
              <w:rPr>
                <w:color w:val="000000"/>
                <w:sz w:val="16"/>
                <w:szCs w:val="16"/>
              </w:rPr>
            </w:pPr>
            <w:r w:rsidRPr="004F0F3C">
              <w:rPr>
                <w:color w:val="000000"/>
                <w:sz w:val="16"/>
                <w:szCs w:val="16"/>
              </w:rPr>
              <w:t>Para el año 2023 se ha incrementado en 5,000 el número de agentes de la Policía Nacional Civil</w:t>
            </w:r>
          </w:p>
        </w:tc>
        <w:tc>
          <w:tcPr>
            <w:tcW w:w="1276" w:type="dxa"/>
            <w:tcBorders>
              <w:top w:val="nil"/>
              <w:left w:val="nil"/>
              <w:bottom w:val="single" w:sz="12" w:space="0" w:color="auto"/>
              <w:right w:val="nil"/>
            </w:tcBorders>
            <w:shd w:val="clear" w:color="auto" w:fill="auto"/>
            <w:vAlign w:val="center"/>
            <w:hideMark/>
          </w:tcPr>
          <w:p w14:paraId="53839670" w14:textId="77777777" w:rsidR="00D5208B" w:rsidRPr="004F0F3C" w:rsidRDefault="00D5208B" w:rsidP="00582CA7">
            <w:pPr>
              <w:jc w:val="center"/>
              <w:rPr>
                <w:color w:val="000000"/>
                <w:sz w:val="16"/>
                <w:szCs w:val="16"/>
              </w:rPr>
            </w:pPr>
            <w:r w:rsidRPr="004F0F3C">
              <w:rPr>
                <w:color w:val="000000"/>
                <w:sz w:val="16"/>
                <w:szCs w:val="16"/>
              </w:rPr>
              <w:t>MINGOB</w:t>
            </w:r>
          </w:p>
        </w:tc>
        <w:tc>
          <w:tcPr>
            <w:tcW w:w="709" w:type="dxa"/>
            <w:tcBorders>
              <w:top w:val="nil"/>
              <w:left w:val="single" w:sz="8" w:space="0" w:color="auto"/>
              <w:bottom w:val="single" w:sz="12" w:space="0" w:color="auto"/>
              <w:right w:val="single" w:sz="4" w:space="0" w:color="auto"/>
            </w:tcBorders>
            <w:shd w:val="clear" w:color="auto" w:fill="auto"/>
            <w:vAlign w:val="center"/>
            <w:hideMark/>
          </w:tcPr>
          <w:p w14:paraId="7A2F211F" w14:textId="77777777" w:rsidR="00D5208B" w:rsidRPr="004F0F3C" w:rsidRDefault="00D5208B" w:rsidP="00582CA7">
            <w:pPr>
              <w:jc w:val="center"/>
              <w:rPr>
                <w:color w:val="000000"/>
                <w:sz w:val="16"/>
                <w:szCs w:val="16"/>
              </w:rPr>
            </w:pPr>
            <w:r w:rsidRPr="004F0F3C">
              <w:rPr>
                <w:color w:val="000000"/>
                <w:sz w:val="16"/>
                <w:szCs w:val="16"/>
              </w:rPr>
              <w:t>43,110</w:t>
            </w:r>
          </w:p>
        </w:tc>
        <w:tc>
          <w:tcPr>
            <w:tcW w:w="708" w:type="dxa"/>
            <w:tcBorders>
              <w:top w:val="nil"/>
              <w:left w:val="nil"/>
              <w:bottom w:val="single" w:sz="12" w:space="0" w:color="auto"/>
              <w:right w:val="single" w:sz="12" w:space="0" w:color="auto"/>
            </w:tcBorders>
            <w:shd w:val="clear" w:color="auto" w:fill="auto"/>
            <w:vAlign w:val="center"/>
            <w:hideMark/>
          </w:tcPr>
          <w:p w14:paraId="7D16ABAD" w14:textId="77777777" w:rsidR="00D5208B" w:rsidRPr="004F0F3C" w:rsidRDefault="00D5208B" w:rsidP="00582CA7">
            <w:pPr>
              <w:jc w:val="center"/>
              <w:rPr>
                <w:color w:val="000000"/>
                <w:sz w:val="16"/>
                <w:szCs w:val="16"/>
              </w:rPr>
            </w:pPr>
            <w:r w:rsidRPr="004F0F3C">
              <w:rPr>
                <w:color w:val="000000"/>
                <w:sz w:val="16"/>
                <w:szCs w:val="16"/>
              </w:rPr>
              <w:t>44,716</w:t>
            </w:r>
          </w:p>
        </w:tc>
        <w:tc>
          <w:tcPr>
            <w:tcW w:w="745" w:type="dxa"/>
            <w:tcBorders>
              <w:top w:val="nil"/>
              <w:left w:val="single" w:sz="12" w:space="0" w:color="auto"/>
              <w:bottom w:val="single" w:sz="12" w:space="0" w:color="auto"/>
              <w:right w:val="single" w:sz="4" w:space="0" w:color="auto"/>
            </w:tcBorders>
            <w:shd w:val="clear" w:color="auto" w:fill="auto"/>
            <w:vAlign w:val="center"/>
            <w:hideMark/>
          </w:tcPr>
          <w:p w14:paraId="69C51125" w14:textId="77777777" w:rsidR="00D5208B" w:rsidRPr="004F0F3C" w:rsidRDefault="00D5208B" w:rsidP="00582CA7">
            <w:pPr>
              <w:jc w:val="center"/>
              <w:rPr>
                <w:sz w:val="16"/>
                <w:szCs w:val="16"/>
              </w:rPr>
            </w:pPr>
            <w:r w:rsidRPr="004F0F3C">
              <w:rPr>
                <w:sz w:val="16"/>
                <w:szCs w:val="16"/>
              </w:rPr>
              <w:t>46,591</w:t>
            </w:r>
          </w:p>
        </w:tc>
        <w:tc>
          <w:tcPr>
            <w:tcW w:w="1100" w:type="dxa"/>
            <w:tcBorders>
              <w:top w:val="nil"/>
              <w:left w:val="nil"/>
              <w:bottom w:val="single" w:sz="12" w:space="0" w:color="auto"/>
              <w:right w:val="single" w:sz="4" w:space="0" w:color="auto"/>
            </w:tcBorders>
            <w:shd w:val="clear" w:color="auto" w:fill="auto"/>
            <w:vAlign w:val="center"/>
            <w:hideMark/>
          </w:tcPr>
          <w:p w14:paraId="482F97AD" w14:textId="77777777" w:rsidR="00D5208B" w:rsidRPr="004F0F3C" w:rsidRDefault="00D5208B" w:rsidP="00582CA7">
            <w:pPr>
              <w:jc w:val="center"/>
              <w:rPr>
                <w:color w:val="C00000"/>
                <w:sz w:val="16"/>
                <w:szCs w:val="16"/>
              </w:rPr>
            </w:pPr>
            <w:r w:rsidRPr="004F0F3C">
              <w:rPr>
                <w:color w:val="C00000"/>
                <w:sz w:val="16"/>
                <w:szCs w:val="16"/>
              </w:rPr>
              <w:t>-1</w:t>
            </w:r>
            <w:r>
              <w:rPr>
                <w:color w:val="C00000"/>
                <w:sz w:val="16"/>
                <w:szCs w:val="16"/>
              </w:rPr>
              <w:t>,</w:t>
            </w:r>
            <w:r w:rsidRPr="004F0F3C">
              <w:rPr>
                <w:color w:val="C00000"/>
                <w:sz w:val="16"/>
                <w:szCs w:val="16"/>
              </w:rPr>
              <w:t>881</w:t>
            </w:r>
          </w:p>
        </w:tc>
        <w:tc>
          <w:tcPr>
            <w:tcW w:w="707" w:type="dxa"/>
            <w:tcBorders>
              <w:top w:val="nil"/>
              <w:left w:val="nil"/>
              <w:bottom w:val="single" w:sz="12" w:space="0" w:color="auto"/>
              <w:right w:val="single" w:sz="12" w:space="0" w:color="auto"/>
            </w:tcBorders>
            <w:shd w:val="clear" w:color="000000" w:fill="92D050"/>
            <w:vAlign w:val="center"/>
            <w:hideMark/>
          </w:tcPr>
          <w:p w14:paraId="64DA9C84" w14:textId="77777777" w:rsidR="00D5208B" w:rsidRPr="004F0F3C" w:rsidRDefault="00D5208B" w:rsidP="00582CA7">
            <w:pPr>
              <w:jc w:val="center"/>
              <w:rPr>
                <w:b/>
                <w:bCs/>
                <w:color w:val="000000"/>
                <w:sz w:val="16"/>
                <w:szCs w:val="16"/>
              </w:rPr>
            </w:pPr>
            <w:r w:rsidRPr="004F0F3C">
              <w:rPr>
                <w:b/>
                <w:bCs/>
                <w:color w:val="000000"/>
                <w:sz w:val="16"/>
                <w:szCs w:val="16"/>
              </w:rPr>
              <w:t>96.0%</w:t>
            </w:r>
          </w:p>
        </w:tc>
      </w:tr>
    </w:tbl>
    <w:p w14:paraId="4831E59B" w14:textId="4A6D366B" w:rsidR="00D5208B" w:rsidRDefault="00D5208B" w:rsidP="00D5208B">
      <w:pPr>
        <w:rPr>
          <w:sz w:val="18"/>
          <w:szCs w:val="18"/>
        </w:rPr>
      </w:pPr>
      <w:r w:rsidRPr="00411B11">
        <w:rPr>
          <w:sz w:val="18"/>
          <w:szCs w:val="18"/>
        </w:rPr>
        <w:t>Fuente: Segeplan</w:t>
      </w:r>
      <w:r>
        <w:rPr>
          <w:sz w:val="18"/>
          <w:szCs w:val="18"/>
        </w:rPr>
        <w:t>.</w:t>
      </w:r>
    </w:p>
    <w:p w14:paraId="3C1672D4" w14:textId="44400F86" w:rsidR="00D5208B" w:rsidRDefault="00D5208B" w:rsidP="00D5208B">
      <w:pPr>
        <w:rPr>
          <w:sz w:val="18"/>
          <w:szCs w:val="18"/>
        </w:rPr>
      </w:pPr>
    </w:p>
    <w:p w14:paraId="7FCBCDDC" w14:textId="77777777" w:rsidR="00D5208B" w:rsidRPr="00D5208B" w:rsidRDefault="00D5208B" w:rsidP="00D5208B">
      <w:pPr>
        <w:jc w:val="both"/>
        <w:rPr>
          <w:b/>
          <w:bCs/>
        </w:rPr>
      </w:pPr>
      <w:r w:rsidRPr="00D5208B">
        <w:rPr>
          <w:b/>
          <w:bCs/>
        </w:rPr>
        <w:t>Pilar 4: Estado responsable, transparente y efectivo</w:t>
      </w:r>
    </w:p>
    <w:p w14:paraId="48A57997" w14:textId="77777777" w:rsidR="00D5208B" w:rsidRPr="00D5208B" w:rsidRDefault="00D5208B" w:rsidP="00D5208B">
      <w:pPr>
        <w:jc w:val="both"/>
      </w:pPr>
    </w:p>
    <w:p w14:paraId="0F367BB0" w14:textId="77777777" w:rsidR="00D5208B" w:rsidRPr="00D5208B" w:rsidRDefault="00D5208B" w:rsidP="00D5208B">
      <w:pPr>
        <w:jc w:val="both"/>
      </w:pPr>
      <w:r w:rsidRPr="00D5208B">
        <w:t>Este pilar contiene 6 indicadores y se refieren a la evolución de mecanismos estatales y procesos que mejoren la gestión pública en general y la descentralización de la misma.</w:t>
      </w:r>
    </w:p>
    <w:p w14:paraId="3833BCA5" w14:textId="77777777" w:rsidR="00D5208B" w:rsidRPr="00D5208B" w:rsidRDefault="00D5208B" w:rsidP="00D5208B">
      <w:pPr>
        <w:jc w:val="both"/>
      </w:pPr>
    </w:p>
    <w:p w14:paraId="20E89A86" w14:textId="6F77F668" w:rsidR="00D5208B" w:rsidRPr="00E01410" w:rsidRDefault="00D5208B" w:rsidP="00D5208B">
      <w:pPr>
        <w:pStyle w:val="Prrafodelista"/>
        <w:numPr>
          <w:ilvl w:val="0"/>
          <w:numId w:val="52"/>
        </w:numPr>
        <w:ind w:left="567"/>
        <w:jc w:val="both"/>
        <w:rPr>
          <w:b/>
          <w:bCs/>
        </w:rPr>
      </w:pPr>
      <w:r w:rsidRPr="00D5208B">
        <w:rPr>
          <w:b/>
          <w:bCs/>
        </w:rPr>
        <w:t>Metas con avance mayor o igual a 70%</w:t>
      </w:r>
    </w:p>
    <w:p w14:paraId="167CB80F" w14:textId="38DDE633" w:rsidR="00D5208B" w:rsidRDefault="00D5208B" w:rsidP="000D332B">
      <w:pPr>
        <w:pStyle w:val="Prrafodelista"/>
        <w:numPr>
          <w:ilvl w:val="0"/>
          <w:numId w:val="13"/>
        </w:numPr>
        <w:ind w:left="993" w:hanging="426"/>
        <w:jc w:val="both"/>
      </w:pPr>
      <w:r w:rsidRPr="00D5208B">
        <w:t>En cuanto a la meta que se refiere a 14 Ministerios del Estado con el Programa de Gobierno Electrónico, hasta el 2022 se ha dado cumplimiento con lo programado, contando ya con 10 ministerios con programas elaborados. No obstante, queda pendiente la elaboración de 4 programas más para lograr la meta al 2023.</w:t>
      </w:r>
    </w:p>
    <w:p w14:paraId="49ADE5D3" w14:textId="5E291DA0" w:rsidR="00D5208B" w:rsidRDefault="00D5208B" w:rsidP="000D332B">
      <w:pPr>
        <w:pStyle w:val="Prrafodelista"/>
        <w:numPr>
          <w:ilvl w:val="0"/>
          <w:numId w:val="13"/>
        </w:numPr>
        <w:ind w:left="993" w:hanging="426"/>
        <w:jc w:val="both"/>
      </w:pPr>
      <w:r w:rsidRPr="00D5208B">
        <w:t>Respecto a la implementación de la estrategia de descentralización en la gestión pública al 2022 se ha tenido un avance de 75%. Es preciso indicar que esto ha contribuido a que los alcaldes aumenten los ingresos municipales y se fortalezcan las facultades propias para tomar decisiones de inversión.</w:t>
      </w:r>
    </w:p>
    <w:p w14:paraId="2F56A958" w14:textId="01B42B02" w:rsidR="00D5208B" w:rsidRDefault="00D5208B" w:rsidP="000D332B">
      <w:pPr>
        <w:pStyle w:val="Prrafodelista"/>
        <w:numPr>
          <w:ilvl w:val="0"/>
          <w:numId w:val="13"/>
        </w:numPr>
        <w:ind w:left="993" w:hanging="426"/>
        <w:jc w:val="both"/>
      </w:pPr>
      <w:r w:rsidRPr="00D5208B">
        <w:t>En lo relativo a la implementación del Sistema Nacional de Planificación (SNP), para el 2022 se logró implementar en un 70%, por medio de intervenciones que robustecen la aplicación en el mediano plazo, del marco estratégico establecido en la PGG 2020-2024 y en el largo plazo, visión plasmada en Plan Nacional de Desarrollo K´atun Nuestra Guatemala 2032 y los Objetivos de Desarrollo Sostenible, que en conjunto integran las Prioridades Nacionales de Desarrollo.</w:t>
      </w:r>
    </w:p>
    <w:p w14:paraId="2AAB58B5" w14:textId="15391D6B" w:rsidR="00D5208B" w:rsidRDefault="00D5208B" w:rsidP="000D332B">
      <w:pPr>
        <w:pStyle w:val="Prrafodelista"/>
        <w:numPr>
          <w:ilvl w:val="0"/>
          <w:numId w:val="13"/>
        </w:numPr>
        <w:ind w:left="993" w:hanging="426"/>
        <w:jc w:val="both"/>
      </w:pPr>
      <w:r w:rsidRPr="00D5208B">
        <w:t>Para el año 2023 se espera que la totalidad de municipios priorizados implementan su plan de desarrollo municipal y ordenamiento territorial, al respecto el 70% de los 65 municipios priorizados iniciaron la implementación de su Plan de Desarrollo Municipal y Ordenamiento Territorial (PDM-OT).</w:t>
      </w:r>
    </w:p>
    <w:p w14:paraId="0A76D307" w14:textId="5300B4F7" w:rsidR="00D5208B" w:rsidRDefault="00D5208B" w:rsidP="000D332B">
      <w:pPr>
        <w:pStyle w:val="Prrafodelista"/>
        <w:numPr>
          <w:ilvl w:val="0"/>
          <w:numId w:val="13"/>
        </w:numPr>
        <w:ind w:left="993" w:hanging="426"/>
        <w:jc w:val="both"/>
      </w:pPr>
      <w:r w:rsidRPr="00D5208B">
        <w:t>Respecto a la implementación de la agenda legislativa en apoyo a la Política General de Gobierno 2020-2024 (58 iniciativas de ley presentadas al Congreso de la República), se han presentado 50 al 2022, con lo que, en cada uno de los años se ha alcanzado la meta establecida.</w:t>
      </w:r>
    </w:p>
    <w:p w14:paraId="68A05FB8" w14:textId="15C4D3EF" w:rsidR="00D5208B" w:rsidRDefault="00D5208B" w:rsidP="000D332B">
      <w:pPr>
        <w:pStyle w:val="Prrafodelista"/>
        <w:numPr>
          <w:ilvl w:val="0"/>
          <w:numId w:val="13"/>
        </w:numPr>
        <w:ind w:left="993" w:hanging="426"/>
        <w:jc w:val="both"/>
      </w:pPr>
      <w:r w:rsidRPr="00D5208B">
        <w:t>En cuanto al aumento de la superficie del territorio cubierta por bosques, durante el 2022, se reporta que la superficie del territorio cubierta de bosque aumentó al 33.30%, cerca de lo programado. El aumento responde a la implementación de Programas de Incentivos Forestales para Poseedores de Pequeñas Extensiones de Tierra de Vocación Forestal o Agroforestal (PINPEP) y el Programa de Incentivos para el Establecimiento, Recuperación, Restauración, Manejo, Producción, Protección de Bosques en Guatemala (PROBOSQUE), con los que se procura recuperar y mantener la cobertura forestal.</w:t>
      </w:r>
    </w:p>
    <w:p w14:paraId="3B03254E" w14:textId="2546C2D8" w:rsidR="00D5208B" w:rsidRDefault="00D5208B" w:rsidP="00D5208B">
      <w:pPr>
        <w:jc w:val="both"/>
      </w:pPr>
    </w:p>
    <w:p w14:paraId="5478876F" w14:textId="4F90B74D" w:rsidR="00D5208B" w:rsidRPr="0071370B" w:rsidRDefault="0071370B" w:rsidP="0071370B">
      <w:pPr>
        <w:pStyle w:val="Descripcin"/>
        <w:keepNext/>
        <w:spacing w:after="0"/>
        <w:jc w:val="center"/>
        <w:rPr>
          <w:b/>
          <w:bCs/>
          <w:i w:val="0"/>
          <w:iCs w:val="0"/>
          <w:sz w:val="24"/>
          <w:szCs w:val="24"/>
        </w:rPr>
      </w:pPr>
      <w:bookmarkStart w:id="211" w:name="_Toc143871228"/>
      <w:r w:rsidRPr="0071370B">
        <w:rPr>
          <w:b/>
          <w:bCs/>
          <w:i w:val="0"/>
          <w:iCs w:val="0"/>
          <w:color w:val="auto"/>
          <w:sz w:val="24"/>
          <w:szCs w:val="24"/>
        </w:rPr>
        <w:t xml:space="preserve">Tabla </w:t>
      </w:r>
      <w:r w:rsidRPr="0071370B">
        <w:rPr>
          <w:b/>
          <w:bCs/>
          <w:i w:val="0"/>
          <w:iCs w:val="0"/>
          <w:color w:val="auto"/>
          <w:sz w:val="24"/>
          <w:szCs w:val="24"/>
        </w:rPr>
        <w:fldChar w:fldCharType="begin"/>
      </w:r>
      <w:r w:rsidRPr="0071370B">
        <w:rPr>
          <w:b/>
          <w:bCs/>
          <w:i w:val="0"/>
          <w:iCs w:val="0"/>
          <w:color w:val="auto"/>
          <w:sz w:val="24"/>
          <w:szCs w:val="24"/>
        </w:rPr>
        <w:instrText xml:space="preserve"> SEQ Tabla \* ARABIC </w:instrText>
      </w:r>
      <w:r w:rsidRPr="0071370B">
        <w:rPr>
          <w:b/>
          <w:bCs/>
          <w:i w:val="0"/>
          <w:iCs w:val="0"/>
          <w:color w:val="auto"/>
          <w:sz w:val="24"/>
          <w:szCs w:val="24"/>
        </w:rPr>
        <w:fldChar w:fldCharType="separate"/>
      </w:r>
      <w:r w:rsidR="006622B2">
        <w:rPr>
          <w:b/>
          <w:bCs/>
          <w:i w:val="0"/>
          <w:iCs w:val="0"/>
          <w:noProof/>
          <w:color w:val="auto"/>
          <w:sz w:val="24"/>
          <w:szCs w:val="24"/>
        </w:rPr>
        <w:t>21</w:t>
      </w:r>
      <w:r w:rsidRPr="0071370B">
        <w:rPr>
          <w:b/>
          <w:bCs/>
          <w:i w:val="0"/>
          <w:iCs w:val="0"/>
          <w:color w:val="auto"/>
          <w:sz w:val="24"/>
          <w:szCs w:val="24"/>
        </w:rPr>
        <w:fldChar w:fldCharType="end"/>
      </w:r>
      <w:r w:rsidRPr="0071370B">
        <w:rPr>
          <w:b/>
          <w:bCs/>
          <w:i w:val="0"/>
          <w:iCs w:val="0"/>
          <w:color w:val="auto"/>
          <w:sz w:val="24"/>
          <w:szCs w:val="24"/>
        </w:rPr>
        <w:t xml:space="preserve">.  </w:t>
      </w:r>
      <w:r w:rsidR="00D5208B" w:rsidRPr="0071370B">
        <w:rPr>
          <w:b/>
          <w:bCs/>
          <w:i w:val="0"/>
          <w:iCs w:val="0"/>
          <w:color w:val="auto"/>
          <w:sz w:val="24"/>
          <w:szCs w:val="24"/>
        </w:rPr>
        <w:t>Pilar 4: Estado responsable, transparente y efectivo</w:t>
      </w:r>
      <w:bookmarkEnd w:id="211"/>
    </w:p>
    <w:tbl>
      <w:tblPr>
        <w:tblW w:w="8774" w:type="dxa"/>
        <w:jc w:val="center"/>
        <w:tblCellMar>
          <w:left w:w="70" w:type="dxa"/>
          <w:right w:w="70" w:type="dxa"/>
        </w:tblCellMar>
        <w:tblLook w:val="04A0" w:firstRow="1" w:lastRow="0" w:firstColumn="1" w:lastColumn="0" w:noHBand="0" w:noVBand="1"/>
      </w:tblPr>
      <w:tblGrid>
        <w:gridCol w:w="489"/>
        <w:gridCol w:w="3607"/>
        <w:gridCol w:w="1434"/>
        <w:gridCol w:w="634"/>
        <w:gridCol w:w="634"/>
        <w:gridCol w:w="700"/>
        <w:gridCol w:w="664"/>
        <w:gridCol w:w="612"/>
      </w:tblGrid>
      <w:tr w:rsidR="00D5208B" w:rsidRPr="00664F76" w14:paraId="3901B487" w14:textId="77777777" w:rsidTr="00827ED5">
        <w:trPr>
          <w:trHeight w:val="315"/>
          <w:jc w:val="center"/>
        </w:trPr>
        <w:tc>
          <w:tcPr>
            <w:tcW w:w="489" w:type="dxa"/>
            <w:vMerge w:val="restart"/>
            <w:tcBorders>
              <w:top w:val="single" w:sz="12" w:space="0" w:color="auto"/>
              <w:left w:val="single" w:sz="12" w:space="0" w:color="auto"/>
              <w:bottom w:val="single" w:sz="8" w:space="0" w:color="000000"/>
              <w:right w:val="single" w:sz="4" w:space="0" w:color="auto"/>
            </w:tcBorders>
            <w:shd w:val="clear" w:color="000000" w:fill="1F4E78"/>
            <w:vAlign w:val="center"/>
            <w:hideMark/>
          </w:tcPr>
          <w:p w14:paraId="2EF08C42" w14:textId="77777777" w:rsidR="00D5208B" w:rsidRPr="00664F76" w:rsidRDefault="00D5208B" w:rsidP="00582CA7">
            <w:pPr>
              <w:jc w:val="center"/>
              <w:rPr>
                <w:b/>
                <w:bCs/>
                <w:color w:val="FFFFFF"/>
                <w:sz w:val="16"/>
                <w:szCs w:val="16"/>
              </w:rPr>
            </w:pPr>
            <w:r w:rsidRPr="00664F76">
              <w:rPr>
                <w:b/>
                <w:bCs/>
                <w:color w:val="FFFFFF"/>
                <w:sz w:val="16"/>
              </w:rPr>
              <w:t>No.</w:t>
            </w:r>
          </w:p>
        </w:tc>
        <w:tc>
          <w:tcPr>
            <w:tcW w:w="3607" w:type="dxa"/>
            <w:vMerge w:val="restart"/>
            <w:tcBorders>
              <w:top w:val="single" w:sz="12" w:space="0" w:color="auto"/>
              <w:left w:val="nil"/>
              <w:bottom w:val="single" w:sz="8" w:space="0" w:color="000000"/>
              <w:right w:val="single" w:sz="4" w:space="0" w:color="auto"/>
            </w:tcBorders>
            <w:shd w:val="clear" w:color="000000" w:fill="1F4E78"/>
            <w:vAlign w:val="center"/>
            <w:hideMark/>
          </w:tcPr>
          <w:p w14:paraId="5D419F22" w14:textId="77777777" w:rsidR="00D5208B" w:rsidRPr="00664F76" w:rsidRDefault="00D5208B" w:rsidP="00582CA7">
            <w:pPr>
              <w:jc w:val="center"/>
              <w:rPr>
                <w:b/>
                <w:bCs/>
                <w:color w:val="FFFFFF"/>
                <w:sz w:val="16"/>
                <w:szCs w:val="16"/>
              </w:rPr>
            </w:pPr>
            <w:r w:rsidRPr="00664F76">
              <w:rPr>
                <w:b/>
                <w:bCs/>
                <w:color w:val="FFFFFF"/>
                <w:sz w:val="16"/>
              </w:rPr>
              <w:t>Descripción de la Meta</w:t>
            </w:r>
          </w:p>
        </w:tc>
        <w:tc>
          <w:tcPr>
            <w:tcW w:w="1434" w:type="dxa"/>
            <w:vMerge w:val="restart"/>
            <w:tcBorders>
              <w:top w:val="single" w:sz="12" w:space="0" w:color="auto"/>
              <w:left w:val="nil"/>
              <w:bottom w:val="single" w:sz="8" w:space="0" w:color="000000"/>
              <w:right w:val="single" w:sz="4" w:space="0" w:color="auto"/>
            </w:tcBorders>
            <w:shd w:val="clear" w:color="000000" w:fill="1F4E78"/>
            <w:vAlign w:val="center"/>
            <w:hideMark/>
          </w:tcPr>
          <w:p w14:paraId="3982CF6B" w14:textId="77777777" w:rsidR="00D5208B" w:rsidRPr="00664F76" w:rsidRDefault="00D5208B" w:rsidP="00582CA7">
            <w:pPr>
              <w:jc w:val="center"/>
              <w:rPr>
                <w:b/>
                <w:bCs/>
                <w:color w:val="FFFFFF"/>
                <w:sz w:val="16"/>
                <w:szCs w:val="16"/>
              </w:rPr>
            </w:pPr>
            <w:r w:rsidRPr="00664F76">
              <w:rPr>
                <w:b/>
                <w:bCs/>
                <w:color w:val="FFFFFF"/>
                <w:sz w:val="16"/>
                <w:szCs w:val="16"/>
              </w:rPr>
              <w:t>Responsable</w:t>
            </w:r>
          </w:p>
        </w:tc>
        <w:tc>
          <w:tcPr>
            <w:tcW w:w="1268" w:type="dxa"/>
            <w:gridSpan w:val="2"/>
            <w:tcBorders>
              <w:top w:val="single" w:sz="12" w:space="0" w:color="auto"/>
              <w:left w:val="nil"/>
              <w:bottom w:val="single" w:sz="8" w:space="0" w:color="auto"/>
              <w:right w:val="single" w:sz="8" w:space="0" w:color="000000"/>
            </w:tcBorders>
            <w:shd w:val="clear" w:color="000000" w:fill="1F4E78"/>
            <w:vAlign w:val="center"/>
            <w:hideMark/>
          </w:tcPr>
          <w:p w14:paraId="6A5BFD35" w14:textId="77777777" w:rsidR="00D5208B" w:rsidRPr="00664F76" w:rsidRDefault="00D5208B" w:rsidP="00582CA7">
            <w:pPr>
              <w:jc w:val="center"/>
              <w:rPr>
                <w:b/>
                <w:bCs/>
                <w:color w:val="FFFFFF"/>
                <w:sz w:val="16"/>
                <w:szCs w:val="16"/>
              </w:rPr>
            </w:pPr>
            <w:r w:rsidRPr="00664F76">
              <w:rPr>
                <w:b/>
                <w:bCs/>
                <w:color w:val="FFFFFF"/>
                <w:sz w:val="16"/>
                <w:szCs w:val="16"/>
              </w:rPr>
              <w:t>Avance</w:t>
            </w:r>
          </w:p>
        </w:tc>
        <w:tc>
          <w:tcPr>
            <w:tcW w:w="1976" w:type="dxa"/>
            <w:gridSpan w:val="3"/>
            <w:tcBorders>
              <w:top w:val="single" w:sz="12" w:space="0" w:color="auto"/>
              <w:left w:val="nil"/>
              <w:bottom w:val="single" w:sz="8" w:space="0" w:color="auto"/>
              <w:right w:val="single" w:sz="12" w:space="0" w:color="auto"/>
            </w:tcBorders>
            <w:shd w:val="clear" w:color="000000" w:fill="1F4E78"/>
            <w:vAlign w:val="center"/>
            <w:hideMark/>
          </w:tcPr>
          <w:p w14:paraId="660DC314" w14:textId="77777777" w:rsidR="00D5208B" w:rsidRPr="00664F76" w:rsidRDefault="00D5208B" w:rsidP="00582CA7">
            <w:pPr>
              <w:jc w:val="center"/>
              <w:rPr>
                <w:b/>
                <w:bCs/>
                <w:color w:val="FFFFFF"/>
                <w:sz w:val="16"/>
                <w:szCs w:val="16"/>
              </w:rPr>
            </w:pPr>
            <w:r w:rsidRPr="00664F76">
              <w:rPr>
                <w:b/>
                <w:bCs/>
                <w:color w:val="FFFFFF"/>
                <w:sz w:val="16"/>
                <w:szCs w:val="16"/>
              </w:rPr>
              <w:t>2023</w:t>
            </w:r>
          </w:p>
        </w:tc>
      </w:tr>
      <w:tr w:rsidR="00D5208B" w:rsidRPr="00664F76" w14:paraId="01263898" w14:textId="77777777" w:rsidTr="00827ED5">
        <w:trPr>
          <w:trHeight w:val="375"/>
          <w:jc w:val="center"/>
        </w:trPr>
        <w:tc>
          <w:tcPr>
            <w:tcW w:w="489" w:type="dxa"/>
            <w:vMerge/>
            <w:tcBorders>
              <w:top w:val="single" w:sz="8" w:space="0" w:color="auto"/>
              <w:left w:val="single" w:sz="12" w:space="0" w:color="auto"/>
              <w:bottom w:val="single" w:sz="12" w:space="0" w:color="auto"/>
              <w:right w:val="single" w:sz="4" w:space="0" w:color="auto"/>
            </w:tcBorders>
            <w:vAlign w:val="center"/>
            <w:hideMark/>
          </w:tcPr>
          <w:p w14:paraId="117765DA" w14:textId="77777777" w:rsidR="00D5208B" w:rsidRPr="00664F76" w:rsidRDefault="00D5208B" w:rsidP="00582CA7">
            <w:pPr>
              <w:rPr>
                <w:b/>
                <w:bCs/>
                <w:color w:val="FFFFFF"/>
                <w:sz w:val="16"/>
                <w:szCs w:val="16"/>
              </w:rPr>
            </w:pPr>
          </w:p>
        </w:tc>
        <w:tc>
          <w:tcPr>
            <w:tcW w:w="3607" w:type="dxa"/>
            <w:vMerge/>
            <w:tcBorders>
              <w:top w:val="single" w:sz="8" w:space="0" w:color="auto"/>
              <w:left w:val="nil"/>
              <w:bottom w:val="single" w:sz="12" w:space="0" w:color="auto"/>
              <w:right w:val="single" w:sz="4" w:space="0" w:color="auto"/>
            </w:tcBorders>
            <w:vAlign w:val="center"/>
            <w:hideMark/>
          </w:tcPr>
          <w:p w14:paraId="2C8B28A0" w14:textId="77777777" w:rsidR="00D5208B" w:rsidRPr="00664F76" w:rsidRDefault="00D5208B" w:rsidP="00582CA7">
            <w:pPr>
              <w:rPr>
                <w:b/>
                <w:bCs/>
                <w:color w:val="FFFFFF"/>
                <w:sz w:val="16"/>
                <w:szCs w:val="16"/>
              </w:rPr>
            </w:pPr>
          </w:p>
        </w:tc>
        <w:tc>
          <w:tcPr>
            <w:tcW w:w="1434" w:type="dxa"/>
            <w:vMerge/>
            <w:tcBorders>
              <w:top w:val="single" w:sz="8" w:space="0" w:color="auto"/>
              <w:left w:val="nil"/>
              <w:bottom w:val="single" w:sz="12" w:space="0" w:color="auto"/>
              <w:right w:val="single" w:sz="4" w:space="0" w:color="auto"/>
            </w:tcBorders>
            <w:vAlign w:val="center"/>
            <w:hideMark/>
          </w:tcPr>
          <w:p w14:paraId="71A24017" w14:textId="77777777" w:rsidR="00D5208B" w:rsidRPr="00664F76" w:rsidRDefault="00D5208B" w:rsidP="00582CA7">
            <w:pPr>
              <w:rPr>
                <w:b/>
                <w:bCs/>
                <w:color w:val="FFFFFF"/>
                <w:sz w:val="16"/>
                <w:szCs w:val="16"/>
              </w:rPr>
            </w:pPr>
          </w:p>
        </w:tc>
        <w:tc>
          <w:tcPr>
            <w:tcW w:w="634" w:type="dxa"/>
            <w:tcBorders>
              <w:top w:val="nil"/>
              <w:left w:val="nil"/>
              <w:bottom w:val="single" w:sz="12" w:space="0" w:color="auto"/>
              <w:right w:val="single" w:sz="4" w:space="0" w:color="auto"/>
            </w:tcBorders>
            <w:shd w:val="clear" w:color="000000" w:fill="1F4E78"/>
            <w:vAlign w:val="center"/>
            <w:hideMark/>
          </w:tcPr>
          <w:p w14:paraId="78819482" w14:textId="77777777" w:rsidR="00D5208B" w:rsidRPr="00664F76" w:rsidRDefault="00D5208B" w:rsidP="00582CA7">
            <w:pPr>
              <w:jc w:val="center"/>
              <w:rPr>
                <w:b/>
                <w:bCs/>
                <w:color w:val="FFFFFF"/>
                <w:sz w:val="16"/>
                <w:szCs w:val="16"/>
              </w:rPr>
            </w:pPr>
            <w:r w:rsidRPr="00664F76">
              <w:rPr>
                <w:b/>
                <w:bCs/>
                <w:color w:val="FFFFFF"/>
                <w:sz w:val="16"/>
                <w:szCs w:val="16"/>
              </w:rPr>
              <w:t>2021</w:t>
            </w:r>
          </w:p>
        </w:tc>
        <w:tc>
          <w:tcPr>
            <w:tcW w:w="634" w:type="dxa"/>
            <w:tcBorders>
              <w:top w:val="nil"/>
              <w:left w:val="nil"/>
              <w:bottom w:val="single" w:sz="12" w:space="0" w:color="auto"/>
              <w:right w:val="single" w:sz="8" w:space="0" w:color="auto"/>
            </w:tcBorders>
            <w:shd w:val="clear" w:color="000000" w:fill="1F4E78"/>
            <w:vAlign w:val="center"/>
            <w:hideMark/>
          </w:tcPr>
          <w:p w14:paraId="1E2B3DA2" w14:textId="77777777" w:rsidR="00D5208B" w:rsidRPr="00664F76" w:rsidRDefault="00D5208B" w:rsidP="00582CA7">
            <w:pPr>
              <w:jc w:val="center"/>
              <w:rPr>
                <w:b/>
                <w:bCs/>
                <w:color w:val="FFFFFF"/>
                <w:sz w:val="16"/>
                <w:szCs w:val="16"/>
              </w:rPr>
            </w:pPr>
            <w:r w:rsidRPr="00664F76">
              <w:rPr>
                <w:b/>
                <w:bCs/>
                <w:color w:val="FFFFFF"/>
                <w:sz w:val="16"/>
                <w:szCs w:val="16"/>
              </w:rPr>
              <w:t>2022</w:t>
            </w:r>
          </w:p>
        </w:tc>
        <w:tc>
          <w:tcPr>
            <w:tcW w:w="700" w:type="dxa"/>
            <w:tcBorders>
              <w:top w:val="nil"/>
              <w:left w:val="nil"/>
              <w:bottom w:val="single" w:sz="12" w:space="0" w:color="auto"/>
              <w:right w:val="single" w:sz="4" w:space="0" w:color="auto"/>
            </w:tcBorders>
            <w:shd w:val="clear" w:color="000000" w:fill="1F4E78"/>
            <w:vAlign w:val="center"/>
            <w:hideMark/>
          </w:tcPr>
          <w:p w14:paraId="7BE833CF" w14:textId="77777777" w:rsidR="00D5208B" w:rsidRPr="00664F76" w:rsidRDefault="00D5208B" w:rsidP="00582CA7">
            <w:pPr>
              <w:jc w:val="center"/>
              <w:rPr>
                <w:b/>
                <w:bCs/>
                <w:color w:val="FFFFFF"/>
                <w:sz w:val="16"/>
                <w:szCs w:val="16"/>
              </w:rPr>
            </w:pPr>
            <w:r w:rsidRPr="00664F76">
              <w:rPr>
                <w:b/>
                <w:bCs/>
                <w:color w:val="FFFFFF"/>
                <w:sz w:val="16"/>
                <w:szCs w:val="16"/>
              </w:rPr>
              <w:t>Meta</w:t>
            </w:r>
          </w:p>
        </w:tc>
        <w:tc>
          <w:tcPr>
            <w:tcW w:w="664" w:type="dxa"/>
            <w:tcBorders>
              <w:top w:val="nil"/>
              <w:left w:val="nil"/>
              <w:bottom w:val="single" w:sz="12" w:space="0" w:color="auto"/>
              <w:right w:val="single" w:sz="4" w:space="0" w:color="auto"/>
            </w:tcBorders>
            <w:shd w:val="clear" w:color="000000" w:fill="1F4E78"/>
            <w:vAlign w:val="center"/>
            <w:hideMark/>
          </w:tcPr>
          <w:p w14:paraId="161882BD" w14:textId="77777777" w:rsidR="00D5208B" w:rsidRPr="00664F76" w:rsidRDefault="00D5208B" w:rsidP="00582CA7">
            <w:pPr>
              <w:jc w:val="center"/>
              <w:rPr>
                <w:b/>
                <w:bCs/>
                <w:color w:val="FFFFFF"/>
                <w:sz w:val="16"/>
                <w:szCs w:val="16"/>
              </w:rPr>
            </w:pPr>
            <w:r w:rsidRPr="00664F76">
              <w:rPr>
                <w:b/>
                <w:bCs/>
                <w:color w:val="FFFFFF"/>
                <w:sz w:val="16"/>
                <w:szCs w:val="16"/>
              </w:rPr>
              <w:t>Brecha</w:t>
            </w:r>
          </w:p>
        </w:tc>
        <w:tc>
          <w:tcPr>
            <w:tcW w:w="612" w:type="dxa"/>
            <w:tcBorders>
              <w:top w:val="nil"/>
              <w:left w:val="nil"/>
              <w:bottom w:val="single" w:sz="12" w:space="0" w:color="auto"/>
              <w:right w:val="single" w:sz="12" w:space="0" w:color="auto"/>
            </w:tcBorders>
            <w:shd w:val="clear" w:color="000000" w:fill="1F4E78"/>
            <w:vAlign w:val="center"/>
            <w:hideMark/>
          </w:tcPr>
          <w:p w14:paraId="455C4DEC" w14:textId="77777777" w:rsidR="00D5208B" w:rsidRPr="00664F76" w:rsidRDefault="00D5208B" w:rsidP="00582CA7">
            <w:pPr>
              <w:jc w:val="center"/>
              <w:rPr>
                <w:b/>
                <w:bCs/>
                <w:color w:val="FFFFFF"/>
                <w:sz w:val="16"/>
                <w:szCs w:val="16"/>
              </w:rPr>
            </w:pPr>
            <w:r w:rsidRPr="00664F76">
              <w:rPr>
                <w:b/>
                <w:bCs/>
                <w:color w:val="FFFFFF"/>
                <w:sz w:val="16"/>
                <w:szCs w:val="16"/>
              </w:rPr>
              <w:t>% de avance</w:t>
            </w:r>
          </w:p>
        </w:tc>
      </w:tr>
      <w:tr w:rsidR="00D5208B" w:rsidRPr="00664F76" w14:paraId="774C6EB6" w14:textId="77777777" w:rsidTr="00827ED5">
        <w:trPr>
          <w:trHeight w:val="641"/>
          <w:jc w:val="center"/>
        </w:trPr>
        <w:tc>
          <w:tcPr>
            <w:tcW w:w="489" w:type="dxa"/>
            <w:tcBorders>
              <w:top w:val="single" w:sz="12" w:space="0" w:color="auto"/>
              <w:left w:val="single" w:sz="12" w:space="0" w:color="auto"/>
              <w:bottom w:val="single" w:sz="4" w:space="0" w:color="auto"/>
              <w:right w:val="single" w:sz="4" w:space="0" w:color="auto"/>
            </w:tcBorders>
            <w:shd w:val="clear" w:color="auto" w:fill="auto"/>
            <w:vAlign w:val="center"/>
            <w:hideMark/>
          </w:tcPr>
          <w:p w14:paraId="3255DB3D" w14:textId="77777777" w:rsidR="00D5208B" w:rsidRPr="00664F76" w:rsidRDefault="00D5208B" w:rsidP="00582CA7">
            <w:pPr>
              <w:jc w:val="center"/>
              <w:rPr>
                <w:color w:val="000000"/>
                <w:sz w:val="16"/>
                <w:szCs w:val="16"/>
              </w:rPr>
            </w:pPr>
            <w:r w:rsidRPr="00664F76">
              <w:rPr>
                <w:color w:val="000000"/>
                <w:sz w:val="16"/>
                <w:szCs w:val="16"/>
              </w:rPr>
              <w:t>1</w:t>
            </w:r>
          </w:p>
        </w:tc>
        <w:tc>
          <w:tcPr>
            <w:tcW w:w="3607" w:type="dxa"/>
            <w:tcBorders>
              <w:top w:val="single" w:sz="12" w:space="0" w:color="auto"/>
              <w:left w:val="nil"/>
              <w:bottom w:val="single" w:sz="4" w:space="0" w:color="auto"/>
              <w:right w:val="single" w:sz="4" w:space="0" w:color="auto"/>
            </w:tcBorders>
            <w:shd w:val="clear" w:color="auto" w:fill="auto"/>
            <w:vAlign w:val="center"/>
            <w:hideMark/>
          </w:tcPr>
          <w:p w14:paraId="22C87999" w14:textId="77777777" w:rsidR="00D5208B" w:rsidRPr="00664F76" w:rsidRDefault="00D5208B" w:rsidP="00582CA7">
            <w:pPr>
              <w:rPr>
                <w:color w:val="000000"/>
                <w:sz w:val="16"/>
                <w:szCs w:val="16"/>
              </w:rPr>
            </w:pPr>
            <w:r w:rsidRPr="00664F76">
              <w:rPr>
                <w:sz w:val="16"/>
              </w:rPr>
              <w:t>Número de Ministerios con programa E-goverment</w:t>
            </w:r>
          </w:p>
        </w:tc>
        <w:tc>
          <w:tcPr>
            <w:tcW w:w="1434" w:type="dxa"/>
            <w:tcBorders>
              <w:top w:val="single" w:sz="12" w:space="0" w:color="auto"/>
              <w:left w:val="nil"/>
              <w:bottom w:val="single" w:sz="4" w:space="0" w:color="auto"/>
              <w:right w:val="single" w:sz="4" w:space="0" w:color="auto"/>
            </w:tcBorders>
            <w:shd w:val="clear" w:color="auto" w:fill="auto"/>
            <w:vAlign w:val="center"/>
            <w:hideMark/>
          </w:tcPr>
          <w:p w14:paraId="7FED97AA" w14:textId="77777777" w:rsidR="00D5208B" w:rsidRPr="00664F76" w:rsidRDefault="00D5208B" w:rsidP="00582CA7">
            <w:pPr>
              <w:jc w:val="center"/>
              <w:rPr>
                <w:color w:val="000000"/>
                <w:sz w:val="16"/>
                <w:szCs w:val="16"/>
              </w:rPr>
            </w:pPr>
            <w:r w:rsidRPr="00664F76">
              <w:rPr>
                <w:color w:val="000000"/>
                <w:sz w:val="16"/>
                <w:szCs w:val="16"/>
              </w:rPr>
              <w:t>Comisión Presidencial de Gobierno Abierto (GAE)</w:t>
            </w:r>
          </w:p>
        </w:tc>
        <w:tc>
          <w:tcPr>
            <w:tcW w:w="634" w:type="dxa"/>
            <w:tcBorders>
              <w:top w:val="single" w:sz="12" w:space="0" w:color="auto"/>
              <w:left w:val="nil"/>
              <w:bottom w:val="single" w:sz="4" w:space="0" w:color="auto"/>
              <w:right w:val="single" w:sz="4" w:space="0" w:color="auto"/>
            </w:tcBorders>
            <w:shd w:val="clear" w:color="auto" w:fill="auto"/>
            <w:vAlign w:val="center"/>
            <w:hideMark/>
          </w:tcPr>
          <w:p w14:paraId="58E05C57" w14:textId="77777777" w:rsidR="00D5208B" w:rsidRPr="00664F76" w:rsidRDefault="00D5208B" w:rsidP="00582CA7">
            <w:pPr>
              <w:jc w:val="center"/>
              <w:rPr>
                <w:sz w:val="16"/>
                <w:szCs w:val="16"/>
              </w:rPr>
            </w:pPr>
            <w:r w:rsidRPr="00664F76">
              <w:rPr>
                <w:sz w:val="16"/>
                <w:szCs w:val="16"/>
              </w:rPr>
              <w:t>6</w:t>
            </w:r>
          </w:p>
        </w:tc>
        <w:tc>
          <w:tcPr>
            <w:tcW w:w="634" w:type="dxa"/>
            <w:tcBorders>
              <w:top w:val="single" w:sz="12" w:space="0" w:color="auto"/>
              <w:left w:val="nil"/>
              <w:bottom w:val="single" w:sz="4" w:space="0" w:color="auto"/>
              <w:right w:val="single" w:sz="8" w:space="0" w:color="auto"/>
            </w:tcBorders>
            <w:shd w:val="clear" w:color="auto" w:fill="auto"/>
            <w:vAlign w:val="center"/>
            <w:hideMark/>
          </w:tcPr>
          <w:p w14:paraId="32435657" w14:textId="77777777" w:rsidR="00D5208B" w:rsidRPr="00664F76" w:rsidRDefault="00D5208B" w:rsidP="00582CA7">
            <w:pPr>
              <w:jc w:val="center"/>
              <w:rPr>
                <w:sz w:val="16"/>
                <w:szCs w:val="16"/>
              </w:rPr>
            </w:pPr>
            <w:r w:rsidRPr="00664F76">
              <w:rPr>
                <w:sz w:val="16"/>
                <w:szCs w:val="16"/>
              </w:rPr>
              <w:t>10</w:t>
            </w:r>
          </w:p>
        </w:tc>
        <w:tc>
          <w:tcPr>
            <w:tcW w:w="700" w:type="dxa"/>
            <w:tcBorders>
              <w:top w:val="single" w:sz="12" w:space="0" w:color="auto"/>
              <w:left w:val="nil"/>
              <w:bottom w:val="single" w:sz="4" w:space="0" w:color="auto"/>
              <w:right w:val="single" w:sz="4" w:space="0" w:color="auto"/>
            </w:tcBorders>
            <w:shd w:val="clear" w:color="auto" w:fill="auto"/>
            <w:vAlign w:val="center"/>
            <w:hideMark/>
          </w:tcPr>
          <w:p w14:paraId="5C540E30" w14:textId="77777777" w:rsidR="00D5208B" w:rsidRPr="00664F76" w:rsidRDefault="00D5208B" w:rsidP="00582CA7">
            <w:pPr>
              <w:jc w:val="center"/>
              <w:rPr>
                <w:sz w:val="16"/>
                <w:szCs w:val="16"/>
              </w:rPr>
            </w:pPr>
            <w:r w:rsidRPr="00664F76">
              <w:rPr>
                <w:sz w:val="16"/>
                <w:szCs w:val="16"/>
              </w:rPr>
              <w:t>14</w:t>
            </w:r>
          </w:p>
        </w:tc>
        <w:tc>
          <w:tcPr>
            <w:tcW w:w="664" w:type="dxa"/>
            <w:tcBorders>
              <w:top w:val="single" w:sz="12" w:space="0" w:color="auto"/>
              <w:left w:val="nil"/>
              <w:bottom w:val="single" w:sz="4" w:space="0" w:color="auto"/>
              <w:right w:val="single" w:sz="4" w:space="0" w:color="auto"/>
            </w:tcBorders>
            <w:shd w:val="clear" w:color="auto" w:fill="auto"/>
            <w:noWrap/>
            <w:vAlign w:val="center"/>
            <w:hideMark/>
          </w:tcPr>
          <w:p w14:paraId="1FB12553" w14:textId="77777777" w:rsidR="00D5208B" w:rsidRPr="00664F76" w:rsidRDefault="00D5208B" w:rsidP="00582CA7">
            <w:pPr>
              <w:jc w:val="center"/>
              <w:rPr>
                <w:color w:val="C00000"/>
                <w:sz w:val="16"/>
                <w:szCs w:val="16"/>
              </w:rPr>
            </w:pPr>
            <w:r w:rsidRPr="00664F76">
              <w:rPr>
                <w:color w:val="C00000"/>
                <w:sz w:val="16"/>
                <w:szCs w:val="16"/>
              </w:rPr>
              <w:t>-4</w:t>
            </w:r>
          </w:p>
        </w:tc>
        <w:tc>
          <w:tcPr>
            <w:tcW w:w="612" w:type="dxa"/>
            <w:tcBorders>
              <w:top w:val="single" w:sz="12" w:space="0" w:color="auto"/>
              <w:left w:val="nil"/>
              <w:bottom w:val="single" w:sz="4" w:space="0" w:color="auto"/>
              <w:right w:val="single" w:sz="12" w:space="0" w:color="auto"/>
            </w:tcBorders>
            <w:shd w:val="clear" w:color="000000" w:fill="92D050"/>
            <w:noWrap/>
            <w:vAlign w:val="center"/>
            <w:hideMark/>
          </w:tcPr>
          <w:p w14:paraId="69F1AB7B" w14:textId="77777777" w:rsidR="00D5208B" w:rsidRPr="00664F76" w:rsidRDefault="00D5208B" w:rsidP="00582CA7">
            <w:pPr>
              <w:jc w:val="center"/>
              <w:rPr>
                <w:b/>
                <w:bCs/>
                <w:color w:val="000000"/>
                <w:sz w:val="16"/>
                <w:szCs w:val="16"/>
              </w:rPr>
            </w:pPr>
            <w:r w:rsidRPr="00664F76">
              <w:rPr>
                <w:b/>
                <w:bCs/>
                <w:color w:val="000000"/>
                <w:sz w:val="16"/>
                <w:szCs w:val="16"/>
              </w:rPr>
              <w:t>71.4%</w:t>
            </w:r>
          </w:p>
        </w:tc>
      </w:tr>
      <w:tr w:rsidR="00D5208B" w:rsidRPr="00664F76" w14:paraId="2FF8E27C" w14:textId="77777777" w:rsidTr="00827ED5">
        <w:trPr>
          <w:trHeight w:val="176"/>
          <w:jc w:val="center"/>
        </w:trPr>
        <w:tc>
          <w:tcPr>
            <w:tcW w:w="489" w:type="dxa"/>
            <w:tcBorders>
              <w:top w:val="nil"/>
              <w:left w:val="single" w:sz="12" w:space="0" w:color="auto"/>
              <w:bottom w:val="single" w:sz="4" w:space="0" w:color="auto"/>
              <w:right w:val="single" w:sz="4" w:space="0" w:color="auto"/>
            </w:tcBorders>
            <w:shd w:val="clear" w:color="auto" w:fill="auto"/>
            <w:vAlign w:val="center"/>
            <w:hideMark/>
          </w:tcPr>
          <w:p w14:paraId="4A4044F0" w14:textId="77777777" w:rsidR="00D5208B" w:rsidRPr="00664F76" w:rsidRDefault="00D5208B" w:rsidP="00582CA7">
            <w:pPr>
              <w:jc w:val="center"/>
              <w:rPr>
                <w:color w:val="000000"/>
                <w:sz w:val="16"/>
                <w:szCs w:val="16"/>
              </w:rPr>
            </w:pPr>
            <w:r w:rsidRPr="00664F76">
              <w:rPr>
                <w:color w:val="000000"/>
                <w:sz w:val="16"/>
                <w:szCs w:val="16"/>
              </w:rPr>
              <w:t>2</w:t>
            </w:r>
          </w:p>
        </w:tc>
        <w:tc>
          <w:tcPr>
            <w:tcW w:w="3607" w:type="dxa"/>
            <w:tcBorders>
              <w:top w:val="nil"/>
              <w:left w:val="nil"/>
              <w:bottom w:val="single" w:sz="4" w:space="0" w:color="auto"/>
              <w:right w:val="single" w:sz="4" w:space="0" w:color="auto"/>
            </w:tcBorders>
            <w:shd w:val="clear" w:color="auto" w:fill="auto"/>
            <w:vAlign w:val="center"/>
            <w:hideMark/>
          </w:tcPr>
          <w:p w14:paraId="1EA178BE" w14:textId="77777777" w:rsidR="00D5208B" w:rsidRPr="00664F76" w:rsidRDefault="00D5208B" w:rsidP="00582CA7">
            <w:pPr>
              <w:rPr>
                <w:color w:val="000000"/>
                <w:sz w:val="16"/>
                <w:szCs w:val="16"/>
              </w:rPr>
            </w:pPr>
            <w:r w:rsidRPr="00664F76">
              <w:rPr>
                <w:sz w:val="16"/>
              </w:rPr>
              <w:t>Porcentaje de implementación de la descentralización en la gestión pública</w:t>
            </w:r>
          </w:p>
        </w:tc>
        <w:tc>
          <w:tcPr>
            <w:tcW w:w="1434" w:type="dxa"/>
            <w:tcBorders>
              <w:top w:val="nil"/>
              <w:left w:val="nil"/>
              <w:bottom w:val="single" w:sz="4" w:space="0" w:color="auto"/>
              <w:right w:val="single" w:sz="4" w:space="0" w:color="auto"/>
            </w:tcBorders>
            <w:shd w:val="clear" w:color="auto" w:fill="auto"/>
            <w:vAlign w:val="center"/>
            <w:hideMark/>
          </w:tcPr>
          <w:p w14:paraId="33A1C46D" w14:textId="77777777" w:rsidR="00D5208B" w:rsidRPr="00664F76" w:rsidRDefault="00D5208B" w:rsidP="00582CA7">
            <w:pPr>
              <w:jc w:val="center"/>
              <w:rPr>
                <w:color w:val="000000"/>
                <w:sz w:val="16"/>
                <w:szCs w:val="16"/>
              </w:rPr>
            </w:pPr>
            <w:r w:rsidRPr="00664F76">
              <w:rPr>
                <w:color w:val="000000"/>
                <w:sz w:val="16"/>
                <w:szCs w:val="16"/>
              </w:rPr>
              <w:t>SCEP</w:t>
            </w:r>
          </w:p>
        </w:tc>
        <w:tc>
          <w:tcPr>
            <w:tcW w:w="634" w:type="dxa"/>
            <w:tcBorders>
              <w:top w:val="nil"/>
              <w:left w:val="nil"/>
              <w:bottom w:val="single" w:sz="4" w:space="0" w:color="auto"/>
              <w:right w:val="single" w:sz="4" w:space="0" w:color="auto"/>
            </w:tcBorders>
            <w:shd w:val="clear" w:color="auto" w:fill="auto"/>
            <w:vAlign w:val="center"/>
            <w:hideMark/>
          </w:tcPr>
          <w:p w14:paraId="5FF9544D" w14:textId="77777777" w:rsidR="00D5208B" w:rsidRPr="00664F76" w:rsidRDefault="00D5208B" w:rsidP="00582CA7">
            <w:pPr>
              <w:jc w:val="center"/>
              <w:rPr>
                <w:sz w:val="16"/>
                <w:szCs w:val="16"/>
              </w:rPr>
            </w:pPr>
            <w:r w:rsidRPr="00664F76">
              <w:rPr>
                <w:sz w:val="16"/>
              </w:rPr>
              <w:t>50.00%</w:t>
            </w:r>
          </w:p>
        </w:tc>
        <w:tc>
          <w:tcPr>
            <w:tcW w:w="634" w:type="dxa"/>
            <w:tcBorders>
              <w:top w:val="nil"/>
              <w:left w:val="nil"/>
              <w:bottom w:val="single" w:sz="4" w:space="0" w:color="auto"/>
              <w:right w:val="single" w:sz="8" w:space="0" w:color="auto"/>
            </w:tcBorders>
            <w:shd w:val="clear" w:color="auto" w:fill="auto"/>
            <w:vAlign w:val="center"/>
            <w:hideMark/>
          </w:tcPr>
          <w:p w14:paraId="7B23EB7B" w14:textId="77777777" w:rsidR="00D5208B" w:rsidRPr="00664F76" w:rsidRDefault="00D5208B" w:rsidP="00582CA7">
            <w:pPr>
              <w:jc w:val="center"/>
              <w:rPr>
                <w:sz w:val="16"/>
                <w:szCs w:val="16"/>
              </w:rPr>
            </w:pPr>
            <w:r w:rsidRPr="00664F76">
              <w:rPr>
                <w:sz w:val="16"/>
                <w:szCs w:val="16"/>
              </w:rPr>
              <w:t>75.0%</w:t>
            </w:r>
          </w:p>
        </w:tc>
        <w:tc>
          <w:tcPr>
            <w:tcW w:w="700" w:type="dxa"/>
            <w:tcBorders>
              <w:top w:val="nil"/>
              <w:left w:val="nil"/>
              <w:bottom w:val="single" w:sz="4" w:space="0" w:color="auto"/>
              <w:right w:val="single" w:sz="4" w:space="0" w:color="auto"/>
            </w:tcBorders>
            <w:shd w:val="clear" w:color="auto" w:fill="auto"/>
            <w:vAlign w:val="center"/>
            <w:hideMark/>
          </w:tcPr>
          <w:p w14:paraId="2C0DC1E6" w14:textId="77777777" w:rsidR="00D5208B" w:rsidRPr="00664F76" w:rsidRDefault="00D5208B" w:rsidP="00582CA7">
            <w:pPr>
              <w:jc w:val="center"/>
              <w:rPr>
                <w:sz w:val="16"/>
                <w:szCs w:val="16"/>
              </w:rPr>
            </w:pPr>
            <w:r w:rsidRPr="00664F76">
              <w:rPr>
                <w:sz w:val="16"/>
                <w:szCs w:val="16"/>
              </w:rPr>
              <w:t>100%</w:t>
            </w:r>
          </w:p>
        </w:tc>
        <w:tc>
          <w:tcPr>
            <w:tcW w:w="664" w:type="dxa"/>
            <w:tcBorders>
              <w:top w:val="nil"/>
              <w:left w:val="nil"/>
              <w:bottom w:val="single" w:sz="4" w:space="0" w:color="auto"/>
              <w:right w:val="single" w:sz="4" w:space="0" w:color="auto"/>
            </w:tcBorders>
            <w:shd w:val="clear" w:color="auto" w:fill="auto"/>
            <w:noWrap/>
            <w:vAlign w:val="center"/>
            <w:hideMark/>
          </w:tcPr>
          <w:p w14:paraId="26D463E8" w14:textId="77777777" w:rsidR="00D5208B" w:rsidRPr="00664F76" w:rsidRDefault="00D5208B" w:rsidP="00582CA7">
            <w:pPr>
              <w:jc w:val="center"/>
              <w:rPr>
                <w:color w:val="C00000"/>
                <w:sz w:val="16"/>
                <w:szCs w:val="16"/>
              </w:rPr>
            </w:pPr>
            <w:r w:rsidRPr="00664F76">
              <w:rPr>
                <w:color w:val="C00000"/>
                <w:sz w:val="16"/>
                <w:szCs w:val="16"/>
              </w:rPr>
              <w:t>-25</w:t>
            </w:r>
          </w:p>
        </w:tc>
        <w:tc>
          <w:tcPr>
            <w:tcW w:w="612" w:type="dxa"/>
            <w:tcBorders>
              <w:top w:val="nil"/>
              <w:left w:val="nil"/>
              <w:bottom w:val="single" w:sz="4" w:space="0" w:color="auto"/>
              <w:right w:val="single" w:sz="12" w:space="0" w:color="auto"/>
            </w:tcBorders>
            <w:shd w:val="clear" w:color="000000" w:fill="92D050"/>
            <w:noWrap/>
            <w:vAlign w:val="center"/>
            <w:hideMark/>
          </w:tcPr>
          <w:p w14:paraId="3D097C78" w14:textId="77777777" w:rsidR="00D5208B" w:rsidRPr="00664F76" w:rsidRDefault="00D5208B" w:rsidP="00582CA7">
            <w:pPr>
              <w:jc w:val="center"/>
              <w:rPr>
                <w:b/>
                <w:bCs/>
                <w:color w:val="000000"/>
                <w:sz w:val="16"/>
                <w:szCs w:val="16"/>
              </w:rPr>
            </w:pPr>
            <w:r w:rsidRPr="00664F76">
              <w:rPr>
                <w:b/>
                <w:bCs/>
                <w:color w:val="000000"/>
                <w:sz w:val="16"/>
                <w:szCs w:val="16"/>
              </w:rPr>
              <w:t>75.0%</w:t>
            </w:r>
          </w:p>
        </w:tc>
      </w:tr>
      <w:tr w:rsidR="00D5208B" w:rsidRPr="00664F76" w14:paraId="4B9D3EAF" w14:textId="77777777" w:rsidTr="00827ED5">
        <w:trPr>
          <w:trHeight w:val="224"/>
          <w:jc w:val="center"/>
        </w:trPr>
        <w:tc>
          <w:tcPr>
            <w:tcW w:w="489" w:type="dxa"/>
            <w:tcBorders>
              <w:top w:val="nil"/>
              <w:left w:val="single" w:sz="12" w:space="0" w:color="auto"/>
              <w:bottom w:val="single" w:sz="4" w:space="0" w:color="auto"/>
              <w:right w:val="single" w:sz="4" w:space="0" w:color="auto"/>
            </w:tcBorders>
            <w:shd w:val="clear" w:color="auto" w:fill="auto"/>
            <w:vAlign w:val="center"/>
            <w:hideMark/>
          </w:tcPr>
          <w:p w14:paraId="7A156F2F" w14:textId="77777777" w:rsidR="00D5208B" w:rsidRPr="00664F76" w:rsidRDefault="00D5208B" w:rsidP="00582CA7">
            <w:pPr>
              <w:jc w:val="center"/>
              <w:rPr>
                <w:color w:val="000000"/>
                <w:sz w:val="16"/>
                <w:szCs w:val="16"/>
              </w:rPr>
            </w:pPr>
            <w:r w:rsidRPr="00664F76">
              <w:rPr>
                <w:color w:val="000000"/>
                <w:sz w:val="16"/>
                <w:szCs w:val="16"/>
              </w:rPr>
              <w:t>3</w:t>
            </w:r>
          </w:p>
        </w:tc>
        <w:tc>
          <w:tcPr>
            <w:tcW w:w="3607" w:type="dxa"/>
            <w:tcBorders>
              <w:top w:val="nil"/>
              <w:left w:val="nil"/>
              <w:bottom w:val="single" w:sz="4" w:space="0" w:color="auto"/>
              <w:right w:val="single" w:sz="4" w:space="0" w:color="auto"/>
            </w:tcBorders>
            <w:shd w:val="clear" w:color="auto" w:fill="auto"/>
            <w:vAlign w:val="center"/>
            <w:hideMark/>
          </w:tcPr>
          <w:p w14:paraId="23574A7F" w14:textId="77777777" w:rsidR="00D5208B" w:rsidRPr="00664F76" w:rsidRDefault="00D5208B" w:rsidP="00582CA7">
            <w:pPr>
              <w:rPr>
                <w:color w:val="000000"/>
                <w:sz w:val="16"/>
                <w:szCs w:val="16"/>
              </w:rPr>
            </w:pPr>
            <w:r w:rsidRPr="00664F76">
              <w:rPr>
                <w:sz w:val="16"/>
              </w:rPr>
              <w:t>Porcentaje de implementación del Sistema Nacional de Planificación</w:t>
            </w:r>
          </w:p>
        </w:tc>
        <w:tc>
          <w:tcPr>
            <w:tcW w:w="1434" w:type="dxa"/>
            <w:tcBorders>
              <w:top w:val="nil"/>
              <w:left w:val="nil"/>
              <w:bottom w:val="single" w:sz="4" w:space="0" w:color="auto"/>
              <w:right w:val="single" w:sz="4" w:space="0" w:color="auto"/>
            </w:tcBorders>
            <w:shd w:val="clear" w:color="auto" w:fill="auto"/>
            <w:vAlign w:val="center"/>
            <w:hideMark/>
          </w:tcPr>
          <w:p w14:paraId="66D1BDAE" w14:textId="77777777" w:rsidR="00D5208B" w:rsidRPr="00664F76" w:rsidRDefault="00D5208B" w:rsidP="00582CA7">
            <w:pPr>
              <w:jc w:val="center"/>
              <w:rPr>
                <w:color w:val="000000"/>
                <w:sz w:val="16"/>
                <w:szCs w:val="16"/>
              </w:rPr>
            </w:pPr>
            <w:r w:rsidRPr="00664F76">
              <w:rPr>
                <w:color w:val="000000"/>
                <w:sz w:val="16"/>
                <w:szCs w:val="16"/>
              </w:rPr>
              <w:t>Segeplan</w:t>
            </w:r>
          </w:p>
        </w:tc>
        <w:tc>
          <w:tcPr>
            <w:tcW w:w="634" w:type="dxa"/>
            <w:tcBorders>
              <w:top w:val="nil"/>
              <w:left w:val="nil"/>
              <w:bottom w:val="single" w:sz="4" w:space="0" w:color="auto"/>
              <w:right w:val="single" w:sz="4" w:space="0" w:color="auto"/>
            </w:tcBorders>
            <w:shd w:val="clear" w:color="auto" w:fill="auto"/>
            <w:vAlign w:val="center"/>
            <w:hideMark/>
          </w:tcPr>
          <w:p w14:paraId="1766AA5C" w14:textId="77777777" w:rsidR="00D5208B" w:rsidRPr="00664F76" w:rsidRDefault="00D5208B" w:rsidP="00582CA7">
            <w:pPr>
              <w:jc w:val="center"/>
              <w:rPr>
                <w:sz w:val="16"/>
                <w:szCs w:val="16"/>
              </w:rPr>
            </w:pPr>
            <w:r w:rsidRPr="00664F76">
              <w:rPr>
                <w:sz w:val="16"/>
              </w:rPr>
              <w:t>70.28%</w:t>
            </w:r>
          </w:p>
        </w:tc>
        <w:tc>
          <w:tcPr>
            <w:tcW w:w="634" w:type="dxa"/>
            <w:tcBorders>
              <w:top w:val="nil"/>
              <w:left w:val="nil"/>
              <w:bottom w:val="single" w:sz="4" w:space="0" w:color="auto"/>
              <w:right w:val="single" w:sz="8" w:space="0" w:color="auto"/>
            </w:tcBorders>
            <w:shd w:val="clear" w:color="auto" w:fill="auto"/>
            <w:vAlign w:val="center"/>
            <w:hideMark/>
          </w:tcPr>
          <w:p w14:paraId="58A23F59" w14:textId="77777777" w:rsidR="00D5208B" w:rsidRPr="00664F76" w:rsidRDefault="00D5208B" w:rsidP="00582CA7">
            <w:pPr>
              <w:jc w:val="center"/>
              <w:rPr>
                <w:sz w:val="16"/>
                <w:szCs w:val="16"/>
              </w:rPr>
            </w:pPr>
            <w:r w:rsidRPr="00664F76">
              <w:rPr>
                <w:sz w:val="16"/>
                <w:szCs w:val="16"/>
              </w:rPr>
              <w:t>70.0%</w:t>
            </w:r>
          </w:p>
        </w:tc>
        <w:tc>
          <w:tcPr>
            <w:tcW w:w="700" w:type="dxa"/>
            <w:tcBorders>
              <w:top w:val="nil"/>
              <w:left w:val="nil"/>
              <w:bottom w:val="single" w:sz="4" w:space="0" w:color="auto"/>
              <w:right w:val="single" w:sz="4" w:space="0" w:color="auto"/>
            </w:tcBorders>
            <w:shd w:val="clear" w:color="auto" w:fill="auto"/>
            <w:vAlign w:val="center"/>
            <w:hideMark/>
          </w:tcPr>
          <w:p w14:paraId="63650E73" w14:textId="77777777" w:rsidR="00D5208B" w:rsidRPr="00664F76" w:rsidRDefault="00D5208B" w:rsidP="00582CA7">
            <w:pPr>
              <w:jc w:val="center"/>
              <w:rPr>
                <w:sz w:val="16"/>
                <w:szCs w:val="16"/>
              </w:rPr>
            </w:pPr>
            <w:r w:rsidRPr="00664F76">
              <w:rPr>
                <w:sz w:val="16"/>
                <w:szCs w:val="16"/>
              </w:rPr>
              <w:t>100%</w:t>
            </w:r>
          </w:p>
        </w:tc>
        <w:tc>
          <w:tcPr>
            <w:tcW w:w="664" w:type="dxa"/>
            <w:tcBorders>
              <w:top w:val="nil"/>
              <w:left w:val="nil"/>
              <w:bottom w:val="single" w:sz="4" w:space="0" w:color="auto"/>
              <w:right w:val="single" w:sz="4" w:space="0" w:color="auto"/>
            </w:tcBorders>
            <w:shd w:val="clear" w:color="auto" w:fill="auto"/>
            <w:noWrap/>
            <w:vAlign w:val="center"/>
            <w:hideMark/>
          </w:tcPr>
          <w:p w14:paraId="36E838CE" w14:textId="77777777" w:rsidR="00D5208B" w:rsidRPr="00664F76" w:rsidRDefault="00D5208B" w:rsidP="00582CA7">
            <w:pPr>
              <w:jc w:val="center"/>
              <w:rPr>
                <w:color w:val="C00000"/>
                <w:sz w:val="16"/>
                <w:szCs w:val="16"/>
              </w:rPr>
            </w:pPr>
            <w:r w:rsidRPr="00664F76">
              <w:rPr>
                <w:color w:val="C00000"/>
                <w:sz w:val="16"/>
                <w:szCs w:val="16"/>
              </w:rPr>
              <w:t>-30</w:t>
            </w:r>
          </w:p>
        </w:tc>
        <w:tc>
          <w:tcPr>
            <w:tcW w:w="612" w:type="dxa"/>
            <w:tcBorders>
              <w:top w:val="nil"/>
              <w:left w:val="nil"/>
              <w:bottom w:val="single" w:sz="4" w:space="0" w:color="auto"/>
              <w:right w:val="single" w:sz="12" w:space="0" w:color="auto"/>
            </w:tcBorders>
            <w:shd w:val="clear" w:color="000000" w:fill="92D050"/>
            <w:noWrap/>
            <w:vAlign w:val="center"/>
            <w:hideMark/>
          </w:tcPr>
          <w:p w14:paraId="05D80750" w14:textId="77777777" w:rsidR="00D5208B" w:rsidRPr="00664F76" w:rsidRDefault="00D5208B" w:rsidP="00582CA7">
            <w:pPr>
              <w:jc w:val="center"/>
              <w:rPr>
                <w:b/>
                <w:bCs/>
                <w:color w:val="000000"/>
                <w:sz w:val="16"/>
                <w:szCs w:val="16"/>
              </w:rPr>
            </w:pPr>
            <w:r w:rsidRPr="00664F76">
              <w:rPr>
                <w:b/>
                <w:bCs/>
                <w:color w:val="000000"/>
                <w:sz w:val="16"/>
                <w:szCs w:val="16"/>
              </w:rPr>
              <w:t>70.0%</w:t>
            </w:r>
          </w:p>
        </w:tc>
      </w:tr>
      <w:tr w:rsidR="00D5208B" w:rsidRPr="00664F76" w14:paraId="588868D6" w14:textId="77777777" w:rsidTr="00827ED5">
        <w:trPr>
          <w:trHeight w:val="286"/>
          <w:jc w:val="center"/>
        </w:trPr>
        <w:tc>
          <w:tcPr>
            <w:tcW w:w="489" w:type="dxa"/>
            <w:tcBorders>
              <w:top w:val="nil"/>
              <w:left w:val="single" w:sz="12" w:space="0" w:color="auto"/>
              <w:bottom w:val="single" w:sz="4" w:space="0" w:color="auto"/>
              <w:right w:val="single" w:sz="4" w:space="0" w:color="auto"/>
            </w:tcBorders>
            <w:shd w:val="clear" w:color="auto" w:fill="auto"/>
            <w:vAlign w:val="center"/>
            <w:hideMark/>
          </w:tcPr>
          <w:p w14:paraId="6A7AA95F" w14:textId="77777777" w:rsidR="00D5208B" w:rsidRPr="00664F76" w:rsidRDefault="00D5208B" w:rsidP="00582CA7">
            <w:pPr>
              <w:jc w:val="center"/>
              <w:rPr>
                <w:color w:val="000000"/>
                <w:sz w:val="18"/>
                <w:szCs w:val="18"/>
              </w:rPr>
            </w:pPr>
            <w:r w:rsidRPr="00664F76">
              <w:rPr>
                <w:color w:val="000000"/>
                <w:sz w:val="18"/>
              </w:rPr>
              <w:t>4</w:t>
            </w:r>
          </w:p>
        </w:tc>
        <w:tc>
          <w:tcPr>
            <w:tcW w:w="3607" w:type="dxa"/>
            <w:tcBorders>
              <w:top w:val="nil"/>
              <w:left w:val="nil"/>
              <w:bottom w:val="single" w:sz="4" w:space="0" w:color="auto"/>
              <w:right w:val="single" w:sz="4" w:space="0" w:color="auto"/>
            </w:tcBorders>
            <w:shd w:val="clear" w:color="auto" w:fill="auto"/>
            <w:vAlign w:val="center"/>
            <w:hideMark/>
          </w:tcPr>
          <w:p w14:paraId="7EC08DA1" w14:textId="77777777" w:rsidR="00D5208B" w:rsidRPr="00664F76" w:rsidRDefault="00D5208B" w:rsidP="00582CA7">
            <w:pPr>
              <w:rPr>
                <w:color w:val="000000"/>
                <w:sz w:val="16"/>
                <w:szCs w:val="16"/>
              </w:rPr>
            </w:pPr>
            <w:r w:rsidRPr="00664F76">
              <w:rPr>
                <w:color w:val="000000"/>
                <w:sz w:val="16"/>
                <w:szCs w:val="16"/>
              </w:rPr>
              <w:t>Número de municipios priorizados que implementan su plan de desarrollo municipal y ordenamiento territorial</w:t>
            </w:r>
          </w:p>
        </w:tc>
        <w:tc>
          <w:tcPr>
            <w:tcW w:w="1434" w:type="dxa"/>
            <w:tcBorders>
              <w:top w:val="nil"/>
              <w:left w:val="nil"/>
              <w:bottom w:val="single" w:sz="4" w:space="0" w:color="auto"/>
              <w:right w:val="single" w:sz="4" w:space="0" w:color="auto"/>
            </w:tcBorders>
            <w:shd w:val="clear" w:color="auto" w:fill="auto"/>
            <w:vAlign w:val="center"/>
            <w:hideMark/>
          </w:tcPr>
          <w:p w14:paraId="3C065DD0" w14:textId="77777777" w:rsidR="00D5208B" w:rsidRPr="00664F76" w:rsidRDefault="00D5208B" w:rsidP="00582CA7">
            <w:pPr>
              <w:jc w:val="center"/>
              <w:rPr>
                <w:color w:val="000000"/>
                <w:sz w:val="16"/>
                <w:szCs w:val="16"/>
              </w:rPr>
            </w:pPr>
            <w:r w:rsidRPr="00664F76">
              <w:rPr>
                <w:color w:val="000000"/>
                <w:sz w:val="16"/>
                <w:szCs w:val="16"/>
              </w:rPr>
              <w:t>Segeplan / RIC</w:t>
            </w:r>
          </w:p>
        </w:tc>
        <w:tc>
          <w:tcPr>
            <w:tcW w:w="634" w:type="dxa"/>
            <w:tcBorders>
              <w:top w:val="nil"/>
              <w:left w:val="nil"/>
              <w:bottom w:val="single" w:sz="4" w:space="0" w:color="auto"/>
              <w:right w:val="single" w:sz="4" w:space="0" w:color="auto"/>
            </w:tcBorders>
            <w:shd w:val="clear" w:color="auto" w:fill="auto"/>
            <w:vAlign w:val="center"/>
            <w:hideMark/>
          </w:tcPr>
          <w:p w14:paraId="5B49C602" w14:textId="77777777" w:rsidR="00D5208B" w:rsidRPr="00664F76" w:rsidRDefault="00D5208B" w:rsidP="00582CA7">
            <w:pPr>
              <w:jc w:val="center"/>
              <w:rPr>
                <w:sz w:val="16"/>
                <w:szCs w:val="16"/>
              </w:rPr>
            </w:pPr>
            <w:r w:rsidRPr="00664F76">
              <w:rPr>
                <w:sz w:val="16"/>
              </w:rPr>
              <w:t>50.00%</w:t>
            </w:r>
          </w:p>
        </w:tc>
        <w:tc>
          <w:tcPr>
            <w:tcW w:w="634" w:type="dxa"/>
            <w:tcBorders>
              <w:top w:val="nil"/>
              <w:left w:val="nil"/>
              <w:bottom w:val="single" w:sz="4" w:space="0" w:color="auto"/>
              <w:right w:val="single" w:sz="8" w:space="0" w:color="auto"/>
            </w:tcBorders>
            <w:shd w:val="clear" w:color="auto" w:fill="auto"/>
            <w:vAlign w:val="center"/>
            <w:hideMark/>
          </w:tcPr>
          <w:p w14:paraId="383E2593" w14:textId="77777777" w:rsidR="00D5208B" w:rsidRPr="00664F76" w:rsidRDefault="00D5208B" w:rsidP="00582CA7">
            <w:pPr>
              <w:jc w:val="center"/>
              <w:rPr>
                <w:sz w:val="16"/>
                <w:szCs w:val="16"/>
              </w:rPr>
            </w:pPr>
            <w:r w:rsidRPr="00664F76">
              <w:rPr>
                <w:sz w:val="16"/>
                <w:szCs w:val="16"/>
              </w:rPr>
              <w:t>70.0%</w:t>
            </w:r>
          </w:p>
        </w:tc>
        <w:tc>
          <w:tcPr>
            <w:tcW w:w="700" w:type="dxa"/>
            <w:tcBorders>
              <w:top w:val="nil"/>
              <w:left w:val="nil"/>
              <w:bottom w:val="single" w:sz="4" w:space="0" w:color="auto"/>
              <w:right w:val="single" w:sz="4" w:space="0" w:color="auto"/>
            </w:tcBorders>
            <w:shd w:val="clear" w:color="auto" w:fill="auto"/>
            <w:vAlign w:val="center"/>
            <w:hideMark/>
          </w:tcPr>
          <w:p w14:paraId="433452FE" w14:textId="77777777" w:rsidR="00D5208B" w:rsidRPr="00664F76" w:rsidRDefault="00D5208B" w:rsidP="00582CA7">
            <w:pPr>
              <w:jc w:val="center"/>
              <w:rPr>
                <w:sz w:val="16"/>
                <w:szCs w:val="16"/>
              </w:rPr>
            </w:pPr>
            <w:r w:rsidRPr="00664F76">
              <w:rPr>
                <w:sz w:val="16"/>
                <w:szCs w:val="16"/>
              </w:rPr>
              <w:t>100%</w:t>
            </w:r>
          </w:p>
        </w:tc>
        <w:tc>
          <w:tcPr>
            <w:tcW w:w="664" w:type="dxa"/>
            <w:tcBorders>
              <w:top w:val="nil"/>
              <w:left w:val="nil"/>
              <w:bottom w:val="single" w:sz="4" w:space="0" w:color="auto"/>
              <w:right w:val="single" w:sz="4" w:space="0" w:color="auto"/>
            </w:tcBorders>
            <w:shd w:val="clear" w:color="auto" w:fill="auto"/>
            <w:noWrap/>
            <w:vAlign w:val="center"/>
            <w:hideMark/>
          </w:tcPr>
          <w:p w14:paraId="4960A4E7" w14:textId="77777777" w:rsidR="00D5208B" w:rsidRPr="00664F76" w:rsidRDefault="00D5208B" w:rsidP="00582CA7">
            <w:pPr>
              <w:spacing w:line="360" w:lineRule="auto"/>
              <w:jc w:val="center"/>
              <w:rPr>
                <w:color w:val="C00000"/>
                <w:sz w:val="16"/>
                <w:szCs w:val="16"/>
              </w:rPr>
            </w:pPr>
            <w:r w:rsidRPr="00664F76">
              <w:rPr>
                <w:color w:val="C00000"/>
                <w:sz w:val="16"/>
                <w:szCs w:val="16"/>
              </w:rPr>
              <w:t>-30</w:t>
            </w:r>
          </w:p>
        </w:tc>
        <w:tc>
          <w:tcPr>
            <w:tcW w:w="612" w:type="dxa"/>
            <w:tcBorders>
              <w:top w:val="nil"/>
              <w:left w:val="nil"/>
              <w:bottom w:val="single" w:sz="4" w:space="0" w:color="auto"/>
              <w:right w:val="single" w:sz="12" w:space="0" w:color="auto"/>
            </w:tcBorders>
            <w:shd w:val="clear" w:color="000000" w:fill="92D050"/>
            <w:noWrap/>
            <w:vAlign w:val="center"/>
            <w:hideMark/>
          </w:tcPr>
          <w:p w14:paraId="1BA30876" w14:textId="77777777" w:rsidR="00D5208B" w:rsidRPr="00664F76" w:rsidRDefault="00D5208B" w:rsidP="00582CA7">
            <w:pPr>
              <w:jc w:val="center"/>
              <w:rPr>
                <w:b/>
                <w:bCs/>
                <w:color w:val="000000"/>
                <w:sz w:val="16"/>
                <w:szCs w:val="16"/>
              </w:rPr>
            </w:pPr>
            <w:r w:rsidRPr="00664F76">
              <w:rPr>
                <w:b/>
                <w:bCs/>
                <w:color w:val="000000"/>
                <w:sz w:val="16"/>
                <w:szCs w:val="16"/>
              </w:rPr>
              <w:t>70.0%</w:t>
            </w:r>
          </w:p>
        </w:tc>
      </w:tr>
      <w:tr w:rsidR="00D5208B" w:rsidRPr="00664F76" w14:paraId="3207DA73" w14:textId="77777777" w:rsidTr="00827ED5">
        <w:trPr>
          <w:trHeight w:val="422"/>
          <w:jc w:val="center"/>
        </w:trPr>
        <w:tc>
          <w:tcPr>
            <w:tcW w:w="489" w:type="dxa"/>
            <w:tcBorders>
              <w:top w:val="nil"/>
              <w:left w:val="single" w:sz="12" w:space="0" w:color="auto"/>
              <w:bottom w:val="single" w:sz="4" w:space="0" w:color="auto"/>
              <w:right w:val="single" w:sz="4" w:space="0" w:color="auto"/>
            </w:tcBorders>
            <w:shd w:val="clear" w:color="auto" w:fill="auto"/>
            <w:vAlign w:val="center"/>
            <w:hideMark/>
          </w:tcPr>
          <w:p w14:paraId="042ACF02" w14:textId="77777777" w:rsidR="00D5208B" w:rsidRPr="00664F76" w:rsidRDefault="00D5208B" w:rsidP="00582CA7">
            <w:pPr>
              <w:jc w:val="center"/>
              <w:rPr>
                <w:color w:val="000000"/>
                <w:sz w:val="16"/>
                <w:szCs w:val="16"/>
              </w:rPr>
            </w:pPr>
            <w:r w:rsidRPr="00664F76">
              <w:rPr>
                <w:color w:val="000000"/>
                <w:sz w:val="16"/>
                <w:szCs w:val="16"/>
              </w:rPr>
              <w:t>5</w:t>
            </w:r>
          </w:p>
        </w:tc>
        <w:tc>
          <w:tcPr>
            <w:tcW w:w="3607" w:type="dxa"/>
            <w:tcBorders>
              <w:top w:val="nil"/>
              <w:left w:val="nil"/>
              <w:bottom w:val="single" w:sz="4" w:space="0" w:color="auto"/>
              <w:right w:val="single" w:sz="4" w:space="0" w:color="auto"/>
            </w:tcBorders>
            <w:shd w:val="clear" w:color="auto" w:fill="auto"/>
            <w:vAlign w:val="center"/>
            <w:hideMark/>
          </w:tcPr>
          <w:p w14:paraId="79543D77" w14:textId="77777777" w:rsidR="00D5208B" w:rsidRPr="00664F76" w:rsidRDefault="00D5208B" w:rsidP="00582CA7">
            <w:pPr>
              <w:rPr>
                <w:color w:val="000000"/>
                <w:sz w:val="16"/>
                <w:szCs w:val="16"/>
              </w:rPr>
            </w:pPr>
            <w:r w:rsidRPr="00664F76">
              <w:rPr>
                <w:color w:val="000000"/>
                <w:sz w:val="16"/>
                <w:szCs w:val="16"/>
              </w:rPr>
              <w:t>58 iniciativas de Ley presentadas al Congreso de la República</w:t>
            </w:r>
          </w:p>
        </w:tc>
        <w:tc>
          <w:tcPr>
            <w:tcW w:w="1434" w:type="dxa"/>
            <w:tcBorders>
              <w:top w:val="nil"/>
              <w:left w:val="nil"/>
              <w:bottom w:val="single" w:sz="4" w:space="0" w:color="auto"/>
              <w:right w:val="single" w:sz="4" w:space="0" w:color="auto"/>
            </w:tcBorders>
            <w:shd w:val="clear" w:color="auto" w:fill="auto"/>
            <w:vAlign w:val="center"/>
            <w:hideMark/>
          </w:tcPr>
          <w:p w14:paraId="2FC6F1D9" w14:textId="77777777" w:rsidR="00D5208B" w:rsidRPr="00664F76" w:rsidRDefault="00D5208B" w:rsidP="00582CA7">
            <w:pPr>
              <w:jc w:val="center"/>
              <w:rPr>
                <w:color w:val="000000"/>
                <w:sz w:val="16"/>
                <w:szCs w:val="16"/>
              </w:rPr>
            </w:pPr>
            <w:r w:rsidRPr="00664F76">
              <w:rPr>
                <w:color w:val="000000"/>
                <w:sz w:val="16"/>
                <w:szCs w:val="16"/>
              </w:rPr>
              <w:t>Gabinete General (reporta Secretaría General de la Presidencia)</w:t>
            </w:r>
          </w:p>
        </w:tc>
        <w:tc>
          <w:tcPr>
            <w:tcW w:w="634" w:type="dxa"/>
            <w:tcBorders>
              <w:top w:val="nil"/>
              <w:left w:val="nil"/>
              <w:bottom w:val="single" w:sz="4" w:space="0" w:color="auto"/>
              <w:right w:val="single" w:sz="4" w:space="0" w:color="auto"/>
            </w:tcBorders>
            <w:shd w:val="clear" w:color="auto" w:fill="auto"/>
            <w:vAlign w:val="center"/>
            <w:hideMark/>
          </w:tcPr>
          <w:p w14:paraId="7E38CFCB" w14:textId="77777777" w:rsidR="00D5208B" w:rsidRPr="00664F76" w:rsidRDefault="00D5208B" w:rsidP="00582CA7">
            <w:pPr>
              <w:jc w:val="center"/>
              <w:rPr>
                <w:sz w:val="16"/>
                <w:szCs w:val="16"/>
              </w:rPr>
            </w:pPr>
            <w:r w:rsidRPr="00664F76">
              <w:rPr>
                <w:sz w:val="16"/>
              </w:rPr>
              <w:t>27</w:t>
            </w:r>
          </w:p>
        </w:tc>
        <w:tc>
          <w:tcPr>
            <w:tcW w:w="634" w:type="dxa"/>
            <w:tcBorders>
              <w:top w:val="nil"/>
              <w:left w:val="nil"/>
              <w:bottom w:val="single" w:sz="4" w:space="0" w:color="auto"/>
              <w:right w:val="single" w:sz="8" w:space="0" w:color="auto"/>
            </w:tcBorders>
            <w:shd w:val="clear" w:color="auto" w:fill="auto"/>
            <w:vAlign w:val="center"/>
            <w:hideMark/>
          </w:tcPr>
          <w:p w14:paraId="6488A743" w14:textId="77777777" w:rsidR="00D5208B" w:rsidRPr="00664F76" w:rsidRDefault="00D5208B" w:rsidP="00582CA7">
            <w:pPr>
              <w:jc w:val="center"/>
              <w:rPr>
                <w:sz w:val="16"/>
                <w:szCs w:val="16"/>
              </w:rPr>
            </w:pPr>
            <w:r w:rsidRPr="00664F76">
              <w:rPr>
                <w:sz w:val="16"/>
                <w:szCs w:val="16"/>
              </w:rPr>
              <w:t>50</w:t>
            </w:r>
          </w:p>
        </w:tc>
        <w:tc>
          <w:tcPr>
            <w:tcW w:w="700" w:type="dxa"/>
            <w:tcBorders>
              <w:top w:val="nil"/>
              <w:left w:val="nil"/>
              <w:bottom w:val="single" w:sz="4" w:space="0" w:color="auto"/>
              <w:right w:val="single" w:sz="4" w:space="0" w:color="auto"/>
            </w:tcBorders>
            <w:shd w:val="clear" w:color="auto" w:fill="auto"/>
            <w:vAlign w:val="center"/>
            <w:hideMark/>
          </w:tcPr>
          <w:p w14:paraId="6985B3BE" w14:textId="77777777" w:rsidR="00D5208B" w:rsidRPr="00664F76" w:rsidRDefault="00D5208B" w:rsidP="00582CA7">
            <w:pPr>
              <w:jc w:val="center"/>
              <w:rPr>
                <w:sz w:val="16"/>
                <w:szCs w:val="16"/>
              </w:rPr>
            </w:pPr>
            <w:r w:rsidRPr="00664F76">
              <w:rPr>
                <w:sz w:val="16"/>
                <w:szCs w:val="16"/>
              </w:rPr>
              <w:t>58</w:t>
            </w:r>
          </w:p>
        </w:tc>
        <w:tc>
          <w:tcPr>
            <w:tcW w:w="664" w:type="dxa"/>
            <w:tcBorders>
              <w:top w:val="nil"/>
              <w:left w:val="nil"/>
              <w:bottom w:val="single" w:sz="4" w:space="0" w:color="auto"/>
              <w:right w:val="single" w:sz="4" w:space="0" w:color="auto"/>
            </w:tcBorders>
            <w:shd w:val="clear" w:color="auto" w:fill="auto"/>
            <w:noWrap/>
            <w:vAlign w:val="center"/>
            <w:hideMark/>
          </w:tcPr>
          <w:p w14:paraId="494D6A46" w14:textId="77777777" w:rsidR="00D5208B" w:rsidRPr="00664F76" w:rsidRDefault="00D5208B" w:rsidP="00582CA7">
            <w:pPr>
              <w:jc w:val="center"/>
              <w:rPr>
                <w:color w:val="C00000"/>
                <w:sz w:val="16"/>
                <w:szCs w:val="16"/>
              </w:rPr>
            </w:pPr>
            <w:r w:rsidRPr="00664F76">
              <w:rPr>
                <w:color w:val="C00000"/>
                <w:sz w:val="16"/>
                <w:szCs w:val="16"/>
              </w:rPr>
              <w:t>-8</w:t>
            </w:r>
          </w:p>
        </w:tc>
        <w:tc>
          <w:tcPr>
            <w:tcW w:w="612" w:type="dxa"/>
            <w:tcBorders>
              <w:top w:val="nil"/>
              <w:left w:val="nil"/>
              <w:bottom w:val="single" w:sz="4" w:space="0" w:color="auto"/>
              <w:right w:val="single" w:sz="12" w:space="0" w:color="auto"/>
            </w:tcBorders>
            <w:shd w:val="clear" w:color="000000" w:fill="92D050"/>
            <w:noWrap/>
            <w:vAlign w:val="center"/>
            <w:hideMark/>
          </w:tcPr>
          <w:p w14:paraId="39F2C8A3" w14:textId="77777777" w:rsidR="00D5208B" w:rsidRPr="00664F76" w:rsidRDefault="00D5208B" w:rsidP="00582CA7">
            <w:pPr>
              <w:jc w:val="center"/>
              <w:rPr>
                <w:b/>
                <w:bCs/>
                <w:color w:val="000000"/>
                <w:sz w:val="16"/>
                <w:szCs w:val="16"/>
              </w:rPr>
            </w:pPr>
            <w:r w:rsidRPr="00664F76">
              <w:rPr>
                <w:b/>
                <w:bCs/>
                <w:color w:val="000000"/>
                <w:sz w:val="16"/>
                <w:szCs w:val="16"/>
              </w:rPr>
              <w:t>86.2%</w:t>
            </w:r>
          </w:p>
        </w:tc>
      </w:tr>
      <w:tr w:rsidR="00D5208B" w:rsidRPr="00664F76" w14:paraId="71153815" w14:textId="77777777" w:rsidTr="00827ED5">
        <w:trPr>
          <w:trHeight w:val="106"/>
          <w:jc w:val="center"/>
        </w:trPr>
        <w:tc>
          <w:tcPr>
            <w:tcW w:w="489" w:type="dxa"/>
            <w:tcBorders>
              <w:top w:val="nil"/>
              <w:left w:val="single" w:sz="12" w:space="0" w:color="auto"/>
              <w:bottom w:val="single" w:sz="12" w:space="0" w:color="auto"/>
              <w:right w:val="single" w:sz="4" w:space="0" w:color="auto"/>
            </w:tcBorders>
            <w:shd w:val="clear" w:color="auto" w:fill="auto"/>
            <w:vAlign w:val="center"/>
            <w:hideMark/>
          </w:tcPr>
          <w:p w14:paraId="72544152" w14:textId="77777777" w:rsidR="00D5208B" w:rsidRPr="00664F76" w:rsidRDefault="00D5208B" w:rsidP="00582CA7">
            <w:pPr>
              <w:jc w:val="center"/>
              <w:rPr>
                <w:color w:val="000000"/>
                <w:sz w:val="16"/>
                <w:szCs w:val="16"/>
              </w:rPr>
            </w:pPr>
            <w:r w:rsidRPr="00664F76">
              <w:rPr>
                <w:color w:val="000000"/>
                <w:sz w:val="16"/>
                <w:szCs w:val="16"/>
              </w:rPr>
              <w:t>6</w:t>
            </w:r>
          </w:p>
        </w:tc>
        <w:tc>
          <w:tcPr>
            <w:tcW w:w="3607" w:type="dxa"/>
            <w:tcBorders>
              <w:top w:val="nil"/>
              <w:left w:val="nil"/>
              <w:bottom w:val="single" w:sz="12" w:space="0" w:color="auto"/>
              <w:right w:val="single" w:sz="4" w:space="0" w:color="auto"/>
            </w:tcBorders>
            <w:shd w:val="clear" w:color="auto" w:fill="auto"/>
            <w:vAlign w:val="center"/>
            <w:hideMark/>
          </w:tcPr>
          <w:p w14:paraId="255AD4F0" w14:textId="2F0BA19B" w:rsidR="00D5208B" w:rsidRPr="00664F76" w:rsidRDefault="00D5208B" w:rsidP="00582CA7">
            <w:pPr>
              <w:rPr>
                <w:color w:val="000000"/>
                <w:sz w:val="16"/>
                <w:szCs w:val="16"/>
              </w:rPr>
            </w:pPr>
            <w:r w:rsidRPr="00664F76">
              <w:rPr>
                <w:sz w:val="16"/>
              </w:rPr>
              <w:t>33.7% de la superficie terrestre cubierta con cobertura forestal</w:t>
            </w:r>
          </w:p>
        </w:tc>
        <w:tc>
          <w:tcPr>
            <w:tcW w:w="1434" w:type="dxa"/>
            <w:tcBorders>
              <w:top w:val="nil"/>
              <w:left w:val="nil"/>
              <w:bottom w:val="single" w:sz="12" w:space="0" w:color="auto"/>
              <w:right w:val="single" w:sz="4" w:space="0" w:color="auto"/>
            </w:tcBorders>
            <w:shd w:val="clear" w:color="auto" w:fill="auto"/>
            <w:vAlign w:val="center"/>
            <w:hideMark/>
          </w:tcPr>
          <w:p w14:paraId="28A7AF44" w14:textId="77777777" w:rsidR="00D5208B" w:rsidRPr="00664F76" w:rsidRDefault="00D5208B" w:rsidP="00582CA7">
            <w:pPr>
              <w:jc w:val="center"/>
              <w:rPr>
                <w:color w:val="000000"/>
                <w:sz w:val="16"/>
                <w:szCs w:val="16"/>
              </w:rPr>
            </w:pPr>
            <w:r w:rsidRPr="00664F76">
              <w:rPr>
                <w:color w:val="000000"/>
                <w:sz w:val="16"/>
                <w:szCs w:val="16"/>
              </w:rPr>
              <w:t>INAB</w:t>
            </w:r>
          </w:p>
        </w:tc>
        <w:tc>
          <w:tcPr>
            <w:tcW w:w="634" w:type="dxa"/>
            <w:tcBorders>
              <w:top w:val="nil"/>
              <w:left w:val="nil"/>
              <w:bottom w:val="single" w:sz="12" w:space="0" w:color="auto"/>
              <w:right w:val="single" w:sz="4" w:space="0" w:color="auto"/>
            </w:tcBorders>
            <w:shd w:val="clear" w:color="auto" w:fill="auto"/>
            <w:vAlign w:val="center"/>
            <w:hideMark/>
          </w:tcPr>
          <w:p w14:paraId="43FB8065" w14:textId="77777777" w:rsidR="00D5208B" w:rsidRPr="00664F76" w:rsidRDefault="00D5208B" w:rsidP="00582CA7">
            <w:pPr>
              <w:jc w:val="center"/>
              <w:rPr>
                <w:sz w:val="16"/>
                <w:szCs w:val="16"/>
              </w:rPr>
            </w:pPr>
            <w:r w:rsidRPr="00664F76">
              <w:rPr>
                <w:sz w:val="16"/>
              </w:rPr>
              <w:t>32.95%</w:t>
            </w:r>
          </w:p>
        </w:tc>
        <w:tc>
          <w:tcPr>
            <w:tcW w:w="634" w:type="dxa"/>
            <w:tcBorders>
              <w:top w:val="nil"/>
              <w:left w:val="nil"/>
              <w:bottom w:val="single" w:sz="12" w:space="0" w:color="auto"/>
              <w:right w:val="single" w:sz="8" w:space="0" w:color="auto"/>
            </w:tcBorders>
            <w:shd w:val="clear" w:color="auto" w:fill="auto"/>
            <w:vAlign w:val="center"/>
            <w:hideMark/>
          </w:tcPr>
          <w:p w14:paraId="2279817A" w14:textId="77777777" w:rsidR="00D5208B" w:rsidRPr="00664F76" w:rsidRDefault="00D5208B" w:rsidP="00582CA7">
            <w:pPr>
              <w:jc w:val="center"/>
              <w:rPr>
                <w:sz w:val="16"/>
                <w:szCs w:val="16"/>
              </w:rPr>
            </w:pPr>
            <w:r w:rsidRPr="00664F76">
              <w:rPr>
                <w:sz w:val="16"/>
                <w:szCs w:val="16"/>
              </w:rPr>
              <w:t>33.30%</w:t>
            </w:r>
          </w:p>
        </w:tc>
        <w:tc>
          <w:tcPr>
            <w:tcW w:w="700" w:type="dxa"/>
            <w:tcBorders>
              <w:top w:val="nil"/>
              <w:left w:val="nil"/>
              <w:bottom w:val="single" w:sz="12" w:space="0" w:color="auto"/>
              <w:right w:val="single" w:sz="4" w:space="0" w:color="auto"/>
            </w:tcBorders>
            <w:shd w:val="clear" w:color="auto" w:fill="auto"/>
            <w:vAlign w:val="center"/>
            <w:hideMark/>
          </w:tcPr>
          <w:p w14:paraId="2A68F68B" w14:textId="77777777" w:rsidR="00D5208B" w:rsidRPr="00664F76" w:rsidRDefault="00D5208B" w:rsidP="00582CA7">
            <w:pPr>
              <w:jc w:val="center"/>
              <w:rPr>
                <w:sz w:val="16"/>
                <w:szCs w:val="16"/>
              </w:rPr>
            </w:pPr>
            <w:r w:rsidRPr="00664F76">
              <w:rPr>
                <w:sz w:val="16"/>
                <w:szCs w:val="16"/>
              </w:rPr>
              <w:t>33.7%</w:t>
            </w:r>
          </w:p>
        </w:tc>
        <w:tc>
          <w:tcPr>
            <w:tcW w:w="664" w:type="dxa"/>
            <w:tcBorders>
              <w:top w:val="nil"/>
              <w:left w:val="nil"/>
              <w:bottom w:val="single" w:sz="12" w:space="0" w:color="auto"/>
              <w:right w:val="single" w:sz="4" w:space="0" w:color="auto"/>
            </w:tcBorders>
            <w:shd w:val="clear" w:color="auto" w:fill="auto"/>
            <w:noWrap/>
            <w:vAlign w:val="center"/>
            <w:hideMark/>
          </w:tcPr>
          <w:p w14:paraId="17C70871" w14:textId="77777777" w:rsidR="00D5208B" w:rsidRPr="00664F76" w:rsidRDefault="00D5208B" w:rsidP="00582CA7">
            <w:pPr>
              <w:jc w:val="center"/>
              <w:rPr>
                <w:color w:val="C00000"/>
                <w:sz w:val="16"/>
                <w:szCs w:val="16"/>
              </w:rPr>
            </w:pPr>
            <w:r w:rsidRPr="00664F76">
              <w:rPr>
                <w:color w:val="C00000"/>
                <w:sz w:val="16"/>
                <w:szCs w:val="16"/>
              </w:rPr>
              <w:t>-0.4</w:t>
            </w:r>
          </w:p>
        </w:tc>
        <w:tc>
          <w:tcPr>
            <w:tcW w:w="612" w:type="dxa"/>
            <w:tcBorders>
              <w:top w:val="nil"/>
              <w:left w:val="nil"/>
              <w:bottom w:val="single" w:sz="12" w:space="0" w:color="auto"/>
              <w:right w:val="single" w:sz="12" w:space="0" w:color="auto"/>
            </w:tcBorders>
            <w:shd w:val="clear" w:color="000000" w:fill="92D050"/>
            <w:noWrap/>
            <w:vAlign w:val="center"/>
            <w:hideMark/>
          </w:tcPr>
          <w:p w14:paraId="499B97A4" w14:textId="77777777" w:rsidR="00D5208B" w:rsidRPr="00664F76" w:rsidRDefault="00D5208B" w:rsidP="00582CA7">
            <w:pPr>
              <w:jc w:val="center"/>
              <w:rPr>
                <w:b/>
                <w:bCs/>
                <w:color w:val="000000"/>
                <w:sz w:val="16"/>
                <w:szCs w:val="16"/>
              </w:rPr>
            </w:pPr>
            <w:r w:rsidRPr="00664F76">
              <w:rPr>
                <w:b/>
                <w:bCs/>
                <w:color w:val="000000"/>
                <w:sz w:val="16"/>
                <w:szCs w:val="16"/>
              </w:rPr>
              <w:t>98.8%</w:t>
            </w:r>
          </w:p>
        </w:tc>
      </w:tr>
    </w:tbl>
    <w:p w14:paraId="56155EBC" w14:textId="6CA5B3B2" w:rsidR="00D5208B" w:rsidRDefault="00D5208B" w:rsidP="004B6A59">
      <w:pPr>
        <w:ind w:firstLine="708"/>
        <w:rPr>
          <w:sz w:val="16"/>
        </w:rPr>
      </w:pPr>
      <w:r>
        <w:rPr>
          <w:sz w:val="16"/>
        </w:rPr>
        <w:t>Fuente: SEGEPLAN.</w:t>
      </w:r>
    </w:p>
    <w:p w14:paraId="464C73CF" w14:textId="77777777" w:rsidR="00435EA6" w:rsidRDefault="00435EA6" w:rsidP="00D5208B">
      <w:pPr>
        <w:rPr>
          <w:sz w:val="16"/>
        </w:rPr>
      </w:pPr>
    </w:p>
    <w:p w14:paraId="519BAC8B" w14:textId="77777777" w:rsidR="00D5208B" w:rsidRPr="00D5208B" w:rsidRDefault="00D5208B" w:rsidP="00D5208B">
      <w:pPr>
        <w:jc w:val="both"/>
        <w:rPr>
          <w:b/>
          <w:bCs/>
        </w:rPr>
      </w:pPr>
      <w:r w:rsidRPr="00D5208B">
        <w:rPr>
          <w:b/>
          <w:bCs/>
        </w:rPr>
        <w:t>Pilar 5: Relaciones con el mundo</w:t>
      </w:r>
    </w:p>
    <w:p w14:paraId="5C373D84" w14:textId="77777777" w:rsidR="00D5208B" w:rsidRDefault="00D5208B" w:rsidP="00D5208B">
      <w:pPr>
        <w:jc w:val="both"/>
      </w:pPr>
    </w:p>
    <w:p w14:paraId="4E3FD5CE" w14:textId="77777777" w:rsidR="00D5208B" w:rsidRDefault="00D5208B" w:rsidP="00D5208B">
      <w:pPr>
        <w:jc w:val="both"/>
      </w:pPr>
      <w:r>
        <w:t>Este pilar cuenta con 4 metas con sus respectivos indicadores, las cuales están orientadas principalmente hacia mejorar la situación de los migrantes y aprovechar las relaciones internacionales para propiciar el crecimiento de las exportaciones, el turismo y la inversión extranjera directa.</w:t>
      </w:r>
    </w:p>
    <w:p w14:paraId="01FA2C69" w14:textId="77777777" w:rsidR="00D5208B" w:rsidRDefault="00D5208B" w:rsidP="00D5208B">
      <w:pPr>
        <w:jc w:val="both"/>
      </w:pPr>
    </w:p>
    <w:p w14:paraId="41FDD760" w14:textId="5324745C" w:rsidR="00D5208B" w:rsidRPr="00E01410" w:rsidRDefault="00D5208B" w:rsidP="00D5208B">
      <w:pPr>
        <w:pStyle w:val="Prrafodelista"/>
        <w:numPr>
          <w:ilvl w:val="0"/>
          <w:numId w:val="52"/>
        </w:numPr>
        <w:ind w:left="567"/>
        <w:jc w:val="both"/>
        <w:rPr>
          <w:b/>
          <w:bCs/>
        </w:rPr>
      </w:pPr>
      <w:r w:rsidRPr="00D5208B">
        <w:rPr>
          <w:b/>
          <w:bCs/>
        </w:rPr>
        <w:t>Metas alcanzadas o superadas según lo estimado al año 2023</w:t>
      </w:r>
    </w:p>
    <w:p w14:paraId="423C4DAC" w14:textId="7EE85BF8" w:rsidR="00D5208B" w:rsidRDefault="00D5208B" w:rsidP="000D332B">
      <w:pPr>
        <w:pStyle w:val="Prrafodelista"/>
        <w:numPr>
          <w:ilvl w:val="0"/>
          <w:numId w:val="13"/>
        </w:numPr>
        <w:ind w:left="993" w:hanging="426"/>
        <w:jc w:val="both"/>
      </w:pPr>
      <w:r>
        <w:t>La estrategia Marca País “Guatemala Asombrosa e Imparable” es el resultado de una visión compartida entre los sectores público y privado. En el año 2022, las acciones desarrolladas permitieron alcanzar el 100% del proceso de impulso de la Marca País, alcanzándose la meta al año 2023.</w:t>
      </w:r>
    </w:p>
    <w:p w14:paraId="331D2AE9" w14:textId="77777777" w:rsidR="00E01410" w:rsidRDefault="00E01410" w:rsidP="00E01410">
      <w:pPr>
        <w:pStyle w:val="Prrafodelista"/>
        <w:ind w:left="993"/>
        <w:jc w:val="both"/>
      </w:pPr>
    </w:p>
    <w:p w14:paraId="6BC4EF00" w14:textId="0FB3C710" w:rsidR="00D5208B" w:rsidRPr="00E01410" w:rsidRDefault="00D5208B" w:rsidP="00D5208B">
      <w:pPr>
        <w:pStyle w:val="Prrafodelista"/>
        <w:numPr>
          <w:ilvl w:val="0"/>
          <w:numId w:val="52"/>
        </w:numPr>
        <w:ind w:left="567"/>
        <w:jc w:val="both"/>
        <w:rPr>
          <w:b/>
          <w:bCs/>
        </w:rPr>
      </w:pPr>
      <w:r w:rsidRPr="00D5208B">
        <w:rPr>
          <w:b/>
          <w:bCs/>
        </w:rPr>
        <w:t>Metas con avance mayor o igual a 70% según lo estimado para el 2023</w:t>
      </w:r>
    </w:p>
    <w:p w14:paraId="7D11D0A7" w14:textId="1E578BA1" w:rsidR="00D5208B" w:rsidRDefault="00D5208B" w:rsidP="000D332B">
      <w:pPr>
        <w:pStyle w:val="Prrafodelista"/>
        <w:numPr>
          <w:ilvl w:val="0"/>
          <w:numId w:val="13"/>
        </w:numPr>
        <w:ind w:left="993" w:hanging="426"/>
        <w:jc w:val="both"/>
      </w:pPr>
      <w:r>
        <w:t>En cuanto a la política de atención a los migrantes, se espera lograr acuerdos con el Gobierno de Estados Unidos para que les brinde un buen trato y respeto de los derechos humanos a los migrantes guatemaltecos; así como, lograr concretar un acuerdo para que se brinde el estatus legal y temporal, para que puedan trabajar sin miedo a ser perseguidos y retornados. En este ámbito, los esfuerzos realizados por el país han permitido que en el 2022 se alcance el 75% de implementación de la política de atención a los migrantes.</w:t>
      </w:r>
    </w:p>
    <w:p w14:paraId="2F7E8809" w14:textId="7AFBFB78" w:rsidR="00D5208B" w:rsidRDefault="00D5208B" w:rsidP="000D332B">
      <w:pPr>
        <w:pStyle w:val="Prrafodelista"/>
        <w:numPr>
          <w:ilvl w:val="0"/>
          <w:numId w:val="13"/>
        </w:numPr>
        <w:ind w:left="993" w:hanging="426"/>
        <w:jc w:val="both"/>
      </w:pPr>
      <w:r>
        <w:t>Respecto a la meta de lograr incrementar en 8 el número de consulados, con el objetivo de proteger los derechos de los migrantes que se encuentran en el exterior, durante 2022 se elevó a 26 el número de consulados a partir de la creación de 3 en ese ejercicio. Se espera que antes del primer semestre del 2023, el Ministerio de Relaciones Exteriores logre la creación de los dos consulados faltantes para lograr la meta.</w:t>
      </w:r>
    </w:p>
    <w:p w14:paraId="2435945E" w14:textId="77777777" w:rsidR="00D5208B" w:rsidRDefault="00D5208B" w:rsidP="00D5208B">
      <w:pPr>
        <w:jc w:val="both"/>
      </w:pPr>
    </w:p>
    <w:p w14:paraId="5891C7B3" w14:textId="54C49433" w:rsidR="00D5208B" w:rsidRPr="00E01410" w:rsidRDefault="00D5208B" w:rsidP="00D5208B">
      <w:pPr>
        <w:pStyle w:val="Prrafodelista"/>
        <w:numPr>
          <w:ilvl w:val="0"/>
          <w:numId w:val="52"/>
        </w:numPr>
        <w:ind w:left="567"/>
        <w:jc w:val="both"/>
        <w:rPr>
          <w:b/>
          <w:bCs/>
        </w:rPr>
      </w:pPr>
      <w:r w:rsidRPr="00D5208B">
        <w:rPr>
          <w:b/>
          <w:bCs/>
        </w:rPr>
        <w:t>Meta con avance igual o menor a 40% según lo estimado al 2023</w:t>
      </w:r>
    </w:p>
    <w:p w14:paraId="5B033859" w14:textId="0AF0B5A1" w:rsidR="00D5208B" w:rsidRPr="00D5208B" w:rsidRDefault="00D5208B" w:rsidP="000D332B">
      <w:pPr>
        <w:pStyle w:val="Prrafodelista"/>
        <w:numPr>
          <w:ilvl w:val="0"/>
          <w:numId w:val="13"/>
        </w:numPr>
        <w:ind w:left="993" w:hanging="426"/>
        <w:jc w:val="both"/>
      </w:pPr>
      <w:r>
        <w:t>En lo que respecta a la mejora del Índice de Competitividad Turística, Guatemala obtuvo una puntuación de 3.3 sobre 7, posicionándose en la casilla 97. Con ese resultado, se encuentra por debajo de lo programado y con el desafío de lograr el aumento de 0.7% en la siguiente calificación.</w:t>
      </w:r>
    </w:p>
    <w:p w14:paraId="76957AA2" w14:textId="7E03AF67" w:rsidR="00D5208B" w:rsidRDefault="00D5208B" w:rsidP="00D5208B">
      <w:pPr>
        <w:rPr>
          <w:sz w:val="16"/>
        </w:rPr>
      </w:pPr>
    </w:p>
    <w:p w14:paraId="47750E8A" w14:textId="70BB9C9F" w:rsidR="00D5208B" w:rsidRDefault="00D5208B" w:rsidP="00D5208B">
      <w:pPr>
        <w:rPr>
          <w:sz w:val="16"/>
        </w:rPr>
      </w:pPr>
    </w:p>
    <w:p w14:paraId="77FE0DFD" w14:textId="6D5234D7" w:rsidR="00D7331F" w:rsidRPr="0071370B" w:rsidRDefault="0071370B" w:rsidP="0071370B">
      <w:pPr>
        <w:pStyle w:val="Descripcin"/>
        <w:keepNext/>
        <w:spacing w:after="0"/>
        <w:jc w:val="center"/>
        <w:rPr>
          <w:b/>
          <w:bCs/>
          <w:i w:val="0"/>
          <w:iCs w:val="0"/>
          <w:sz w:val="24"/>
          <w:szCs w:val="24"/>
        </w:rPr>
      </w:pPr>
      <w:bookmarkStart w:id="212" w:name="_Toc143871229"/>
      <w:r w:rsidRPr="0071370B">
        <w:rPr>
          <w:b/>
          <w:bCs/>
          <w:i w:val="0"/>
          <w:iCs w:val="0"/>
          <w:color w:val="auto"/>
          <w:sz w:val="24"/>
          <w:szCs w:val="24"/>
        </w:rPr>
        <w:t xml:space="preserve">Tabla </w:t>
      </w:r>
      <w:r w:rsidRPr="0071370B">
        <w:rPr>
          <w:b/>
          <w:bCs/>
          <w:i w:val="0"/>
          <w:iCs w:val="0"/>
          <w:color w:val="auto"/>
          <w:sz w:val="24"/>
          <w:szCs w:val="24"/>
        </w:rPr>
        <w:fldChar w:fldCharType="begin"/>
      </w:r>
      <w:r w:rsidRPr="0071370B">
        <w:rPr>
          <w:b/>
          <w:bCs/>
          <w:i w:val="0"/>
          <w:iCs w:val="0"/>
          <w:color w:val="auto"/>
          <w:sz w:val="24"/>
          <w:szCs w:val="24"/>
        </w:rPr>
        <w:instrText xml:space="preserve"> SEQ Tabla \* ARABIC </w:instrText>
      </w:r>
      <w:r w:rsidRPr="0071370B">
        <w:rPr>
          <w:b/>
          <w:bCs/>
          <w:i w:val="0"/>
          <w:iCs w:val="0"/>
          <w:color w:val="auto"/>
          <w:sz w:val="24"/>
          <w:szCs w:val="24"/>
        </w:rPr>
        <w:fldChar w:fldCharType="separate"/>
      </w:r>
      <w:r w:rsidR="006622B2">
        <w:rPr>
          <w:b/>
          <w:bCs/>
          <w:i w:val="0"/>
          <w:iCs w:val="0"/>
          <w:noProof/>
          <w:color w:val="auto"/>
          <w:sz w:val="24"/>
          <w:szCs w:val="24"/>
        </w:rPr>
        <w:t>22</w:t>
      </w:r>
      <w:r w:rsidRPr="0071370B">
        <w:rPr>
          <w:b/>
          <w:bCs/>
          <w:i w:val="0"/>
          <w:iCs w:val="0"/>
          <w:color w:val="auto"/>
          <w:sz w:val="24"/>
          <w:szCs w:val="24"/>
        </w:rPr>
        <w:fldChar w:fldCharType="end"/>
      </w:r>
      <w:r w:rsidRPr="0071370B">
        <w:rPr>
          <w:b/>
          <w:bCs/>
          <w:i w:val="0"/>
          <w:iCs w:val="0"/>
          <w:color w:val="auto"/>
          <w:sz w:val="24"/>
          <w:szCs w:val="24"/>
        </w:rPr>
        <w:t xml:space="preserve">.  </w:t>
      </w:r>
      <w:r w:rsidR="00D7331F" w:rsidRPr="0071370B">
        <w:rPr>
          <w:b/>
          <w:bCs/>
          <w:i w:val="0"/>
          <w:iCs w:val="0"/>
          <w:color w:val="auto"/>
          <w:sz w:val="24"/>
          <w:szCs w:val="24"/>
        </w:rPr>
        <w:t>Pilar 5: Relaciones con el mundo</w:t>
      </w:r>
      <w:bookmarkEnd w:id="212"/>
    </w:p>
    <w:tbl>
      <w:tblPr>
        <w:tblW w:w="8779" w:type="dxa"/>
        <w:jc w:val="center"/>
        <w:tblCellMar>
          <w:left w:w="70" w:type="dxa"/>
          <w:right w:w="70" w:type="dxa"/>
        </w:tblCellMar>
        <w:tblLook w:val="04A0" w:firstRow="1" w:lastRow="0" w:firstColumn="1" w:lastColumn="0" w:noHBand="0" w:noVBand="1"/>
      </w:tblPr>
      <w:tblGrid>
        <w:gridCol w:w="552"/>
        <w:gridCol w:w="3527"/>
        <w:gridCol w:w="1447"/>
        <w:gridCol w:w="704"/>
        <w:gridCol w:w="564"/>
        <w:gridCol w:w="739"/>
        <w:gridCol w:w="629"/>
        <w:gridCol w:w="617"/>
      </w:tblGrid>
      <w:tr w:rsidR="00D7331F" w:rsidRPr="00A4416B" w14:paraId="73B6FD0A" w14:textId="77777777" w:rsidTr="00827ED5">
        <w:trPr>
          <w:trHeight w:val="277"/>
          <w:jc w:val="center"/>
        </w:trPr>
        <w:tc>
          <w:tcPr>
            <w:tcW w:w="564" w:type="dxa"/>
            <w:vMerge w:val="restart"/>
            <w:tcBorders>
              <w:top w:val="single" w:sz="8" w:space="0" w:color="auto"/>
              <w:left w:val="single" w:sz="8" w:space="0" w:color="auto"/>
              <w:bottom w:val="single" w:sz="8" w:space="0" w:color="000000"/>
              <w:right w:val="single" w:sz="4" w:space="0" w:color="auto"/>
            </w:tcBorders>
            <w:shd w:val="clear" w:color="000000" w:fill="1F4E78"/>
            <w:vAlign w:val="center"/>
            <w:hideMark/>
          </w:tcPr>
          <w:p w14:paraId="686BA5A8" w14:textId="77777777" w:rsidR="00D7331F" w:rsidRPr="00A4416B" w:rsidRDefault="00D7331F" w:rsidP="00582CA7">
            <w:pPr>
              <w:jc w:val="center"/>
              <w:rPr>
                <w:b/>
                <w:bCs/>
                <w:color w:val="FFFFFF"/>
                <w:sz w:val="16"/>
                <w:szCs w:val="16"/>
              </w:rPr>
            </w:pPr>
            <w:r w:rsidRPr="00A4416B">
              <w:rPr>
                <w:b/>
                <w:bCs/>
                <w:color w:val="FFFFFF"/>
                <w:sz w:val="16"/>
                <w:szCs w:val="16"/>
              </w:rPr>
              <w:t>No.</w:t>
            </w:r>
          </w:p>
        </w:tc>
        <w:tc>
          <w:tcPr>
            <w:tcW w:w="3679" w:type="dxa"/>
            <w:tcBorders>
              <w:top w:val="single" w:sz="8" w:space="0" w:color="auto"/>
              <w:left w:val="nil"/>
              <w:bottom w:val="nil"/>
              <w:right w:val="single" w:sz="4" w:space="0" w:color="auto"/>
            </w:tcBorders>
            <w:shd w:val="clear" w:color="000000" w:fill="1F4E78"/>
            <w:vAlign w:val="center"/>
            <w:hideMark/>
          </w:tcPr>
          <w:p w14:paraId="04BF1CE4" w14:textId="77777777" w:rsidR="00D7331F" w:rsidRPr="00A4416B" w:rsidRDefault="00D7331F" w:rsidP="00582CA7">
            <w:pPr>
              <w:jc w:val="center"/>
              <w:rPr>
                <w:b/>
                <w:bCs/>
                <w:color w:val="FFFFFF"/>
                <w:sz w:val="16"/>
                <w:szCs w:val="16"/>
              </w:rPr>
            </w:pPr>
            <w:r w:rsidRPr="00A4416B">
              <w:rPr>
                <w:b/>
                <w:bCs/>
                <w:color w:val="FFFFFF"/>
                <w:sz w:val="16"/>
                <w:szCs w:val="16"/>
              </w:rPr>
              <w:t>Descripción de la Meta</w:t>
            </w:r>
          </w:p>
        </w:tc>
        <w:tc>
          <w:tcPr>
            <w:tcW w:w="1276" w:type="dxa"/>
            <w:vMerge w:val="restart"/>
            <w:tcBorders>
              <w:top w:val="single" w:sz="8" w:space="0" w:color="auto"/>
              <w:left w:val="single" w:sz="4" w:space="0" w:color="auto"/>
              <w:bottom w:val="single" w:sz="8" w:space="0" w:color="000000"/>
              <w:right w:val="single" w:sz="4" w:space="0" w:color="auto"/>
            </w:tcBorders>
            <w:shd w:val="clear" w:color="000000" w:fill="1F4E78"/>
            <w:vAlign w:val="center"/>
            <w:hideMark/>
          </w:tcPr>
          <w:p w14:paraId="32C3F7CC" w14:textId="77777777" w:rsidR="00D7331F" w:rsidRPr="00A4416B" w:rsidRDefault="00D7331F" w:rsidP="00582CA7">
            <w:pPr>
              <w:jc w:val="center"/>
              <w:rPr>
                <w:b/>
                <w:bCs/>
                <w:color w:val="FFFFFF"/>
                <w:sz w:val="16"/>
                <w:szCs w:val="16"/>
              </w:rPr>
            </w:pPr>
            <w:r w:rsidRPr="00A4416B">
              <w:rPr>
                <w:b/>
                <w:bCs/>
                <w:color w:val="FFFFFF"/>
                <w:sz w:val="16"/>
                <w:szCs w:val="16"/>
              </w:rPr>
              <w:t>Responsable</w:t>
            </w:r>
          </w:p>
        </w:tc>
        <w:tc>
          <w:tcPr>
            <w:tcW w:w="1275" w:type="dxa"/>
            <w:gridSpan w:val="2"/>
            <w:tcBorders>
              <w:top w:val="single" w:sz="8" w:space="0" w:color="auto"/>
              <w:left w:val="nil"/>
              <w:bottom w:val="single" w:sz="8" w:space="0" w:color="auto"/>
              <w:right w:val="single" w:sz="8" w:space="0" w:color="000000"/>
            </w:tcBorders>
            <w:shd w:val="clear" w:color="000000" w:fill="1F4E78"/>
            <w:vAlign w:val="center"/>
            <w:hideMark/>
          </w:tcPr>
          <w:p w14:paraId="230623F4" w14:textId="77777777" w:rsidR="00D7331F" w:rsidRPr="00A4416B" w:rsidRDefault="00D7331F" w:rsidP="00582CA7">
            <w:pPr>
              <w:jc w:val="center"/>
              <w:rPr>
                <w:b/>
                <w:bCs/>
                <w:color w:val="FFFFFF"/>
                <w:sz w:val="16"/>
                <w:szCs w:val="16"/>
              </w:rPr>
            </w:pPr>
            <w:r w:rsidRPr="00A4416B">
              <w:rPr>
                <w:b/>
                <w:bCs/>
                <w:color w:val="FFFFFF"/>
                <w:sz w:val="16"/>
                <w:szCs w:val="16"/>
              </w:rPr>
              <w:t>Avance</w:t>
            </w:r>
          </w:p>
        </w:tc>
        <w:tc>
          <w:tcPr>
            <w:tcW w:w="1985" w:type="dxa"/>
            <w:gridSpan w:val="3"/>
            <w:tcBorders>
              <w:top w:val="single" w:sz="8" w:space="0" w:color="auto"/>
              <w:left w:val="nil"/>
              <w:bottom w:val="single" w:sz="8" w:space="0" w:color="auto"/>
              <w:right w:val="single" w:sz="8" w:space="0" w:color="000000"/>
            </w:tcBorders>
            <w:shd w:val="clear" w:color="000000" w:fill="1F4E78"/>
            <w:vAlign w:val="center"/>
            <w:hideMark/>
          </w:tcPr>
          <w:p w14:paraId="3D9E0F1F" w14:textId="77777777" w:rsidR="00D7331F" w:rsidRPr="00A4416B" w:rsidRDefault="00D7331F" w:rsidP="00582CA7">
            <w:pPr>
              <w:jc w:val="center"/>
              <w:rPr>
                <w:b/>
                <w:bCs/>
                <w:color w:val="FFFFFF"/>
                <w:sz w:val="16"/>
                <w:szCs w:val="16"/>
              </w:rPr>
            </w:pPr>
            <w:r w:rsidRPr="00A4416B">
              <w:rPr>
                <w:b/>
                <w:bCs/>
                <w:color w:val="FFFFFF"/>
                <w:sz w:val="16"/>
                <w:szCs w:val="16"/>
              </w:rPr>
              <w:t>2023</w:t>
            </w:r>
          </w:p>
        </w:tc>
      </w:tr>
      <w:tr w:rsidR="00D7331F" w:rsidRPr="00A4416B" w14:paraId="062A98C9" w14:textId="77777777" w:rsidTr="00827ED5">
        <w:trPr>
          <w:trHeight w:val="291"/>
          <w:jc w:val="center"/>
        </w:trPr>
        <w:tc>
          <w:tcPr>
            <w:tcW w:w="564" w:type="dxa"/>
            <w:vMerge/>
            <w:tcBorders>
              <w:top w:val="single" w:sz="8" w:space="0" w:color="auto"/>
              <w:left w:val="single" w:sz="8" w:space="0" w:color="auto"/>
              <w:bottom w:val="single" w:sz="8" w:space="0" w:color="000000"/>
              <w:right w:val="single" w:sz="4" w:space="0" w:color="auto"/>
            </w:tcBorders>
            <w:vAlign w:val="center"/>
            <w:hideMark/>
          </w:tcPr>
          <w:p w14:paraId="4E164E3C" w14:textId="77777777" w:rsidR="00D7331F" w:rsidRPr="00A4416B" w:rsidRDefault="00D7331F" w:rsidP="00582CA7">
            <w:pPr>
              <w:rPr>
                <w:b/>
                <w:bCs/>
                <w:color w:val="FFFFFF"/>
                <w:sz w:val="16"/>
                <w:szCs w:val="16"/>
              </w:rPr>
            </w:pPr>
          </w:p>
        </w:tc>
        <w:tc>
          <w:tcPr>
            <w:tcW w:w="3679" w:type="dxa"/>
            <w:tcBorders>
              <w:top w:val="nil"/>
              <w:left w:val="nil"/>
              <w:bottom w:val="single" w:sz="8" w:space="0" w:color="auto"/>
              <w:right w:val="single" w:sz="4" w:space="0" w:color="auto"/>
            </w:tcBorders>
            <w:shd w:val="clear" w:color="000000" w:fill="1F4E78"/>
            <w:vAlign w:val="center"/>
            <w:hideMark/>
          </w:tcPr>
          <w:p w14:paraId="48C43953" w14:textId="77777777" w:rsidR="00D7331F" w:rsidRPr="00A4416B" w:rsidRDefault="00D7331F" w:rsidP="00582CA7">
            <w:pPr>
              <w:jc w:val="center"/>
              <w:rPr>
                <w:b/>
                <w:bCs/>
                <w:color w:val="FFFFFF"/>
                <w:sz w:val="16"/>
                <w:szCs w:val="16"/>
              </w:rPr>
            </w:pPr>
            <w:r w:rsidRPr="00A4416B">
              <w:rPr>
                <w:b/>
                <w:bCs/>
                <w:color w:val="FFFFFF"/>
                <w:sz w:val="16"/>
                <w:szCs w:val="16"/>
              </w:rPr>
              <w:t>al 2023</w:t>
            </w:r>
          </w:p>
        </w:tc>
        <w:tc>
          <w:tcPr>
            <w:tcW w:w="1276" w:type="dxa"/>
            <w:vMerge/>
            <w:tcBorders>
              <w:top w:val="single" w:sz="8" w:space="0" w:color="auto"/>
              <w:left w:val="single" w:sz="4" w:space="0" w:color="auto"/>
              <w:bottom w:val="single" w:sz="8" w:space="0" w:color="000000"/>
              <w:right w:val="single" w:sz="4" w:space="0" w:color="auto"/>
            </w:tcBorders>
            <w:vAlign w:val="center"/>
            <w:hideMark/>
          </w:tcPr>
          <w:p w14:paraId="2AD803B7" w14:textId="77777777" w:rsidR="00D7331F" w:rsidRPr="00A4416B" w:rsidRDefault="00D7331F" w:rsidP="00582CA7">
            <w:pPr>
              <w:rPr>
                <w:b/>
                <w:bCs/>
                <w:color w:val="FFFFFF"/>
                <w:sz w:val="16"/>
                <w:szCs w:val="16"/>
              </w:rPr>
            </w:pPr>
          </w:p>
        </w:tc>
        <w:tc>
          <w:tcPr>
            <w:tcW w:w="708" w:type="dxa"/>
            <w:tcBorders>
              <w:top w:val="nil"/>
              <w:left w:val="nil"/>
              <w:bottom w:val="single" w:sz="8" w:space="0" w:color="auto"/>
              <w:right w:val="single" w:sz="4" w:space="0" w:color="auto"/>
            </w:tcBorders>
            <w:shd w:val="clear" w:color="000000" w:fill="1F4E78"/>
            <w:vAlign w:val="center"/>
            <w:hideMark/>
          </w:tcPr>
          <w:p w14:paraId="3C133FCC" w14:textId="77777777" w:rsidR="00D7331F" w:rsidRPr="00A4416B" w:rsidRDefault="00D7331F" w:rsidP="00582CA7">
            <w:pPr>
              <w:jc w:val="center"/>
              <w:rPr>
                <w:b/>
                <w:bCs/>
                <w:color w:val="FFFFFF"/>
                <w:sz w:val="16"/>
                <w:szCs w:val="16"/>
              </w:rPr>
            </w:pPr>
            <w:r w:rsidRPr="00A4416B">
              <w:rPr>
                <w:b/>
                <w:bCs/>
                <w:color w:val="FFFFFF"/>
                <w:sz w:val="16"/>
                <w:szCs w:val="16"/>
              </w:rPr>
              <w:t>2021</w:t>
            </w:r>
          </w:p>
        </w:tc>
        <w:tc>
          <w:tcPr>
            <w:tcW w:w="567" w:type="dxa"/>
            <w:tcBorders>
              <w:top w:val="nil"/>
              <w:left w:val="nil"/>
              <w:bottom w:val="single" w:sz="8" w:space="0" w:color="auto"/>
              <w:right w:val="single" w:sz="8" w:space="0" w:color="auto"/>
            </w:tcBorders>
            <w:shd w:val="clear" w:color="000000" w:fill="1F4E78"/>
            <w:vAlign w:val="center"/>
            <w:hideMark/>
          </w:tcPr>
          <w:p w14:paraId="4983576A" w14:textId="77777777" w:rsidR="00D7331F" w:rsidRPr="00A4416B" w:rsidRDefault="00D7331F" w:rsidP="00582CA7">
            <w:pPr>
              <w:jc w:val="center"/>
              <w:rPr>
                <w:b/>
                <w:bCs/>
                <w:color w:val="FFFFFF"/>
                <w:sz w:val="16"/>
                <w:szCs w:val="16"/>
              </w:rPr>
            </w:pPr>
            <w:r w:rsidRPr="00A4416B">
              <w:rPr>
                <w:b/>
                <w:bCs/>
                <w:color w:val="FFFFFF"/>
                <w:sz w:val="16"/>
                <w:szCs w:val="16"/>
              </w:rPr>
              <w:t>2022</w:t>
            </w:r>
          </w:p>
        </w:tc>
        <w:tc>
          <w:tcPr>
            <w:tcW w:w="739" w:type="dxa"/>
            <w:tcBorders>
              <w:top w:val="nil"/>
              <w:left w:val="nil"/>
              <w:bottom w:val="single" w:sz="8" w:space="0" w:color="auto"/>
              <w:right w:val="single" w:sz="4" w:space="0" w:color="auto"/>
            </w:tcBorders>
            <w:shd w:val="clear" w:color="000000" w:fill="1F4E78"/>
            <w:vAlign w:val="center"/>
            <w:hideMark/>
          </w:tcPr>
          <w:p w14:paraId="4EBD6356" w14:textId="77777777" w:rsidR="00D7331F" w:rsidRPr="00A4416B" w:rsidRDefault="00D7331F" w:rsidP="00582CA7">
            <w:pPr>
              <w:jc w:val="center"/>
              <w:rPr>
                <w:b/>
                <w:bCs/>
                <w:color w:val="FFFFFF"/>
                <w:sz w:val="16"/>
                <w:szCs w:val="16"/>
              </w:rPr>
            </w:pPr>
            <w:r w:rsidRPr="00A4416B">
              <w:rPr>
                <w:b/>
                <w:bCs/>
                <w:color w:val="FFFFFF"/>
                <w:sz w:val="16"/>
                <w:szCs w:val="16"/>
              </w:rPr>
              <w:t>Meta</w:t>
            </w:r>
          </w:p>
        </w:tc>
        <w:tc>
          <w:tcPr>
            <w:tcW w:w="629" w:type="dxa"/>
            <w:tcBorders>
              <w:top w:val="nil"/>
              <w:left w:val="nil"/>
              <w:bottom w:val="single" w:sz="8" w:space="0" w:color="auto"/>
              <w:right w:val="single" w:sz="4" w:space="0" w:color="auto"/>
            </w:tcBorders>
            <w:shd w:val="clear" w:color="000000" w:fill="1F4E78"/>
            <w:vAlign w:val="center"/>
            <w:hideMark/>
          </w:tcPr>
          <w:p w14:paraId="5298AE50" w14:textId="77777777" w:rsidR="00D7331F" w:rsidRPr="00A4416B" w:rsidRDefault="00D7331F" w:rsidP="00582CA7">
            <w:pPr>
              <w:jc w:val="center"/>
              <w:rPr>
                <w:b/>
                <w:bCs/>
                <w:color w:val="FFFFFF"/>
                <w:sz w:val="16"/>
                <w:szCs w:val="16"/>
              </w:rPr>
            </w:pPr>
            <w:r w:rsidRPr="00A4416B">
              <w:rPr>
                <w:b/>
                <w:bCs/>
                <w:color w:val="FFFFFF"/>
                <w:sz w:val="16"/>
                <w:szCs w:val="16"/>
              </w:rPr>
              <w:t>Brecha</w:t>
            </w:r>
          </w:p>
        </w:tc>
        <w:tc>
          <w:tcPr>
            <w:tcW w:w="617" w:type="dxa"/>
            <w:tcBorders>
              <w:top w:val="nil"/>
              <w:left w:val="nil"/>
              <w:bottom w:val="single" w:sz="8" w:space="0" w:color="auto"/>
              <w:right w:val="single" w:sz="8" w:space="0" w:color="auto"/>
            </w:tcBorders>
            <w:shd w:val="clear" w:color="000000" w:fill="1F4E78"/>
            <w:vAlign w:val="center"/>
            <w:hideMark/>
          </w:tcPr>
          <w:p w14:paraId="46640542" w14:textId="77777777" w:rsidR="00D7331F" w:rsidRPr="00A4416B" w:rsidRDefault="00D7331F" w:rsidP="00582CA7">
            <w:pPr>
              <w:jc w:val="center"/>
              <w:rPr>
                <w:b/>
                <w:bCs/>
                <w:color w:val="FFFFFF"/>
                <w:sz w:val="16"/>
                <w:szCs w:val="16"/>
              </w:rPr>
            </w:pPr>
            <w:r w:rsidRPr="00A4416B">
              <w:rPr>
                <w:b/>
                <w:bCs/>
                <w:color w:val="FFFFFF"/>
                <w:sz w:val="16"/>
                <w:szCs w:val="16"/>
              </w:rPr>
              <w:t>% de avance</w:t>
            </w:r>
          </w:p>
        </w:tc>
      </w:tr>
      <w:tr w:rsidR="00D7331F" w:rsidRPr="00A4416B" w14:paraId="5F9E63F4" w14:textId="77777777" w:rsidTr="00827ED5">
        <w:trPr>
          <w:trHeight w:val="372"/>
          <w:jc w:val="center"/>
        </w:trPr>
        <w:tc>
          <w:tcPr>
            <w:tcW w:w="564" w:type="dxa"/>
            <w:tcBorders>
              <w:top w:val="nil"/>
              <w:left w:val="single" w:sz="8" w:space="0" w:color="auto"/>
              <w:bottom w:val="single" w:sz="4" w:space="0" w:color="auto"/>
              <w:right w:val="single" w:sz="4" w:space="0" w:color="auto"/>
            </w:tcBorders>
            <w:shd w:val="clear" w:color="auto" w:fill="auto"/>
            <w:vAlign w:val="center"/>
            <w:hideMark/>
          </w:tcPr>
          <w:p w14:paraId="2B340866" w14:textId="77777777" w:rsidR="00D7331F" w:rsidRPr="00A4416B" w:rsidRDefault="00D7331F" w:rsidP="00582CA7">
            <w:pPr>
              <w:jc w:val="center"/>
              <w:rPr>
                <w:color w:val="000000"/>
                <w:sz w:val="16"/>
                <w:szCs w:val="16"/>
              </w:rPr>
            </w:pPr>
            <w:r w:rsidRPr="00A4416B">
              <w:rPr>
                <w:color w:val="000000"/>
                <w:sz w:val="16"/>
                <w:szCs w:val="16"/>
              </w:rPr>
              <w:t>1</w:t>
            </w:r>
          </w:p>
        </w:tc>
        <w:tc>
          <w:tcPr>
            <w:tcW w:w="3679" w:type="dxa"/>
            <w:tcBorders>
              <w:top w:val="nil"/>
              <w:left w:val="nil"/>
              <w:bottom w:val="single" w:sz="4" w:space="0" w:color="auto"/>
              <w:right w:val="single" w:sz="4" w:space="0" w:color="auto"/>
            </w:tcBorders>
            <w:shd w:val="clear" w:color="auto" w:fill="auto"/>
            <w:vAlign w:val="center"/>
            <w:hideMark/>
          </w:tcPr>
          <w:p w14:paraId="0632FF6F" w14:textId="77777777" w:rsidR="00D7331F" w:rsidRPr="00A4416B" w:rsidRDefault="00D7331F" w:rsidP="00582CA7">
            <w:pPr>
              <w:rPr>
                <w:color w:val="000000"/>
                <w:sz w:val="16"/>
                <w:szCs w:val="16"/>
              </w:rPr>
            </w:pPr>
            <w:r w:rsidRPr="00A4416B">
              <w:rPr>
                <w:sz w:val="16"/>
                <w:szCs w:val="16"/>
              </w:rPr>
              <w:t>Para el año 2023 se ha implementado la política de atención a migrantes guatemaltecos</w:t>
            </w:r>
          </w:p>
        </w:tc>
        <w:tc>
          <w:tcPr>
            <w:tcW w:w="1276" w:type="dxa"/>
            <w:tcBorders>
              <w:top w:val="nil"/>
              <w:left w:val="nil"/>
              <w:bottom w:val="single" w:sz="4" w:space="0" w:color="auto"/>
              <w:right w:val="single" w:sz="4" w:space="0" w:color="auto"/>
            </w:tcBorders>
            <w:shd w:val="clear" w:color="auto" w:fill="auto"/>
            <w:vAlign w:val="center"/>
            <w:hideMark/>
          </w:tcPr>
          <w:p w14:paraId="6D7DF8A6" w14:textId="77777777" w:rsidR="00D7331F" w:rsidRPr="00A4416B" w:rsidRDefault="00D7331F" w:rsidP="00582CA7">
            <w:pPr>
              <w:jc w:val="center"/>
              <w:rPr>
                <w:color w:val="000000"/>
                <w:sz w:val="16"/>
                <w:szCs w:val="16"/>
              </w:rPr>
            </w:pPr>
            <w:r w:rsidRPr="00A4416B">
              <w:rPr>
                <w:color w:val="000000"/>
                <w:sz w:val="16"/>
                <w:szCs w:val="16"/>
              </w:rPr>
              <w:t>IGM (Minex/Conamigua)</w:t>
            </w:r>
          </w:p>
        </w:tc>
        <w:tc>
          <w:tcPr>
            <w:tcW w:w="708" w:type="dxa"/>
            <w:tcBorders>
              <w:top w:val="nil"/>
              <w:left w:val="nil"/>
              <w:bottom w:val="single" w:sz="4" w:space="0" w:color="auto"/>
              <w:right w:val="single" w:sz="4" w:space="0" w:color="auto"/>
            </w:tcBorders>
            <w:shd w:val="clear" w:color="auto" w:fill="auto"/>
            <w:vAlign w:val="center"/>
            <w:hideMark/>
          </w:tcPr>
          <w:p w14:paraId="14B8E268" w14:textId="77777777" w:rsidR="00D7331F" w:rsidRPr="00A4416B" w:rsidRDefault="00D7331F" w:rsidP="00582CA7">
            <w:pPr>
              <w:jc w:val="center"/>
              <w:rPr>
                <w:sz w:val="16"/>
                <w:szCs w:val="16"/>
              </w:rPr>
            </w:pPr>
            <w:r w:rsidRPr="00A4416B">
              <w:rPr>
                <w:sz w:val="16"/>
                <w:szCs w:val="16"/>
              </w:rPr>
              <w:t>40.00%</w:t>
            </w:r>
          </w:p>
        </w:tc>
        <w:tc>
          <w:tcPr>
            <w:tcW w:w="567" w:type="dxa"/>
            <w:tcBorders>
              <w:top w:val="nil"/>
              <w:left w:val="single" w:sz="4" w:space="0" w:color="auto"/>
              <w:bottom w:val="single" w:sz="4" w:space="0" w:color="auto"/>
              <w:right w:val="single" w:sz="8" w:space="0" w:color="auto"/>
            </w:tcBorders>
            <w:shd w:val="clear" w:color="auto" w:fill="auto"/>
            <w:vAlign w:val="center"/>
            <w:hideMark/>
          </w:tcPr>
          <w:p w14:paraId="13D26B0D" w14:textId="77777777" w:rsidR="00D7331F" w:rsidRPr="00A4416B" w:rsidRDefault="00D7331F" w:rsidP="00582CA7">
            <w:pPr>
              <w:jc w:val="center"/>
              <w:rPr>
                <w:sz w:val="16"/>
                <w:szCs w:val="16"/>
              </w:rPr>
            </w:pPr>
            <w:r w:rsidRPr="00A4416B">
              <w:rPr>
                <w:sz w:val="16"/>
                <w:szCs w:val="16"/>
              </w:rPr>
              <w:t>75%</w:t>
            </w:r>
          </w:p>
        </w:tc>
        <w:tc>
          <w:tcPr>
            <w:tcW w:w="739" w:type="dxa"/>
            <w:tcBorders>
              <w:top w:val="nil"/>
              <w:left w:val="nil"/>
              <w:bottom w:val="single" w:sz="4" w:space="0" w:color="auto"/>
              <w:right w:val="single" w:sz="4" w:space="0" w:color="auto"/>
            </w:tcBorders>
            <w:shd w:val="clear" w:color="auto" w:fill="auto"/>
            <w:noWrap/>
            <w:vAlign w:val="center"/>
            <w:hideMark/>
          </w:tcPr>
          <w:p w14:paraId="0A619F34" w14:textId="77777777" w:rsidR="00D7331F" w:rsidRPr="00A4416B" w:rsidRDefault="00D7331F" w:rsidP="00582CA7">
            <w:pPr>
              <w:jc w:val="center"/>
              <w:rPr>
                <w:color w:val="000000"/>
                <w:sz w:val="16"/>
                <w:szCs w:val="16"/>
              </w:rPr>
            </w:pPr>
            <w:r w:rsidRPr="00A4416B">
              <w:rPr>
                <w:color w:val="000000"/>
                <w:sz w:val="16"/>
                <w:szCs w:val="16"/>
              </w:rPr>
              <w:t>100%</w:t>
            </w:r>
          </w:p>
        </w:tc>
        <w:tc>
          <w:tcPr>
            <w:tcW w:w="629" w:type="dxa"/>
            <w:tcBorders>
              <w:top w:val="nil"/>
              <w:left w:val="single" w:sz="4" w:space="0" w:color="auto"/>
              <w:bottom w:val="single" w:sz="4" w:space="0" w:color="auto"/>
              <w:right w:val="single" w:sz="4" w:space="0" w:color="auto"/>
            </w:tcBorders>
            <w:shd w:val="clear" w:color="auto" w:fill="auto"/>
            <w:noWrap/>
            <w:vAlign w:val="center"/>
            <w:hideMark/>
          </w:tcPr>
          <w:p w14:paraId="5E253A52" w14:textId="77777777" w:rsidR="00D7331F" w:rsidRPr="00A4416B" w:rsidRDefault="00D7331F" w:rsidP="00582CA7">
            <w:pPr>
              <w:jc w:val="center"/>
              <w:rPr>
                <w:color w:val="C00000"/>
                <w:sz w:val="16"/>
                <w:szCs w:val="16"/>
              </w:rPr>
            </w:pPr>
            <w:r w:rsidRPr="00A4416B">
              <w:rPr>
                <w:color w:val="C00000"/>
                <w:sz w:val="16"/>
                <w:szCs w:val="16"/>
              </w:rPr>
              <w:t>-25</w:t>
            </w:r>
          </w:p>
        </w:tc>
        <w:tc>
          <w:tcPr>
            <w:tcW w:w="617" w:type="dxa"/>
            <w:tcBorders>
              <w:top w:val="nil"/>
              <w:left w:val="single" w:sz="4" w:space="0" w:color="auto"/>
              <w:bottom w:val="single" w:sz="4" w:space="0" w:color="auto"/>
              <w:right w:val="single" w:sz="8" w:space="0" w:color="auto"/>
            </w:tcBorders>
            <w:shd w:val="clear" w:color="000000" w:fill="92D050"/>
            <w:noWrap/>
            <w:vAlign w:val="center"/>
            <w:hideMark/>
          </w:tcPr>
          <w:p w14:paraId="553B50FA" w14:textId="77777777" w:rsidR="00D7331F" w:rsidRPr="00A4416B" w:rsidRDefault="00D7331F" w:rsidP="00582CA7">
            <w:pPr>
              <w:jc w:val="center"/>
              <w:rPr>
                <w:b/>
                <w:bCs/>
                <w:color w:val="000000"/>
                <w:sz w:val="16"/>
                <w:szCs w:val="16"/>
              </w:rPr>
            </w:pPr>
            <w:r w:rsidRPr="00A4416B">
              <w:rPr>
                <w:b/>
                <w:bCs/>
                <w:color w:val="000000"/>
                <w:sz w:val="16"/>
                <w:szCs w:val="16"/>
              </w:rPr>
              <w:t>75%</w:t>
            </w:r>
          </w:p>
        </w:tc>
      </w:tr>
      <w:tr w:rsidR="00D7331F" w:rsidRPr="00A4416B" w14:paraId="58A2041D" w14:textId="77777777" w:rsidTr="00827ED5">
        <w:trPr>
          <w:trHeight w:val="471"/>
          <w:jc w:val="center"/>
        </w:trPr>
        <w:tc>
          <w:tcPr>
            <w:tcW w:w="564" w:type="dxa"/>
            <w:tcBorders>
              <w:top w:val="nil"/>
              <w:left w:val="single" w:sz="8" w:space="0" w:color="auto"/>
              <w:bottom w:val="single" w:sz="4" w:space="0" w:color="auto"/>
              <w:right w:val="single" w:sz="4" w:space="0" w:color="auto"/>
            </w:tcBorders>
            <w:shd w:val="clear" w:color="auto" w:fill="auto"/>
            <w:vAlign w:val="center"/>
            <w:hideMark/>
          </w:tcPr>
          <w:p w14:paraId="5A6D7F60" w14:textId="77777777" w:rsidR="00D7331F" w:rsidRPr="00A4416B" w:rsidRDefault="00D7331F" w:rsidP="00582CA7">
            <w:pPr>
              <w:jc w:val="center"/>
              <w:rPr>
                <w:color w:val="000000"/>
                <w:sz w:val="16"/>
                <w:szCs w:val="16"/>
              </w:rPr>
            </w:pPr>
            <w:r w:rsidRPr="00A4416B">
              <w:rPr>
                <w:color w:val="000000"/>
                <w:sz w:val="16"/>
                <w:szCs w:val="16"/>
              </w:rPr>
              <w:t>2</w:t>
            </w:r>
          </w:p>
        </w:tc>
        <w:tc>
          <w:tcPr>
            <w:tcW w:w="3679" w:type="dxa"/>
            <w:tcBorders>
              <w:top w:val="nil"/>
              <w:left w:val="nil"/>
              <w:bottom w:val="single" w:sz="4" w:space="0" w:color="auto"/>
              <w:right w:val="single" w:sz="4" w:space="0" w:color="auto"/>
            </w:tcBorders>
            <w:shd w:val="clear" w:color="auto" w:fill="auto"/>
            <w:vAlign w:val="center"/>
            <w:hideMark/>
          </w:tcPr>
          <w:p w14:paraId="35BC69C1" w14:textId="77777777" w:rsidR="00D7331F" w:rsidRPr="00A4416B" w:rsidRDefault="00D7331F" w:rsidP="00582CA7">
            <w:pPr>
              <w:rPr>
                <w:color w:val="000000"/>
                <w:sz w:val="16"/>
                <w:szCs w:val="16"/>
              </w:rPr>
            </w:pPr>
            <w:r w:rsidRPr="00A4416B">
              <w:rPr>
                <w:sz w:val="16"/>
                <w:szCs w:val="16"/>
              </w:rPr>
              <w:t>Para el 2023 se ha incrementado en 8 el número de consulados guatemaltecos</w:t>
            </w:r>
          </w:p>
        </w:tc>
        <w:tc>
          <w:tcPr>
            <w:tcW w:w="1276" w:type="dxa"/>
            <w:tcBorders>
              <w:top w:val="nil"/>
              <w:left w:val="nil"/>
              <w:bottom w:val="single" w:sz="4" w:space="0" w:color="auto"/>
              <w:right w:val="single" w:sz="4" w:space="0" w:color="auto"/>
            </w:tcBorders>
            <w:shd w:val="clear" w:color="auto" w:fill="auto"/>
            <w:vAlign w:val="center"/>
            <w:hideMark/>
          </w:tcPr>
          <w:p w14:paraId="1831EFD3" w14:textId="77777777" w:rsidR="00D7331F" w:rsidRPr="00A4416B" w:rsidRDefault="00D7331F" w:rsidP="00582CA7">
            <w:pPr>
              <w:jc w:val="center"/>
              <w:rPr>
                <w:color w:val="000000"/>
                <w:sz w:val="16"/>
                <w:szCs w:val="16"/>
              </w:rPr>
            </w:pPr>
            <w:r w:rsidRPr="00A4416B">
              <w:rPr>
                <w:color w:val="000000"/>
                <w:sz w:val="16"/>
                <w:szCs w:val="16"/>
              </w:rPr>
              <w:t>Minex</w:t>
            </w:r>
          </w:p>
        </w:tc>
        <w:tc>
          <w:tcPr>
            <w:tcW w:w="708" w:type="dxa"/>
            <w:tcBorders>
              <w:top w:val="nil"/>
              <w:left w:val="nil"/>
              <w:bottom w:val="single" w:sz="4" w:space="0" w:color="auto"/>
              <w:right w:val="single" w:sz="4" w:space="0" w:color="auto"/>
            </w:tcBorders>
            <w:shd w:val="clear" w:color="auto" w:fill="auto"/>
            <w:vAlign w:val="center"/>
            <w:hideMark/>
          </w:tcPr>
          <w:p w14:paraId="4ECA3BE8" w14:textId="77777777" w:rsidR="00D7331F" w:rsidRPr="00A4416B" w:rsidRDefault="00D7331F" w:rsidP="00582CA7">
            <w:pPr>
              <w:jc w:val="center"/>
              <w:rPr>
                <w:sz w:val="16"/>
                <w:szCs w:val="16"/>
              </w:rPr>
            </w:pPr>
            <w:r w:rsidRPr="00A4416B">
              <w:rPr>
                <w:sz w:val="16"/>
                <w:szCs w:val="16"/>
              </w:rPr>
              <w:t>23</w:t>
            </w:r>
          </w:p>
        </w:tc>
        <w:tc>
          <w:tcPr>
            <w:tcW w:w="567" w:type="dxa"/>
            <w:tcBorders>
              <w:top w:val="nil"/>
              <w:left w:val="single" w:sz="4" w:space="0" w:color="auto"/>
              <w:bottom w:val="single" w:sz="4" w:space="0" w:color="auto"/>
              <w:right w:val="single" w:sz="8" w:space="0" w:color="auto"/>
            </w:tcBorders>
            <w:shd w:val="clear" w:color="auto" w:fill="auto"/>
            <w:vAlign w:val="center"/>
            <w:hideMark/>
          </w:tcPr>
          <w:p w14:paraId="3F690D58" w14:textId="77777777" w:rsidR="00D7331F" w:rsidRPr="00A4416B" w:rsidRDefault="00D7331F" w:rsidP="00582CA7">
            <w:pPr>
              <w:jc w:val="center"/>
              <w:rPr>
                <w:sz w:val="16"/>
                <w:szCs w:val="16"/>
              </w:rPr>
            </w:pPr>
            <w:r w:rsidRPr="00A4416B">
              <w:rPr>
                <w:sz w:val="16"/>
                <w:szCs w:val="16"/>
              </w:rPr>
              <w:t>26</w:t>
            </w:r>
          </w:p>
        </w:tc>
        <w:tc>
          <w:tcPr>
            <w:tcW w:w="739" w:type="dxa"/>
            <w:tcBorders>
              <w:top w:val="nil"/>
              <w:left w:val="nil"/>
              <w:bottom w:val="single" w:sz="4" w:space="0" w:color="auto"/>
              <w:right w:val="single" w:sz="4" w:space="0" w:color="auto"/>
            </w:tcBorders>
            <w:shd w:val="clear" w:color="auto" w:fill="auto"/>
            <w:noWrap/>
            <w:vAlign w:val="center"/>
            <w:hideMark/>
          </w:tcPr>
          <w:p w14:paraId="3C31CF8C" w14:textId="77777777" w:rsidR="00D7331F" w:rsidRPr="00A4416B" w:rsidRDefault="00D7331F" w:rsidP="00582CA7">
            <w:pPr>
              <w:jc w:val="center"/>
              <w:rPr>
                <w:color w:val="000000"/>
                <w:sz w:val="16"/>
                <w:szCs w:val="16"/>
              </w:rPr>
            </w:pPr>
            <w:r w:rsidRPr="00A4416B">
              <w:rPr>
                <w:color w:val="000000"/>
                <w:sz w:val="16"/>
                <w:szCs w:val="16"/>
              </w:rPr>
              <w:t>28</w:t>
            </w:r>
          </w:p>
        </w:tc>
        <w:tc>
          <w:tcPr>
            <w:tcW w:w="629" w:type="dxa"/>
            <w:tcBorders>
              <w:top w:val="nil"/>
              <w:left w:val="single" w:sz="4" w:space="0" w:color="auto"/>
              <w:bottom w:val="single" w:sz="4" w:space="0" w:color="auto"/>
              <w:right w:val="single" w:sz="4" w:space="0" w:color="auto"/>
            </w:tcBorders>
            <w:shd w:val="clear" w:color="auto" w:fill="auto"/>
            <w:noWrap/>
            <w:vAlign w:val="center"/>
            <w:hideMark/>
          </w:tcPr>
          <w:p w14:paraId="5DF3FAE2" w14:textId="77777777" w:rsidR="00D7331F" w:rsidRPr="00A4416B" w:rsidRDefault="00D7331F" w:rsidP="00582CA7">
            <w:pPr>
              <w:jc w:val="center"/>
              <w:rPr>
                <w:color w:val="C00000"/>
                <w:sz w:val="16"/>
                <w:szCs w:val="16"/>
              </w:rPr>
            </w:pPr>
            <w:r w:rsidRPr="00A4416B">
              <w:rPr>
                <w:color w:val="C00000"/>
                <w:sz w:val="16"/>
                <w:szCs w:val="16"/>
              </w:rPr>
              <w:t>-2</w:t>
            </w:r>
          </w:p>
        </w:tc>
        <w:tc>
          <w:tcPr>
            <w:tcW w:w="617" w:type="dxa"/>
            <w:tcBorders>
              <w:top w:val="nil"/>
              <w:left w:val="single" w:sz="4" w:space="0" w:color="auto"/>
              <w:bottom w:val="single" w:sz="4" w:space="0" w:color="auto"/>
              <w:right w:val="single" w:sz="8" w:space="0" w:color="auto"/>
            </w:tcBorders>
            <w:shd w:val="clear" w:color="000000" w:fill="92D050"/>
            <w:noWrap/>
            <w:vAlign w:val="center"/>
            <w:hideMark/>
          </w:tcPr>
          <w:p w14:paraId="73ECA5D0" w14:textId="77777777" w:rsidR="00D7331F" w:rsidRPr="00A4416B" w:rsidRDefault="00D7331F" w:rsidP="00582CA7">
            <w:pPr>
              <w:jc w:val="center"/>
              <w:rPr>
                <w:b/>
                <w:bCs/>
                <w:color w:val="000000"/>
                <w:sz w:val="16"/>
                <w:szCs w:val="16"/>
              </w:rPr>
            </w:pPr>
            <w:r w:rsidRPr="00A4416B">
              <w:rPr>
                <w:b/>
                <w:bCs/>
                <w:color w:val="000000"/>
                <w:sz w:val="16"/>
                <w:szCs w:val="16"/>
              </w:rPr>
              <w:t>75%</w:t>
            </w:r>
          </w:p>
        </w:tc>
      </w:tr>
      <w:tr w:rsidR="00D7331F" w:rsidRPr="00A4416B" w14:paraId="4506C391" w14:textId="77777777" w:rsidTr="00827ED5">
        <w:trPr>
          <w:trHeight w:val="289"/>
          <w:jc w:val="center"/>
        </w:trPr>
        <w:tc>
          <w:tcPr>
            <w:tcW w:w="564" w:type="dxa"/>
            <w:tcBorders>
              <w:top w:val="nil"/>
              <w:left w:val="single" w:sz="8" w:space="0" w:color="auto"/>
              <w:bottom w:val="single" w:sz="4" w:space="0" w:color="auto"/>
              <w:right w:val="single" w:sz="4" w:space="0" w:color="auto"/>
            </w:tcBorders>
            <w:shd w:val="clear" w:color="auto" w:fill="auto"/>
            <w:vAlign w:val="center"/>
            <w:hideMark/>
          </w:tcPr>
          <w:p w14:paraId="5A84A792" w14:textId="77777777" w:rsidR="00D7331F" w:rsidRPr="00A4416B" w:rsidRDefault="00D7331F" w:rsidP="00582CA7">
            <w:pPr>
              <w:jc w:val="center"/>
              <w:rPr>
                <w:color w:val="000000"/>
                <w:sz w:val="16"/>
                <w:szCs w:val="16"/>
              </w:rPr>
            </w:pPr>
            <w:r w:rsidRPr="00A4416B">
              <w:rPr>
                <w:color w:val="000000"/>
                <w:sz w:val="16"/>
                <w:szCs w:val="16"/>
              </w:rPr>
              <w:t>3</w:t>
            </w:r>
          </w:p>
        </w:tc>
        <w:tc>
          <w:tcPr>
            <w:tcW w:w="3679" w:type="dxa"/>
            <w:tcBorders>
              <w:top w:val="nil"/>
              <w:left w:val="nil"/>
              <w:bottom w:val="single" w:sz="4" w:space="0" w:color="auto"/>
              <w:right w:val="single" w:sz="4" w:space="0" w:color="auto"/>
            </w:tcBorders>
            <w:shd w:val="clear" w:color="auto" w:fill="auto"/>
            <w:vAlign w:val="center"/>
            <w:hideMark/>
          </w:tcPr>
          <w:p w14:paraId="2E1D807B" w14:textId="77777777" w:rsidR="00D7331F" w:rsidRPr="00A4416B" w:rsidRDefault="00D7331F" w:rsidP="00582CA7">
            <w:pPr>
              <w:rPr>
                <w:color w:val="000000"/>
                <w:sz w:val="16"/>
                <w:szCs w:val="16"/>
              </w:rPr>
            </w:pPr>
            <w:r w:rsidRPr="00A4416B">
              <w:rPr>
                <w:sz w:val="16"/>
                <w:szCs w:val="16"/>
              </w:rPr>
              <w:t>Para el año 2023 se ha completado el impulso de la marca país</w:t>
            </w:r>
          </w:p>
        </w:tc>
        <w:tc>
          <w:tcPr>
            <w:tcW w:w="1276" w:type="dxa"/>
            <w:tcBorders>
              <w:top w:val="nil"/>
              <w:left w:val="nil"/>
              <w:bottom w:val="single" w:sz="4" w:space="0" w:color="auto"/>
              <w:right w:val="single" w:sz="4" w:space="0" w:color="auto"/>
            </w:tcBorders>
            <w:shd w:val="clear" w:color="auto" w:fill="auto"/>
            <w:vAlign w:val="center"/>
            <w:hideMark/>
          </w:tcPr>
          <w:p w14:paraId="3CD6AC80" w14:textId="77777777" w:rsidR="00D7331F" w:rsidRPr="00A4416B" w:rsidRDefault="00D7331F" w:rsidP="00582CA7">
            <w:pPr>
              <w:jc w:val="center"/>
              <w:rPr>
                <w:color w:val="000000"/>
                <w:sz w:val="16"/>
                <w:szCs w:val="16"/>
              </w:rPr>
            </w:pPr>
            <w:r w:rsidRPr="00A4416B">
              <w:rPr>
                <w:color w:val="000000"/>
                <w:sz w:val="16"/>
                <w:szCs w:val="16"/>
              </w:rPr>
              <w:t>INGUAT/Minex</w:t>
            </w:r>
          </w:p>
        </w:tc>
        <w:tc>
          <w:tcPr>
            <w:tcW w:w="708" w:type="dxa"/>
            <w:tcBorders>
              <w:top w:val="nil"/>
              <w:left w:val="nil"/>
              <w:bottom w:val="single" w:sz="4" w:space="0" w:color="auto"/>
              <w:right w:val="single" w:sz="4" w:space="0" w:color="auto"/>
            </w:tcBorders>
            <w:shd w:val="clear" w:color="auto" w:fill="auto"/>
            <w:vAlign w:val="center"/>
            <w:hideMark/>
          </w:tcPr>
          <w:p w14:paraId="12A47EB9" w14:textId="77777777" w:rsidR="00D7331F" w:rsidRPr="00A4416B" w:rsidRDefault="00D7331F" w:rsidP="00582CA7">
            <w:pPr>
              <w:jc w:val="center"/>
              <w:rPr>
                <w:sz w:val="16"/>
                <w:szCs w:val="16"/>
              </w:rPr>
            </w:pPr>
            <w:r w:rsidRPr="00A4416B">
              <w:rPr>
                <w:sz w:val="16"/>
                <w:szCs w:val="16"/>
              </w:rPr>
              <w:t>40.00%</w:t>
            </w:r>
          </w:p>
        </w:tc>
        <w:tc>
          <w:tcPr>
            <w:tcW w:w="567" w:type="dxa"/>
            <w:tcBorders>
              <w:top w:val="nil"/>
              <w:left w:val="single" w:sz="4" w:space="0" w:color="auto"/>
              <w:bottom w:val="single" w:sz="4" w:space="0" w:color="auto"/>
              <w:right w:val="single" w:sz="8" w:space="0" w:color="auto"/>
            </w:tcBorders>
            <w:shd w:val="clear" w:color="auto" w:fill="auto"/>
            <w:vAlign w:val="center"/>
            <w:hideMark/>
          </w:tcPr>
          <w:p w14:paraId="4B9E38FA" w14:textId="77777777" w:rsidR="00D7331F" w:rsidRPr="00A4416B" w:rsidRDefault="00D7331F" w:rsidP="00582CA7">
            <w:pPr>
              <w:jc w:val="center"/>
              <w:rPr>
                <w:sz w:val="16"/>
                <w:szCs w:val="16"/>
              </w:rPr>
            </w:pPr>
            <w:r w:rsidRPr="00A4416B">
              <w:rPr>
                <w:sz w:val="16"/>
                <w:szCs w:val="16"/>
              </w:rPr>
              <w:t>100%</w:t>
            </w:r>
          </w:p>
        </w:tc>
        <w:tc>
          <w:tcPr>
            <w:tcW w:w="739" w:type="dxa"/>
            <w:tcBorders>
              <w:top w:val="nil"/>
              <w:left w:val="nil"/>
              <w:bottom w:val="single" w:sz="4" w:space="0" w:color="auto"/>
              <w:right w:val="single" w:sz="4" w:space="0" w:color="auto"/>
            </w:tcBorders>
            <w:shd w:val="clear" w:color="auto" w:fill="auto"/>
            <w:noWrap/>
            <w:vAlign w:val="center"/>
            <w:hideMark/>
          </w:tcPr>
          <w:p w14:paraId="0FFCAA63" w14:textId="77777777" w:rsidR="00D7331F" w:rsidRPr="00A4416B" w:rsidRDefault="00D7331F" w:rsidP="00582CA7">
            <w:pPr>
              <w:jc w:val="center"/>
              <w:rPr>
                <w:color w:val="000000"/>
                <w:sz w:val="16"/>
                <w:szCs w:val="16"/>
              </w:rPr>
            </w:pPr>
            <w:r w:rsidRPr="00A4416B">
              <w:rPr>
                <w:color w:val="000000"/>
                <w:sz w:val="16"/>
                <w:szCs w:val="16"/>
              </w:rPr>
              <w:t>100%</w:t>
            </w:r>
          </w:p>
        </w:tc>
        <w:tc>
          <w:tcPr>
            <w:tcW w:w="629" w:type="dxa"/>
            <w:tcBorders>
              <w:top w:val="nil"/>
              <w:left w:val="single" w:sz="4" w:space="0" w:color="auto"/>
              <w:bottom w:val="single" w:sz="4" w:space="0" w:color="auto"/>
              <w:right w:val="single" w:sz="4" w:space="0" w:color="auto"/>
            </w:tcBorders>
            <w:shd w:val="clear" w:color="auto" w:fill="auto"/>
            <w:noWrap/>
            <w:vAlign w:val="center"/>
            <w:hideMark/>
          </w:tcPr>
          <w:p w14:paraId="6B214A17" w14:textId="77777777" w:rsidR="00D7331F" w:rsidRPr="00A4416B" w:rsidRDefault="00D7331F" w:rsidP="00582CA7">
            <w:pPr>
              <w:jc w:val="center"/>
              <w:rPr>
                <w:color w:val="000000"/>
                <w:sz w:val="16"/>
                <w:szCs w:val="16"/>
              </w:rPr>
            </w:pPr>
            <w:r w:rsidRPr="00A4416B">
              <w:rPr>
                <w:color w:val="000000"/>
                <w:sz w:val="16"/>
                <w:szCs w:val="16"/>
              </w:rPr>
              <w:t>0</w:t>
            </w:r>
          </w:p>
        </w:tc>
        <w:tc>
          <w:tcPr>
            <w:tcW w:w="617" w:type="dxa"/>
            <w:tcBorders>
              <w:top w:val="nil"/>
              <w:left w:val="single" w:sz="4" w:space="0" w:color="auto"/>
              <w:bottom w:val="single" w:sz="4" w:space="0" w:color="auto"/>
              <w:right w:val="single" w:sz="8" w:space="0" w:color="auto"/>
            </w:tcBorders>
            <w:shd w:val="clear" w:color="000000" w:fill="92D050"/>
            <w:noWrap/>
            <w:vAlign w:val="center"/>
            <w:hideMark/>
          </w:tcPr>
          <w:p w14:paraId="7724420C" w14:textId="77777777" w:rsidR="00D7331F" w:rsidRPr="00A4416B" w:rsidRDefault="00D7331F" w:rsidP="00582CA7">
            <w:pPr>
              <w:jc w:val="center"/>
              <w:rPr>
                <w:b/>
                <w:bCs/>
                <w:color w:val="000000"/>
                <w:sz w:val="16"/>
                <w:szCs w:val="16"/>
              </w:rPr>
            </w:pPr>
            <w:r w:rsidRPr="00A4416B">
              <w:rPr>
                <w:b/>
                <w:bCs/>
                <w:color w:val="000000"/>
                <w:sz w:val="16"/>
                <w:szCs w:val="16"/>
              </w:rPr>
              <w:t>100%</w:t>
            </w:r>
          </w:p>
        </w:tc>
      </w:tr>
      <w:tr w:rsidR="00D7331F" w:rsidRPr="00A4416B" w14:paraId="47148F8D" w14:textId="77777777" w:rsidTr="00827ED5">
        <w:trPr>
          <w:trHeight w:val="464"/>
          <w:jc w:val="center"/>
        </w:trPr>
        <w:tc>
          <w:tcPr>
            <w:tcW w:w="564" w:type="dxa"/>
            <w:tcBorders>
              <w:top w:val="nil"/>
              <w:left w:val="single" w:sz="8" w:space="0" w:color="auto"/>
              <w:bottom w:val="single" w:sz="8" w:space="0" w:color="auto"/>
              <w:right w:val="single" w:sz="4" w:space="0" w:color="auto"/>
            </w:tcBorders>
            <w:shd w:val="clear" w:color="auto" w:fill="auto"/>
            <w:vAlign w:val="center"/>
            <w:hideMark/>
          </w:tcPr>
          <w:p w14:paraId="2F89593C" w14:textId="77777777" w:rsidR="00D7331F" w:rsidRPr="00A4416B" w:rsidRDefault="00D7331F" w:rsidP="00582CA7">
            <w:pPr>
              <w:jc w:val="center"/>
              <w:rPr>
                <w:color w:val="000000"/>
                <w:sz w:val="16"/>
                <w:szCs w:val="16"/>
              </w:rPr>
            </w:pPr>
            <w:r w:rsidRPr="00A4416B">
              <w:rPr>
                <w:color w:val="000000"/>
                <w:sz w:val="16"/>
                <w:szCs w:val="16"/>
              </w:rPr>
              <w:t>4</w:t>
            </w:r>
          </w:p>
        </w:tc>
        <w:tc>
          <w:tcPr>
            <w:tcW w:w="3679" w:type="dxa"/>
            <w:tcBorders>
              <w:top w:val="nil"/>
              <w:left w:val="nil"/>
              <w:bottom w:val="single" w:sz="8" w:space="0" w:color="auto"/>
              <w:right w:val="single" w:sz="4" w:space="0" w:color="auto"/>
            </w:tcBorders>
            <w:shd w:val="clear" w:color="auto" w:fill="auto"/>
            <w:vAlign w:val="center"/>
            <w:hideMark/>
          </w:tcPr>
          <w:p w14:paraId="4331182E" w14:textId="77777777" w:rsidR="00D7331F" w:rsidRPr="00A4416B" w:rsidRDefault="00D7331F" w:rsidP="00582CA7">
            <w:pPr>
              <w:rPr>
                <w:color w:val="000000"/>
                <w:sz w:val="16"/>
                <w:szCs w:val="16"/>
              </w:rPr>
            </w:pPr>
            <w:r w:rsidRPr="00A4416B">
              <w:rPr>
                <w:sz w:val="16"/>
                <w:szCs w:val="16"/>
              </w:rPr>
              <w:t>Para el año 2023 se ha mejorado la calificación el índice de competitividad turística en 0.6 puntos porcentuales</w:t>
            </w:r>
          </w:p>
        </w:tc>
        <w:tc>
          <w:tcPr>
            <w:tcW w:w="1276" w:type="dxa"/>
            <w:tcBorders>
              <w:top w:val="nil"/>
              <w:left w:val="nil"/>
              <w:bottom w:val="single" w:sz="8" w:space="0" w:color="auto"/>
              <w:right w:val="single" w:sz="4" w:space="0" w:color="auto"/>
            </w:tcBorders>
            <w:shd w:val="clear" w:color="auto" w:fill="auto"/>
            <w:vAlign w:val="center"/>
            <w:hideMark/>
          </w:tcPr>
          <w:p w14:paraId="4D797E31" w14:textId="77777777" w:rsidR="00D7331F" w:rsidRPr="00A4416B" w:rsidRDefault="00D7331F" w:rsidP="00582CA7">
            <w:pPr>
              <w:jc w:val="center"/>
              <w:rPr>
                <w:color w:val="000000"/>
                <w:sz w:val="16"/>
                <w:szCs w:val="16"/>
              </w:rPr>
            </w:pPr>
            <w:r w:rsidRPr="00A4416B">
              <w:rPr>
                <w:color w:val="000000"/>
                <w:sz w:val="16"/>
                <w:szCs w:val="16"/>
              </w:rPr>
              <w:t>INGUAT/Minex</w:t>
            </w:r>
          </w:p>
        </w:tc>
        <w:tc>
          <w:tcPr>
            <w:tcW w:w="708" w:type="dxa"/>
            <w:tcBorders>
              <w:top w:val="nil"/>
              <w:left w:val="nil"/>
              <w:bottom w:val="single" w:sz="8" w:space="0" w:color="auto"/>
              <w:right w:val="single" w:sz="4" w:space="0" w:color="auto"/>
            </w:tcBorders>
            <w:shd w:val="clear" w:color="auto" w:fill="auto"/>
            <w:vAlign w:val="center"/>
            <w:hideMark/>
          </w:tcPr>
          <w:p w14:paraId="48EB03B4" w14:textId="77777777" w:rsidR="00D7331F" w:rsidRPr="00A4416B" w:rsidRDefault="00D7331F" w:rsidP="00582CA7">
            <w:pPr>
              <w:jc w:val="center"/>
              <w:rPr>
                <w:sz w:val="16"/>
                <w:szCs w:val="16"/>
              </w:rPr>
            </w:pPr>
            <w:r w:rsidRPr="00A4416B">
              <w:rPr>
                <w:sz w:val="16"/>
                <w:szCs w:val="16"/>
              </w:rPr>
              <w:t>3.4</w:t>
            </w:r>
          </w:p>
        </w:tc>
        <w:tc>
          <w:tcPr>
            <w:tcW w:w="567" w:type="dxa"/>
            <w:tcBorders>
              <w:top w:val="nil"/>
              <w:left w:val="single" w:sz="4" w:space="0" w:color="auto"/>
              <w:bottom w:val="single" w:sz="8" w:space="0" w:color="auto"/>
              <w:right w:val="single" w:sz="8" w:space="0" w:color="auto"/>
            </w:tcBorders>
            <w:shd w:val="clear" w:color="auto" w:fill="auto"/>
            <w:vAlign w:val="center"/>
            <w:hideMark/>
          </w:tcPr>
          <w:p w14:paraId="7AF9EB6D" w14:textId="77777777" w:rsidR="00D7331F" w:rsidRPr="00A4416B" w:rsidRDefault="00D7331F" w:rsidP="00582CA7">
            <w:pPr>
              <w:jc w:val="center"/>
              <w:rPr>
                <w:sz w:val="16"/>
                <w:szCs w:val="16"/>
              </w:rPr>
            </w:pPr>
            <w:r w:rsidRPr="00A4416B">
              <w:rPr>
                <w:sz w:val="16"/>
                <w:szCs w:val="16"/>
              </w:rPr>
              <w:t>3.3</w:t>
            </w:r>
          </w:p>
        </w:tc>
        <w:tc>
          <w:tcPr>
            <w:tcW w:w="739" w:type="dxa"/>
            <w:tcBorders>
              <w:top w:val="nil"/>
              <w:left w:val="nil"/>
              <w:bottom w:val="single" w:sz="8" w:space="0" w:color="auto"/>
              <w:right w:val="single" w:sz="4" w:space="0" w:color="auto"/>
            </w:tcBorders>
            <w:shd w:val="clear" w:color="auto" w:fill="auto"/>
            <w:noWrap/>
            <w:vAlign w:val="center"/>
            <w:hideMark/>
          </w:tcPr>
          <w:p w14:paraId="60C9A909" w14:textId="77777777" w:rsidR="00D7331F" w:rsidRPr="00A4416B" w:rsidRDefault="00D7331F" w:rsidP="00582CA7">
            <w:pPr>
              <w:jc w:val="center"/>
              <w:rPr>
                <w:color w:val="000000"/>
                <w:sz w:val="16"/>
                <w:szCs w:val="16"/>
              </w:rPr>
            </w:pPr>
            <w:r w:rsidRPr="00A4416B">
              <w:rPr>
                <w:color w:val="000000"/>
                <w:sz w:val="16"/>
                <w:szCs w:val="16"/>
              </w:rPr>
              <w:t>4</w:t>
            </w:r>
          </w:p>
        </w:tc>
        <w:tc>
          <w:tcPr>
            <w:tcW w:w="629" w:type="dxa"/>
            <w:tcBorders>
              <w:top w:val="nil"/>
              <w:left w:val="single" w:sz="4" w:space="0" w:color="auto"/>
              <w:bottom w:val="single" w:sz="8" w:space="0" w:color="auto"/>
              <w:right w:val="single" w:sz="4" w:space="0" w:color="auto"/>
            </w:tcBorders>
            <w:shd w:val="clear" w:color="auto" w:fill="auto"/>
            <w:noWrap/>
            <w:vAlign w:val="center"/>
            <w:hideMark/>
          </w:tcPr>
          <w:p w14:paraId="3366A299" w14:textId="77777777" w:rsidR="00D7331F" w:rsidRPr="00A4416B" w:rsidRDefault="00D7331F" w:rsidP="00582CA7">
            <w:pPr>
              <w:jc w:val="center"/>
              <w:rPr>
                <w:color w:val="C00000"/>
                <w:sz w:val="16"/>
                <w:szCs w:val="16"/>
              </w:rPr>
            </w:pPr>
            <w:r w:rsidRPr="00A4416B">
              <w:rPr>
                <w:color w:val="C00000"/>
                <w:sz w:val="16"/>
                <w:szCs w:val="16"/>
              </w:rPr>
              <w:t>-0.7</w:t>
            </w:r>
          </w:p>
        </w:tc>
        <w:tc>
          <w:tcPr>
            <w:tcW w:w="617" w:type="dxa"/>
            <w:tcBorders>
              <w:top w:val="nil"/>
              <w:left w:val="single" w:sz="4" w:space="0" w:color="auto"/>
              <w:bottom w:val="single" w:sz="8" w:space="0" w:color="auto"/>
              <w:right w:val="single" w:sz="8" w:space="0" w:color="auto"/>
            </w:tcBorders>
            <w:shd w:val="clear" w:color="000000" w:fill="C00000"/>
            <w:noWrap/>
            <w:vAlign w:val="center"/>
            <w:hideMark/>
          </w:tcPr>
          <w:p w14:paraId="0378A9BE" w14:textId="77777777" w:rsidR="00D7331F" w:rsidRPr="00A4416B" w:rsidRDefault="00D7331F" w:rsidP="00582CA7">
            <w:pPr>
              <w:jc w:val="center"/>
              <w:rPr>
                <w:b/>
                <w:bCs/>
                <w:color w:val="FFFFFF"/>
                <w:sz w:val="16"/>
                <w:szCs w:val="16"/>
              </w:rPr>
            </w:pPr>
            <w:r w:rsidRPr="00A4416B">
              <w:rPr>
                <w:b/>
                <w:bCs/>
                <w:color w:val="FFFFFF"/>
                <w:sz w:val="16"/>
                <w:szCs w:val="16"/>
              </w:rPr>
              <w:t>-16.7%</w:t>
            </w:r>
          </w:p>
        </w:tc>
      </w:tr>
    </w:tbl>
    <w:p w14:paraId="7AD3F088" w14:textId="77E6583C" w:rsidR="00D7331F" w:rsidRDefault="00D7331F" w:rsidP="00D7331F">
      <w:pPr>
        <w:spacing w:before="48"/>
        <w:ind w:left="1978"/>
        <w:rPr>
          <w:sz w:val="16"/>
        </w:rPr>
      </w:pPr>
      <w:r>
        <w:rPr>
          <w:sz w:val="16"/>
        </w:rPr>
        <w:t>Fuente: SEGEPLAN.</w:t>
      </w:r>
    </w:p>
    <w:p w14:paraId="0C9D5D46" w14:textId="0C0FF93C" w:rsidR="00D7331F" w:rsidRDefault="00D7331F" w:rsidP="00D5208B"/>
    <w:p w14:paraId="5BD92C1E" w14:textId="0372EEE8" w:rsidR="00D7331F" w:rsidRPr="00595D3C" w:rsidRDefault="00595D3C" w:rsidP="00531A1B">
      <w:pPr>
        <w:pStyle w:val="Prrafodelista"/>
        <w:numPr>
          <w:ilvl w:val="1"/>
          <w:numId w:val="3"/>
        </w:numPr>
        <w:outlineLvl w:val="1"/>
        <w:rPr>
          <w:b/>
          <w:bCs/>
        </w:rPr>
      </w:pPr>
      <w:bookmarkStart w:id="213" w:name="_Toc143865857"/>
      <w:r w:rsidRPr="00595D3C">
        <w:rPr>
          <w:b/>
          <w:bCs/>
        </w:rPr>
        <w:t>Metas de política fiscal para el período 2024 - 2028</w:t>
      </w:r>
      <w:bookmarkEnd w:id="213"/>
    </w:p>
    <w:p w14:paraId="4A438B4E" w14:textId="77777777" w:rsidR="00D7331F" w:rsidRPr="00D5208B" w:rsidRDefault="00D7331F" w:rsidP="00D5208B"/>
    <w:p w14:paraId="7D3E1163" w14:textId="102B2D1C" w:rsidR="00595D3C" w:rsidRDefault="00595D3C" w:rsidP="00595D3C">
      <w:pPr>
        <w:jc w:val="both"/>
      </w:pPr>
      <w:r>
        <w:t>Para los próximos años, la política fiscal de Guatemala buscará establecer una estructura institucional sólida que permita mayor predictibilidad, menor discrecionalidad, mayor transparencia, planificación y coordinación entre las instituciones, con el objeto de convertirse en un instrumento para aumentar el bienestar de la población a través de una mayor tasa de crecimiento económico. En este sentido, se continuarán las medidas encaminadas al aumento sostenido de la recaudación tributaria, principalmente en materia de combate a la evasión tributaria y el contrabando.</w:t>
      </w:r>
    </w:p>
    <w:p w14:paraId="512DF7A1" w14:textId="6D39DE61" w:rsidR="00595D3C" w:rsidRDefault="00595D3C" w:rsidP="00595D3C">
      <w:pPr>
        <w:jc w:val="both"/>
      </w:pPr>
    </w:p>
    <w:p w14:paraId="6B81AE48" w14:textId="270D4321" w:rsidR="00595D3C" w:rsidRDefault="00595D3C" w:rsidP="00595D3C">
      <w:pPr>
        <w:jc w:val="both"/>
      </w:pPr>
      <w:r>
        <w:t>De la misma forma, se trabajará en mejorar la eficiencia y calidad del gasto público, para lo cual se avanzará en la formulación y ejecución de presupuestos basados en una gestión por resultados, que se enfocará en privilegiar el cumplimiento de los compromisos que como Estado se deben de solventar y aquellos que devienen del Plan Nacional de Desarrollo y la interacción de esta con los Objetivos de Desarrollo Sostenible.</w:t>
      </w:r>
    </w:p>
    <w:p w14:paraId="6907F558" w14:textId="25BB14C9" w:rsidR="00595D3C" w:rsidRDefault="00595D3C" w:rsidP="00595D3C">
      <w:pPr>
        <w:jc w:val="both"/>
      </w:pPr>
    </w:p>
    <w:p w14:paraId="715C0E1A" w14:textId="474760F2" w:rsidR="00595D3C" w:rsidRDefault="00595D3C" w:rsidP="00595D3C">
      <w:pPr>
        <w:jc w:val="both"/>
      </w:pPr>
      <w:r>
        <w:t>En la misma lógica, se propiciará un crecimiento sostenido de la inversión pública, principalmente obras de infraestructura vial y productiva, los que serán financiados con recursos propios y externos, así como a través del desarrollo de proyectos en el marco de la ley de alianzas público-privadas (APP).</w:t>
      </w:r>
    </w:p>
    <w:p w14:paraId="7395F32E" w14:textId="76F996FE" w:rsidR="00595D3C" w:rsidRDefault="00595D3C" w:rsidP="00595D3C">
      <w:pPr>
        <w:jc w:val="both"/>
      </w:pPr>
    </w:p>
    <w:p w14:paraId="5A9F0FBD" w14:textId="7002C7EF" w:rsidR="00595D3C" w:rsidRDefault="00595D3C" w:rsidP="00595D3C">
      <w:pPr>
        <w:jc w:val="both"/>
      </w:pPr>
      <w:r>
        <w:t>Todos los esfuerzos en materia de eficiencia en la gestión de ingresos y gastos estarán encaminados a avanzar en garantizar la sostenibilidad de la deuda pública en el mediano y largo plazo, de manera que la gestión de las finanzas públicas coadyuve a la consecución de la estabilidad macroeconómica y el desarrollo económico y social.</w:t>
      </w:r>
    </w:p>
    <w:p w14:paraId="232BB262" w14:textId="77777777" w:rsidR="00595D3C" w:rsidRDefault="00595D3C" w:rsidP="00595D3C">
      <w:pPr>
        <w:jc w:val="both"/>
      </w:pPr>
    </w:p>
    <w:p w14:paraId="26ADA220" w14:textId="49621D71" w:rsidR="00D5208B" w:rsidRDefault="00827ED5" w:rsidP="00595D3C">
      <w:pPr>
        <w:jc w:val="both"/>
      </w:pPr>
      <w:r>
        <w:rPr>
          <w:noProof/>
          <w:sz w:val="22"/>
        </w:rPr>
        <mc:AlternateContent>
          <mc:Choice Requires="wps">
            <w:drawing>
              <wp:anchor distT="0" distB="0" distL="0" distR="0" simplePos="0" relativeHeight="251750400" behindDoc="1" locked="0" layoutInCell="1" allowOverlap="1" wp14:anchorId="0FA00826" wp14:editId="1622666D">
                <wp:simplePos x="0" y="0"/>
                <wp:positionH relativeFrom="page">
                  <wp:posOffset>1002030</wp:posOffset>
                </wp:positionH>
                <wp:positionV relativeFrom="paragraph">
                  <wp:posOffset>523875</wp:posOffset>
                </wp:positionV>
                <wp:extent cx="5810250" cy="1528445"/>
                <wp:effectExtent l="0" t="0" r="19050" b="14605"/>
                <wp:wrapTopAndBottom/>
                <wp:docPr id="206" name="Text Box 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0" cy="1528445"/>
                        </a:xfrm>
                        <a:prstGeom prst="rect">
                          <a:avLst/>
                        </a:prstGeom>
                        <a:noFill/>
                        <a:ln w="18288">
                          <a:solidFill>
                            <a:srgbClr val="4471C4"/>
                          </a:solidFill>
                          <a:miter lim="800000"/>
                          <a:headEnd/>
                          <a:tailEnd/>
                        </a:ln>
                        <a:extLst>
                          <a:ext uri="{909E8E84-426E-40DD-AFC4-6F175D3DCCD1}">
                            <a14:hiddenFill xmlns:a14="http://schemas.microsoft.com/office/drawing/2010/main">
                              <a:solidFill>
                                <a:srgbClr val="FFFFFF"/>
                              </a:solidFill>
                            </a14:hiddenFill>
                          </a:ext>
                        </a:extLst>
                      </wps:spPr>
                      <wps:txbx>
                        <w:txbxContent>
                          <w:p w14:paraId="61CD9CA2" w14:textId="77777777" w:rsidR="00595D3C" w:rsidRPr="00827ED5" w:rsidRDefault="00595D3C" w:rsidP="00354A9C">
                            <w:pPr>
                              <w:numPr>
                                <w:ilvl w:val="0"/>
                                <w:numId w:val="9"/>
                              </w:numPr>
                              <w:tabs>
                                <w:tab w:val="left" w:pos="467"/>
                                <w:tab w:val="left" w:pos="468"/>
                              </w:tabs>
                              <w:ind w:right="106"/>
                              <w:rPr>
                                <w:sz w:val="20"/>
                                <w:szCs w:val="20"/>
                              </w:rPr>
                            </w:pPr>
                            <w:r w:rsidRPr="00827ED5">
                              <w:rPr>
                                <w:sz w:val="20"/>
                                <w:szCs w:val="20"/>
                              </w:rPr>
                              <w:t>Alcanzar</w:t>
                            </w:r>
                            <w:r w:rsidRPr="00827ED5">
                              <w:rPr>
                                <w:spacing w:val="-8"/>
                                <w:sz w:val="20"/>
                                <w:szCs w:val="20"/>
                              </w:rPr>
                              <w:t xml:space="preserve"> </w:t>
                            </w:r>
                            <w:r w:rsidRPr="00827ED5">
                              <w:rPr>
                                <w:sz w:val="20"/>
                                <w:szCs w:val="20"/>
                              </w:rPr>
                              <w:t>una</w:t>
                            </w:r>
                            <w:r w:rsidRPr="00827ED5">
                              <w:rPr>
                                <w:spacing w:val="-7"/>
                                <w:sz w:val="20"/>
                                <w:szCs w:val="20"/>
                              </w:rPr>
                              <w:t xml:space="preserve"> </w:t>
                            </w:r>
                            <w:r w:rsidRPr="00827ED5">
                              <w:rPr>
                                <w:sz w:val="20"/>
                                <w:szCs w:val="20"/>
                              </w:rPr>
                              <w:t>carga</w:t>
                            </w:r>
                            <w:r w:rsidRPr="00827ED5">
                              <w:rPr>
                                <w:spacing w:val="-8"/>
                                <w:sz w:val="20"/>
                                <w:szCs w:val="20"/>
                              </w:rPr>
                              <w:t xml:space="preserve"> </w:t>
                            </w:r>
                            <w:r w:rsidRPr="00827ED5">
                              <w:rPr>
                                <w:sz w:val="20"/>
                                <w:szCs w:val="20"/>
                              </w:rPr>
                              <w:t>tributaria</w:t>
                            </w:r>
                            <w:r w:rsidRPr="00827ED5">
                              <w:rPr>
                                <w:spacing w:val="-9"/>
                                <w:sz w:val="20"/>
                                <w:szCs w:val="20"/>
                              </w:rPr>
                              <w:t xml:space="preserve"> </w:t>
                            </w:r>
                            <w:r w:rsidRPr="00827ED5">
                              <w:rPr>
                                <w:sz w:val="20"/>
                                <w:szCs w:val="20"/>
                              </w:rPr>
                              <w:t>de</w:t>
                            </w:r>
                            <w:r w:rsidRPr="00827ED5">
                              <w:rPr>
                                <w:spacing w:val="-8"/>
                                <w:sz w:val="20"/>
                                <w:szCs w:val="20"/>
                              </w:rPr>
                              <w:t xml:space="preserve"> </w:t>
                            </w:r>
                            <w:r w:rsidRPr="00827ED5">
                              <w:rPr>
                                <w:sz w:val="20"/>
                                <w:szCs w:val="20"/>
                              </w:rPr>
                              <w:t>al</w:t>
                            </w:r>
                            <w:r w:rsidRPr="00827ED5">
                              <w:rPr>
                                <w:spacing w:val="-6"/>
                                <w:sz w:val="20"/>
                                <w:szCs w:val="20"/>
                              </w:rPr>
                              <w:t xml:space="preserve"> </w:t>
                            </w:r>
                            <w:r w:rsidRPr="00827ED5">
                              <w:rPr>
                                <w:sz w:val="20"/>
                                <w:szCs w:val="20"/>
                              </w:rPr>
                              <w:t>menos</w:t>
                            </w:r>
                            <w:r w:rsidRPr="00827ED5">
                              <w:rPr>
                                <w:spacing w:val="-8"/>
                                <w:sz w:val="20"/>
                                <w:szCs w:val="20"/>
                              </w:rPr>
                              <w:t xml:space="preserve"> </w:t>
                            </w:r>
                            <w:r w:rsidRPr="00827ED5">
                              <w:rPr>
                                <w:sz w:val="20"/>
                                <w:szCs w:val="20"/>
                              </w:rPr>
                              <w:t>12.1%</w:t>
                            </w:r>
                            <w:r w:rsidRPr="00827ED5">
                              <w:rPr>
                                <w:spacing w:val="-9"/>
                                <w:sz w:val="20"/>
                                <w:szCs w:val="20"/>
                              </w:rPr>
                              <w:t xml:space="preserve"> </w:t>
                            </w:r>
                            <w:r w:rsidRPr="00827ED5">
                              <w:rPr>
                                <w:sz w:val="20"/>
                                <w:szCs w:val="20"/>
                              </w:rPr>
                              <w:t>para</w:t>
                            </w:r>
                            <w:r w:rsidRPr="00827ED5">
                              <w:rPr>
                                <w:spacing w:val="-8"/>
                                <w:sz w:val="20"/>
                                <w:szCs w:val="20"/>
                              </w:rPr>
                              <w:t xml:space="preserve"> </w:t>
                            </w:r>
                            <w:r w:rsidRPr="00827ED5">
                              <w:rPr>
                                <w:sz w:val="20"/>
                                <w:szCs w:val="20"/>
                              </w:rPr>
                              <w:t>2028,</w:t>
                            </w:r>
                            <w:r w:rsidRPr="00827ED5">
                              <w:rPr>
                                <w:spacing w:val="-8"/>
                                <w:sz w:val="20"/>
                                <w:szCs w:val="20"/>
                              </w:rPr>
                              <w:t xml:space="preserve"> </w:t>
                            </w:r>
                            <w:r w:rsidRPr="00827ED5">
                              <w:rPr>
                                <w:sz w:val="20"/>
                                <w:szCs w:val="20"/>
                              </w:rPr>
                              <w:t>sin</w:t>
                            </w:r>
                            <w:r w:rsidRPr="00827ED5">
                              <w:rPr>
                                <w:spacing w:val="-9"/>
                                <w:sz w:val="20"/>
                                <w:szCs w:val="20"/>
                              </w:rPr>
                              <w:t xml:space="preserve"> </w:t>
                            </w:r>
                            <w:r w:rsidRPr="00827ED5">
                              <w:rPr>
                                <w:sz w:val="20"/>
                                <w:szCs w:val="20"/>
                              </w:rPr>
                              <w:t>incluir</w:t>
                            </w:r>
                            <w:r w:rsidRPr="00827ED5">
                              <w:rPr>
                                <w:spacing w:val="-9"/>
                                <w:sz w:val="20"/>
                                <w:szCs w:val="20"/>
                              </w:rPr>
                              <w:t xml:space="preserve"> </w:t>
                            </w:r>
                            <w:r w:rsidRPr="00827ED5">
                              <w:rPr>
                                <w:sz w:val="20"/>
                                <w:szCs w:val="20"/>
                              </w:rPr>
                              <w:t>una</w:t>
                            </w:r>
                            <w:r w:rsidRPr="00827ED5">
                              <w:rPr>
                                <w:spacing w:val="-8"/>
                                <w:sz w:val="20"/>
                                <w:szCs w:val="20"/>
                              </w:rPr>
                              <w:t xml:space="preserve"> </w:t>
                            </w:r>
                            <w:r w:rsidRPr="00827ED5">
                              <w:rPr>
                                <w:sz w:val="20"/>
                                <w:szCs w:val="20"/>
                              </w:rPr>
                              <w:t>reforma</w:t>
                            </w:r>
                            <w:r w:rsidRPr="00827ED5">
                              <w:rPr>
                                <w:spacing w:val="-8"/>
                                <w:sz w:val="20"/>
                                <w:szCs w:val="20"/>
                              </w:rPr>
                              <w:t xml:space="preserve"> </w:t>
                            </w:r>
                            <w:r w:rsidRPr="00827ED5">
                              <w:rPr>
                                <w:sz w:val="20"/>
                                <w:szCs w:val="20"/>
                              </w:rPr>
                              <w:t>tributaria</w:t>
                            </w:r>
                            <w:r w:rsidRPr="00827ED5">
                              <w:rPr>
                                <w:spacing w:val="-8"/>
                                <w:sz w:val="20"/>
                                <w:szCs w:val="20"/>
                              </w:rPr>
                              <w:t xml:space="preserve"> </w:t>
                            </w:r>
                            <w:r w:rsidRPr="00827ED5">
                              <w:rPr>
                                <w:sz w:val="20"/>
                                <w:szCs w:val="20"/>
                              </w:rPr>
                              <w:t>que podría elevar aún más este indicador</w:t>
                            </w:r>
                          </w:p>
                          <w:p w14:paraId="27FED4A3" w14:textId="77777777" w:rsidR="00595D3C" w:rsidRPr="00827ED5" w:rsidRDefault="00595D3C" w:rsidP="00354A9C">
                            <w:pPr>
                              <w:numPr>
                                <w:ilvl w:val="0"/>
                                <w:numId w:val="9"/>
                              </w:numPr>
                              <w:tabs>
                                <w:tab w:val="left" w:pos="467"/>
                                <w:tab w:val="left" w:pos="468"/>
                              </w:tabs>
                              <w:ind w:right="106"/>
                              <w:rPr>
                                <w:sz w:val="20"/>
                                <w:szCs w:val="20"/>
                              </w:rPr>
                            </w:pPr>
                            <w:r w:rsidRPr="00827ED5">
                              <w:rPr>
                                <w:sz w:val="20"/>
                                <w:szCs w:val="20"/>
                              </w:rPr>
                              <w:t>Promover que el gasto total se sitúe en promedio en no menos del 14.2% del PIB en el período indicado.</w:t>
                            </w:r>
                          </w:p>
                          <w:p w14:paraId="76302643" w14:textId="77777777" w:rsidR="00595D3C" w:rsidRPr="00827ED5" w:rsidRDefault="00595D3C" w:rsidP="00354A9C">
                            <w:pPr>
                              <w:numPr>
                                <w:ilvl w:val="0"/>
                                <w:numId w:val="9"/>
                              </w:numPr>
                              <w:tabs>
                                <w:tab w:val="left" w:pos="467"/>
                                <w:tab w:val="left" w:pos="468"/>
                              </w:tabs>
                              <w:ind w:hanging="361"/>
                              <w:rPr>
                                <w:sz w:val="20"/>
                                <w:szCs w:val="20"/>
                              </w:rPr>
                            </w:pPr>
                            <w:r w:rsidRPr="00827ED5">
                              <w:rPr>
                                <w:sz w:val="20"/>
                                <w:szCs w:val="20"/>
                              </w:rPr>
                              <w:t>Asegurar que el gasto social (educación, salud y vivienda) sea igual o mayor al 5% del</w:t>
                            </w:r>
                            <w:r w:rsidRPr="00827ED5">
                              <w:rPr>
                                <w:spacing w:val="-23"/>
                                <w:sz w:val="20"/>
                                <w:szCs w:val="20"/>
                              </w:rPr>
                              <w:t xml:space="preserve"> </w:t>
                            </w:r>
                            <w:r w:rsidRPr="00827ED5">
                              <w:rPr>
                                <w:sz w:val="20"/>
                                <w:szCs w:val="20"/>
                              </w:rPr>
                              <w:t>PIB.</w:t>
                            </w:r>
                          </w:p>
                          <w:p w14:paraId="3038C942" w14:textId="77777777" w:rsidR="00595D3C" w:rsidRPr="00827ED5" w:rsidRDefault="00595D3C" w:rsidP="00354A9C">
                            <w:pPr>
                              <w:numPr>
                                <w:ilvl w:val="0"/>
                                <w:numId w:val="9"/>
                              </w:numPr>
                              <w:tabs>
                                <w:tab w:val="left" w:pos="467"/>
                                <w:tab w:val="left" w:pos="468"/>
                              </w:tabs>
                              <w:ind w:hanging="361"/>
                              <w:rPr>
                                <w:sz w:val="20"/>
                                <w:szCs w:val="20"/>
                              </w:rPr>
                            </w:pPr>
                            <w:r w:rsidRPr="00827ED5">
                              <w:rPr>
                                <w:sz w:val="20"/>
                                <w:szCs w:val="20"/>
                              </w:rPr>
                              <w:t>Alcanzar un nivel de gasto de capital promedio no menor al 2.6% del</w:t>
                            </w:r>
                            <w:r w:rsidRPr="00827ED5">
                              <w:rPr>
                                <w:spacing w:val="-7"/>
                                <w:sz w:val="20"/>
                                <w:szCs w:val="20"/>
                              </w:rPr>
                              <w:t xml:space="preserve"> </w:t>
                            </w:r>
                            <w:r w:rsidRPr="00827ED5">
                              <w:rPr>
                                <w:sz w:val="20"/>
                                <w:szCs w:val="20"/>
                              </w:rPr>
                              <w:t>PIB.</w:t>
                            </w:r>
                          </w:p>
                          <w:p w14:paraId="0D8DB8A1" w14:textId="77777777" w:rsidR="00595D3C" w:rsidRPr="00827ED5" w:rsidRDefault="00595D3C" w:rsidP="00354A9C">
                            <w:pPr>
                              <w:numPr>
                                <w:ilvl w:val="0"/>
                                <w:numId w:val="9"/>
                              </w:numPr>
                              <w:tabs>
                                <w:tab w:val="left" w:pos="467"/>
                                <w:tab w:val="left" w:pos="468"/>
                              </w:tabs>
                              <w:ind w:hanging="361"/>
                              <w:rPr>
                                <w:sz w:val="20"/>
                                <w:szCs w:val="20"/>
                              </w:rPr>
                            </w:pPr>
                            <w:r w:rsidRPr="00827ED5">
                              <w:rPr>
                                <w:sz w:val="20"/>
                                <w:szCs w:val="20"/>
                              </w:rPr>
                              <w:t>Lograr que el déficit fiscal en promedio se ubique en 1.8% del</w:t>
                            </w:r>
                            <w:r w:rsidRPr="00827ED5">
                              <w:rPr>
                                <w:spacing w:val="-6"/>
                                <w:sz w:val="20"/>
                                <w:szCs w:val="20"/>
                              </w:rPr>
                              <w:t xml:space="preserve"> </w:t>
                            </w:r>
                            <w:r w:rsidRPr="00827ED5">
                              <w:rPr>
                                <w:sz w:val="20"/>
                                <w:szCs w:val="20"/>
                              </w:rPr>
                              <w:t>PIB.</w:t>
                            </w:r>
                          </w:p>
                          <w:p w14:paraId="10F0AF30" w14:textId="77777777" w:rsidR="00595D3C" w:rsidRPr="00827ED5" w:rsidRDefault="00595D3C" w:rsidP="00354A9C">
                            <w:pPr>
                              <w:numPr>
                                <w:ilvl w:val="0"/>
                                <w:numId w:val="9"/>
                              </w:numPr>
                              <w:tabs>
                                <w:tab w:val="left" w:pos="467"/>
                                <w:tab w:val="left" w:pos="468"/>
                              </w:tabs>
                              <w:ind w:hanging="361"/>
                              <w:rPr>
                                <w:sz w:val="20"/>
                                <w:szCs w:val="20"/>
                              </w:rPr>
                            </w:pPr>
                            <w:r w:rsidRPr="00827ED5">
                              <w:rPr>
                                <w:sz w:val="20"/>
                                <w:szCs w:val="20"/>
                              </w:rPr>
                              <w:t xml:space="preserve">Lograr un nivel de deuda pública que no supere el 28.5% del PIB en 2028, y con la aplicación de choques combinados conforme al análisis de sostenibilidad de deuda no debería superar 33.5% en dicho año. </w:t>
                            </w:r>
                          </w:p>
                          <w:p w14:paraId="7C7D8ED7" w14:textId="77777777" w:rsidR="00595D3C" w:rsidRPr="00827ED5" w:rsidRDefault="00595D3C" w:rsidP="00354A9C">
                            <w:pPr>
                              <w:numPr>
                                <w:ilvl w:val="0"/>
                                <w:numId w:val="9"/>
                              </w:numPr>
                              <w:tabs>
                                <w:tab w:val="left" w:pos="467"/>
                                <w:tab w:val="left" w:pos="468"/>
                              </w:tabs>
                              <w:ind w:hanging="361"/>
                              <w:rPr>
                                <w:sz w:val="20"/>
                                <w:szCs w:val="20"/>
                              </w:rPr>
                            </w:pPr>
                            <w:r w:rsidRPr="00827ED5">
                              <w:rPr>
                                <w:sz w:val="20"/>
                                <w:szCs w:val="20"/>
                              </w:rPr>
                              <w:t>Honrar con prioridad los compromisos de pago asociados a la deuda</w:t>
                            </w:r>
                            <w:r w:rsidRPr="00827ED5">
                              <w:rPr>
                                <w:spacing w:val="-8"/>
                                <w:sz w:val="20"/>
                                <w:szCs w:val="20"/>
                              </w:rPr>
                              <w:t xml:space="preserve"> </w:t>
                            </w:r>
                            <w:r w:rsidRPr="00827ED5">
                              <w:rPr>
                                <w:sz w:val="20"/>
                                <w:szCs w:val="20"/>
                              </w:rPr>
                              <w:t>pública.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A00826" id="Text Box 874" o:spid="_x0000_s1043" type="#_x0000_t202" style="position:absolute;left:0;text-align:left;margin-left:78.9pt;margin-top:41.25pt;width:457.5pt;height:120.35pt;z-index:-251566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" filled="f" strokecolor="#4471c4" strokeweight="1.44pt">
                <v:textbox inset="0,0,0,0">
                  <w:txbxContent>
                    <w:p w14:paraId="61CD9CA2" w14:textId="77777777" w:rsidR="00595D3C" w:rsidRPr="00827ED5" w:rsidRDefault="00595D3C" w:rsidP="00354A9C">
                      <w:pPr>
                        <w:numPr>
                          <w:ilvl w:val="0"/>
                          <w:numId w:val="9"/>
                        </w:numPr>
                        <w:tabs>
                          <w:tab w:val="left" w:pos="467"/>
                          <w:tab w:val="left" w:pos="468"/>
                        </w:tabs>
                        <w:ind w:right="106"/>
                        <w:rPr>
                          <w:sz w:val="20"/>
                          <w:szCs w:val="20"/>
                        </w:rPr>
                      </w:pPr>
                      <w:r w:rsidRPr="00827ED5">
                        <w:rPr>
                          <w:sz w:val="20"/>
                          <w:szCs w:val="20"/>
                        </w:rPr>
                        <w:t>Alcanzar</w:t>
                      </w:r>
                      <w:r w:rsidRPr="00827ED5">
                        <w:rPr>
                          <w:spacing w:val="-8"/>
                          <w:sz w:val="20"/>
                          <w:szCs w:val="20"/>
                        </w:rPr>
                        <w:t xml:space="preserve"> </w:t>
                      </w:r>
                      <w:r w:rsidRPr="00827ED5">
                        <w:rPr>
                          <w:sz w:val="20"/>
                          <w:szCs w:val="20"/>
                        </w:rPr>
                        <w:t>una</w:t>
                      </w:r>
                      <w:r w:rsidRPr="00827ED5">
                        <w:rPr>
                          <w:spacing w:val="-7"/>
                          <w:sz w:val="20"/>
                          <w:szCs w:val="20"/>
                        </w:rPr>
                        <w:t xml:space="preserve"> </w:t>
                      </w:r>
                      <w:r w:rsidRPr="00827ED5">
                        <w:rPr>
                          <w:sz w:val="20"/>
                          <w:szCs w:val="20"/>
                        </w:rPr>
                        <w:t>carga</w:t>
                      </w:r>
                      <w:r w:rsidRPr="00827ED5">
                        <w:rPr>
                          <w:spacing w:val="-8"/>
                          <w:sz w:val="20"/>
                          <w:szCs w:val="20"/>
                        </w:rPr>
                        <w:t xml:space="preserve"> </w:t>
                      </w:r>
                      <w:r w:rsidRPr="00827ED5">
                        <w:rPr>
                          <w:sz w:val="20"/>
                          <w:szCs w:val="20"/>
                        </w:rPr>
                        <w:t>tributaria</w:t>
                      </w:r>
                      <w:r w:rsidRPr="00827ED5">
                        <w:rPr>
                          <w:spacing w:val="-9"/>
                          <w:sz w:val="20"/>
                          <w:szCs w:val="20"/>
                        </w:rPr>
                        <w:t xml:space="preserve"> </w:t>
                      </w:r>
                      <w:r w:rsidRPr="00827ED5">
                        <w:rPr>
                          <w:sz w:val="20"/>
                          <w:szCs w:val="20"/>
                        </w:rPr>
                        <w:t>de</w:t>
                      </w:r>
                      <w:r w:rsidRPr="00827ED5">
                        <w:rPr>
                          <w:spacing w:val="-8"/>
                          <w:sz w:val="20"/>
                          <w:szCs w:val="20"/>
                        </w:rPr>
                        <w:t xml:space="preserve"> </w:t>
                      </w:r>
                      <w:r w:rsidRPr="00827ED5">
                        <w:rPr>
                          <w:sz w:val="20"/>
                          <w:szCs w:val="20"/>
                        </w:rPr>
                        <w:t>al</w:t>
                      </w:r>
                      <w:r w:rsidRPr="00827ED5">
                        <w:rPr>
                          <w:spacing w:val="-6"/>
                          <w:sz w:val="20"/>
                          <w:szCs w:val="20"/>
                        </w:rPr>
                        <w:t xml:space="preserve"> </w:t>
                      </w:r>
                      <w:r w:rsidRPr="00827ED5">
                        <w:rPr>
                          <w:sz w:val="20"/>
                          <w:szCs w:val="20"/>
                        </w:rPr>
                        <w:t>menos</w:t>
                      </w:r>
                      <w:r w:rsidRPr="00827ED5">
                        <w:rPr>
                          <w:spacing w:val="-8"/>
                          <w:sz w:val="20"/>
                          <w:szCs w:val="20"/>
                        </w:rPr>
                        <w:t xml:space="preserve"> </w:t>
                      </w:r>
                      <w:r w:rsidRPr="00827ED5">
                        <w:rPr>
                          <w:sz w:val="20"/>
                          <w:szCs w:val="20"/>
                        </w:rPr>
                        <w:t>12.1%</w:t>
                      </w:r>
                      <w:r w:rsidRPr="00827ED5">
                        <w:rPr>
                          <w:spacing w:val="-9"/>
                          <w:sz w:val="20"/>
                          <w:szCs w:val="20"/>
                        </w:rPr>
                        <w:t xml:space="preserve"> </w:t>
                      </w:r>
                      <w:r w:rsidRPr="00827ED5">
                        <w:rPr>
                          <w:sz w:val="20"/>
                          <w:szCs w:val="20"/>
                        </w:rPr>
                        <w:t>para</w:t>
                      </w:r>
                      <w:r w:rsidRPr="00827ED5">
                        <w:rPr>
                          <w:spacing w:val="-8"/>
                          <w:sz w:val="20"/>
                          <w:szCs w:val="20"/>
                        </w:rPr>
                        <w:t xml:space="preserve"> </w:t>
                      </w:r>
                      <w:r w:rsidRPr="00827ED5">
                        <w:rPr>
                          <w:sz w:val="20"/>
                          <w:szCs w:val="20"/>
                        </w:rPr>
                        <w:t>2028,</w:t>
                      </w:r>
                      <w:r w:rsidRPr="00827ED5">
                        <w:rPr>
                          <w:spacing w:val="-8"/>
                          <w:sz w:val="20"/>
                          <w:szCs w:val="20"/>
                        </w:rPr>
                        <w:t xml:space="preserve"> </w:t>
                      </w:r>
                      <w:r w:rsidRPr="00827ED5">
                        <w:rPr>
                          <w:sz w:val="20"/>
                          <w:szCs w:val="20"/>
                        </w:rPr>
                        <w:t>sin</w:t>
                      </w:r>
                      <w:r w:rsidRPr="00827ED5">
                        <w:rPr>
                          <w:spacing w:val="-9"/>
                          <w:sz w:val="20"/>
                          <w:szCs w:val="20"/>
                        </w:rPr>
                        <w:t xml:space="preserve"> </w:t>
                      </w:r>
                      <w:r w:rsidRPr="00827ED5">
                        <w:rPr>
                          <w:sz w:val="20"/>
                          <w:szCs w:val="20"/>
                        </w:rPr>
                        <w:t>incluir</w:t>
                      </w:r>
                      <w:r w:rsidRPr="00827ED5">
                        <w:rPr>
                          <w:spacing w:val="-9"/>
                          <w:sz w:val="20"/>
                          <w:szCs w:val="20"/>
                        </w:rPr>
                        <w:t xml:space="preserve"> </w:t>
                      </w:r>
                      <w:r w:rsidRPr="00827ED5">
                        <w:rPr>
                          <w:sz w:val="20"/>
                          <w:szCs w:val="20"/>
                        </w:rPr>
                        <w:t>una</w:t>
                      </w:r>
                      <w:r w:rsidRPr="00827ED5">
                        <w:rPr>
                          <w:spacing w:val="-8"/>
                          <w:sz w:val="20"/>
                          <w:szCs w:val="20"/>
                        </w:rPr>
                        <w:t xml:space="preserve"> </w:t>
                      </w:r>
                      <w:r w:rsidRPr="00827ED5">
                        <w:rPr>
                          <w:sz w:val="20"/>
                          <w:szCs w:val="20"/>
                        </w:rPr>
                        <w:t>reforma</w:t>
                      </w:r>
                      <w:r w:rsidRPr="00827ED5">
                        <w:rPr>
                          <w:spacing w:val="-8"/>
                          <w:sz w:val="20"/>
                          <w:szCs w:val="20"/>
                        </w:rPr>
                        <w:t xml:space="preserve"> </w:t>
                      </w:r>
                      <w:r w:rsidRPr="00827ED5">
                        <w:rPr>
                          <w:sz w:val="20"/>
                          <w:szCs w:val="20"/>
                        </w:rPr>
                        <w:t>tributaria</w:t>
                      </w:r>
                      <w:r w:rsidRPr="00827ED5">
                        <w:rPr>
                          <w:spacing w:val="-8"/>
                          <w:sz w:val="20"/>
                          <w:szCs w:val="20"/>
                        </w:rPr>
                        <w:t xml:space="preserve"> </w:t>
                      </w:r>
                      <w:r w:rsidRPr="00827ED5">
                        <w:rPr>
                          <w:sz w:val="20"/>
                          <w:szCs w:val="20"/>
                        </w:rPr>
                        <w:t>que podría elevar aún más este indicador</w:t>
                      </w:r>
                    </w:p>
                    <w:p w14:paraId="27FED4A3" w14:textId="77777777" w:rsidR="00595D3C" w:rsidRPr="00827ED5" w:rsidRDefault="00595D3C" w:rsidP="00354A9C">
                      <w:pPr>
                        <w:numPr>
                          <w:ilvl w:val="0"/>
                          <w:numId w:val="9"/>
                        </w:numPr>
                        <w:tabs>
                          <w:tab w:val="left" w:pos="467"/>
                          <w:tab w:val="left" w:pos="468"/>
                        </w:tabs>
                        <w:ind w:right="106"/>
                        <w:rPr>
                          <w:sz w:val="20"/>
                          <w:szCs w:val="20"/>
                        </w:rPr>
                      </w:pPr>
                      <w:r w:rsidRPr="00827ED5">
                        <w:rPr>
                          <w:sz w:val="20"/>
                          <w:szCs w:val="20"/>
                        </w:rPr>
                        <w:t>Promover que el gasto total se sitúe en promedio en no menos del 14.2% del PIB en el período indicado.</w:t>
                      </w:r>
                    </w:p>
                    <w:p w14:paraId="76302643" w14:textId="77777777" w:rsidR="00595D3C" w:rsidRPr="00827ED5" w:rsidRDefault="00595D3C" w:rsidP="00354A9C">
                      <w:pPr>
                        <w:numPr>
                          <w:ilvl w:val="0"/>
                          <w:numId w:val="9"/>
                        </w:numPr>
                        <w:tabs>
                          <w:tab w:val="left" w:pos="467"/>
                          <w:tab w:val="left" w:pos="468"/>
                        </w:tabs>
                        <w:ind w:hanging="361"/>
                        <w:rPr>
                          <w:sz w:val="20"/>
                          <w:szCs w:val="20"/>
                        </w:rPr>
                      </w:pPr>
                      <w:r w:rsidRPr="00827ED5">
                        <w:rPr>
                          <w:sz w:val="20"/>
                          <w:szCs w:val="20"/>
                        </w:rPr>
                        <w:t>Asegurar que el gasto social (educación, salud y vivienda) sea igual o mayor al 5% del</w:t>
                      </w:r>
                      <w:r w:rsidRPr="00827ED5">
                        <w:rPr>
                          <w:spacing w:val="-23"/>
                          <w:sz w:val="20"/>
                          <w:szCs w:val="20"/>
                        </w:rPr>
                        <w:t xml:space="preserve"> </w:t>
                      </w:r>
                      <w:r w:rsidRPr="00827ED5">
                        <w:rPr>
                          <w:sz w:val="20"/>
                          <w:szCs w:val="20"/>
                        </w:rPr>
                        <w:t>PIB.</w:t>
                      </w:r>
                    </w:p>
                    <w:p w14:paraId="3038C942" w14:textId="77777777" w:rsidR="00595D3C" w:rsidRPr="00827ED5" w:rsidRDefault="00595D3C" w:rsidP="00354A9C">
                      <w:pPr>
                        <w:numPr>
                          <w:ilvl w:val="0"/>
                          <w:numId w:val="9"/>
                        </w:numPr>
                        <w:tabs>
                          <w:tab w:val="left" w:pos="467"/>
                          <w:tab w:val="left" w:pos="468"/>
                        </w:tabs>
                        <w:ind w:hanging="361"/>
                        <w:rPr>
                          <w:sz w:val="20"/>
                          <w:szCs w:val="20"/>
                        </w:rPr>
                      </w:pPr>
                      <w:r w:rsidRPr="00827ED5">
                        <w:rPr>
                          <w:sz w:val="20"/>
                          <w:szCs w:val="20"/>
                        </w:rPr>
                        <w:t>Alcanzar un nivel de gasto de capital promedio no menor al 2.6% del</w:t>
                      </w:r>
                      <w:r w:rsidRPr="00827ED5">
                        <w:rPr>
                          <w:spacing w:val="-7"/>
                          <w:sz w:val="20"/>
                          <w:szCs w:val="20"/>
                        </w:rPr>
                        <w:t xml:space="preserve"> </w:t>
                      </w:r>
                      <w:r w:rsidRPr="00827ED5">
                        <w:rPr>
                          <w:sz w:val="20"/>
                          <w:szCs w:val="20"/>
                        </w:rPr>
                        <w:t>PIB.</w:t>
                      </w:r>
                    </w:p>
                    <w:p w14:paraId="0D8DB8A1" w14:textId="77777777" w:rsidR="00595D3C" w:rsidRPr="00827ED5" w:rsidRDefault="00595D3C" w:rsidP="00354A9C">
                      <w:pPr>
                        <w:numPr>
                          <w:ilvl w:val="0"/>
                          <w:numId w:val="9"/>
                        </w:numPr>
                        <w:tabs>
                          <w:tab w:val="left" w:pos="467"/>
                          <w:tab w:val="left" w:pos="468"/>
                        </w:tabs>
                        <w:ind w:hanging="361"/>
                        <w:rPr>
                          <w:sz w:val="20"/>
                          <w:szCs w:val="20"/>
                        </w:rPr>
                      </w:pPr>
                      <w:r w:rsidRPr="00827ED5">
                        <w:rPr>
                          <w:sz w:val="20"/>
                          <w:szCs w:val="20"/>
                        </w:rPr>
                        <w:t>Lograr que el déficit fiscal en promedio se ubique en 1.8% del</w:t>
                      </w:r>
                      <w:r w:rsidRPr="00827ED5">
                        <w:rPr>
                          <w:spacing w:val="-6"/>
                          <w:sz w:val="20"/>
                          <w:szCs w:val="20"/>
                        </w:rPr>
                        <w:t xml:space="preserve"> </w:t>
                      </w:r>
                      <w:r w:rsidRPr="00827ED5">
                        <w:rPr>
                          <w:sz w:val="20"/>
                          <w:szCs w:val="20"/>
                        </w:rPr>
                        <w:t>PIB.</w:t>
                      </w:r>
                    </w:p>
                    <w:p w14:paraId="10F0AF30" w14:textId="77777777" w:rsidR="00595D3C" w:rsidRPr="00827ED5" w:rsidRDefault="00595D3C" w:rsidP="00354A9C">
                      <w:pPr>
                        <w:numPr>
                          <w:ilvl w:val="0"/>
                          <w:numId w:val="9"/>
                        </w:numPr>
                        <w:tabs>
                          <w:tab w:val="left" w:pos="467"/>
                          <w:tab w:val="left" w:pos="468"/>
                        </w:tabs>
                        <w:ind w:hanging="361"/>
                        <w:rPr>
                          <w:sz w:val="20"/>
                          <w:szCs w:val="20"/>
                        </w:rPr>
                      </w:pPr>
                      <w:r w:rsidRPr="00827ED5">
                        <w:rPr>
                          <w:sz w:val="20"/>
                          <w:szCs w:val="20"/>
                        </w:rPr>
                        <w:t xml:space="preserve">Lograr un nivel de deuda pública que no supere el 28.5% del PIB en 2028, y con la aplicación de choques combinados conforme al análisis de sostenibilidad de deuda no debería superar 33.5% en dicho año. </w:t>
                      </w:r>
                    </w:p>
                    <w:p w14:paraId="7C7D8ED7" w14:textId="77777777" w:rsidR="00595D3C" w:rsidRPr="00827ED5" w:rsidRDefault="00595D3C" w:rsidP="00354A9C">
                      <w:pPr>
                        <w:numPr>
                          <w:ilvl w:val="0"/>
                          <w:numId w:val="9"/>
                        </w:numPr>
                        <w:tabs>
                          <w:tab w:val="left" w:pos="467"/>
                          <w:tab w:val="left" w:pos="468"/>
                        </w:tabs>
                        <w:ind w:hanging="361"/>
                        <w:rPr>
                          <w:sz w:val="20"/>
                          <w:szCs w:val="20"/>
                        </w:rPr>
                      </w:pPr>
                      <w:r w:rsidRPr="00827ED5">
                        <w:rPr>
                          <w:sz w:val="20"/>
                          <w:szCs w:val="20"/>
                        </w:rPr>
                        <w:t>Honrar con prioridad los compromisos de pago asociados a la deuda</w:t>
                      </w:r>
                      <w:r w:rsidRPr="00827ED5">
                        <w:rPr>
                          <w:spacing w:val="-8"/>
                          <w:sz w:val="20"/>
                          <w:szCs w:val="20"/>
                        </w:rPr>
                        <w:t xml:space="preserve"> </w:t>
                      </w:r>
                      <w:r w:rsidRPr="00827ED5">
                        <w:rPr>
                          <w:sz w:val="20"/>
                          <w:szCs w:val="20"/>
                        </w:rPr>
                        <w:t>pública.</w:t>
                      </w:r>
                    </w:p>
                  </w:txbxContent>
                </v:textbox>
                <w10:wrap type="topAndBottom" anchorx="page"/>
              </v:shape>
            </w:pict>
          </mc:Fallback>
        </mc:AlternateContent>
      </w:r>
      <w:r w:rsidR="00595D3C">
        <w:t>En este contexto, las principales metas de la política fiscal para el período 2024-2028, considerando las estimaciones previstas de mediano plazo son las siguientes:</w:t>
      </w:r>
    </w:p>
    <w:p w14:paraId="564BF5B9" w14:textId="68D7CD69" w:rsidR="00F03014" w:rsidRDefault="00F03014" w:rsidP="009F727A">
      <w:pPr>
        <w:jc w:val="both"/>
      </w:pPr>
    </w:p>
    <w:p w14:paraId="2C27FD69" w14:textId="6A686400" w:rsidR="009F727A" w:rsidRPr="000207CF" w:rsidRDefault="00595D3C" w:rsidP="00531A1B">
      <w:pPr>
        <w:pStyle w:val="Prrafodelista"/>
        <w:numPr>
          <w:ilvl w:val="0"/>
          <w:numId w:val="3"/>
        </w:numPr>
        <w:jc w:val="both"/>
        <w:outlineLvl w:val="0"/>
        <w:rPr>
          <w:b/>
          <w:bCs/>
        </w:rPr>
      </w:pPr>
      <w:bookmarkStart w:id="214" w:name="_Toc143865858"/>
      <w:r w:rsidRPr="000207CF">
        <w:rPr>
          <w:b/>
          <w:bCs/>
        </w:rPr>
        <w:t>Proyecciones fiscales de mediano plazo</w:t>
      </w:r>
      <w:bookmarkEnd w:id="214"/>
    </w:p>
    <w:p w14:paraId="274036F4" w14:textId="1F7A2306" w:rsidR="009F727A" w:rsidRDefault="009F727A" w:rsidP="00595D3C"/>
    <w:p w14:paraId="2B9E6111" w14:textId="7DE0C65E" w:rsidR="00595D3C" w:rsidRDefault="00595D3C" w:rsidP="00595D3C">
      <w:pPr>
        <w:jc w:val="both"/>
      </w:pPr>
      <w:r w:rsidRPr="00595D3C">
        <w:t>El escenario fiscal de mediano plazo descansa en las perspectivas de la actividad económica previstas en el marco macroeconómico de mediano plazo y que es congruente con un escenario conservador de las principales variables, sustentadas en las estimaciones elaboradas por el Banco de Guatemala en el escenario medio para 2023 y escenario bajo para 2024-2028. Asimismo, es consistente con las perspectivas de desembolsos de préstamos externos que el gobierno puede obtener con las operaciones que actualmente están en ejecución y los que llevan gestión avanzada, así como por las obligaciones que el Estado debe atender de manera recurrente y por la inversión adicional que se pueda realizar tomando como referencia la disponibilidad de recursos y la priorización del Plan Nacional de Desarrollo enlazado con los objetivos de desarrollo sostenible.</w:t>
      </w:r>
    </w:p>
    <w:p w14:paraId="3326EE66" w14:textId="77948868" w:rsidR="00595D3C" w:rsidRDefault="00595D3C" w:rsidP="00595D3C">
      <w:pPr>
        <w:jc w:val="both"/>
      </w:pPr>
    </w:p>
    <w:p w14:paraId="1841F751" w14:textId="59527B3F" w:rsidR="00595D3C" w:rsidRPr="00595D3C" w:rsidRDefault="00595D3C" w:rsidP="00531A1B">
      <w:pPr>
        <w:pStyle w:val="Prrafodelista"/>
        <w:numPr>
          <w:ilvl w:val="1"/>
          <w:numId w:val="3"/>
        </w:numPr>
        <w:jc w:val="both"/>
        <w:outlineLvl w:val="1"/>
        <w:rPr>
          <w:b/>
          <w:bCs/>
        </w:rPr>
      </w:pPr>
      <w:bookmarkStart w:id="215" w:name="_Toc143865859"/>
      <w:r w:rsidRPr="00595D3C">
        <w:rPr>
          <w:b/>
          <w:bCs/>
        </w:rPr>
        <w:t>Proyección de ingresos fiscales</w:t>
      </w:r>
      <w:bookmarkEnd w:id="215"/>
    </w:p>
    <w:p w14:paraId="42427ED6" w14:textId="36DD9309" w:rsidR="00595D3C" w:rsidRDefault="00595D3C" w:rsidP="00595D3C"/>
    <w:p w14:paraId="3306089D" w14:textId="77777777" w:rsidR="00595D3C" w:rsidRDefault="00595D3C" w:rsidP="00595D3C">
      <w:pPr>
        <w:jc w:val="both"/>
      </w:pPr>
      <w:r>
        <w:t>El escenario fiscal de mediano plazo descansa en las perspectivas de la actividad económica previstas en el marco macroeconómico de mediano plazo y que es congruente con un escenario conservador de las principales variables, sustentadas en las estimaciones elaboradas por el Banco de Guatemala en el escenario medio para la estimación de cierre 2023 y el escenario bajo para 2024 a 2028.   Asimismo, es consistente con las perspectivas de desembolsos de préstamos externos que el gobierno puede obtener con las operaciones que actualmente están en ejecución y los que llevan gestión avanzada, así como por las obligaciones que el Estado debe atender de manera recurrente y por la inversión adicional que se pueda realizar tomando como referencia la disponibilidad de recursos y la priorización del Plan Nacional de Desarrollo enlazado con los objetivos de desarrollo sostenible.</w:t>
      </w:r>
    </w:p>
    <w:p w14:paraId="098536D2" w14:textId="77777777" w:rsidR="00595D3C" w:rsidRDefault="00595D3C" w:rsidP="00595D3C">
      <w:pPr>
        <w:jc w:val="both"/>
      </w:pPr>
    </w:p>
    <w:p w14:paraId="5694CA37" w14:textId="77777777" w:rsidR="00595D3C" w:rsidRDefault="00595D3C" w:rsidP="00595D3C">
      <w:pPr>
        <w:jc w:val="both"/>
      </w:pPr>
      <w:r>
        <w:t>Las estimaciones de ingresos fiscales se realizan sobre la base de información proporcionada por la Superintendencia de Administración Tributaria en el caso de la recaudación de impuestos y lo que las entidades estiman percibir por concepto de operaciones no tributarias como la venta de bienes y servicios, el cobro de tasas, derechos, arrendamientos, intereses por algunas operaciones, dividendos que generan algunas empresas públicas o por participaciones de capital del Estado, así como por las donaciones que se esperan recibir de organismos internacionales, y las contribuciones a la seguridad social que pagan los trabajadores del Estado al Régimen de Clases Pasivas.</w:t>
      </w:r>
    </w:p>
    <w:p w14:paraId="251E751A" w14:textId="77777777" w:rsidR="00595D3C" w:rsidRDefault="00595D3C" w:rsidP="00595D3C">
      <w:pPr>
        <w:jc w:val="both"/>
      </w:pPr>
    </w:p>
    <w:p w14:paraId="1C7F271C" w14:textId="77777777" w:rsidR="00595D3C" w:rsidRDefault="00595D3C" w:rsidP="00595D3C">
      <w:pPr>
        <w:jc w:val="both"/>
      </w:pPr>
      <w:r>
        <w:t>Es importante considerar que, generalmente cerca del 95.3% de los ingresos totales provienen de la recaudación tributaria y dentro de los ingresos fiscales no se incluye los recursos por endeudamiento público, así como el uso de depósitos del gobierno en el Banco de Guatemala.</w:t>
      </w:r>
    </w:p>
    <w:p w14:paraId="550C2DA5" w14:textId="77777777" w:rsidR="00595D3C" w:rsidRDefault="00595D3C" w:rsidP="00595D3C">
      <w:pPr>
        <w:jc w:val="both"/>
      </w:pPr>
    </w:p>
    <w:p w14:paraId="6D5E868D" w14:textId="1E33A181" w:rsidR="00595D3C" w:rsidRDefault="00595D3C" w:rsidP="00595D3C">
      <w:pPr>
        <w:jc w:val="both"/>
      </w:pPr>
      <w:r>
        <w:t>Para el desarrollo del presupuesto multianual 2024-2028, se prevé que los ingresos tributarios se ubicarán por el orden de Q93,407.6 millones para 2023 y mostrará un crecimiento interanual promedio de 6.9%. previéndose que para 2028 se situará</w:t>
      </w:r>
      <w:r w:rsidR="00FD4DD0">
        <w:t>n</w:t>
      </w:r>
      <w:r>
        <w:t xml:space="preserve"> en Q130,549.4 millones, vale indicar que para estos años se incluye recaudación adicional por medidas administrativas, estos ingresos tributarios del escenario de mediano plazo representan en promedio el 95.</w:t>
      </w:r>
      <w:r w:rsidR="00FD4DD0">
        <w:t>8</w:t>
      </w:r>
      <w:r>
        <w:t>% de los ingresos totales.</w:t>
      </w:r>
    </w:p>
    <w:p w14:paraId="699A7D50" w14:textId="66C64405" w:rsidR="00595D3C" w:rsidRDefault="00595D3C" w:rsidP="00595D3C">
      <w:pPr>
        <w:jc w:val="both"/>
      </w:pPr>
    </w:p>
    <w:p w14:paraId="3B2A554D" w14:textId="0045419E" w:rsidR="00595D3C" w:rsidRPr="0071370B" w:rsidRDefault="0071370B" w:rsidP="0071370B">
      <w:pPr>
        <w:pStyle w:val="Descripcin"/>
        <w:spacing w:after="0"/>
        <w:jc w:val="center"/>
        <w:rPr>
          <w:b/>
          <w:bCs/>
          <w:i w:val="0"/>
          <w:iCs w:val="0"/>
          <w:color w:val="auto"/>
          <w:sz w:val="24"/>
          <w:szCs w:val="24"/>
          <w:lang w:eastAsia="en-US"/>
        </w:rPr>
      </w:pPr>
      <w:bookmarkStart w:id="216" w:name="_Toc143870751"/>
      <w:r w:rsidRPr="0071370B">
        <w:rPr>
          <w:b/>
          <w:bCs/>
          <w:i w:val="0"/>
          <w:iCs w:val="0"/>
          <w:color w:val="auto"/>
          <w:sz w:val="24"/>
          <w:szCs w:val="24"/>
        </w:rPr>
        <w:t xml:space="preserve">Gráfico </w:t>
      </w:r>
      <w:r w:rsidRPr="0071370B">
        <w:rPr>
          <w:b/>
          <w:bCs/>
          <w:i w:val="0"/>
          <w:iCs w:val="0"/>
          <w:color w:val="auto"/>
          <w:sz w:val="24"/>
          <w:szCs w:val="24"/>
        </w:rPr>
        <w:fldChar w:fldCharType="begin"/>
      </w:r>
      <w:r w:rsidRPr="0071370B">
        <w:rPr>
          <w:b/>
          <w:bCs/>
          <w:i w:val="0"/>
          <w:iCs w:val="0"/>
          <w:color w:val="auto"/>
          <w:sz w:val="24"/>
          <w:szCs w:val="24"/>
        </w:rPr>
        <w:instrText xml:space="preserve"> SEQ Gráfico \* ARABIC </w:instrText>
      </w:r>
      <w:r w:rsidRPr="0071370B">
        <w:rPr>
          <w:b/>
          <w:bCs/>
          <w:i w:val="0"/>
          <w:iCs w:val="0"/>
          <w:color w:val="auto"/>
          <w:sz w:val="24"/>
          <w:szCs w:val="24"/>
        </w:rPr>
        <w:fldChar w:fldCharType="separate"/>
      </w:r>
      <w:r w:rsidR="006622B2">
        <w:rPr>
          <w:b/>
          <w:bCs/>
          <w:i w:val="0"/>
          <w:iCs w:val="0"/>
          <w:noProof/>
          <w:color w:val="auto"/>
          <w:sz w:val="24"/>
          <w:szCs w:val="24"/>
        </w:rPr>
        <w:t>84</w:t>
      </w:r>
      <w:r w:rsidRPr="0071370B">
        <w:rPr>
          <w:b/>
          <w:bCs/>
          <w:i w:val="0"/>
          <w:iCs w:val="0"/>
          <w:color w:val="auto"/>
          <w:sz w:val="24"/>
          <w:szCs w:val="24"/>
        </w:rPr>
        <w:fldChar w:fldCharType="end"/>
      </w:r>
      <w:r w:rsidRPr="0071370B">
        <w:rPr>
          <w:b/>
          <w:bCs/>
          <w:i w:val="0"/>
          <w:iCs w:val="0"/>
          <w:color w:val="auto"/>
          <w:sz w:val="24"/>
          <w:szCs w:val="24"/>
        </w:rPr>
        <w:t xml:space="preserve">.  </w:t>
      </w:r>
      <w:bookmarkStart w:id="217" w:name="_Toc81573099"/>
      <w:bookmarkStart w:id="218" w:name="_Toc104796050"/>
      <w:r w:rsidRPr="0071370B">
        <w:rPr>
          <w:b/>
          <w:bCs/>
          <w:i w:val="0"/>
          <w:iCs w:val="0"/>
          <w:color w:val="auto"/>
          <w:sz w:val="24"/>
          <w:szCs w:val="24"/>
          <w:lang w:eastAsia="en-US"/>
        </w:rPr>
        <w:t>Ingresos fiscales 2023-202</w:t>
      </w:r>
      <w:bookmarkEnd w:id="217"/>
      <w:r w:rsidRPr="0071370B">
        <w:rPr>
          <w:b/>
          <w:bCs/>
          <w:i w:val="0"/>
          <w:iCs w:val="0"/>
          <w:color w:val="auto"/>
          <w:sz w:val="24"/>
          <w:szCs w:val="24"/>
          <w:lang w:eastAsia="en-US"/>
        </w:rPr>
        <w:t>8 en Millones de quetzales</w:t>
      </w:r>
      <w:bookmarkEnd w:id="216"/>
      <w:bookmarkEnd w:id="218"/>
    </w:p>
    <w:p w14:paraId="62173048" w14:textId="77777777" w:rsidR="00595D3C" w:rsidRPr="004317C2" w:rsidRDefault="00595D3C" w:rsidP="00595D3C">
      <w:pPr>
        <w:spacing w:after="160" w:line="259" w:lineRule="auto"/>
        <w:jc w:val="center"/>
        <w:rPr>
          <w:rFonts w:asciiTheme="minorHAnsi" w:hAnsiTheme="minorHAnsi"/>
          <w:sz w:val="22"/>
          <w:szCs w:val="22"/>
          <w:lang w:eastAsia="en-US"/>
        </w:rPr>
      </w:pPr>
      <w:r w:rsidRPr="004317C2">
        <w:rPr>
          <w:rFonts w:asciiTheme="minorHAnsi" w:hAnsiTheme="minorHAnsi"/>
          <w:noProof/>
          <w:sz w:val="22"/>
          <w:szCs w:val="22"/>
        </w:rPr>
        <w:drawing>
          <wp:inline distT="0" distB="0" distL="0" distR="0" wp14:anchorId="67B9CE24" wp14:editId="0A686988">
            <wp:extent cx="5552440" cy="2796540"/>
            <wp:effectExtent l="0" t="0" r="0" b="3810"/>
            <wp:docPr id="1797" name="Gráfico 17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5F2C6B7A" w14:textId="2EA414AC" w:rsidR="00595D3C" w:rsidRPr="00CF60FC" w:rsidRDefault="00595D3C" w:rsidP="00595D3C">
      <w:pPr>
        <w:jc w:val="both"/>
        <w:rPr>
          <w:sz w:val="28"/>
          <w:szCs w:val="28"/>
        </w:rPr>
      </w:pPr>
      <w:r w:rsidRPr="00CF60FC">
        <w:rPr>
          <w:bCs/>
          <w:sz w:val="18"/>
          <w:lang w:val="es-ES" w:eastAsia="en-US"/>
        </w:rPr>
        <w:t>Fuente: Dirección de Análisis y Política Fiscal con información de tributación de la SAT.</w:t>
      </w:r>
    </w:p>
    <w:p w14:paraId="00030308" w14:textId="77777777" w:rsidR="000D332B" w:rsidRDefault="000D332B" w:rsidP="009F727A">
      <w:pPr>
        <w:jc w:val="both"/>
      </w:pPr>
    </w:p>
    <w:p w14:paraId="07AFBB66" w14:textId="12E1EB0D" w:rsidR="00CF60FC" w:rsidRDefault="00CF60FC" w:rsidP="009F727A">
      <w:pPr>
        <w:jc w:val="both"/>
      </w:pPr>
      <w:r w:rsidRPr="00CF60FC">
        <w:t xml:space="preserve">Dentro de los ingresos </w:t>
      </w:r>
      <w:r w:rsidR="00253F84">
        <w:t>n</w:t>
      </w:r>
      <w:r w:rsidRPr="00CF60FC">
        <w:t>o Tributarios el componente más importante son las contribuciones a la seguridad social (</w:t>
      </w:r>
      <w:r w:rsidR="00253F84">
        <w:t>Montepío</w:t>
      </w:r>
      <w:r w:rsidRPr="00CF60FC">
        <w:t>) cuya participación dentro de este tipo de ingresos es de aproximadamente 6</w:t>
      </w:r>
      <w:r w:rsidR="00A84127">
        <w:t>4</w:t>
      </w:r>
      <w:r w:rsidRPr="00CF60FC">
        <w:t>.</w:t>
      </w:r>
      <w:r w:rsidR="00A84127">
        <w:t>4</w:t>
      </w:r>
      <w:r w:rsidRPr="00CF60FC">
        <w:t>% (promedio de 2023 a 2028).</w:t>
      </w:r>
    </w:p>
    <w:p w14:paraId="7BB6EBA2" w14:textId="337AA35C" w:rsidR="00CF60FC" w:rsidRDefault="00CF60FC" w:rsidP="009F727A">
      <w:pPr>
        <w:jc w:val="both"/>
      </w:pPr>
    </w:p>
    <w:p w14:paraId="02D9BD7E" w14:textId="05BA465B" w:rsidR="00CF60FC" w:rsidRPr="00CF60FC" w:rsidRDefault="00CF60FC" w:rsidP="00531A1B">
      <w:pPr>
        <w:pStyle w:val="Prrafodelista"/>
        <w:numPr>
          <w:ilvl w:val="2"/>
          <w:numId w:val="3"/>
        </w:numPr>
        <w:jc w:val="both"/>
        <w:outlineLvl w:val="2"/>
        <w:rPr>
          <w:b/>
          <w:bCs/>
        </w:rPr>
      </w:pPr>
      <w:bookmarkStart w:id="219" w:name="_Toc143865860"/>
      <w:r w:rsidRPr="00CF60FC">
        <w:rPr>
          <w:b/>
          <w:bCs/>
        </w:rPr>
        <w:t>Proyecciones de recaudación tributaria</w:t>
      </w:r>
      <w:bookmarkEnd w:id="219"/>
    </w:p>
    <w:p w14:paraId="75E63436" w14:textId="1B6DF3F4" w:rsidR="009F727A" w:rsidRDefault="009F727A" w:rsidP="009F727A">
      <w:pPr>
        <w:jc w:val="both"/>
      </w:pPr>
    </w:p>
    <w:p w14:paraId="0A7C9EF3" w14:textId="77777777" w:rsidR="00CF60FC" w:rsidRDefault="00CF60FC" w:rsidP="00CF60FC">
      <w:pPr>
        <w:jc w:val="both"/>
      </w:pPr>
      <w:r>
        <w:t>La estimación de la recaudación tributaria es parte fundamental en el proceso de formulación del Presupuesto General de Ingresos y Egresos del Estado, la recaudación tributaria representa cerca del 95.3% de los ingresos totales del gobierno central, derivado de esto es importante que el proceso de estimación sea eficiente, confiable y apegado a la realidad económica.</w:t>
      </w:r>
    </w:p>
    <w:p w14:paraId="69EA8998" w14:textId="77777777" w:rsidR="00CF60FC" w:rsidRDefault="00CF60FC" w:rsidP="00CF60FC">
      <w:pPr>
        <w:jc w:val="both"/>
      </w:pPr>
    </w:p>
    <w:p w14:paraId="65AD8AB2" w14:textId="77777777" w:rsidR="00CF60FC" w:rsidRDefault="00CF60FC" w:rsidP="00CF60FC">
      <w:pPr>
        <w:jc w:val="both"/>
      </w:pPr>
      <w:r>
        <w:t>La institucionalidad de las estimaciones de recaudación tributaria está liderada por la Comisión Técnica de Finanzas Públicas -CTFP-, dicha comisión tiene su base legal en la Ley Orgánica del Presupuesto (Decreto 101-97), la cual establece en el artículo 5, que dicha comisión prestará asesoría al Ministro y Viceministro de Finanzas Públicas en materia de administración financiera (definición de políticas, programación, control y evaluación de la gestión financiera pública).</w:t>
      </w:r>
    </w:p>
    <w:p w14:paraId="4DAEBFE1" w14:textId="77777777" w:rsidR="00CF60FC" w:rsidRDefault="00CF60FC" w:rsidP="00CF60FC">
      <w:pPr>
        <w:jc w:val="both"/>
      </w:pPr>
    </w:p>
    <w:p w14:paraId="4404062F" w14:textId="77777777" w:rsidR="00CF60FC" w:rsidRDefault="00CF60FC" w:rsidP="00CF60FC">
      <w:pPr>
        <w:jc w:val="both"/>
      </w:pPr>
      <w:r>
        <w:t>De manera específica, el Art. 23 bis de la Ley Orgánica de la Superintendencia de Administración Tributaria (LOSAT) le confiere a la CTFP la responsabilidad de acordar el “pronóstico técnico de la recaudación tributaria esperada”. De acuerdo con dicha disposición, el pronóstico podrá considerar aspectos económicos, financieros y la legislación vigente.</w:t>
      </w:r>
    </w:p>
    <w:p w14:paraId="696E250B" w14:textId="77777777" w:rsidR="00CF60FC" w:rsidRDefault="00CF60FC" w:rsidP="00CF60FC">
      <w:pPr>
        <w:jc w:val="both"/>
      </w:pPr>
    </w:p>
    <w:p w14:paraId="41900D62" w14:textId="77777777" w:rsidR="00CF60FC" w:rsidRDefault="00CF60FC" w:rsidP="00CF60FC">
      <w:pPr>
        <w:jc w:val="both"/>
      </w:pPr>
      <w:r>
        <w:t xml:space="preserve">Dicho artículo establece también que las metas de recaudación tributaria deben considerar, además del pronóstico acotado, las metas de recaudación adicional por reducción del incumplimiento tributario, de la defraudación tributaria o aduanera, la meta de facilitación del cumplimiento de los contribuyentes, y otras metas incluidas y asociadas a la aplicación del Plan de Recaudación, Control y Fiscalización, establecidas por la SAT. </w:t>
      </w:r>
    </w:p>
    <w:p w14:paraId="4E5E4224" w14:textId="77777777" w:rsidR="00CF60FC" w:rsidRDefault="00CF60FC" w:rsidP="00CF60FC">
      <w:pPr>
        <w:jc w:val="both"/>
      </w:pPr>
    </w:p>
    <w:p w14:paraId="111C3B3E" w14:textId="77777777" w:rsidR="00CF60FC" w:rsidRDefault="00CF60FC" w:rsidP="00CF60FC">
      <w:pPr>
        <w:jc w:val="both"/>
      </w:pPr>
      <w:r>
        <w:t>Para el desarrollo de la estimación de recaudación tributaria, existen metodologías como:</w:t>
      </w:r>
    </w:p>
    <w:p w14:paraId="03197D0A" w14:textId="77777777" w:rsidR="00CF60FC" w:rsidRDefault="00CF60FC" w:rsidP="00CF60FC">
      <w:pPr>
        <w:jc w:val="both"/>
      </w:pPr>
    </w:p>
    <w:p w14:paraId="03DE8F00" w14:textId="663A585C" w:rsidR="00CF60FC" w:rsidRDefault="00CF60FC" w:rsidP="00354A9C">
      <w:pPr>
        <w:pStyle w:val="Prrafodelista"/>
        <w:numPr>
          <w:ilvl w:val="0"/>
          <w:numId w:val="8"/>
        </w:numPr>
        <w:ind w:left="567"/>
        <w:jc w:val="both"/>
      </w:pPr>
      <w:r w:rsidRPr="00CF60FC">
        <w:rPr>
          <w:u w:val="single"/>
        </w:rPr>
        <w:t>El sistema de extrapolación</w:t>
      </w:r>
      <w:r>
        <w:t>, basado sobre el supuesto de que la evolución de una variable que se ha observado en el pasado (recaudación tributaria) se mantendrá en el futuro, sin considerar el comportamiento de las variables que determinan los ingresos tributarios.</w:t>
      </w:r>
    </w:p>
    <w:p w14:paraId="0C20A67B" w14:textId="4A8A1EAA" w:rsidR="00CF60FC" w:rsidRDefault="00CF60FC" w:rsidP="00354A9C">
      <w:pPr>
        <w:pStyle w:val="Prrafodelista"/>
        <w:numPr>
          <w:ilvl w:val="0"/>
          <w:numId w:val="8"/>
        </w:numPr>
        <w:ind w:left="567"/>
        <w:jc w:val="both"/>
      </w:pPr>
      <w:r w:rsidRPr="00CF60FC">
        <w:rPr>
          <w:u w:val="single"/>
        </w:rPr>
        <w:t>El método directo</w:t>
      </w:r>
      <w:r>
        <w:t>, partiendo de los datos históricos de recaudación incorpora, mediante el estudio pormenorizado de cada impuesto, los efectos, tanto de las decisiones de política fiscal (reformas), como el comportamiento de las variables económicas.</w:t>
      </w:r>
    </w:p>
    <w:p w14:paraId="5B9F7EFC" w14:textId="27F150B9" w:rsidR="00CF60FC" w:rsidRDefault="00CF60FC" w:rsidP="00354A9C">
      <w:pPr>
        <w:pStyle w:val="Prrafodelista"/>
        <w:numPr>
          <w:ilvl w:val="0"/>
          <w:numId w:val="8"/>
        </w:numPr>
        <w:ind w:left="567"/>
        <w:jc w:val="both"/>
      </w:pPr>
      <w:r w:rsidRPr="00CF60FC">
        <w:rPr>
          <w:u w:val="single"/>
        </w:rPr>
        <w:t>Econometría</w:t>
      </w:r>
      <w:r>
        <w:t>, analiza, interpreta y predice los resultados de la recaudación tributaria y variables económicas explicativas.</w:t>
      </w:r>
    </w:p>
    <w:p w14:paraId="6434A6B0" w14:textId="147645BE" w:rsidR="009F727A" w:rsidRDefault="00CF60FC" w:rsidP="00354A9C">
      <w:pPr>
        <w:pStyle w:val="Prrafodelista"/>
        <w:numPr>
          <w:ilvl w:val="0"/>
          <w:numId w:val="8"/>
        </w:numPr>
        <w:ind w:left="567"/>
        <w:jc w:val="both"/>
      </w:pPr>
      <w:r w:rsidRPr="00CF60FC">
        <w:rPr>
          <w:u w:val="single"/>
        </w:rPr>
        <w:t>Elasticidad</w:t>
      </w:r>
      <w:r>
        <w:t>, es la sensibilidad de variación que presenta una variable a los cambios experimentados por otra. Por ejemplo, cuando el nivel de ingresos de la economía incrementa se esperaría que el monto de la recaudación tributaria aumente aun cuando el marco legal vigente no sufra cambios (las tasas de los impuestos del sistema tributario permanecen constantes).</w:t>
      </w:r>
    </w:p>
    <w:p w14:paraId="185E3C01" w14:textId="782C56DB" w:rsidR="00E01410" w:rsidRDefault="00E01410" w:rsidP="00E01410">
      <w:pPr>
        <w:jc w:val="both"/>
      </w:pPr>
    </w:p>
    <w:p w14:paraId="580D0DD0" w14:textId="07D7C0F4" w:rsidR="00E01410" w:rsidRDefault="00E01410" w:rsidP="00E01410">
      <w:pPr>
        <w:jc w:val="both"/>
      </w:pPr>
    </w:p>
    <w:p w14:paraId="7B1202B0" w14:textId="7CFE2706" w:rsidR="00E01410" w:rsidRDefault="00E01410" w:rsidP="00E01410">
      <w:pPr>
        <w:jc w:val="both"/>
      </w:pPr>
    </w:p>
    <w:p w14:paraId="3D2C1295" w14:textId="5ED1AC47" w:rsidR="00E01410" w:rsidRDefault="00E01410" w:rsidP="00E01410">
      <w:pPr>
        <w:jc w:val="both"/>
      </w:pPr>
    </w:p>
    <w:p w14:paraId="2CCB0AF1" w14:textId="046F8FA7" w:rsidR="00E01410" w:rsidRDefault="00E01410" w:rsidP="00E01410">
      <w:pPr>
        <w:jc w:val="both"/>
      </w:pPr>
    </w:p>
    <w:p w14:paraId="46E6B3D0" w14:textId="1B8D0A9B" w:rsidR="00E01410" w:rsidRDefault="00E01410" w:rsidP="00E01410">
      <w:pPr>
        <w:jc w:val="both"/>
      </w:pPr>
    </w:p>
    <w:p w14:paraId="0CDCA032" w14:textId="06FA675F" w:rsidR="00E01410" w:rsidRDefault="00E01410" w:rsidP="00E01410">
      <w:pPr>
        <w:jc w:val="both"/>
      </w:pPr>
    </w:p>
    <w:p w14:paraId="4F5C6CBF" w14:textId="27C4AEEF" w:rsidR="00E01410" w:rsidRDefault="00E01410" w:rsidP="00E01410">
      <w:pPr>
        <w:jc w:val="both"/>
      </w:pPr>
    </w:p>
    <w:p w14:paraId="3F77CE9B" w14:textId="723DEA98" w:rsidR="00E01410" w:rsidRDefault="00E01410" w:rsidP="00E01410">
      <w:pPr>
        <w:jc w:val="both"/>
      </w:pPr>
    </w:p>
    <w:p w14:paraId="4C5DC4B3" w14:textId="444FEE0E" w:rsidR="00E01410" w:rsidRDefault="00E01410" w:rsidP="00E01410">
      <w:pPr>
        <w:jc w:val="both"/>
      </w:pPr>
    </w:p>
    <w:p w14:paraId="496C5F8F" w14:textId="5D9ACDEF" w:rsidR="00E01410" w:rsidRDefault="00E01410" w:rsidP="00E01410">
      <w:pPr>
        <w:jc w:val="both"/>
      </w:pPr>
    </w:p>
    <w:p w14:paraId="3FA42A10" w14:textId="77777777" w:rsidR="00E01410" w:rsidRDefault="00E01410" w:rsidP="00E01410">
      <w:pPr>
        <w:jc w:val="both"/>
      </w:pPr>
    </w:p>
    <w:p w14:paraId="51BAA767" w14:textId="44DEFB54" w:rsidR="00CF60FC" w:rsidRDefault="00827ED5" w:rsidP="00CF60FC">
      <w:pPr>
        <w:jc w:val="both"/>
      </w:pPr>
      <w:r w:rsidRPr="007940BC">
        <w:rPr>
          <w:rFonts w:ascii="Calibri" w:hAnsi="Calibri"/>
          <w:noProof/>
          <w:sz w:val="22"/>
          <w:szCs w:val="22"/>
          <w:lang w:eastAsia="en-US"/>
        </w:rPr>
        <mc:AlternateContent>
          <mc:Choice Requires="wps">
            <w:drawing>
              <wp:anchor distT="0" distB="0" distL="114300" distR="114300" simplePos="0" relativeHeight="251752448" behindDoc="0" locked="0" layoutInCell="1" allowOverlap="1" wp14:anchorId="2E704210" wp14:editId="4AEC344A">
                <wp:simplePos x="0" y="0"/>
                <wp:positionH relativeFrom="page">
                  <wp:posOffset>1126490</wp:posOffset>
                </wp:positionH>
                <wp:positionV relativeFrom="paragraph">
                  <wp:posOffset>-92049</wp:posOffset>
                </wp:positionV>
                <wp:extent cx="5566334" cy="5752214"/>
                <wp:effectExtent l="0" t="0" r="15875" b="20320"/>
                <wp:wrapNone/>
                <wp:docPr id="25" name="Rectángulo: esquinas redondeadas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66334" cy="5752214"/>
                        </a:xfrm>
                        <a:prstGeom prst="roundRect">
                          <a:avLst>
                            <a:gd name="adj" fmla="val 5854"/>
                          </a:avLst>
                        </a:prstGeom>
                        <a:solidFill>
                          <a:srgbClr val="4472C4">
                            <a:alpha val="30000"/>
                          </a:srgbClr>
                        </a:solidFill>
                        <a:ln w="12700" cap="flat" cmpd="sng" algn="ctr">
                          <a:solidFill>
                            <a:srgbClr val="4472C4">
                              <a:shade val="50000"/>
                            </a:srgbClr>
                          </a:solidFill>
                          <a:prstDash val="solid"/>
                          <a:miter lim="800000"/>
                        </a:ln>
                        <a:effectLst/>
                      </wps:spPr>
                      <wps:txbx>
                        <w:txbxContent>
                          <w:p w14:paraId="6D328D7A" w14:textId="7F5904FA" w:rsidR="00AC3F5D" w:rsidRPr="00AC3F5D" w:rsidRDefault="00AC3F5D" w:rsidP="00AC3F5D">
                            <w:pPr>
                              <w:pStyle w:val="Descripcin"/>
                              <w:spacing w:after="0"/>
                              <w:jc w:val="center"/>
                              <w:rPr>
                                <w:b/>
                                <w:bCs/>
                                <w:i w:val="0"/>
                                <w:iCs w:val="0"/>
                                <w:color w:val="auto"/>
                                <w:sz w:val="22"/>
                                <w:szCs w:val="22"/>
                              </w:rPr>
                            </w:pPr>
                            <w:r w:rsidRPr="00AC3F5D">
                              <w:rPr>
                                <w:b/>
                                <w:bCs/>
                                <w:i w:val="0"/>
                                <w:iCs w:val="0"/>
                                <w:color w:val="auto"/>
                                <w:sz w:val="22"/>
                                <w:szCs w:val="22"/>
                              </w:rPr>
                              <w:t xml:space="preserve">Recuadro </w:t>
                            </w:r>
                            <w:r w:rsidRPr="00AC3F5D">
                              <w:rPr>
                                <w:b/>
                                <w:bCs/>
                                <w:i w:val="0"/>
                                <w:iCs w:val="0"/>
                                <w:color w:val="auto"/>
                                <w:sz w:val="22"/>
                                <w:szCs w:val="22"/>
                              </w:rPr>
                              <w:fldChar w:fldCharType="begin"/>
                            </w:r>
                            <w:r w:rsidRPr="00AC3F5D">
                              <w:rPr>
                                <w:b/>
                                <w:bCs/>
                                <w:i w:val="0"/>
                                <w:iCs w:val="0"/>
                                <w:color w:val="auto"/>
                                <w:sz w:val="22"/>
                                <w:szCs w:val="22"/>
                              </w:rPr>
                              <w:instrText xml:space="preserve"> SEQ Recuadro \* ARABIC </w:instrText>
                            </w:r>
                            <w:r w:rsidRPr="00AC3F5D">
                              <w:rPr>
                                <w:b/>
                                <w:bCs/>
                                <w:i w:val="0"/>
                                <w:iCs w:val="0"/>
                                <w:color w:val="auto"/>
                                <w:sz w:val="22"/>
                                <w:szCs w:val="22"/>
                              </w:rPr>
                              <w:fldChar w:fldCharType="separate"/>
                            </w:r>
                            <w:r w:rsidR="006622B2">
                              <w:rPr>
                                <w:b/>
                                <w:bCs/>
                                <w:i w:val="0"/>
                                <w:iCs w:val="0"/>
                                <w:noProof/>
                                <w:color w:val="auto"/>
                                <w:sz w:val="22"/>
                                <w:szCs w:val="22"/>
                              </w:rPr>
                              <w:t>7</w:t>
                            </w:r>
                            <w:r w:rsidRPr="00AC3F5D">
                              <w:rPr>
                                <w:b/>
                                <w:bCs/>
                                <w:i w:val="0"/>
                                <w:iCs w:val="0"/>
                                <w:color w:val="auto"/>
                                <w:sz w:val="22"/>
                                <w:szCs w:val="22"/>
                              </w:rPr>
                              <w:fldChar w:fldCharType="end"/>
                            </w:r>
                            <w:r w:rsidRPr="00AC3F5D">
                              <w:rPr>
                                <w:b/>
                                <w:bCs/>
                                <w:i w:val="0"/>
                                <w:iCs w:val="0"/>
                                <w:color w:val="auto"/>
                                <w:sz w:val="22"/>
                                <w:szCs w:val="22"/>
                              </w:rPr>
                              <w:t>.  Elasticidad de los principales impuestos</w:t>
                            </w:r>
                          </w:p>
                          <w:p w14:paraId="5A998058" w14:textId="096BA6C0" w:rsidR="00CF60FC" w:rsidRPr="004E6590" w:rsidRDefault="00CF60FC" w:rsidP="00CF60FC">
                            <w:pPr>
                              <w:jc w:val="both"/>
                              <w:rPr>
                                <w:color w:val="000000"/>
                                <w:sz w:val="18"/>
                                <w:szCs w:val="18"/>
                                <w:lang w:val="es-MX"/>
                              </w:rPr>
                            </w:pPr>
                            <w:r w:rsidRPr="004E6590">
                              <w:rPr>
                                <w:color w:val="000000"/>
                                <w:sz w:val="18"/>
                                <w:szCs w:val="18"/>
                                <w:lang w:val="es-MX"/>
                              </w:rPr>
                              <w:t xml:space="preserve">Es importante determinar la elasticidad de cada uno de los impuestos esto para conocer el grado de respuesta que estos tienen respecto a las variables que los determinan, esta medición puede utilizarse de manera complementaria con el método directo ya que este método asume una elasticidad teórica igual a 1, a manera de ejemplo se detalla a continuación el cálculo de la elasticidad de los principales impuestos siendo estos el Impuesto Sobre la Renta -ISR- y el Impuesto al Valor Agregado -IVA-, que en conjunto suman cerca del 75% de la recaudación total (promedio 2019 a 2027). </w:t>
                            </w:r>
                          </w:p>
                          <w:p w14:paraId="01E8BC97" w14:textId="77777777" w:rsidR="00CF60FC" w:rsidRPr="00CF60FC" w:rsidRDefault="00CF60FC" w:rsidP="00CF60FC">
                            <w:pPr>
                              <w:jc w:val="both"/>
                              <w:rPr>
                                <w:color w:val="000000"/>
                                <w:sz w:val="20"/>
                                <w:szCs w:val="20"/>
                                <w:lang w:val="es-MX"/>
                              </w:rPr>
                            </w:pPr>
                          </w:p>
                          <w:p w14:paraId="4DDD89E2" w14:textId="77777777" w:rsidR="00CF60FC" w:rsidRPr="00CF60FC" w:rsidRDefault="00CF60FC" w:rsidP="00CF60FC">
                            <w:pPr>
                              <w:jc w:val="both"/>
                              <w:rPr>
                                <w:b/>
                                <w:bCs/>
                                <w:color w:val="000000"/>
                                <w:sz w:val="20"/>
                                <w:szCs w:val="20"/>
                                <w:lang w:val="es-MX"/>
                              </w:rPr>
                            </w:pPr>
                            <w:r w:rsidRPr="00CF60FC">
                              <w:rPr>
                                <w:b/>
                                <w:bCs/>
                                <w:color w:val="000000"/>
                                <w:sz w:val="20"/>
                                <w:szCs w:val="20"/>
                                <w:lang w:val="es-MX"/>
                              </w:rPr>
                              <w:t>Impuesto al Valor Agregado</w:t>
                            </w:r>
                          </w:p>
                          <w:p w14:paraId="46FF7BBE" w14:textId="6E070FE7" w:rsidR="00CF60FC" w:rsidRPr="004E6590" w:rsidRDefault="00CF60FC" w:rsidP="00CF60FC">
                            <w:pPr>
                              <w:jc w:val="both"/>
                              <w:rPr>
                                <w:color w:val="000000"/>
                                <w:sz w:val="18"/>
                                <w:szCs w:val="18"/>
                                <w:lang w:val="es-MX"/>
                              </w:rPr>
                            </w:pPr>
                            <w:r w:rsidRPr="004E6590">
                              <w:rPr>
                                <w:color w:val="000000"/>
                                <w:sz w:val="18"/>
                                <w:szCs w:val="18"/>
                                <w:lang w:val="es-MX"/>
                              </w:rPr>
                              <w:t>Para calcular la elasticidad del Impuesto al Valor Agregado es necesario realizar ajustes a la recaudación tributaria observada producto de exoneraciones y recaudación extraordinaria por concepto de adeudos tributarios, además de cambiar la recaudación nominal a términos reales con el deflactor del producto interno bruto, para este cálculo de la elasticidad del IVA se tiene como variable asociada el Producto Interno Bruto real, el cálculo se realizó mediante la siguiente función.</w:t>
                            </w:r>
                          </w:p>
                          <w:p w14:paraId="1FFA1026" w14:textId="77777777" w:rsidR="004E6590" w:rsidRPr="00CF60FC" w:rsidRDefault="004E6590" w:rsidP="00CF60FC">
                            <w:pPr>
                              <w:jc w:val="both"/>
                              <w:rPr>
                                <w:color w:val="000000"/>
                                <w:sz w:val="20"/>
                                <w:szCs w:val="20"/>
                                <w:lang w:val="es-MX"/>
                              </w:rPr>
                            </w:pPr>
                          </w:p>
                          <w:p w14:paraId="57634060" w14:textId="15A98A5B" w:rsidR="004E6590" w:rsidRDefault="004E6590" w:rsidP="00CF60FC">
                            <w:pPr>
                              <w:jc w:val="both"/>
                              <w:rPr>
                                <w:color w:val="000000"/>
                                <w:sz w:val="20"/>
                                <w:szCs w:val="20"/>
                                <w:lang w:val="en-US"/>
                              </w:rPr>
                            </w:pPr>
                            <m:oMathPara>
                              <m:oMath>
                                <m:r>
                                  <w:rPr>
                                    <w:rFonts w:ascii="Cambria Math" w:hAnsi="Cambria Math"/>
                                    <w:sz w:val="18"/>
                                    <w:szCs w:val="22"/>
                                    <w:lang w:val="es-ES" w:eastAsia="en-US"/>
                                  </w:rPr>
                                  <m:t>Ln(T)=α+β*Ln(variable asociada)</m:t>
                                </m:r>
                              </m:oMath>
                            </m:oMathPara>
                          </w:p>
                          <w:p w14:paraId="3C13F4D9" w14:textId="574A45C3" w:rsidR="00CF60FC" w:rsidRPr="00CF60FC" w:rsidRDefault="00CF60FC" w:rsidP="004E6590">
                            <w:pPr>
                              <w:jc w:val="center"/>
                              <w:rPr>
                                <w:color w:val="000000"/>
                                <w:sz w:val="20"/>
                                <w:szCs w:val="20"/>
                                <w:lang w:val="en-US"/>
                              </w:rPr>
                            </w:pPr>
                            <w:r w:rsidRPr="00CF60FC">
                              <w:rPr>
                                <w:color w:val="000000"/>
                                <w:sz w:val="20"/>
                                <w:szCs w:val="20"/>
                                <w:lang w:val="en-US"/>
                              </w:rPr>
                              <w:t>ln(IVAt )= -4.84913 + 1.1523*ln(PIBt)</w:t>
                            </w:r>
                          </w:p>
                          <w:p w14:paraId="64A4F110" w14:textId="137440E5" w:rsidR="00CF60FC" w:rsidRPr="00F644DC" w:rsidRDefault="00CF60FC" w:rsidP="004E6590">
                            <w:pPr>
                              <w:jc w:val="center"/>
                              <w:rPr>
                                <w:color w:val="000000"/>
                                <w:sz w:val="20"/>
                                <w:szCs w:val="20"/>
                                <w:lang w:val="en-US"/>
                              </w:rPr>
                            </w:pPr>
                            <w:r w:rsidRPr="00F644DC">
                              <w:rPr>
                                <w:color w:val="000000"/>
                                <w:sz w:val="20"/>
                                <w:szCs w:val="20"/>
                                <w:lang w:val="en-US"/>
                              </w:rPr>
                              <w:t>R</w:t>
                            </w:r>
                            <w:r w:rsidR="004E6590" w:rsidRPr="00F644DC">
                              <w:rPr>
                                <w:color w:val="000000"/>
                                <w:sz w:val="20"/>
                                <w:szCs w:val="20"/>
                                <w:vertAlign w:val="superscript"/>
                                <w:lang w:val="en-US"/>
                              </w:rPr>
                              <w:t>2</w:t>
                            </w:r>
                            <w:r w:rsidRPr="00F644DC">
                              <w:rPr>
                                <w:color w:val="000000"/>
                                <w:sz w:val="20"/>
                                <w:szCs w:val="20"/>
                                <w:lang w:val="en-US"/>
                              </w:rPr>
                              <w:t>=0.84862   t=-3.9669156   t=11.3989472</w:t>
                            </w:r>
                          </w:p>
                          <w:p w14:paraId="6DEA54B3" w14:textId="77777777" w:rsidR="004E6590" w:rsidRPr="00F644DC" w:rsidRDefault="004E6590" w:rsidP="004E6590">
                            <w:pPr>
                              <w:jc w:val="center"/>
                              <w:rPr>
                                <w:color w:val="000000"/>
                                <w:sz w:val="20"/>
                                <w:szCs w:val="20"/>
                                <w:lang w:val="en-US"/>
                              </w:rPr>
                            </w:pPr>
                          </w:p>
                          <w:p w14:paraId="26C0D08D" w14:textId="60223655" w:rsidR="00CF60FC" w:rsidRPr="004E6590" w:rsidRDefault="00CF60FC" w:rsidP="00CF60FC">
                            <w:pPr>
                              <w:jc w:val="both"/>
                              <w:rPr>
                                <w:color w:val="000000"/>
                                <w:sz w:val="18"/>
                                <w:szCs w:val="18"/>
                                <w:lang w:val="es-MX"/>
                              </w:rPr>
                            </w:pPr>
                            <w:r w:rsidRPr="004E6590">
                              <w:rPr>
                                <w:color w:val="000000"/>
                                <w:sz w:val="18"/>
                                <w:szCs w:val="18"/>
                                <w:lang w:val="es-MX"/>
                              </w:rPr>
                              <w:t>El resultado obtenido mediante el uso de regresión lineal se puede interpretar como la respuesta del Impuesto al Valor Agregado respecto a un aumento de un 1% del Producto Interno Bruto, es decir que por cada aumento de un 1% del PIB el IVA crecerá en 1.15%, de manera histórica la elasticidad del IVA respecto a la variable que lo determina ha sido superior al 1%, para los casos en los que es inferior dicha caída puede estar influenciada por factores externos como el precio del petróleo, remesas familiares, precio de los principales commodities y las importaciones, factores internos como la inflación, el tipo de cambio, el consumo y las crisis internas del ente recaudador.</w:t>
                            </w:r>
                          </w:p>
                          <w:p w14:paraId="1B8B3445" w14:textId="77777777" w:rsidR="004E6590" w:rsidRPr="00CF60FC" w:rsidRDefault="004E6590" w:rsidP="00CF60FC">
                            <w:pPr>
                              <w:jc w:val="both"/>
                              <w:rPr>
                                <w:color w:val="000000"/>
                                <w:sz w:val="20"/>
                                <w:szCs w:val="20"/>
                                <w:lang w:val="es-MX"/>
                              </w:rPr>
                            </w:pPr>
                          </w:p>
                          <w:p w14:paraId="58E83ABC" w14:textId="4803938E" w:rsidR="004E6590" w:rsidRDefault="00CF60FC" w:rsidP="00CF60FC">
                            <w:pPr>
                              <w:jc w:val="both"/>
                              <w:rPr>
                                <w:b/>
                                <w:bCs/>
                                <w:color w:val="000000"/>
                                <w:sz w:val="20"/>
                                <w:szCs w:val="20"/>
                                <w:lang w:val="es-MX"/>
                              </w:rPr>
                            </w:pPr>
                            <w:r w:rsidRPr="004E6590">
                              <w:rPr>
                                <w:b/>
                                <w:bCs/>
                                <w:color w:val="000000"/>
                                <w:sz w:val="20"/>
                                <w:szCs w:val="20"/>
                                <w:lang w:val="es-MX"/>
                              </w:rPr>
                              <w:t>Impuesto Sobre la Renta y otros asociados</w:t>
                            </w:r>
                          </w:p>
                          <w:p w14:paraId="4C407CBC" w14:textId="77777777" w:rsidR="00F44D6B" w:rsidRPr="004E6590" w:rsidRDefault="00F44D6B" w:rsidP="00CF60FC">
                            <w:pPr>
                              <w:jc w:val="both"/>
                              <w:rPr>
                                <w:b/>
                                <w:bCs/>
                                <w:color w:val="000000"/>
                                <w:sz w:val="20"/>
                                <w:szCs w:val="20"/>
                                <w:lang w:val="es-MX"/>
                              </w:rPr>
                            </w:pPr>
                          </w:p>
                          <w:p w14:paraId="7433094E" w14:textId="2A6B54B4" w:rsidR="00CF60FC" w:rsidRPr="00CF60FC" w:rsidRDefault="00CF60FC" w:rsidP="004E6590">
                            <w:pPr>
                              <w:jc w:val="center"/>
                              <w:rPr>
                                <w:color w:val="000000"/>
                                <w:sz w:val="20"/>
                                <w:szCs w:val="20"/>
                                <w:lang w:val="en-US"/>
                              </w:rPr>
                            </w:pPr>
                            <w:r w:rsidRPr="00CF60FC">
                              <w:rPr>
                                <w:color w:val="000000"/>
                                <w:sz w:val="20"/>
                                <w:szCs w:val="20"/>
                                <w:lang w:val="en-US"/>
                              </w:rPr>
                              <w:t>ln(ISRt)=   -12.61254716 +1.752301841*ln(PIBt)</w:t>
                            </w:r>
                          </w:p>
                          <w:p w14:paraId="64F8FD67" w14:textId="11477552" w:rsidR="00CF60FC" w:rsidRDefault="004E6590" w:rsidP="004E6590">
                            <w:pPr>
                              <w:jc w:val="center"/>
                              <w:rPr>
                                <w:color w:val="000000"/>
                                <w:sz w:val="20"/>
                                <w:szCs w:val="20"/>
                                <w:lang w:val="en-US"/>
                              </w:rPr>
                            </w:pPr>
                            <w:r w:rsidRPr="004E6590">
                              <w:rPr>
                                <w:color w:val="000000"/>
                                <w:sz w:val="20"/>
                                <w:szCs w:val="20"/>
                                <w:lang w:val="en-US"/>
                              </w:rPr>
                              <w:t>R</w:t>
                            </w:r>
                            <w:r w:rsidRPr="004E6590">
                              <w:rPr>
                                <w:color w:val="000000"/>
                                <w:sz w:val="20"/>
                                <w:szCs w:val="20"/>
                                <w:vertAlign w:val="superscript"/>
                                <w:lang w:val="en-US"/>
                              </w:rPr>
                              <w:t>2</w:t>
                            </w:r>
                            <w:r w:rsidRPr="004E6590">
                              <w:rPr>
                                <w:color w:val="000000"/>
                                <w:sz w:val="20"/>
                                <w:szCs w:val="20"/>
                                <w:lang w:val="en-US"/>
                              </w:rPr>
                              <w:t>=</w:t>
                            </w:r>
                            <w:r w:rsidR="00CF60FC" w:rsidRPr="00CF60FC">
                              <w:rPr>
                                <w:color w:val="000000"/>
                                <w:sz w:val="20"/>
                                <w:szCs w:val="20"/>
                                <w:lang w:val="en-US"/>
                              </w:rPr>
                              <w:t>0.96228</w:t>
                            </w:r>
                            <w:r w:rsidR="00CF60FC" w:rsidRPr="00CF60FC">
                              <w:rPr>
                                <w:color w:val="000000"/>
                                <w:sz w:val="20"/>
                                <w:szCs w:val="20"/>
                                <w:lang w:val="en-US"/>
                              </w:rPr>
                              <w:tab/>
                              <w:t>t=-14.4309497</w:t>
                            </w:r>
                            <w:r w:rsidR="00CF60FC" w:rsidRPr="00CF60FC">
                              <w:rPr>
                                <w:color w:val="000000"/>
                                <w:sz w:val="20"/>
                                <w:szCs w:val="20"/>
                                <w:lang w:val="en-US"/>
                              </w:rPr>
                              <w:tab/>
                              <w:t>t=24.2440556</w:t>
                            </w:r>
                          </w:p>
                          <w:p w14:paraId="7D6C8A53" w14:textId="77777777" w:rsidR="00F44D6B" w:rsidRPr="00CF60FC" w:rsidRDefault="00F44D6B" w:rsidP="004E6590">
                            <w:pPr>
                              <w:jc w:val="center"/>
                              <w:rPr>
                                <w:color w:val="000000"/>
                                <w:sz w:val="20"/>
                                <w:szCs w:val="20"/>
                                <w:lang w:val="en-US"/>
                              </w:rPr>
                            </w:pPr>
                          </w:p>
                          <w:p w14:paraId="7FB89B87" w14:textId="3F1E533A" w:rsidR="00CF60FC" w:rsidRPr="004E6590" w:rsidRDefault="00CF60FC" w:rsidP="00CF60FC">
                            <w:pPr>
                              <w:jc w:val="both"/>
                              <w:rPr>
                                <w:color w:val="000000"/>
                                <w:sz w:val="18"/>
                                <w:szCs w:val="18"/>
                                <w:lang w:val="es-MX"/>
                              </w:rPr>
                            </w:pPr>
                            <w:r w:rsidRPr="004E6590">
                              <w:rPr>
                                <w:color w:val="000000"/>
                                <w:sz w:val="18"/>
                                <w:szCs w:val="18"/>
                                <w:lang w:val="es-MX"/>
                              </w:rPr>
                              <w:t>En este caso se considera el Impuesto Sobre la Renta y los impuestos asociados a cuenta de ISR tales como el Impuesto de Solidaridad, el Impuesto Extraordinario y Temporal de Acuerdos de Paz, el Impuesto a las Empresas Mercantiles y Agropecuarias, el cálculo de elasticidad para este impuesto es de 1.75%, es decir que por el aumento de un 1% del Producto Interno Bruto el Impuesto Sobre la Renta y asociados aumentaría en 1.75%, de igual manera que para el caso anterior este impuesto está sujeto a reformas tributarias, la más reciente aprobada en 2012 que dio vigencia a un nuevo Impuesto Sobre la Renta con base a cedulas y que contenía una reducción a las tasas impositivas de manera gradual hasta 2015 año en el cual la tasa impositiva del régimen de actividades lucrativas paso a 25%.</w:t>
                            </w:r>
                          </w:p>
                          <w:p w14:paraId="68338034" w14:textId="77777777" w:rsidR="00CF60FC" w:rsidRDefault="00CF60FC" w:rsidP="00CF60FC">
                            <w:pPr>
                              <w:jc w:val="center"/>
                              <w:rPr>
                                <w:color w:val="000000"/>
                                <w:sz w:val="18"/>
                                <w:szCs w:val="18"/>
                                <w:lang w:val="es-MX"/>
                              </w:rPr>
                            </w:pPr>
                            <w:r w:rsidRPr="009F727A">
                              <w:rPr>
                                <w:b/>
                                <w:bCs/>
                                <w:color w:val="000000"/>
                                <w:sz w:val="20"/>
                                <w:szCs w:val="20"/>
                                <w:lang w:val="es-MX"/>
                              </w:rPr>
                              <w:t xml:space="preserve"> </w:t>
                            </w:r>
                          </w:p>
                          <w:p w14:paraId="1ACA35F7" w14:textId="77777777" w:rsidR="00CF60FC" w:rsidRDefault="00CF60FC" w:rsidP="00CF60FC">
                            <w:pPr>
                              <w:jc w:val="both"/>
                              <w:rPr>
                                <w:color w:val="000000"/>
                                <w:sz w:val="18"/>
                                <w:szCs w:val="18"/>
                                <w:lang w:val="es-MX"/>
                              </w:rPr>
                            </w:pPr>
                          </w:p>
                          <w:p w14:paraId="5A850DDC" w14:textId="77777777" w:rsidR="00CF60FC" w:rsidRDefault="00CF60FC" w:rsidP="00CF60FC">
                            <w:pPr>
                              <w:jc w:val="both"/>
                              <w:rPr>
                                <w:color w:val="000000"/>
                                <w:sz w:val="18"/>
                                <w:szCs w:val="18"/>
                                <w:lang w:val="es-MX"/>
                              </w:rPr>
                            </w:pPr>
                          </w:p>
                          <w:p w14:paraId="3D71958D" w14:textId="77777777" w:rsidR="00CF60FC" w:rsidRPr="007940BC" w:rsidRDefault="00CF60FC" w:rsidP="00CF60FC">
                            <w:pPr>
                              <w:jc w:val="both"/>
                              <w:rPr>
                                <w:color w:val="000000"/>
                                <w:sz w:val="18"/>
                                <w:szCs w:val="18"/>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2E704210" id="Rectángulo: esquinas redondeadas 25" o:spid="_x0000_s1044" style="position:absolute;left:0;text-align:left;margin-left:88.7pt;margin-top:-7.25pt;width:438.3pt;height:452.95pt;z-index:251752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arcsize="38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" fillcolor="#4472c4" strokecolor="#2f528f" strokeweight="1pt">
                <v:fill opacity="19789f"/>
                <v:stroke joinstyle="miter"/>
                <v:path arrowok="t"/>
                <v:textbox>
                  <w:txbxContent>
                    <w:p w14:paraId="6D328D7A" w14:textId="7F5904FA" w:rsidR="00AC3F5D" w:rsidRPr="00AC3F5D" w:rsidRDefault="00AC3F5D" w:rsidP="00AC3F5D">
                      <w:pPr>
                        <w:pStyle w:val="Descripcin"/>
                        <w:spacing w:after="0"/>
                        <w:jc w:val="center"/>
                        <w:rPr>
                          <w:b/>
                          <w:bCs/>
                          <w:i w:val="0"/>
                          <w:iCs w:val="0"/>
                          <w:color w:val="auto"/>
                          <w:sz w:val="22"/>
                          <w:szCs w:val="22"/>
                        </w:rPr>
                      </w:pPr>
                      <w:r w:rsidRPr="00AC3F5D">
                        <w:rPr>
                          <w:b/>
                          <w:bCs/>
                          <w:i w:val="0"/>
                          <w:iCs w:val="0"/>
                          <w:color w:val="auto"/>
                          <w:sz w:val="22"/>
                          <w:szCs w:val="22"/>
                        </w:rPr>
                        <w:t xml:space="preserve">Recuadro </w:t>
                      </w:r>
                      <w:r w:rsidRPr="00AC3F5D">
                        <w:rPr>
                          <w:b/>
                          <w:bCs/>
                          <w:i w:val="0"/>
                          <w:iCs w:val="0"/>
                          <w:color w:val="auto"/>
                          <w:sz w:val="22"/>
                          <w:szCs w:val="22"/>
                        </w:rPr>
                        <w:fldChar w:fldCharType="begin"/>
                      </w:r>
                      <w:r w:rsidRPr="00AC3F5D">
                        <w:rPr>
                          <w:b/>
                          <w:bCs/>
                          <w:i w:val="0"/>
                          <w:iCs w:val="0"/>
                          <w:color w:val="auto"/>
                          <w:sz w:val="22"/>
                          <w:szCs w:val="22"/>
                        </w:rPr>
                        <w:instrText xml:space="preserve"> SEQ Recuadro \* ARABIC </w:instrText>
                      </w:r>
                      <w:r w:rsidRPr="00AC3F5D">
                        <w:rPr>
                          <w:b/>
                          <w:bCs/>
                          <w:i w:val="0"/>
                          <w:iCs w:val="0"/>
                          <w:color w:val="auto"/>
                          <w:sz w:val="22"/>
                          <w:szCs w:val="22"/>
                        </w:rPr>
                        <w:fldChar w:fldCharType="separate"/>
                      </w:r>
                      <w:r w:rsidR="006622B2">
                        <w:rPr>
                          <w:b/>
                          <w:bCs/>
                          <w:i w:val="0"/>
                          <w:iCs w:val="0"/>
                          <w:noProof/>
                          <w:color w:val="auto"/>
                          <w:sz w:val="22"/>
                          <w:szCs w:val="22"/>
                        </w:rPr>
                        <w:t>7</w:t>
                      </w:r>
                      <w:r w:rsidRPr="00AC3F5D">
                        <w:rPr>
                          <w:b/>
                          <w:bCs/>
                          <w:i w:val="0"/>
                          <w:iCs w:val="0"/>
                          <w:color w:val="auto"/>
                          <w:sz w:val="22"/>
                          <w:szCs w:val="22"/>
                        </w:rPr>
                        <w:fldChar w:fldCharType="end"/>
                      </w:r>
                      <w:r w:rsidRPr="00AC3F5D">
                        <w:rPr>
                          <w:b/>
                          <w:bCs/>
                          <w:i w:val="0"/>
                          <w:iCs w:val="0"/>
                          <w:color w:val="auto"/>
                          <w:sz w:val="22"/>
                          <w:szCs w:val="22"/>
                        </w:rPr>
                        <w:t>.  Elasticidad de los principales impuestos</w:t>
                      </w:r>
                    </w:p>
                    <w:p w14:paraId="5A998058" w14:textId="096BA6C0" w:rsidR="00CF60FC" w:rsidRPr="004E6590" w:rsidRDefault="00CF60FC" w:rsidP="00CF60FC">
                      <w:pPr>
                        <w:jc w:val="both"/>
                        <w:rPr>
                          <w:color w:val="000000"/>
                          <w:sz w:val="18"/>
                          <w:szCs w:val="18"/>
                          <w:lang w:val="es-MX"/>
                        </w:rPr>
                      </w:pPr>
                      <w:r w:rsidRPr="004E6590">
                        <w:rPr>
                          <w:color w:val="000000"/>
                          <w:sz w:val="18"/>
                          <w:szCs w:val="18"/>
                          <w:lang w:val="es-MX"/>
                        </w:rPr>
                        <w:t xml:space="preserve">Es importante determinar la elasticidad de cada uno de los impuestos esto para conocer el grado de respuesta que estos tienen respecto a las variables que los determinan, esta medición puede utilizarse de manera complementaria con el método directo ya que este método asume una elasticidad teórica igual a 1, a manera de ejemplo se detalla a continuación el cálculo de la elasticidad de los principales impuestos siendo estos el Impuesto Sobre la Renta -ISR- y el Impuesto al Valor Agregado -IVA-, que en conjunto suman cerca del 75% de la recaudación total (promedio 2019 a 2027). </w:t>
                      </w:r>
                    </w:p>
                    <w:p w14:paraId="01E8BC97" w14:textId="77777777" w:rsidR="00CF60FC" w:rsidRPr="00CF60FC" w:rsidRDefault="00CF60FC" w:rsidP="00CF60FC">
                      <w:pPr>
                        <w:jc w:val="both"/>
                        <w:rPr>
                          <w:color w:val="000000"/>
                          <w:sz w:val="20"/>
                          <w:szCs w:val="20"/>
                          <w:lang w:val="es-MX"/>
                        </w:rPr>
                      </w:pPr>
                    </w:p>
                    <w:p w14:paraId="4DDD89E2" w14:textId="77777777" w:rsidR="00CF60FC" w:rsidRPr="00CF60FC" w:rsidRDefault="00CF60FC" w:rsidP="00CF60FC">
                      <w:pPr>
                        <w:jc w:val="both"/>
                        <w:rPr>
                          <w:b/>
                          <w:bCs/>
                          <w:color w:val="000000"/>
                          <w:sz w:val="20"/>
                          <w:szCs w:val="20"/>
                          <w:lang w:val="es-MX"/>
                        </w:rPr>
                      </w:pPr>
                      <w:r w:rsidRPr="00CF60FC">
                        <w:rPr>
                          <w:b/>
                          <w:bCs/>
                          <w:color w:val="000000"/>
                          <w:sz w:val="20"/>
                          <w:szCs w:val="20"/>
                          <w:lang w:val="es-MX"/>
                        </w:rPr>
                        <w:t>Impuesto al Valor Agregado</w:t>
                      </w:r>
                    </w:p>
                    <w:p w14:paraId="46FF7BBE" w14:textId="6E070FE7" w:rsidR="00CF60FC" w:rsidRPr="004E6590" w:rsidRDefault="00CF60FC" w:rsidP="00CF60FC">
                      <w:pPr>
                        <w:jc w:val="both"/>
                        <w:rPr>
                          <w:color w:val="000000"/>
                          <w:sz w:val="18"/>
                          <w:szCs w:val="18"/>
                          <w:lang w:val="es-MX"/>
                        </w:rPr>
                      </w:pPr>
                      <w:r w:rsidRPr="004E6590">
                        <w:rPr>
                          <w:color w:val="000000"/>
                          <w:sz w:val="18"/>
                          <w:szCs w:val="18"/>
                          <w:lang w:val="es-MX"/>
                        </w:rPr>
                        <w:t>Para calcular la elasticidad del Impuesto al Valor Agregado es necesario realizar ajustes a la recaudación tributaria observada producto de exoneraciones y recaudación extraordinaria por concepto de adeudos tributarios, además de cambiar la recaudación nominal a términos reales con el deflactor del producto interno bruto, para este cálculo de la elasticidad del IVA se tiene como variable asociada el Producto Interno Bruto real, el cálculo se realizó mediante la siguiente función.</w:t>
                      </w:r>
                    </w:p>
                    <w:p w14:paraId="1FFA1026" w14:textId="77777777" w:rsidR="004E6590" w:rsidRPr="00CF60FC" w:rsidRDefault="004E6590" w:rsidP="00CF60FC">
                      <w:pPr>
                        <w:jc w:val="both"/>
                        <w:rPr>
                          <w:color w:val="000000"/>
                          <w:sz w:val="20"/>
                          <w:szCs w:val="20"/>
                          <w:lang w:val="es-MX"/>
                        </w:rPr>
                      </w:pPr>
                    </w:p>
                    <w:p w14:paraId="57634060" w14:textId="15A98A5B" w:rsidR="004E6590" w:rsidRDefault="004E6590" w:rsidP="00CF60FC">
                      <w:pPr>
                        <w:jc w:val="both"/>
                        <w:rPr>
                          <w:color w:val="000000"/>
                          <w:sz w:val="20"/>
                          <w:szCs w:val="20"/>
                          <w:lang w:val="en-US"/>
                        </w:rPr>
                      </w:pPr>
                      <m:oMathPara>
                        <m:oMath>
                          <m:r>
                            <w:rPr>
                              <w:rFonts w:ascii="Cambria Math" w:hAnsi="Cambria Math"/>
                              <w:sz w:val="18"/>
                              <w:szCs w:val="22"/>
                              <w:lang w:val="es-ES" w:eastAsia="en-US"/>
                            </w:rPr>
                            <m:t>Ln(T)=α+β*Ln(variable asociada)</m:t>
                          </m:r>
                        </m:oMath>
                      </m:oMathPara>
                    </w:p>
                    <w:p w14:paraId="3C13F4D9" w14:textId="574A45C3" w:rsidR="00CF60FC" w:rsidRPr="00CF60FC" w:rsidRDefault="00CF60FC" w:rsidP="004E6590">
                      <w:pPr>
                        <w:jc w:val="center"/>
                        <w:rPr>
                          <w:color w:val="000000"/>
                          <w:sz w:val="20"/>
                          <w:szCs w:val="20"/>
                          <w:lang w:val="en-US"/>
                        </w:rPr>
                      </w:pPr>
                      <w:r w:rsidRPr="00CF60FC">
                        <w:rPr>
                          <w:color w:val="000000"/>
                          <w:sz w:val="20"/>
                          <w:szCs w:val="20"/>
                          <w:lang w:val="en-US"/>
                        </w:rPr>
                        <w:t>ln(IVAt )= -4.84913 + 1.1523*ln(PIBt)</w:t>
                      </w:r>
                    </w:p>
                    <w:p w14:paraId="64A4F110" w14:textId="137440E5" w:rsidR="00CF60FC" w:rsidRPr="00F644DC" w:rsidRDefault="00CF60FC" w:rsidP="004E6590">
                      <w:pPr>
                        <w:jc w:val="center"/>
                        <w:rPr>
                          <w:color w:val="000000"/>
                          <w:sz w:val="20"/>
                          <w:szCs w:val="20"/>
                          <w:lang w:val="en-US"/>
                        </w:rPr>
                      </w:pPr>
                      <w:r w:rsidRPr="00F644DC">
                        <w:rPr>
                          <w:color w:val="000000"/>
                          <w:sz w:val="20"/>
                          <w:szCs w:val="20"/>
                          <w:lang w:val="en-US"/>
                        </w:rPr>
                        <w:t>R</w:t>
                      </w:r>
                      <w:r w:rsidR="004E6590" w:rsidRPr="00F644DC">
                        <w:rPr>
                          <w:color w:val="000000"/>
                          <w:sz w:val="20"/>
                          <w:szCs w:val="20"/>
                          <w:vertAlign w:val="superscript"/>
                          <w:lang w:val="en-US"/>
                        </w:rPr>
                        <w:t>2</w:t>
                      </w:r>
                      <w:r w:rsidRPr="00F644DC">
                        <w:rPr>
                          <w:color w:val="000000"/>
                          <w:sz w:val="20"/>
                          <w:szCs w:val="20"/>
                          <w:lang w:val="en-US"/>
                        </w:rPr>
                        <w:t>=0.84862   t=-3.9669156   t=11.3989472</w:t>
                      </w:r>
                    </w:p>
                    <w:p w14:paraId="6DEA54B3" w14:textId="77777777" w:rsidR="004E6590" w:rsidRPr="00F644DC" w:rsidRDefault="004E6590" w:rsidP="004E6590">
                      <w:pPr>
                        <w:jc w:val="center"/>
                        <w:rPr>
                          <w:color w:val="000000"/>
                          <w:sz w:val="20"/>
                          <w:szCs w:val="20"/>
                          <w:lang w:val="en-US"/>
                        </w:rPr>
                      </w:pPr>
                    </w:p>
                    <w:p w14:paraId="26C0D08D" w14:textId="60223655" w:rsidR="00CF60FC" w:rsidRPr="004E6590" w:rsidRDefault="00CF60FC" w:rsidP="00CF60FC">
                      <w:pPr>
                        <w:jc w:val="both"/>
                        <w:rPr>
                          <w:color w:val="000000"/>
                          <w:sz w:val="18"/>
                          <w:szCs w:val="18"/>
                          <w:lang w:val="es-MX"/>
                        </w:rPr>
                      </w:pPr>
                      <w:r w:rsidRPr="004E6590">
                        <w:rPr>
                          <w:color w:val="000000"/>
                          <w:sz w:val="18"/>
                          <w:szCs w:val="18"/>
                          <w:lang w:val="es-MX"/>
                        </w:rPr>
                        <w:t>El resultado obtenido mediante el uso de regresión lineal se puede interpretar como la respuesta del Impuesto al Valor Agregado respecto a un aumento de un 1% del Producto Interno Bruto, es decir que por cada aumento de un 1% del PIB el IVA crecerá en 1.15%, de manera histórica la elasticidad del IVA respecto a la variable que lo determina ha sido superior al 1%, para los casos en los que es inferior dicha caída puede estar influenciada por factores externos como el precio del petróleo, remesas familiares, precio de los principales commodities y las importaciones, factores internos como la inflación, el tipo de cambio, el consumo y las crisis internas del ente recaudador.</w:t>
                      </w:r>
                    </w:p>
                    <w:p w14:paraId="1B8B3445" w14:textId="77777777" w:rsidR="004E6590" w:rsidRPr="00CF60FC" w:rsidRDefault="004E6590" w:rsidP="00CF60FC">
                      <w:pPr>
                        <w:jc w:val="both"/>
                        <w:rPr>
                          <w:color w:val="000000"/>
                          <w:sz w:val="20"/>
                          <w:szCs w:val="20"/>
                          <w:lang w:val="es-MX"/>
                        </w:rPr>
                      </w:pPr>
                    </w:p>
                    <w:p w14:paraId="58E83ABC" w14:textId="4803938E" w:rsidR="004E6590" w:rsidRDefault="00CF60FC" w:rsidP="00CF60FC">
                      <w:pPr>
                        <w:jc w:val="both"/>
                        <w:rPr>
                          <w:b/>
                          <w:bCs/>
                          <w:color w:val="000000"/>
                          <w:sz w:val="20"/>
                          <w:szCs w:val="20"/>
                          <w:lang w:val="es-MX"/>
                        </w:rPr>
                      </w:pPr>
                      <w:r w:rsidRPr="004E6590">
                        <w:rPr>
                          <w:b/>
                          <w:bCs/>
                          <w:color w:val="000000"/>
                          <w:sz w:val="20"/>
                          <w:szCs w:val="20"/>
                          <w:lang w:val="es-MX"/>
                        </w:rPr>
                        <w:t>Impuesto Sobre la Renta y otros asociados</w:t>
                      </w:r>
                    </w:p>
                    <w:p w14:paraId="4C407CBC" w14:textId="77777777" w:rsidR="00F44D6B" w:rsidRPr="004E6590" w:rsidRDefault="00F44D6B" w:rsidP="00CF60FC">
                      <w:pPr>
                        <w:jc w:val="both"/>
                        <w:rPr>
                          <w:b/>
                          <w:bCs/>
                          <w:color w:val="000000"/>
                          <w:sz w:val="20"/>
                          <w:szCs w:val="20"/>
                          <w:lang w:val="es-MX"/>
                        </w:rPr>
                      </w:pPr>
                    </w:p>
                    <w:p w14:paraId="7433094E" w14:textId="2A6B54B4" w:rsidR="00CF60FC" w:rsidRPr="00CF60FC" w:rsidRDefault="00CF60FC" w:rsidP="004E6590">
                      <w:pPr>
                        <w:jc w:val="center"/>
                        <w:rPr>
                          <w:color w:val="000000"/>
                          <w:sz w:val="20"/>
                          <w:szCs w:val="20"/>
                          <w:lang w:val="en-US"/>
                        </w:rPr>
                      </w:pPr>
                      <w:r w:rsidRPr="00CF60FC">
                        <w:rPr>
                          <w:color w:val="000000"/>
                          <w:sz w:val="20"/>
                          <w:szCs w:val="20"/>
                          <w:lang w:val="en-US"/>
                        </w:rPr>
                        <w:t>ln(ISRt)=   -12.61254716 +1.752301841*ln(PIBt)</w:t>
                      </w:r>
                    </w:p>
                    <w:p w14:paraId="64F8FD67" w14:textId="11477552" w:rsidR="00CF60FC" w:rsidRDefault="004E6590" w:rsidP="004E6590">
                      <w:pPr>
                        <w:jc w:val="center"/>
                        <w:rPr>
                          <w:color w:val="000000"/>
                          <w:sz w:val="20"/>
                          <w:szCs w:val="20"/>
                          <w:lang w:val="en-US"/>
                        </w:rPr>
                      </w:pPr>
                      <w:r w:rsidRPr="004E6590">
                        <w:rPr>
                          <w:color w:val="000000"/>
                          <w:sz w:val="20"/>
                          <w:szCs w:val="20"/>
                          <w:lang w:val="en-US"/>
                        </w:rPr>
                        <w:t>R</w:t>
                      </w:r>
                      <w:r w:rsidRPr="004E6590">
                        <w:rPr>
                          <w:color w:val="000000"/>
                          <w:sz w:val="20"/>
                          <w:szCs w:val="20"/>
                          <w:vertAlign w:val="superscript"/>
                          <w:lang w:val="en-US"/>
                        </w:rPr>
                        <w:t>2</w:t>
                      </w:r>
                      <w:r w:rsidRPr="004E6590">
                        <w:rPr>
                          <w:color w:val="000000"/>
                          <w:sz w:val="20"/>
                          <w:szCs w:val="20"/>
                          <w:lang w:val="en-US"/>
                        </w:rPr>
                        <w:t>=</w:t>
                      </w:r>
                      <w:r w:rsidR="00CF60FC" w:rsidRPr="00CF60FC">
                        <w:rPr>
                          <w:color w:val="000000"/>
                          <w:sz w:val="20"/>
                          <w:szCs w:val="20"/>
                          <w:lang w:val="en-US"/>
                        </w:rPr>
                        <w:t>0.96228</w:t>
                      </w:r>
                      <w:r w:rsidR="00CF60FC" w:rsidRPr="00CF60FC">
                        <w:rPr>
                          <w:color w:val="000000"/>
                          <w:sz w:val="20"/>
                          <w:szCs w:val="20"/>
                          <w:lang w:val="en-US"/>
                        </w:rPr>
                        <w:tab/>
                        <w:t>t=-14.4309497</w:t>
                      </w:r>
                      <w:r w:rsidR="00CF60FC" w:rsidRPr="00CF60FC">
                        <w:rPr>
                          <w:color w:val="000000"/>
                          <w:sz w:val="20"/>
                          <w:szCs w:val="20"/>
                          <w:lang w:val="en-US"/>
                        </w:rPr>
                        <w:tab/>
                        <w:t>t=24.2440556</w:t>
                      </w:r>
                    </w:p>
                    <w:p w14:paraId="7D6C8A53" w14:textId="77777777" w:rsidR="00F44D6B" w:rsidRPr="00CF60FC" w:rsidRDefault="00F44D6B" w:rsidP="004E6590">
                      <w:pPr>
                        <w:jc w:val="center"/>
                        <w:rPr>
                          <w:color w:val="000000"/>
                          <w:sz w:val="20"/>
                          <w:szCs w:val="20"/>
                          <w:lang w:val="en-US"/>
                        </w:rPr>
                      </w:pPr>
                    </w:p>
                    <w:p w14:paraId="7FB89B87" w14:textId="3F1E533A" w:rsidR="00CF60FC" w:rsidRPr="004E6590" w:rsidRDefault="00CF60FC" w:rsidP="00CF60FC">
                      <w:pPr>
                        <w:jc w:val="both"/>
                        <w:rPr>
                          <w:color w:val="000000"/>
                          <w:sz w:val="18"/>
                          <w:szCs w:val="18"/>
                          <w:lang w:val="es-MX"/>
                        </w:rPr>
                      </w:pPr>
                      <w:r w:rsidRPr="004E6590">
                        <w:rPr>
                          <w:color w:val="000000"/>
                          <w:sz w:val="18"/>
                          <w:szCs w:val="18"/>
                          <w:lang w:val="es-MX"/>
                        </w:rPr>
                        <w:t>En este caso se considera el Impuesto Sobre la Renta y los impuestos asociados a cuenta de ISR tales como el Impuesto de Solidaridad, el Impuesto Extraordinario y Temporal de Acuerdos de Paz, el Impuesto a las Empresas Mercantiles y Agropecuarias, el cálculo de elasticidad para este impuesto es de 1.75%, es decir que por el aumento de un 1% del Producto Interno Bruto el Impuesto Sobre la Renta y asociados aumentaría en 1.75%, de igual manera que para el caso anterior este impuesto está sujeto a reformas tributarias, la más reciente aprobada en 2012 que dio vigencia a un nuevo Impuesto Sobre la Renta con base a cedulas y que contenía una reducción a las tasas impositivas de manera gradual hasta 2015 año en el cual la tasa impositiva del régimen de actividades lucrativas paso a 25%.</w:t>
                      </w:r>
                    </w:p>
                    <w:p w14:paraId="68338034" w14:textId="77777777" w:rsidR="00CF60FC" w:rsidRDefault="00CF60FC" w:rsidP="00CF60FC">
                      <w:pPr>
                        <w:jc w:val="center"/>
                        <w:rPr>
                          <w:color w:val="000000"/>
                          <w:sz w:val="18"/>
                          <w:szCs w:val="18"/>
                          <w:lang w:val="es-MX"/>
                        </w:rPr>
                      </w:pPr>
                      <w:r w:rsidRPr="009F727A">
                        <w:rPr>
                          <w:b/>
                          <w:bCs/>
                          <w:color w:val="000000"/>
                          <w:sz w:val="20"/>
                          <w:szCs w:val="20"/>
                          <w:lang w:val="es-MX"/>
                        </w:rPr>
                        <w:t xml:space="preserve"> </w:t>
                      </w:r>
                    </w:p>
                    <w:p w14:paraId="1ACA35F7" w14:textId="77777777" w:rsidR="00CF60FC" w:rsidRDefault="00CF60FC" w:rsidP="00CF60FC">
                      <w:pPr>
                        <w:jc w:val="both"/>
                        <w:rPr>
                          <w:color w:val="000000"/>
                          <w:sz w:val="18"/>
                          <w:szCs w:val="18"/>
                          <w:lang w:val="es-MX"/>
                        </w:rPr>
                      </w:pPr>
                    </w:p>
                    <w:p w14:paraId="5A850DDC" w14:textId="77777777" w:rsidR="00CF60FC" w:rsidRDefault="00CF60FC" w:rsidP="00CF60FC">
                      <w:pPr>
                        <w:jc w:val="both"/>
                        <w:rPr>
                          <w:color w:val="000000"/>
                          <w:sz w:val="18"/>
                          <w:szCs w:val="18"/>
                          <w:lang w:val="es-MX"/>
                        </w:rPr>
                      </w:pPr>
                    </w:p>
                    <w:p w14:paraId="3D71958D" w14:textId="77777777" w:rsidR="00CF60FC" w:rsidRPr="007940BC" w:rsidRDefault="00CF60FC" w:rsidP="00CF60FC">
                      <w:pPr>
                        <w:jc w:val="both"/>
                        <w:rPr>
                          <w:color w:val="000000"/>
                          <w:sz w:val="18"/>
                          <w:szCs w:val="18"/>
                          <w:lang w:val="es-MX"/>
                        </w:rPr>
                      </w:pPr>
                    </w:p>
                  </w:txbxContent>
                </v:textbox>
                <w10:wrap anchorx="page"/>
              </v:roundrect>
            </w:pict>
          </mc:Fallback>
        </mc:AlternateContent>
      </w:r>
    </w:p>
    <w:p w14:paraId="04A48F7A" w14:textId="1D7F9507" w:rsidR="00707B83" w:rsidRDefault="00707B83" w:rsidP="00B425B8">
      <w:pPr>
        <w:jc w:val="both"/>
      </w:pPr>
    </w:p>
    <w:p w14:paraId="5567EBA2" w14:textId="6B01F348" w:rsidR="009F727A" w:rsidRDefault="009F727A" w:rsidP="00B425B8">
      <w:pPr>
        <w:jc w:val="both"/>
      </w:pPr>
    </w:p>
    <w:p w14:paraId="16DF1673" w14:textId="076CF606" w:rsidR="009F727A" w:rsidRDefault="009F727A" w:rsidP="00B425B8">
      <w:pPr>
        <w:jc w:val="both"/>
      </w:pPr>
    </w:p>
    <w:p w14:paraId="7A26F927" w14:textId="4431371E" w:rsidR="009F727A" w:rsidRDefault="009F727A" w:rsidP="00B425B8">
      <w:pPr>
        <w:jc w:val="both"/>
      </w:pPr>
    </w:p>
    <w:p w14:paraId="2F1C4DBF" w14:textId="6BDF55AD" w:rsidR="009F727A" w:rsidRDefault="009F727A" w:rsidP="00B425B8">
      <w:pPr>
        <w:jc w:val="both"/>
      </w:pPr>
    </w:p>
    <w:p w14:paraId="71E6BE03" w14:textId="3C147625" w:rsidR="009F727A" w:rsidRDefault="009F727A" w:rsidP="00B425B8">
      <w:pPr>
        <w:jc w:val="both"/>
      </w:pPr>
    </w:p>
    <w:p w14:paraId="7805496C" w14:textId="7DDEA838" w:rsidR="009F727A" w:rsidRDefault="009F727A" w:rsidP="00B425B8">
      <w:pPr>
        <w:jc w:val="both"/>
      </w:pPr>
    </w:p>
    <w:p w14:paraId="61E87370" w14:textId="2DA17CB6" w:rsidR="009F727A" w:rsidRDefault="009F727A" w:rsidP="00B425B8">
      <w:pPr>
        <w:jc w:val="both"/>
      </w:pPr>
    </w:p>
    <w:p w14:paraId="273A109C" w14:textId="738C2F6E" w:rsidR="009F727A" w:rsidRDefault="009F727A" w:rsidP="00B425B8">
      <w:pPr>
        <w:jc w:val="both"/>
      </w:pPr>
    </w:p>
    <w:p w14:paraId="64047396" w14:textId="19D33F99" w:rsidR="00435EA6" w:rsidRDefault="00435EA6" w:rsidP="00B425B8">
      <w:pPr>
        <w:jc w:val="both"/>
      </w:pPr>
    </w:p>
    <w:p w14:paraId="583B9EF5" w14:textId="024DF6B2" w:rsidR="00435EA6" w:rsidRDefault="00435EA6" w:rsidP="00B425B8">
      <w:pPr>
        <w:jc w:val="both"/>
      </w:pPr>
    </w:p>
    <w:p w14:paraId="03FDCE67" w14:textId="3AE400B0" w:rsidR="00435EA6" w:rsidRDefault="00435EA6" w:rsidP="00B425B8">
      <w:pPr>
        <w:jc w:val="both"/>
      </w:pPr>
    </w:p>
    <w:p w14:paraId="57FB4468" w14:textId="5D7C2A96" w:rsidR="00435EA6" w:rsidRDefault="00435EA6" w:rsidP="00B425B8">
      <w:pPr>
        <w:jc w:val="both"/>
      </w:pPr>
    </w:p>
    <w:p w14:paraId="7F7AB067" w14:textId="20CE5F8C" w:rsidR="00435EA6" w:rsidRDefault="00435EA6" w:rsidP="00B425B8">
      <w:pPr>
        <w:jc w:val="both"/>
      </w:pPr>
    </w:p>
    <w:p w14:paraId="283448B7" w14:textId="78D65990" w:rsidR="00435EA6" w:rsidRDefault="00435EA6" w:rsidP="00B425B8">
      <w:pPr>
        <w:jc w:val="both"/>
      </w:pPr>
    </w:p>
    <w:p w14:paraId="5236D549" w14:textId="1CA1219F" w:rsidR="00435EA6" w:rsidRDefault="00435EA6" w:rsidP="00B425B8">
      <w:pPr>
        <w:jc w:val="both"/>
      </w:pPr>
    </w:p>
    <w:p w14:paraId="6C938AE7" w14:textId="7344BE52" w:rsidR="00435EA6" w:rsidRDefault="00435EA6" w:rsidP="00B425B8">
      <w:pPr>
        <w:jc w:val="both"/>
      </w:pPr>
    </w:p>
    <w:p w14:paraId="2F463A1D" w14:textId="34303AC9" w:rsidR="00435EA6" w:rsidRDefault="00435EA6" w:rsidP="00B425B8">
      <w:pPr>
        <w:jc w:val="both"/>
      </w:pPr>
    </w:p>
    <w:p w14:paraId="394BF91A" w14:textId="32A02A3F" w:rsidR="00435EA6" w:rsidRDefault="00435EA6" w:rsidP="00B425B8">
      <w:pPr>
        <w:jc w:val="both"/>
      </w:pPr>
    </w:p>
    <w:p w14:paraId="45817785" w14:textId="12D311D8" w:rsidR="00435EA6" w:rsidRDefault="00435EA6" w:rsidP="00B425B8">
      <w:pPr>
        <w:jc w:val="both"/>
      </w:pPr>
    </w:p>
    <w:p w14:paraId="46604DDB" w14:textId="7797A1D9" w:rsidR="00435EA6" w:rsidRDefault="00435EA6" w:rsidP="00B425B8">
      <w:pPr>
        <w:jc w:val="both"/>
      </w:pPr>
    </w:p>
    <w:p w14:paraId="0F28F320" w14:textId="3C5F02FD" w:rsidR="00435EA6" w:rsidRDefault="00435EA6" w:rsidP="00B425B8">
      <w:pPr>
        <w:jc w:val="both"/>
      </w:pPr>
    </w:p>
    <w:p w14:paraId="24027F8D" w14:textId="0EE3FD52" w:rsidR="00435EA6" w:rsidRDefault="00435EA6" w:rsidP="00B425B8">
      <w:pPr>
        <w:jc w:val="both"/>
      </w:pPr>
    </w:p>
    <w:p w14:paraId="5B79F600" w14:textId="70DF3537" w:rsidR="00435EA6" w:rsidRDefault="00435EA6" w:rsidP="00B425B8">
      <w:pPr>
        <w:jc w:val="both"/>
      </w:pPr>
    </w:p>
    <w:p w14:paraId="3E09694E" w14:textId="395CAE31" w:rsidR="00435EA6" w:rsidRDefault="00435EA6" w:rsidP="00B425B8">
      <w:pPr>
        <w:jc w:val="both"/>
      </w:pPr>
    </w:p>
    <w:p w14:paraId="33935E20" w14:textId="67140FCD" w:rsidR="00827ED5" w:rsidRDefault="00827ED5" w:rsidP="00B425B8">
      <w:pPr>
        <w:jc w:val="both"/>
      </w:pPr>
    </w:p>
    <w:p w14:paraId="07AF06AA" w14:textId="609F5D68" w:rsidR="00827ED5" w:rsidRDefault="00827ED5" w:rsidP="00B425B8">
      <w:pPr>
        <w:jc w:val="both"/>
      </w:pPr>
    </w:p>
    <w:p w14:paraId="5CCF3AB8" w14:textId="150C79D1" w:rsidR="00827ED5" w:rsidRDefault="00827ED5" w:rsidP="00B425B8">
      <w:pPr>
        <w:jc w:val="both"/>
      </w:pPr>
    </w:p>
    <w:p w14:paraId="1AA9F9A8" w14:textId="05DB5463" w:rsidR="00827ED5" w:rsidRDefault="00827ED5" w:rsidP="00B425B8">
      <w:pPr>
        <w:jc w:val="both"/>
      </w:pPr>
    </w:p>
    <w:p w14:paraId="4A410FD7" w14:textId="3D097596" w:rsidR="00827ED5" w:rsidRDefault="00827ED5" w:rsidP="00B425B8">
      <w:pPr>
        <w:jc w:val="both"/>
      </w:pPr>
    </w:p>
    <w:p w14:paraId="2EF0C419" w14:textId="77777777" w:rsidR="00827ED5" w:rsidRDefault="00827ED5" w:rsidP="00B425B8">
      <w:pPr>
        <w:jc w:val="both"/>
      </w:pPr>
    </w:p>
    <w:p w14:paraId="6F5AF724" w14:textId="0FC82561" w:rsidR="009F727A" w:rsidRDefault="009F727A" w:rsidP="00B425B8">
      <w:pPr>
        <w:jc w:val="both"/>
      </w:pPr>
    </w:p>
    <w:p w14:paraId="5F503983" w14:textId="67D07959" w:rsidR="004E6590" w:rsidRDefault="004E6590" w:rsidP="004E6590">
      <w:pPr>
        <w:jc w:val="both"/>
      </w:pPr>
      <w:r>
        <w:t>La metodología que se utiliza para el desarrollo de las estimaciones de recaudación tributaria en el Ministerio de Finanzas es mediante el uso del método directo, el cual como se indicó con anterioridad precisa del conocimiento y seguimiento de la recaudación tributaria a nivel de impuesto, así como del marco legal vigente.</w:t>
      </w:r>
    </w:p>
    <w:p w14:paraId="23BB2DBC" w14:textId="77777777" w:rsidR="004E6590" w:rsidRDefault="004E6590" w:rsidP="004E6590">
      <w:pPr>
        <w:jc w:val="both"/>
      </w:pPr>
    </w:p>
    <w:p w14:paraId="5ED64249" w14:textId="77777777" w:rsidR="004E6590" w:rsidRDefault="004E6590" w:rsidP="004E6590">
      <w:pPr>
        <w:jc w:val="both"/>
      </w:pPr>
      <w:r>
        <w:t>La metodología de estimación técnica considera en términos generales los siguientes aspectos:</w:t>
      </w:r>
    </w:p>
    <w:p w14:paraId="5CB9E52D" w14:textId="77777777" w:rsidR="004E6590" w:rsidRDefault="004E6590" w:rsidP="004E6590">
      <w:pPr>
        <w:jc w:val="both"/>
      </w:pPr>
    </w:p>
    <w:p w14:paraId="6299D672" w14:textId="65FD9343" w:rsidR="004E6590" w:rsidRDefault="004E6590" w:rsidP="00354A9C">
      <w:pPr>
        <w:pStyle w:val="Prrafodelista"/>
        <w:numPr>
          <w:ilvl w:val="0"/>
          <w:numId w:val="33"/>
        </w:numPr>
        <w:ind w:left="426"/>
        <w:jc w:val="both"/>
      </w:pPr>
      <w:r>
        <w:t>Comportamiento de las variables macroeconómicas elaboradas por el Banco de Guatemala, Producto Interno Bruto real, Producto Interno Bruto Nominal, Importaciones, Exportaciones e Inflación (escenarios bajo, medio y alto).</w:t>
      </w:r>
    </w:p>
    <w:p w14:paraId="42C4D138" w14:textId="7BADE5F0" w:rsidR="004E6590" w:rsidRDefault="004E6590" w:rsidP="00354A9C">
      <w:pPr>
        <w:pStyle w:val="Prrafodelista"/>
        <w:numPr>
          <w:ilvl w:val="0"/>
          <w:numId w:val="33"/>
        </w:numPr>
        <w:ind w:left="426"/>
        <w:jc w:val="both"/>
      </w:pPr>
      <w:r>
        <w:t>Tipo de cambio.</w:t>
      </w:r>
    </w:p>
    <w:p w14:paraId="139B2A36" w14:textId="0F7F0D94" w:rsidR="004E6590" w:rsidRDefault="004E6590" w:rsidP="00354A9C">
      <w:pPr>
        <w:pStyle w:val="Prrafodelista"/>
        <w:numPr>
          <w:ilvl w:val="0"/>
          <w:numId w:val="33"/>
        </w:numPr>
        <w:ind w:left="426"/>
        <w:jc w:val="both"/>
      </w:pPr>
      <w:r>
        <w:t>El precio internacional del petróleo.</w:t>
      </w:r>
    </w:p>
    <w:p w14:paraId="5C78EB5A" w14:textId="77777777" w:rsidR="004E6590" w:rsidRDefault="004E6590" w:rsidP="00354A9C">
      <w:pPr>
        <w:pStyle w:val="Prrafodelista"/>
        <w:numPr>
          <w:ilvl w:val="0"/>
          <w:numId w:val="33"/>
        </w:numPr>
        <w:ind w:left="426"/>
        <w:jc w:val="both"/>
      </w:pPr>
      <w:r>
        <w:t>Considera crédito de ISO a cuenta del ISR.</w:t>
      </w:r>
    </w:p>
    <w:p w14:paraId="5308C732" w14:textId="47726B1B" w:rsidR="004E6590" w:rsidRDefault="004E6590" w:rsidP="00354A9C">
      <w:pPr>
        <w:pStyle w:val="Prrafodelista"/>
        <w:numPr>
          <w:ilvl w:val="0"/>
          <w:numId w:val="33"/>
        </w:numPr>
        <w:ind w:left="426"/>
        <w:jc w:val="both"/>
      </w:pPr>
      <w:r>
        <w:t xml:space="preserve"> El escenario base (cierre fiscal del año anterior al que se está pronosticando) restando recaudación originada por multas, intereses, moras y extraordinaria.</w:t>
      </w:r>
    </w:p>
    <w:p w14:paraId="12CEB8E3" w14:textId="77777777" w:rsidR="004E6590" w:rsidRDefault="004E6590" w:rsidP="004E6590">
      <w:pPr>
        <w:jc w:val="both"/>
      </w:pPr>
    </w:p>
    <w:p w14:paraId="1F978946" w14:textId="77777777" w:rsidR="004E6590" w:rsidRDefault="004E6590" w:rsidP="004E6590">
      <w:pPr>
        <w:jc w:val="both"/>
      </w:pPr>
      <w:r>
        <w:t>En los meses de abril y mayo de cada año da inicio el ejercicio de estimación de ingresos tributarios el cual servirá de base para consensuar la estimación técnica entre el Ministerio de Finanzas Públicas y la Superintendencia de Administración Tributaria, una vez se logra acordar el monto total de la recaudación y su distribución por impuesto, la cual avala la Comisión Técnica de Finanzas Públicas y que aprueba finalmente el Congreso de la República cuando aprueba el Presupuesto General de Ingresos y Egresos del Estado, el Superintendente de la Administración Tributaria suscribe un convenio de cumplimiento de metas de recaudación con el Ministro de Finanzas Públicas.</w:t>
      </w:r>
    </w:p>
    <w:p w14:paraId="137A0DBC" w14:textId="77777777" w:rsidR="004E6590" w:rsidRDefault="004E6590" w:rsidP="004E6590">
      <w:pPr>
        <w:jc w:val="both"/>
      </w:pPr>
    </w:p>
    <w:p w14:paraId="6AF91B6B" w14:textId="4C6DADD4" w:rsidR="009F727A" w:rsidRDefault="004E6590" w:rsidP="004E6590">
      <w:pPr>
        <w:jc w:val="both"/>
      </w:pPr>
      <w:r>
        <w:t>De manera general, se puede resumir la metodología de estimación de cada impuesto con la siguiente función:</w:t>
      </w:r>
    </w:p>
    <w:p w14:paraId="4E7FEDC5" w14:textId="1CD18825" w:rsidR="009F727A" w:rsidRDefault="009F727A" w:rsidP="00B425B8">
      <w:pPr>
        <w:jc w:val="both"/>
      </w:pPr>
    </w:p>
    <w:p w14:paraId="2D60A44C" w14:textId="0461C950" w:rsidR="009F727A" w:rsidRDefault="005A30CD" w:rsidP="00B425B8">
      <w:pPr>
        <w:jc w:val="both"/>
      </w:pPr>
      <m:oMathPara>
        <m:oMath>
          <m:sSub>
            <m:sSubPr>
              <m:ctrlPr>
                <w:rPr>
                  <w:rFonts w:ascii="Cambria Math" w:hAnsi="Cambria Math"/>
                  <w:i/>
                  <w:sz w:val="22"/>
                  <w:szCs w:val="22"/>
                  <w:lang w:eastAsia="en-US"/>
                </w:rPr>
              </m:ctrlPr>
            </m:sSubPr>
            <m:e>
              <m:r>
                <w:rPr>
                  <w:rFonts w:ascii="Cambria Math" w:hAnsi="Cambria Math"/>
                  <w:sz w:val="22"/>
                  <w:szCs w:val="22"/>
                  <w:lang w:eastAsia="en-US"/>
                </w:rPr>
                <m:t>Impuesto</m:t>
              </m:r>
            </m:e>
            <m:sub>
              <m:r>
                <w:rPr>
                  <w:rFonts w:ascii="Cambria Math" w:hAnsi="Cambria Math"/>
                  <w:sz w:val="22"/>
                  <w:szCs w:val="22"/>
                  <w:lang w:eastAsia="en-US"/>
                </w:rPr>
                <m:t>(t+1)</m:t>
              </m:r>
            </m:sub>
          </m:sSub>
          <m:r>
            <w:rPr>
              <w:rFonts w:ascii="Cambria Math" w:hAnsi="Cambria Math"/>
              <w:sz w:val="22"/>
              <w:szCs w:val="22"/>
              <w:lang w:eastAsia="en-US"/>
            </w:rPr>
            <m:t xml:space="preserve">= </m:t>
          </m:r>
          <m:sSub>
            <m:sSubPr>
              <m:ctrlPr>
                <w:rPr>
                  <w:rFonts w:ascii="Cambria Math" w:hAnsi="Cambria Math"/>
                  <w:i/>
                  <w:sz w:val="22"/>
                  <w:szCs w:val="22"/>
                  <w:lang w:eastAsia="en-US"/>
                </w:rPr>
              </m:ctrlPr>
            </m:sSubPr>
            <m:e>
              <m:r>
                <w:rPr>
                  <w:rFonts w:ascii="Cambria Math" w:hAnsi="Cambria Math"/>
                  <w:sz w:val="22"/>
                  <w:szCs w:val="22"/>
                  <w:lang w:eastAsia="en-US"/>
                </w:rPr>
                <m:t>Impuesto recaudado</m:t>
              </m:r>
            </m:e>
            <m:sub>
              <m:r>
                <w:rPr>
                  <w:rFonts w:ascii="Cambria Math" w:hAnsi="Cambria Math"/>
                  <w:sz w:val="22"/>
                  <w:szCs w:val="22"/>
                  <w:lang w:eastAsia="en-US"/>
                </w:rPr>
                <m:t>(t-1)</m:t>
              </m:r>
            </m:sub>
          </m:sSub>
          <m:r>
            <w:rPr>
              <w:rFonts w:ascii="Cambria Math" w:hAnsi="Cambria Math"/>
              <w:sz w:val="22"/>
              <w:szCs w:val="22"/>
              <w:lang w:eastAsia="en-US"/>
            </w:rPr>
            <m:t>+</m:t>
          </m:r>
          <m:d>
            <m:dPr>
              <m:begChr m:val="{"/>
              <m:endChr m:val="}"/>
              <m:ctrlPr>
                <w:rPr>
                  <w:rFonts w:ascii="Cambria Math" w:hAnsi="Cambria Math"/>
                  <w:i/>
                  <w:sz w:val="22"/>
                  <w:szCs w:val="22"/>
                  <w:lang w:eastAsia="en-US"/>
                </w:rPr>
              </m:ctrlPr>
            </m:dPr>
            <m:e>
              <m:r>
                <w:rPr>
                  <w:rFonts w:ascii="Cambria Math" w:hAnsi="Cambria Math"/>
                  <w:sz w:val="22"/>
                  <w:szCs w:val="22"/>
                  <w:lang w:eastAsia="en-US"/>
                </w:rPr>
                <m:t>Escenario Macroeconómico</m:t>
              </m:r>
            </m:e>
          </m:d>
          <m:r>
            <w:rPr>
              <w:rFonts w:ascii="Cambria Math" w:hAnsi="Cambria Math"/>
              <w:sz w:val="22"/>
              <w:szCs w:val="22"/>
              <w:lang w:eastAsia="en-US"/>
            </w:rPr>
            <m:t xml:space="preserve"> ±</m:t>
          </m:r>
          <m:d>
            <m:dPr>
              <m:begChr m:val="{"/>
              <m:endChr m:val="}"/>
              <m:ctrlPr>
                <w:rPr>
                  <w:rFonts w:ascii="Cambria Math" w:hAnsi="Cambria Math"/>
                  <w:i/>
                  <w:sz w:val="22"/>
                  <w:szCs w:val="22"/>
                  <w:lang w:eastAsia="en-US"/>
                </w:rPr>
              </m:ctrlPr>
            </m:dPr>
            <m:e>
              <m:r>
                <w:rPr>
                  <w:rFonts w:ascii="Cambria Math" w:hAnsi="Cambria Math"/>
                  <w:sz w:val="22"/>
                  <w:szCs w:val="22"/>
                  <w:lang w:eastAsia="en-US"/>
                </w:rPr>
                <m:t>Marco Legal</m:t>
              </m:r>
            </m:e>
          </m:d>
          <m:r>
            <w:rPr>
              <w:rFonts w:ascii="Cambria Math" w:hAnsi="Cambria Math"/>
              <w:sz w:val="22"/>
              <w:szCs w:val="22"/>
              <w:lang w:eastAsia="en-US"/>
            </w:rPr>
            <m:t>±</m:t>
          </m:r>
          <m:d>
            <m:dPr>
              <m:begChr m:val="{"/>
              <m:endChr m:val="}"/>
              <m:ctrlPr>
                <w:rPr>
                  <w:rFonts w:ascii="Cambria Math" w:hAnsi="Cambria Math"/>
                  <w:i/>
                  <w:sz w:val="22"/>
                  <w:szCs w:val="22"/>
                  <w:lang w:eastAsia="en-US"/>
                </w:rPr>
              </m:ctrlPr>
            </m:dPr>
            <m:e>
              <m:r>
                <w:rPr>
                  <w:rFonts w:ascii="Cambria Math" w:hAnsi="Cambria Math"/>
                  <w:sz w:val="22"/>
                  <w:szCs w:val="22"/>
                  <w:lang w:eastAsia="en-US"/>
                </w:rPr>
                <m:t>Ajustes</m:t>
              </m:r>
            </m:e>
          </m:d>
        </m:oMath>
      </m:oMathPara>
    </w:p>
    <w:p w14:paraId="43AE478F" w14:textId="77777777" w:rsidR="004E6590" w:rsidRDefault="004E6590" w:rsidP="004E6590">
      <w:pPr>
        <w:spacing w:line="259" w:lineRule="auto"/>
        <w:jc w:val="both"/>
        <w:rPr>
          <w:i/>
          <w:sz w:val="22"/>
          <w:szCs w:val="22"/>
          <w:lang w:eastAsia="en-US"/>
        </w:rPr>
      </w:pPr>
    </w:p>
    <w:p w14:paraId="30B757B1" w14:textId="5944E912" w:rsidR="004E6590" w:rsidRPr="004317C2" w:rsidRDefault="004E6590" w:rsidP="004E6590">
      <w:pPr>
        <w:spacing w:line="259" w:lineRule="auto"/>
        <w:jc w:val="both"/>
        <w:rPr>
          <w:i/>
          <w:sz w:val="22"/>
          <w:szCs w:val="22"/>
          <w:lang w:eastAsia="en-US"/>
        </w:rPr>
      </w:pPr>
      <w:r w:rsidRPr="004317C2">
        <w:rPr>
          <w:i/>
          <w:sz w:val="22"/>
          <w:szCs w:val="22"/>
          <w:lang w:eastAsia="en-US"/>
        </w:rPr>
        <w:t>Donde:</w:t>
      </w:r>
    </w:p>
    <w:tbl>
      <w:tblPr>
        <w:tblW w:w="0" w:type="auto"/>
        <w:jc w:val="right"/>
        <w:tblLook w:val="04A0" w:firstRow="1" w:lastRow="0" w:firstColumn="1" w:lastColumn="0" w:noHBand="0" w:noVBand="1"/>
      </w:tblPr>
      <w:tblGrid>
        <w:gridCol w:w="2695"/>
        <w:gridCol w:w="5670"/>
      </w:tblGrid>
      <w:tr w:rsidR="004E6590" w:rsidRPr="004317C2" w14:paraId="3CDCCF2E" w14:textId="77777777" w:rsidTr="00582CA7">
        <w:trPr>
          <w:jc w:val="right"/>
        </w:trPr>
        <w:tc>
          <w:tcPr>
            <w:tcW w:w="2695" w:type="dxa"/>
          </w:tcPr>
          <w:p w14:paraId="290F3D12" w14:textId="77777777" w:rsidR="004E6590" w:rsidRPr="004317C2" w:rsidRDefault="004E6590" w:rsidP="00582CA7">
            <w:pPr>
              <w:spacing w:line="259" w:lineRule="auto"/>
              <w:jc w:val="both"/>
              <w:rPr>
                <w:i/>
                <w:sz w:val="20"/>
                <w:szCs w:val="22"/>
                <w:lang w:eastAsia="en-US"/>
              </w:rPr>
            </w:pPr>
            <w:r w:rsidRPr="004317C2">
              <w:rPr>
                <w:i/>
                <w:sz w:val="20"/>
                <w:szCs w:val="22"/>
                <w:lang w:eastAsia="en-US"/>
              </w:rPr>
              <w:t xml:space="preserve">Impuesto </w:t>
            </w:r>
            <w:r w:rsidRPr="004317C2">
              <w:rPr>
                <w:i/>
                <w:sz w:val="20"/>
                <w:szCs w:val="22"/>
                <w:vertAlign w:val="subscript"/>
                <w:lang w:eastAsia="en-US"/>
              </w:rPr>
              <w:t>(t+1)</w:t>
            </w:r>
          </w:p>
        </w:tc>
        <w:tc>
          <w:tcPr>
            <w:tcW w:w="5670" w:type="dxa"/>
          </w:tcPr>
          <w:p w14:paraId="48A6AA37" w14:textId="77777777" w:rsidR="004E6590" w:rsidRPr="004317C2" w:rsidRDefault="004E6590" w:rsidP="00582CA7">
            <w:pPr>
              <w:spacing w:line="259" w:lineRule="auto"/>
              <w:jc w:val="both"/>
              <w:rPr>
                <w:i/>
                <w:sz w:val="20"/>
                <w:szCs w:val="22"/>
                <w:lang w:eastAsia="en-US"/>
              </w:rPr>
            </w:pPr>
            <w:r w:rsidRPr="004317C2">
              <w:rPr>
                <w:i/>
                <w:sz w:val="20"/>
                <w:szCs w:val="22"/>
                <w:lang w:eastAsia="en-US"/>
              </w:rPr>
              <w:t>Impuesto a estimar</w:t>
            </w:r>
          </w:p>
        </w:tc>
      </w:tr>
      <w:tr w:rsidR="004E6590" w:rsidRPr="004317C2" w14:paraId="1C6B0FFC" w14:textId="77777777" w:rsidTr="00582CA7">
        <w:trPr>
          <w:jc w:val="right"/>
        </w:trPr>
        <w:tc>
          <w:tcPr>
            <w:tcW w:w="2695" w:type="dxa"/>
          </w:tcPr>
          <w:p w14:paraId="7E04F152" w14:textId="77777777" w:rsidR="004E6590" w:rsidRPr="004317C2" w:rsidRDefault="004E6590" w:rsidP="00582CA7">
            <w:pPr>
              <w:spacing w:line="259" w:lineRule="auto"/>
              <w:jc w:val="both"/>
              <w:rPr>
                <w:i/>
                <w:sz w:val="20"/>
                <w:szCs w:val="22"/>
                <w:lang w:eastAsia="en-US"/>
              </w:rPr>
            </w:pPr>
            <w:r w:rsidRPr="004317C2">
              <w:rPr>
                <w:i/>
                <w:sz w:val="20"/>
                <w:szCs w:val="22"/>
                <w:lang w:eastAsia="en-US"/>
              </w:rPr>
              <w:t>Impuesto recaudado</w:t>
            </w:r>
            <w:r w:rsidRPr="004317C2">
              <w:rPr>
                <w:i/>
                <w:sz w:val="20"/>
                <w:szCs w:val="22"/>
                <w:vertAlign w:val="subscript"/>
                <w:lang w:eastAsia="en-US"/>
              </w:rPr>
              <w:t>(t-1)</w:t>
            </w:r>
          </w:p>
        </w:tc>
        <w:tc>
          <w:tcPr>
            <w:tcW w:w="5670" w:type="dxa"/>
          </w:tcPr>
          <w:p w14:paraId="1EAAE049" w14:textId="77777777" w:rsidR="004E6590" w:rsidRPr="004317C2" w:rsidRDefault="004E6590" w:rsidP="00582CA7">
            <w:pPr>
              <w:spacing w:line="259" w:lineRule="auto"/>
              <w:jc w:val="both"/>
              <w:rPr>
                <w:i/>
                <w:sz w:val="20"/>
                <w:szCs w:val="22"/>
                <w:lang w:eastAsia="en-US"/>
              </w:rPr>
            </w:pPr>
            <w:r w:rsidRPr="004317C2">
              <w:rPr>
                <w:i/>
                <w:sz w:val="20"/>
                <w:szCs w:val="22"/>
                <w:lang w:eastAsia="en-US"/>
              </w:rPr>
              <w:t>Recaudación observada del año anterior</w:t>
            </w:r>
          </w:p>
        </w:tc>
      </w:tr>
      <w:tr w:rsidR="004E6590" w:rsidRPr="004317C2" w14:paraId="4E42A806" w14:textId="77777777" w:rsidTr="00582CA7">
        <w:trPr>
          <w:jc w:val="right"/>
        </w:trPr>
        <w:tc>
          <w:tcPr>
            <w:tcW w:w="2695" w:type="dxa"/>
          </w:tcPr>
          <w:p w14:paraId="52510A9E" w14:textId="77777777" w:rsidR="004E6590" w:rsidRPr="004317C2" w:rsidRDefault="004E6590" w:rsidP="00582CA7">
            <w:pPr>
              <w:spacing w:line="259" w:lineRule="auto"/>
              <w:jc w:val="both"/>
              <w:rPr>
                <w:i/>
                <w:sz w:val="20"/>
                <w:szCs w:val="22"/>
                <w:lang w:eastAsia="en-US"/>
              </w:rPr>
            </w:pPr>
            <w:r w:rsidRPr="004317C2">
              <w:rPr>
                <w:i/>
                <w:sz w:val="20"/>
                <w:szCs w:val="22"/>
                <w:lang w:eastAsia="en-US"/>
              </w:rPr>
              <w:t>Escenario Macroeconómico</w:t>
            </w:r>
          </w:p>
        </w:tc>
        <w:tc>
          <w:tcPr>
            <w:tcW w:w="5670" w:type="dxa"/>
          </w:tcPr>
          <w:p w14:paraId="0A112199" w14:textId="77777777" w:rsidR="004E6590" w:rsidRPr="004317C2" w:rsidRDefault="004E6590" w:rsidP="00582CA7">
            <w:pPr>
              <w:spacing w:line="259" w:lineRule="auto"/>
              <w:jc w:val="both"/>
              <w:rPr>
                <w:i/>
                <w:sz w:val="20"/>
                <w:szCs w:val="22"/>
                <w:lang w:eastAsia="en-US"/>
              </w:rPr>
            </w:pPr>
            <w:r w:rsidRPr="004317C2">
              <w:rPr>
                <w:i/>
                <w:sz w:val="20"/>
                <w:szCs w:val="22"/>
                <w:lang w:eastAsia="en-US"/>
              </w:rPr>
              <w:t xml:space="preserve">Recaudación obtenida por efecto de variables macroeconómicas </w:t>
            </w:r>
          </w:p>
        </w:tc>
      </w:tr>
      <w:tr w:rsidR="004E6590" w:rsidRPr="004317C2" w14:paraId="19F8B503" w14:textId="77777777" w:rsidTr="00582CA7">
        <w:trPr>
          <w:jc w:val="right"/>
        </w:trPr>
        <w:tc>
          <w:tcPr>
            <w:tcW w:w="2695" w:type="dxa"/>
          </w:tcPr>
          <w:p w14:paraId="6E34C5EB" w14:textId="77777777" w:rsidR="004E6590" w:rsidRPr="004317C2" w:rsidRDefault="004E6590" w:rsidP="00582CA7">
            <w:pPr>
              <w:spacing w:line="259" w:lineRule="auto"/>
              <w:jc w:val="both"/>
              <w:rPr>
                <w:i/>
                <w:sz w:val="20"/>
                <w:szCs w:val="22"/>
                <w:lang w:eastAsia="en-US"/>
              </w:rPr>
            </w:pPr>
            <w:r w:rsidRPr="004317C2">
              <w:rPr>
                <w:i/>
                <w:sz w:val="20"/>
                <w:szCs w:val="22"/>
                <w:lang w:eastAsia="en-US"/>
              </w:rPr>
              <w:t>Marco Legal</w:t>
            </w:r>
          </w:p>
        </w:tc>
        <w:tc>
          <w:tcPr>
            <w:tcW w:w="5670" w:type="dxa"/>
          </w:tcPr>
          <w:p w14:paraId="7999BD1B" w14:textId="77777777" w:rsidR="004E6590" w:rsidRPr="004317C2" w:rsidRDefault="004E6590" w:rsidP="00582CA7">
            <w:pPr>
              <w:spacing w:line="259" w:lineRule="auto"/>
              <w:jc w:val="both"/>
              <w:rPr>
                <w:i/>
                <w:sz w:val="20"/>
                <w:szCs w:val="22"/>
                <w:lang w:eastAsia="en-US"/>
              </w:rPr>
            </w:pPr>
            <w:r w:rsidRPr="004317C2">
              <w:rPr>
                <w:i/>
                <w:sz w:val="20"/>
                <w:szCs w:val="22"/>
                <w:lang w:eastAsia="en-US"/>
              </w:rPr>
              <w:t>Marco legal vigente de cada impuesto que se está estimando.</w:t>
            </w:r>
          </w:p>
        </w:tc>
      </w:tr>
      <w:tr w:rsidR="004E6590" w:rsidRPr="004317C2" w14:paraId="693286B2" w14:textId="77777777" w:rsidTr="00582CA7">
        <w:trPr>
          <w:jc w:val="right"/>
        </w:trPr>
        <w:tc>
          <w:tcPr>
            <w:tcW w:w="2695" w:type="dxa"/>
          </w:tcPr>
          <w:p w14:paraId="754505D5" w14:textId="77777777" w:rsidR="004E6590" w:rsidRPr="004317C2" w:rsidRDefault="004E6590" w:rsidP="00582CA7">
            <w:pPr>
              <w:spacing w:line="259" w:lineRule="auto"/>
              <w:jc w:val="both"/>
              <w:rPr>
                <w:i/>
                <w:sz w:val="20"/>
                <w:szCs w:val="22"/>
                <w:lang w:eastAsia="en-US"/>
              </w:rPr>
            </w:pPr>
            <w:r w:rsidRPr="004317C2">
              <w:rPr>
                <w:i/>
                <w:sz w:val="20"/>
                <w:szCs w:val="22"/>
                <w:lang w:eastAsia="en-US"/>
              </w:rPr>
              <w:t>Ajustes</w:t>
            </w:r>
          </w:p>
        </w:tc>
        <w:tc>
          <w:tcPr>
            <w:tcW w:w="5670" w:type="dxa"/>
          </w:tcPr>
          <w:p w14:paraId="73FDC319" w14:textId="77777777" w:rsidR="004E6590" w:rsidRPr="004317C2" w:rsidRDefault="004E6590" w:rsidP="00582CA7">
            <w:pPr>
              <w:spacing w:line="259" w:lineRule="auto"/>
              <w:jc w:val="both"/>
              <w:rPr>
                <w:i/>
                <w:sz w:val="20"/>
                <w:szCs w:val="22"/>
                <w:lang w:eastAsia="en-US"/>
              </w:rPr>
            </w:pPr>
            <w:r w:rsidRPr="004317C2">
              <w:rPr>
                <w:i/>
                <w:sz w:val="20"/>
                <w:szCs w:val="22"/>
                <w:lang w:eastAsia="en-US"/>
              </w:rPr>
              <w:t xml:space="preserve">Recaudación que se puede generar por un crédito o débito en el impuesto que se está estimando. </w:t>
            </w:r>
          </w:p>
        </w:tc>
      </w:tr>
    </w:tbl>
    <w:p w14:paraId="4355B2BF" w14:textId="49B72D6A" w:rsidR="004E6590" w:rsidRDefault="004E6590" w:rsidP="00B425B8">
      <w:pPr>
        <w:jc w:val="both"/>
      </w:pPr>
    </w:p>
    <w:p w14:paraId="13562828" w14:textId="1E74EF29" w:rsidR="004E6590" w:rsidRDefault="004E6590" w:rsidP="00B425B8">
      <w:pPr>
        <w:jc w:val="both"/>
      </w:pPr>
      <w:r w:rsidRPr="004E6590">
        <w:t>De esa cuenta, es posible establecer la base de estimación de cada impuesto, la cual depende de las características especiales del tributo, que están en función de la base imponible y de las variables macroeconómicas que lo determinan, las cuales se detallan a continuación:</w:t>
      </w:r>
    </w:p>
    <w:p w14:paraId="0707B50A" w14:textId="4DB8FC80" w:rsidR="004E6590" w:rsidRDefault="004E6590" w:rsidP="00B425B8">
      <w:pPr>
        <w:jc w:val="both"/>
      </w:pPr>
    </w:p>
    <w:p w14:paraId="78ED0926" w14:textId="77777777" w:rsidR="001245F7" w:rsidRDefault="001245F7" w:rsidP="00B425B8">
      <w:pPr>
        <w:jc w:val="both"/>
      </w:pPr>
    </w:p>
    <w:p w14:paraId="6C4048CB" w14:textId="195A25A6" w:rsidR="004E6590" w:rsidRPr="0071370B" w:rsidRDefault="0071370B" w:rsidP="0071370B">
      <w:pPr>
        <w:pStyle w:val="Descripcin"/>
        <w:keepNext/>
        <w:spacing w:after="0"/>
        <w:jc w:val="center"/>
        <w:rPr>
          <w:b/>
          <w:bCs/>
          <w:i w:val="0"/>
          <w:iCs w:val="0"/>
          <w:color w:val="auto"/>
          <w:sz w:val="24"/>
          <w:szCs w:val="24"/>
        </w:rPr>
      </w:pPr>
      <w:bookmarkStart w:id="220" w:name="_Toc81573041"/>
      <w:bookmarkStart w:id="221" w:name="_Toc104795835"/>
      <w:bookmarkStart w:id="222" w:name="_Toc143871230"/>
      <w:r w:rsidRPr="0071370B">
        <w:rPr>
          <w:b/>
          <w:bCs/>
          <w:i w:val="0"/>
          <w:iCs w:val="0"/>
          <w:color w:val="auto"/>
          <w:sz w:val="24"/>
          <w:szCs w:val="24"/>
        </w:rPr>
        <w:t xml:space="preserve">Tabla </w:t>
      </w:r>
      <w:r w:rsidRPr="0071370B">
        <w:rPr>
          <w:b/>
          <w:bCs/>
          <w:i w:val="0"/>
          <w:iCs w:val="0"/>
          <w:color w:val="auto"/>
          <w:sz w:val="24"/>
          <w:szCs w:val="24"/>
        </w:rPr>
        <w:fldChar w:fldCharType="begin"/>
      </w:r>
      <w:r w:rsidRPr="0071370B">
        <w:rPr>
          <w:b/>
          <w:bCs/>
          <w:i w:val="0"/>
          <w:iCs w:val="0"/>
          <w:color w:val="auto"/>
          <w:sz w:val="24"/>
          <w:szCs w:val="24"/>
        </w:rPr>
        <w:instrText xml:space="preserve"> SEQ Tabla \* ARABIC </w:instrText>
      </w:r>
      <w:r w:rsidRPr="0071370B">
        <w:rPr>
          <w:b/>
          <w:bCs/>
          <w:i w:val="0"/>
          <w:iCs w:val="0"/>
          <w:color w:val="auto"/>
          <w:sz w:val="24"/>
          <w:szCs w:val="24"/>
        </w:rPr>
        <w:fldChar w:fldCharType="separate"/>
      </w:r>
      <w:r w:rsidR="006622B2">
        <w:rPr>
          <w:b/>
          <w:bCs/>
          <w:i w:val="0"/>
          <w:iCs w:val="0"/>
          <w:noProof/>
          <w:color w:val="auto"/>
          <w:sz w:val="24"/>
          <w:szCs w:val="24"/>
        </w:rPr>
        <w:t>23</w:t>
      </w:r>
      <w:r w:rsidRPr="0071370B">
        <w:rPr>
          <w:b/>
          <w:bCs/>
          <w:i w:val="0"/>
          <w:iCs w:val="0"/>
          <w:color w:val="auto"/>
          <w:sz w:val="24"/>
          <w:szCs w:val="24"/>
        </w:rPr>
        <w:fldChar w:fldCharType="end"/>
      </w:r>
      <w:r w:rsidRPr="0071370B">
        <w:rPr>
          <w:b/>
          <w:bCs/>
          <w:i w:val="0"/>
          <w:iCs w:val="0"/>
          <w:color w:val="auto"/>
          <w:sz w:val="24"/>
          <w:szCs w:val="24"/>
        </w:rPr>
        <w:t xml:space="preserve">.  </w:t>
      </w:r>
      <w:r w:rsidR="004E6590" w:rsidRPr="0071370B">
        <w:rPr>
          <w:b/>
          <w:bCs/>
          <w:i w:val="0"/>
          <w:iCs w:val="0"/>
          <w:color w:val="auto"/>
          <w:sz w:val="24"/>
          <w:szCs w:val="24"/>
          <w:lang w:eastAsia="en-US"/>
        </w:rPr>
        <w:t>Base de estimación por impuesto</w:t>
      </w:r>
      <w:bookmarkEnd w:id="220"/>
      <w:bookmarkEnd w:id="221"/>
      <w:bookmarkEnd w:id="22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9"/>
        <w:gridCol w:w="5139"/>
      </w:tblGrid>
      <w:tr w:rsidR="004E6590" w:rsidRPr="004317C2" w14:paraId="4EC72F4D" w14:textId="77777777" w:rsidTr="00582CA7">
        <w:trPr>
          <w:trHeight w:val="422"/>
          <w:jc w:val="center"/>
        </w:trPr>
        <w:tc>
          <w:tcPr>
            <w:tcW w:w="3689" w:type="dxa"/>
            <w:shd w:val="clear" w:color="auto" w:fill="B4C6E7" w:themeFill="accent1" w:themeFillTint="66"/>
            <w:vAlign w:val="center"/>
          </w:tcPr>
          <w:p w14:paraId="7935735A" w14:textId="77777777" w:rsidR="004E6590" w:rsidRPr="004317C2" w:rsidRDefault="004E6590" w:rsidP="00582CA7">
            <w:pPr>
              <w:spacing w:after="160" w:line="259" w:lineRule="auto"/>
              <w:jc w:val="center"/>
              <w:rPr>
                <w:b/>
                <w:sz w:val="22"/>
                <w:szCs w:val="22"/>
                <w:lang w:eastAsia="en-US"/>
              </w:rPr>
            </w:pPr>
            <w:r w:rsidRPr="004317C2">
              <w:rPr>
                <w:b/>
                <w:sz w:val="22"/>
                <w:szCs w:val="22"/>
                <w:lang w:eastAsia="en-US"/>
              </w:rPr>
              <w:t>Impuesto</w:t>
            </w:r>
          </w:p>
        </w:tc>
        <w:tc>
          <w:tcPr>
            <w:tcW w:w="5139" w:type="dxa"/>
            <w:shd w:val="clear" w:color="auto" w:fill="8EAADB" w:themeFill="accent1" w:themeFillTint="99"/>
            <w:vAlign w:val="center"/>
          </w:tcPr>
          <w:p w14:paraId="12973B36" w14:textId="77777777" w:rsidR="004E6590" w:rsidRPr="004317C2" w:rsidRDefault="004E6590" w:rsidP="00582CA7">
            <w:pPr>
              <w:spacing w:line="259" w:lineRule="auto"/>
              <w:jc w:val="center"/>
              <w:rPr>
                <w:b/>
                <w:sz w:val="22"/>
                <w:szCs w:val="22"/>
                <w:lang w:eastAsia="en-US"/>
              </w:rPr>
            </w:pPr>
            <w:r w:rsidRPr="004317C2">
              <w:rPr>
                <w:b/>
                <w:sz w:val="22"/>
                <w:szCs w:val="22"/>
                <w:lang w:eastAsia="en-US"/>
              </w:rPr>
              <w:t>La base de estimación para cada impuesto la constituye</w:t>
            </w:r>
          </w:p>
        </w:tc>
      </w:tr>
      <w:tr w:rsidR="004E6590" w:rsidRPr="004317C2" w14:paraId="4F471E7F" w14:textId="77777777" w:rsidTr="00582CA7">
        <w:trPr>
          <w:trHeight w:val="1033"/>
          <w:jc w:val="center"/>
        </w:trPr>
        <w:tc>
          <w:tcPr>
            <w:tcW w:w="3689" w:type="dxa"/>
            <w:shd w:val="clear" w:color="auto" w:fill="B4C6E7" w:themeFill="accent1" w:themeFillTint="66"/>
            <w:vAlign w:val="center"/>
          </w:tcPr>
          <w:p w14:paraId="4A6E8F03" w14:textId="77777777" w:rsidR="004E6590" w:rsidRPr="004317C2" w:rsidRDefault="004E6590" w:rsidP="00582CA7">
            <w:pPr>
              <w:spacing w:line="259" w:lineRule="auto"/>
              <w:jc w:val="both"/>
              <w:rPr>
                <w:sz w:val="20"/>
                <w:szCs w:val="22"/>
                <w:lang w:eastAsia="en-US"/>
              </w:rPr>
            </w:pPr>
            <w:r w:rsidRPr="004317C2">
              <w:rPr>
                <w:sz w:val="20"/>
                <w:szCs w:val="22"/>
                <w:lang w:eastAsia="en-US"/>
              </w:rPr>
              <w:t>Impuesto sobre la renta</w:t>
            </w:r>
          </w:p>
        </w:tc>
        <w:tc>
          <w:tcPr>
            <w:tcW w:w="5139" w:type="dxa"/>
            <w:shd w:val="clear" w:color="auto" w:fill="8EAADB" w:themeFill="accent1" w:themeFillTint="99"/>
            <w:vAlign w:val="center"/>
          </w:tcPr>
          <w:p w14:paraId="0E715177"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Recaudación observada en el año anterior</w:t>
            </w:r>
          </w:p>
          <w:p w14:paraId="2C4F00DF"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Una fracción de crédito del ISO de Año</w:t>
            </w:r>
            <w:r w:rsidRPr="004317C2">
              <w:rPr>
                <w:sz w:val="20"/>
                <w:szCs w:val="22"/>
                <w:vertAlign w:val="subscript"/>
                <w:lang w:eastAsia="en-US"/>
              </w:rPr>
              <w:t>(t-2)</w:t>
            </w:r>
          </w:p>
          <w:p w14:paraId="6DE13F27"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Variación del PIB nominal</w:t>
            </w:r>
          </w:p>
          <w:p w14:paraId="7540BAB1"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Una fracción de crédito del ISO de Año</w:t>
            </w:r>
            <w:r w:rsidRPr="004317C2">
              <w:rPr>
                <w:sz w:val="20"/>
                <w:szCs w:val="22"/>
                <w:vertAlign w:val="subscript"/>
                <w:lang w:eastAsia="en-US"/>
              </w:rPr>
              <w:t>(t-1)</w:t>
            </w:r>
          </w:p>
        </w:tc>
      </w:tr>
      <w:tr w:rsidR="004E6590" w:rsidRPr="004317C2" w14:paraId="63FCF418" w14:textId="77777777" w:rsidTr="00582CA7">
        <w:trPr>
          <w:trHeight w:val="1100"/>
          <w:jc w:val="center"/>
        </w:trPr>
        <w:tc>
          <w:tcPr>
            <w:tcW w:w="3689" w:type="dxa"/>
            <w:shd w:val="clear" w:color="auto" w:fill="B4C6E7" w:themeFill="accent1" w:themeFillTint="66"/>
            <w:vAlign w:val="center"/>
          </w:tcPr>
          <w:p w14:paraId="7669D443" w14:textId="77777777" w:rsidR="004E6590" w:rsidRPr="004317C2" w:rsidRDefault="004E6590" w:rsidP="00582CA7">
            <w:pPr>
              <w:spacing w:line="259" w:lineRule="auto"/>
              <w:jc w:val="both"/>
              <w:rPr>
                <w:sz w:val="20"/>
                <w:szCs w:val="22"/>
                <w:lang w:eastAsia="en-US"/>
              </w:rPr>
            </w:pPr>
            <w:r w:rsidRPr="004317C2">
              <w:rPr>
                <w:sz w:val="20"/>
                <w:szCs w:val="22"/>
                <w:lang w:eastAsia="en-US"/>
              </w:rPr>
              <w:t>Impuesto de Solidaridad</w:t>
            </w:r>
          </w:p>
        </w:tc>
        <w:tc>
          <w:tcPr>
            <w:tcW w:w="5139" w:type="dxa"/>
            <w:shd w:val="clear" w:color="auto" w:fill="8EAADB" w:themeFill="accent1" w:themeFillTint="99"/>
            <w:vAlign w:val="center"/>
          </w:tcPr>
          <w:p w14:paraId="5500FE48"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Recaudación observada en el año anterior</w:t>
            </w:r>
          </w:p>
          <w:p w14:paraId="2227F862"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Una fracción está determinada por variación del PIB nominal</w:t>
            </w:r>
          </w:p>
          <w:p w14:paraId="7270947A"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Una fracción está determinada por variación del PIB real</w:t>
            </w:r>
          </w:p>
        </w:tc>
      </w:tr>
      <w:tr w:rsidR="004E6590" w:rsidRPr="004317C2" w14:paraId="51717201" w14:textId="77777777" w:rsidTr="00582CA7">
        <w:trPr>
          <w:trHeight w:val="243"/>
          <w:jc w:val="center"/>
        </w:trPr>
        <w:tc>
          <w:tcPr>
            <w:tcW w:w="3689" w:type="dxa"/>
            <w:shd w:val="clear" w:color="auto" w:fill="B4C6E7" w:themeFill="accent1" w:themeFillTint="66"/>
            <w:vAlign w:val="center"/>
          </w:tcPr>
          <w:p w14:paraId="7A2D2C95" w14:textId="77777777" w:rsidR="004E6590" w:rsidRPr="004317C2" w:rsidRDefault="004E6590" w:rsidP="00582CA7">
            <w:pPr>
              <w:spacing w:line="259" w:lineRule="auto"/>
              <w:jc w:val="both"/>
              <w:rPr>
                <w:sz w:val="20"/>
                <w:szCs w:val="22"/>
                <w:lang w:eastAsia="en-US"/>
              </w:rPr>
            </w:pPr>
            <w:r w:rsidRPr="004317C2">
              <w:rPr>
                <w:sz w:val="20"/>
                <w:szCs w:val="22"/>
                <w:lang w:eastAsia="en-US"/>
              </w:rPr>
              <w:t>Impuesto al valor agregado:</w:t>
            </w:r>
          </w:p>
        </w:tc>
        <w:tc>
          <w:tcPr>
            <w:tcW w:w="5139" w:type="dxa"/>
            <w:shd w:val="clear" w:color="auto" w:fill="8EAADB" w:themeFill="accent1" w:themeFillTint="99"/>
            <w:vAlign w:val="center"/>
          </w:tcPr>
          <w:p w14:paraId="3214579A" w14:textId="77777777" w:rsidR="004E6590" w:rsidRPr="004317C2" w:rsidRDefault="004E6590" w:rsidP="00582CA7">
            <w:pPr>
              <w:spacing w:line="259" w:lineRule="auto"/>
              <w:jc w:val="both"/>
              <w:rPr>
                <w:sz w:val="20"/>
                <w:szCs w:val="22"/>
                <w:lang w:eastAsia="en-US"/>
              </w:rPr>
            </w:pPr>
          </w:p>
        </w:tc>
      </w:tr>
      <w:tr w:rsidR="004E6590" w:rsidRPr="004317C2" w14:paraId="42AE199F" w14:textId="77777777" w:rsidTr="00582CA7">
        <w:trPr>
          <w:trHeight w:val="573"/>
          <w:jc w:val="center"/>
        </w:trPr>
        <w:tc>
          <w:tcPr>
            <w:tcW w:w="3689" w:type="dxa"/>
            <w:shd w:val="clear" w:color="auto" w:fill="B4C6E7" w:themeFill="accent1" w:themeFillTint="66"/>
            <w:vAlign w:val="center"/>
          </w:tcPr>
          <w:p w14:paraId="082F8003" w14:textId="77777777" w:rsidR="004E6590" w:rsidRPr="004317C2" w:rsidRDefault="004E6590" w:rsidP="00582CA7">
            <w:pPr>
              <w:spacing w:line="259" w:lineRule="auto"/>
              <w:jc w:val="both"/>
              <w:rPr>
                <w:sz w:val="20"/>
                <w:szCs w:val="22"/>
                <w:lang w:eastAsia="en-US"/>
              </w:rPr>
            </w:pPr>
            <w:r w:rsidRPr="004317C2">
              <w:rPr>
                <w:sz w:val="20"/>
                <w:szCs w:val="22"/>
                <w:lang w:eastAsia="en-US"/>
              </w:rPr>
              <w:t xml:space="preserve">     Doméstico</w:t>
            </w:r>
          </w:p>
        </w:tc>
        <w:tc>
          <w:tcPr>
            <w:tcW w:w="5139" w:type="dxa"/>
            <w:shd w:val="clear" w:color="auto" w:fill="8EAADB" w:themeFill="accent1" w:themeFillTint="99"/>
            <w:vAlign w:val="center"/>
          </w:tcPr>
          <w:p w14:paraId="214E98EE"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Recaudación observada en el año anterior en términos brutos</w:t>
            </w:r>
          </w:p>
          <w:p w14:paraId="5F4DB1E2"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Variación del PIB nominal</w:t>
            </w:r>
          </w:p>
        </w:tc>
      </w:tr>
      <w:tr w:rsidR="004E6590" w:rsidRPr="004317C2" w14:paraId="62697E69" w14:textId="77777777" w:rsidTr="00582CA7">
        <w:trPr>
          <w:trHeight w:val="1017"/>
          <w:jc w:val="center"/>
        </w:trPr>
        <w:tc>
          <w:tcPr>
            <w:tcW w:w="3689" w:type="dxa"/>
            <w:shd w:val="clear" w:color="auto" w:fill="B4C6E7" w:themeFill="accent1" w:themeFillTint="66"/>
            <w:vAlign w:val="center"/>
          </w:tcPr>
          <w:p w14:paraId="2C19BF88" w14:textId="77777777" w:rsidR="004E6590" w:rsidRPr="004317C2" w:rsidRDefault="004E6590" w:rsidP="00582CA7">
            <w:pPr>
              <w:spacing w:line="259" w:lineRule="auto"/>
              <w:jc w:val="both"/>
              <w:rPr>
                <w:sz w:val="20"/>
                <w:szCs w:val="22"/>
                <w:lang w:eastAsia="en-US"/>
              </w:rPr>
            </w:pPr>
            <w:r w:rsidRPr="004317C2">
              <w:rPr>
                <w:sz w:val="20"/>
                <w:szCs w:val="22"/>
                <w:lang w:eastAsia="en-US"/>
              </w:rPr>
              <w:t xml:space="preserve">     Importaciones</w:t>
            </w:r>
          </w:p>
        </w:tc>
        <w:tc>
          <w:tcPr>
            <w:tcW w:w="5139" w:type="dxa"/>
            <w:shd w:val="clear" w:color="auto" w:fill="8EAADB" w:themeFill="accent1" w:themeFillTint="99"/>
            <w:vAlign w:val="center"/>
          </w:tcPr>
          <w:p w14:paraId="72D584EB"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Recaudación observada en el año anterior en términos brutos</w:t>
            </w:r>
          </w:p>
          <w:p w14:paraId="04591446"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Variación de las importaciones</w:t>
            </w:r>
          </w:p>
          <w:p w14:paraId="686B804B"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 xml:space="preserve">Tipo de cambio </w:t>
            </w:r>
          </w:p>
          <w:p w14:paraId="7F25A64B"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Precio Internacional del petróleo</w:t>
            </w:r>
          </w:p>
        </w:tc>
      </w:tr>
      <w:tr w:rsidR="004E6590" w:rsidRPr="004317C2" w14:paraId="47C3E01E" w14:textId="77777777" w:rsidTr="00582CA7">
        <w:trPr>
          <w:trHeight w:val="258"/>
          <w:jc w:val="center"/>
        </w:trPr>
        <w:tc>
          <w:tcPr>
            <w:tcW w:w="3689" w:type="dxa"/>
            <w:shd w:val="clear" w:color="auto" w:fill="B4C6E7" w:themeFill="accent1" w:themeFillTint="66"/>
            <w:vAlign w:val="center"/>
          </w:tcPr>
          <w:p w14:paraId="04236308" w14:textId="77777777" w:rsidR="004E6590" w:rsidRPr="004317C2" w:rsidRDefault="004E6590" w:rsidP="00582CA7">
            <w:pPr>
              <w:spacing w:line="259" w:lineRule="auto"/>
              <w:jc w:val="both"/>
              <w:rPr>
                <w:sz w:val="20"/>
                <w:szCs w:val="22"/>
                <w:lang w:eastAsia="en-US"/>
              </w:rPr>
            </w:pPr>
            <w:r w:rsidRPr="004317C2">
              <w:rPr>
                <w:sz w:val="20"/>
                <w:szCs w:val="22"/>
                <w:lang w:eastAsia="en-US"/>
              </w:rPr>
              <w:t xml:space="preserve">Derechos arancelarios </w:t>
            </w:r>
          </w:p>
        </w:tc>
        <w:tc>
          <w:tcPr>
            <w:tcW w:w="5139" w:type="dxa"/>
            <w:vMerge w:val="restart"/>
            <w:shd w:val="clear" w:color="auto" w:fill="8EAADB" w:themeFill="accent1" w:themeFillTint="99"/>
            <w:vAlign w:val="center"/>
          </w:tcPr>
          <w:p w14:paraId="5C9AD810"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 xml:space="preserve">Recaudación observada en el año anterior </w:t>
            </w:r>
          </w:p>
          <w:p w14:paraId="3B5FB375"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Variación de las importaciones</w:t>
            </w:r>
          </w:p>
          <w:p w14:paraId="61745A95"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Tipo de cambio</w:t>
            </w:r>
          </w:p>
        </w:tc>
      </w:tr>
      <w:tr w:rsidR="004E6590" w:rsidRPr="004317C2" w14:paraId="03FAFBDA" w14:textId="77777777" w:rsidTr="00582CA7">
        <w:trPr>
          <w:trHeight w:val="361"/>
          <w:jc w:val="center"/>
        </w:trPr>
        <w:tc>
          <w:tcPr>
            <w:tcW w:w="3689" w:type="dxa"/>
            <w:shd w:val="clear" w:color="auto" w:fill="B4C6E7" w:themeFill="accent1" w:themeFillTint="66"/>
            <w:vAlign w:val="center"/>
          </w:tcPr>
          <w:p w14:paraId="4079BE82" w14:textId="77777777" w:rsidR="004E6590" w:rsidRPr="004317C2" w:rsidRDefault="004E6590" w:rsidP="00582CA7">
            <w:pPr>
              <w:spacing w:line="259" w:lineRule="auto"/>
              <w:jc w:val="both"/>
              <w:rPr>
                <w:sz w:val="20"/>
                <w:szCs w:val="22"/>
                <w:lang w:eastAsia="en-US"/>
              </w:rPr>
            </w:pPr>
            <w:r w:rsidRPr="004317C2">
              <w:rPr>
                <w:sz w:val="20"/>
                <w:szCs w:val="22"/>
                <w:lang w:eastAsia="en-US"/>
              </w:rPr>
              <w:t>Impuesto a la primera matrícula</w:t>
            </w:r>
          </w:p>
        </w:tc>
        <w:tc>
          <w:tcPr>
            <w:tcW w:w="5139" w:type="dxa"/>
            <w:vMerge/>
            <w:shd w:val="clear" w:color="auto" w:fill="8EAADB" w:themeFill="accent1" w:themeFillTint="99"/>
            <w:vAlign w:val="center"/>
          </w:tcPr>
          <w:p w14:paraId="198E5260" w14:textId="77777777" w:rsidR="004E6590" w:rsidRPr="004317C2" w:rsidRDefault="004E6590" w:rsidP="00354A9C">
            <w:pPr>
              <w:numPr>
                <w:ilvl w:val="0"/>
                <w:numId w:val="10"/>
              </w:numPr>
              <w:spacing w:line="259" w:lineRule="auto"/>
              <w:contextualSpacing/>
              <w:jc w:val="both"/>
              <w:rPr>
                <w:sz w:val="20"/>
                <w:szCs w:val="22"/>
                <w:lang w:eastAsia="en-US"/>
              </w:rPr>
            </w:pPr>
          </w:p>
        </w:tc>
      </w:tr>
      <w:tr w:rsidR="004E6590" w:rsidRPr="004317C2" w14:paraId="6B25AAFD" w14:textId="77777777" w:rsidTr="00582CA7">
        <w:trPr>
          <w:trHeight w:val="708"/>
          <w:jc w:val="center"/>
        </w:trPr>
        <w:tc>
          <w:tcPr>
            <w:tcW w:w="3689" w:type="dxa"/>
            <w:shd w:val="clear" w:color="auto" w:fill="B4C6E7" w:themeFill="accent1" w:themeFillTint="66"/>
            <w:vAlign w:val="center"/>
          </w:tcPr>
          <w:p w14:paraId="4E9C9EE7" w14:textId="77777777" w:rsidR="004E6590" w:rsidRPr="004317C2" w:rsidRDefault="004E6590" w:rsidP="00582CA7">
            <w:pPr>
              <w:spacing w:line="259" w:lineRule="auto"/>
              <w:jc w:val="both"/>
              <w:rPr>
                <w:sz w:val="20"/>
                <w:szCs w:val="22"/>
                <w:lang w:eastAsia="en-US"/>
              </w:rPr>
            </w:pPr>
            <w:r w:rsidRPr="004317C2">
              <w:rPr>
                <w:sz w:val="20"/>
                <w:szCs w:val="22"/>
                <w:lang w:eastAsia="en-US"/>
              </w:rPr>
              <w:t>Derivados del Petróleo</w:t>
            </w:r>
          </w:p>
        </w:tc>
        <w:tc>
          <w:tcPr>
            <w:tcW w:w="5139" w:type="dxa"/>
            <w:shd w:val="clear" w:color="auto" w:fill="8EAADB" w:themeFill="accent1" w:themeFillTint="99"/>
            <w:vAlign w:val="center"/>
          </w:tcPr>
          <w:p w14:paraId="6988F369"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 xml:space="preserve">Recaudación observada en el año anterior </w:t>
            </w:r>
          </w:p>
          <w:p w14:paraId="45EEE7C6"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Variación del PIB real</w:t>
            </w:r>
          </w:p>
          <w:p w14:paraId="793E6E98"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Tipo de cambio</w:t>
            </w:r>
          </w:p>
        </w:tc>
      </w:tr>
      <w:tr w:rsidR="004E6590" w:rsidRPr="004317C2" w14:paraId="69787E93" w14:textId="77777777" w:rsidTr="00582CA7">
        <w:trPr>
          <w:trHeight w:val="1078"/>
          <w:jc w:val="center"/>
        </w:trPr>
        <w:tc>
          <w:tcPr>
            <w:tcW w:w="3689" w:type="dxa"/>
            <w:shd w:val="clear" w:color="auto" w:fill="B4C6E7" w:themeFill="accent1" w:themeFillTint="66"/>
            <w:vAlign w:val="center"/>
          </w:tcPr>
          <w:p w14:paraId="1F1D89CC" w14:textId="77777777" w:rsidR="004E6590" w:rsidRPr="004317C2" w:rsidRDefault="004E6590" w:rsidP="00582CA7">
            <w:pPr>
              <w:spacing w:line="259" w:lineRule="auto"/>
              <w:jc w:val="both"/>
              <w:rPr>
                <w:sz w:val="20"/>
                <w:szCs w:val="22"/>
                <w:lang w:eastAsia="en-US"/>
              </w:rPr>
            </w:pPr>
            <w:r w:rsidRPr="004317C2">
              <w:rPr>
                <w:sz w:val="20"/>
                <w:szCs w:val="22"/>
                <w:lang w:eastAsia="en-US"/>
              </w:rPr>
              <w:t>Bebidas alcohólicas y no alcohólicas</w:t>
            </w:r>
          </w:p>
        </w:tc>
        <w:tc>
          <w:tcPr>
            <w:tcW w:w="5139" w:type="dxa"/>
            <w:shd w:val="clear" w:color="auto" w:fill="8EAADB" w:themeFill="accent1" w:themeFillTint="99"/>
            <w:vAlign w:val="center"/>
          </w:tcPr>
          <w:p w14:paraId="4B3C2183"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 xml:space="preserve">Recaudación observada en el año anterior </w:t>
            </w:r>
          </w:p>
          <w:p w14:paraId="5CDE8697"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Una fracción está determinada por la variación del PIB real</w:t>
            </w:r>
          </w:p>
          <w:p w14:paraId="5FDE2D30"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Una fracción está determinada por la variación del PIB nominal</w:t>
            </w:r>
          </w:p>
        </w:tc>
      </w:tr>
      <w:tr w:rsidR="004E6590" w:rsidRPr="004317C2" w14:paraId="16DE0842" w14:textId="77777777" w:rsidTr="00582CA7">
        <w:trPr>
          <w:trHeight w:val="401"/>
          <w:jc w:val="center"/>
        </w:trPr>
        <w:tc>
          <w:tcPr>
            <w:tcW w:w="3689" w:type="dxa"/>
            <w:shd w:val="clear" w:color="auto" w:fill="B4C6E7" w:themeFill="accent1" w:themeFillTint="66"/>
            <w:vAlign w:val="center"/>
          </w:tcPr>
          <w:p w14:paraId="4E9CBC12" w14:textId="77777777" w:rsidR="004E6590" w:rsidRPr="004317C2" w:rsidRDefault="004E6590" w:rsidP="00582CA7">
            <w:pPr>
              <w:spacing w:line="259" w:lineRule="auto"/>
              <w:jc w:val="both"/>
              <w:rPr>
                <w:sz w:val="20"/>
                <w:szCs w:val="22"/>
                <w:lang w:eastAsia="en-US"/>
              </w:rPr>
            </w:pPr>
            <w:r w:rsidRPr="004317C2">
              <w:rPr>
                <w:sz w:val="20"/>
                <w:szCs w:val="22"/>
                <w:lang w:eastAsia="en-US"/>
              </w:rPr>
              <w:t xml:space="preserve">Impuesto a circulación de vehículos </w:t>
            </w:r>
          </w:p>
        </w:tc>
        <w:tc>
          <w:tcPr>
            <w:tcW w:w="5139" w:type="dxa"/>
            <w:shd w:val="clear" w:color="auto" w:fill="8EAADB" w:themeFill="accent1" w:themeFillTint="99"/>
            <w:vAlign w:val="center"/>
          </w:tcPr>
          <w:p w14:paraId="6DE7E33D"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 xml:space="preserve">Recaudación observada en el año anterior </w:t>
            </w:r>
          </w:p>
          <w:p w14:paraId="7405A028"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Variación del PIB nominal</w:t>
            </w:r>
          </w:p>
        </w:tc>
      </w:tr>
      <w:tr w:rsidR="004E6590" w:rsidRPr="004317C2" w14:paraId="7622E87C" w14:textId="77777777" w:rsidTr="00582CA7">
        <w:trPr>
          <w:trHeight w:val="243"/>
          <w:jc w:val="center"/>
        </w:trPr>
        <w:tc>
          <w:tcPr>
            <w:tcW w:w="3689" w:type="dxa"/>
            <w:shd w:val="clear" w:color="auto" w:fill="B4C6E7" w:themeFill="accent1" w:themeFillTint="66"/>
            <w:vAlign w:val="center"/>
          </w:tcPr>
          <w:p w14:paraId="5EEF8AD7" w14:textId="77777777" w:rsidR="004E6590" w:rsidRPr="004317C2" w:rsidRDefault="004E6590" w:rsidP="00582CA7">
            <w:pPr>
              <w:spacing w:line="259" w:lineRule="auto"/>
              <w:jc w:val="both"/>
              <w:rPr>
                <w:sz w:val="20"/>
                <w:szCs w:val="22"/>
                <w:lang w:eastAsia="en-US"/>
              </w:rPr>
            </w:pPr>
            <w:r w:rsidRPr="004317C2">
              <w:rPr>
                <w:sz w:val="20"/>
                <w:szCs w:val="22"/>
                <w:lang w:eastAsia="en-US"/>
              </w:rPr>
              <w:t>Impuesto a timbres fiscales</w:t>
            </w:r>
          </w:p>
        </w:tc>
        <w:tc>
          <w:tcPr>
            <w:tcW w:w="5139" w:type="dxa"/>
            <w:vMerge w:val="restart"/>
            <w:shd w:val="clear" w:color="auto" w:fill="8EAADB" w:themeFill="accent1" w:themeFillTint="99"/>
            <w:vAlign w:val="center"/>
          </w:tcPr>
          <w:p w14:paraId="26AE4328"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Recaudación observada en el año anterior</w:t>
            </w:r>
          </w:p>
          <w:p w14:paraId="06532256"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Variación del PIB real</w:t>
            </w:r>
          </w:p>
          <w:p w14:paraId="3E58F7B0" w14:textId="77777777" w:rsidR="004E6590" w:rsidRPr="004317C2" w:rsidRDefault="004E6590" w:rsidP="00354A9C">
            <w:pPr>
              <w:numPr>
                <w:ilvl w:val="0"/>
                <w:numId w:val="10"/>
              </w:numPr>
              <w:spacing w:line="259" w:lineRule="auto"/>
              <w:contextualSpacing/>
              <w:jc w:val="both"/>
              <w:rPr>
                <w:sz w:val="20"/>
                <w:szCs w:val="22"/>
                <w:lang w:eastAsia="en-US"/>
              </w:rPr>
            </w:pPr>
            <w:r w:rsidRPr="004317C2">
              <w:rPr>
                <w:sz w:val="20"/>
                <w:szCs w:val="22"/>
                <w:lang w:eastAsia="en-US"/>
              </w:rPr>
              <w:t>Para el caso de regalías e hidrocarburos considera el precio internacional del petróleo</w:t>
            </w:r>
          </w:p>
        </w:tc>
      </w:tr>
      <w:tr w:rsidR="004E6590" w:rsidRPr="004317C2" w14:paraId="6B3ED9F9" w14:textId="77777777" w:rsidTr="00582CA7">
        <w:trPr>
          <w:trHeight w:val="258"/>
          <w:jc w:val="center"/>
        </w:trPr>
        <w:tc>
          <w:tcPr>
            <w:tcW w:w="3689" w:type="dxa"/>
            <w:shd w:val="clear" w:color="auto" w:fill="B4C6E7" w:themeFill="accent1" w:themeFillTint="66"/>
            <w:vAlign w:val="center"/>
          </w:tcPr>
          <w:p w14:paraId="343DDD2D" w14:textId="77777777" w:rsidR="004E6590" w:rsidRPr="004317C2" w:rsidRDefault="004E6590" w:rsidP="00582CA7">
            <w:pPr>
              <w:spacing w:line="259" w:lineRule="auto"/>
              <w:jc w:val="both"/>
              <w:rPr>
                <w:sz w:val="20"/>
                <w:szCs w:val="22"/>
                <w:lang w:eastAsia="en-US"/>
              </w:rPr>
            </w:pPr>
            <w:r w:rsidRPr="004317C2">
              <w:rPr>
                <w:sz w:val="20"/>
                <w:szCs w:val="22"/>
                <w:lang w:eastAsia="en-US"/>
              </w:rPr>
              <w:t xml:space="preserve">Impuesto a la propiedad </w:t>
            </w:r>
          </w:p>
        </w:tc>
        <w:tc>
          <w:tcPr>
            <w:tcW w:w="5139" w:type="dxa"/>
            <w:vMerge/>
            <w:shd w:val="clear" w:color="auto" w:fill="8EAADB" w:themeFill="accent1" w:themeFillTint="99"/>
            <w:vAlign w:val="center"/>
          </w:tcPr>
          <w:p w14:paraId="445AD233" w14:textId="77777777" w:rsidR="004E6590" w:rsidRPr="004317C2" w:rsidRDefault="004E6590" w:rsidP="00354A9C">
            <w:pPr>
              <w:numPr>
                <w:ilvl w:val="0"/>
                <w:numId w:val="10"/>
              </w:numPr>
              <w:spacing w:line="259" w:lineRule="auto"/>
              <w:contextualSpacing/>
              <w:jc w:val="both"/>
              <w:rPr>
                <w:sz w:val="22"/>
                <w:szCs w:val="22"/>
                <w:lang w:eastAsia="en-US"/>
              </w:rPr>
            </w:pPr>
          </w:p>
        </w:tc>
      </w:tr>
      <w:tr w:rsidR="004E6590" w:rsidRPr="004317C2" w14:paraId="0F7B14F6" w14:textId="77777777" w:rsidTr="00582CA7">
        <w:trPr>
          <w:trHeight w:val="317"/>
          <w:jc w:val="center"/>
        </w:trPr>
        <w:tc>
          <w:tcPr>
            <w:tcW w:w="3689" w:type="dxa"/>
            <w:shd w:val="clear" w:color="auto" w:fill="B4C6E7" w:themeFill="accent1" w:themeFillTint="66"/>
            <w:vAlign w:val="center"/>
          </w:tcPr>
          <w:p w14:paraId="653D116D" w14:textId="77777777" w:rsidR="004E6590" w:rsidRPr="004317C2" w:rsidRDefault="004E6590" w:rsidP="00582CA7">
            <w:pPr>
              <w:spacing w:line="259" w:lineRule="auto"/>
              <w:jc w:val="both"/>
              <w:rPr>
                <w:sz w:val="20"/>
                <w:szCs w:val="22"/>
                <w:lang w:eastAsia="en-US"/>
              </w:rPr>
            </w:pPr>
            <w:r w:rsidRPr="004317C2">
              <w:rPr>
                <w:sz w:val="20"/>
                <w:szCs w:val="22"/>
                <w:lang w:eastAsia="en-US"/>
              </w:rPr>
              <w:t>Impuesto a la distribución de Tabacos</w:t>
            </w:r>
          </w:p>
        </w:tc>
        <w:tc>
          <w:tcPr>
            <w:tcW w:w="5139" w:type="dxa"/>
            <w:vMerge/>
            <w:shd w:val="clear" w:color="auto" w:fill="8EAADB" w:themeFill="accent1" w:themeFillTint="99"/>
            <w:vAlign w:val="center"/>
          </w:tcPr>
          <w:p w14:paraId="72D2790E" w14:textId="77777777" w:rsidR="004E6590" w:rsidRPr="004317C2" w:rsidRDefault="004E6590" w:rsidP="00582CA7">
            <w:pPr>
              <w:spacing w:line="259" w:lineRule="auto"/>
              <w:jc w:val="both"/>
              <w:rPr>
                <w:sz w:val="22"/>
                <w:szCs w:val="22"/>
                <w:lang w:eastAsia="en-US"/>
              </w:rPr>
            </w:pPr>
          </w:p>
        </w:tc>
      </w:tr>
      <w:tr w:rsidR="004E6590" w:rsidRPr="004317C2" w14:paraId="2B44353E" w14:textId="77777777" w:rsidTr="00582CA7">
        <w:trPr>
          <w:trHeight w:val="265"/>
          <w:jc w:val="center"/>
        </w:trPr>
        <w:tc>
          <w:tcPr>
            <w:tcW w:w="3689" w:type="dxa"/>
            <w:shd w:val="clear" w:color="auto" w:fill="B4C6E7" w:themeFill="accent1" w:themeFillTint="66"/>
            <w:vAlign w:val="center"/>
          </w:tcPr>
          <w:p w14:paraId="7FDFD30B" w14:textId="77777777" w:rsidR="004E6590" w:rsidRPr="004317C2" w:rsidRDefault="004E6590" w:rsidP="00582CA7">
            <w:pPr>
              <w:spacing w:line="259" w:lineRule="auto"/>
              <w:jc w:val="both"/>
              <w:rPr>
                <w:sz w:val="20"/>
                <w:szCs w:val="22"/>
                <w:lang w:eastAsia="en-US"/>
              </w:rPr>
            </w:pPr>
            <w:r w:rsidRPr="004317C2">
              <w:rPr>
                <w:sz w:val="20"/>
                <w:szCs w:val="22"/>
                <w:lang w:eastAsia="en-US"/>
              </w:rPr>
              <w:t>Impuesto a la distribución de Cemento</w:t>
            </w:r>
          </w:p>
        </w:tc>
        <w:tc>
          <w:tcPr>
            <w:tcW w:w="5139" w:type="dxa"/>
            <w:vMerge/>
            <w:shd w:val="clear" w:color="auto" w:fill="8EAADB" w:themeFill="accent1" w:themeFillTint="99"/>
            <w:vAlign w:val="center"/>
          </w:tcPr>
          <w:p w14:paraId="48B0373F" w14:textId="77777777" w:rsidR="004E6590" w:rsidRPr="004317C2" w:rsidRDefault="004E6590" w:rsidP="00582CA7">
            <w:pPr>
              <w:spacing w:line="259" w:lineRule="auto"/>
              <w:jc w:val="both"/>
              <w:rPr>
                <w:sz w:val="22"/>
                <w:szCs w:val="22"/>
                <w:lang w:eastAsia="en-US"/>
              </w:rPr>
            </w:pPr>
          </w:p>
        </w:tc>
      </w:tr>
      <w:tr w:rsidR="004E6590" w:rsidRPr="004317C2" w14:paraId="5FB4FBB3" w14:textId="77777777" w:rsidTr="00582CA7">
        <w:trPr>
          <w:trHeight w:val="283"/>
          <w:jc w:val="center"/>
        </w:trPr>
        <w:tc>
          <w:tcPr>
            <w:tcW w:w="3689" w:type="dxa"/>
            <w:shd w:val="clear" w:color="auto" w:fill="B4C6E7" w:themeFill="accent1" w:themeFillTint="66"/>
            <w:vAlign w:val="center"/>
          </w:tcPr>
          <w:p w14:paraId="72BB5EB1" w14:textId="77777777" w:rsidR="004E6590" w:rsidRPr="004317C2" w:rsidRDefault="004E6590" w:rsidP="00582CA7">
            <w:pPr>
              <w:spacing w:line="259" w:lineRule="auto"/>
              <w:jc w:val="both"/>
              <w:rPr>
                <w:sz w:val="20"/>
                <w:szCs w:val="22"/>
                <w:lang w:eastAsia="en-US"/>
              </w:rPr>
            </w:pPr>
            <w:r w:rsidRPr="004317C2">
              <w:rPr>
                <w:sz w:val="20"/>
                <w:szCs w:val="22"/>
                <w:lang w:eastAsia="en-US"/>
              </w:rPr>
              <w:t>Regalías e hidrocarburos compartibles</w:t>
            </w:r>
          </w:p>
        </w:tc>
        <w:tc>
          <w:tcPr>
            <w:tcW w:w="5139" w:type="dxa"/>
            <w:vMerge/>
            <w:shd w:val="clear" w:color="auto" w:fill="8EAADB" w:themeFill="accent1" w:themeFillTint="99"/>
            <w:vAlign w:val="center"/>
          </w:tcPr>
          <w:p w14:paraId="192C9DF8" w14:textId="77777777" w:rsidR="004E6590" w:rsidRPr="004317C2" w:rsidRDefault="004E6590" w:rsidP="00582CA7">
            <w:pPr>
              <w:spacing w:line="259" w:lineRule="auto"/>
              <w:jc w:val="both"/>
              <w:rPr>
                <w:sz w:val="22"/>
                <w:szCs w:val="22"/>
                <w:lang w:eastAsia="en-US"/>
              </w:rPr>
            </w:pPr>
          </w:p>
        </w:tc>
      </w:tr>
      <w:tr w:rsidR="004E6590" w:rsidRPr="004317C2" w14:paraId="0D3E25A3" w14:textId="77777777" w:rsidTr="00582CA7">
        <w:trPr>
          <w:trHeight w:val="243"/>
          <w:jc w:val="center"/>
        </w:trPr>
        <w:tc>
          <w:tcPr>
            <w:tcW w:w="3689" w:type="dxa"/>
            <w:shd w:val="clear" w:color="auto" w:fill="B4C6E7" w:themeFill="accent1" w:themeFillTint="66"/>
            <w:vAlign w:val="center"/>
          </w:tcPr>
          <w:p w14:paraId="3D28DC3E" w14:textId="77777777" w:rsidR="004E6590" w:rsidRPr="004317C2" w:rsidRDefault="004E6590" w:rsidP="00582CA7">
            <w:pPr>
              <w:spacing w:line="259" w:lineRule="auto"/>
              <w:jc w:val="both"/>
              <w:rPr>
                <w:sz w:val="20"/>
                <w:szCs w:val="22"/>
                <w:lang w:eastAsia="en-US"/>
              </w:rPr>
            </w:pPr>
            <w:r w:rsidRPr="004317C2">
              <w:rPr>
                <w:sz w:val="20"/>
                <w:szCs w:val="22"/>
                <w:lang w:eastAsia="en-US"/>
              </w:rPr>
              <w:t>Impuesto a las salidas del país</w:t>
            </w:r>
          </w:p>
        </w:tc>
        <w:tc>
          <w:tcPr>
            <w:tcW w:w="5139" w:type="dxa"/>
            <w:vMerge/>
            <w:shd w:val="clear" w:color="auto" w:fill="8EAADB" w:themeFill="accent1" w:themeFillTint="99"/>
            <w:vAlign w:val="center"/>
          </w:tcPr>
          <w:p w14:paraId="639604AC" w14:textId="77777777" w:rsidR="004E6590" w:rsidRPr="004317C2" w:rsidRDefault="004E6590" w:rsidP="00582CA7">
            <w:pPr>
              <w:spacing w:line="259" w:lineRule="auto"/>
              <w:jc w:val="both"/>
              <w:rPr>
                <w:sz w:val="22"/>
                <w:szCs w:val="22"/>
                <w:lang w:eastAsia="en-US"/>
              </w:rPr>
            </w:pPr>
          </w:p>
        </w:tc>
      </w:tr>
    </w:tbl>
    <w:p w14:paraId="243687F4" w14:textId="7B211B51" w:rsidR="004E6590" w:rsidRPr="004E6590" w:rsidRDefault="004E6590" w:rsidP="004E6590">
      <w:pPr>
        <w:jc w:val="both"/>
        <w:rPr>
          <w:sz w:val="18"/>
          <w:lang w:val="es-MX" w:eastAsia="en-US"/>
        </w:rPr>
      </w:pPr>
      <w:r w:rsidRPr="004E6590">
        <w:rPr>
          <w:sz w:val="18"/>
          <w:lang w:val="es-MX" w:eastAsia="en-US"/>
        </w:rPr>
        <w:t>Fuente: Dirección de Análisis y Política Fiscal.</w:t>
      </w:r>
    </w:p>
    <w:p w14:paraId="4CBB995C" w14:textId="4021E43E" w:rsidR="004E6590" w:rsidRDefault="004E6590" w:rsidP="00B425B8">
      <w:pPr>
        <w:jc w:val="both"/>
        <w:rPr>
          <w:lang w:val="es-MX"/>
        </w:rPr>
      </w:pPr>
    </w:p>
    <w:p w14:paraId="6F3DF510" w14:textId="6C999C1A" w:rsidR="004E6590" w:rsidRDefault="004E6590" w:rsidP="00B425B8">
      <w:pPr>
        <w:jc w:val="both"/>
        <w:rPr>
          <w:lang w:val="es-MX"/>
        </w:rPr>
      </w:pPr>
      <w:r w:rsidRPr="004E6590">
        <w:rPr>
          <w:lang w:val="es-MX"/>
        </w:rPr>
        <w:t>Tomando en consideración la base para la estimación de cada uno de los impuestos y las proyecciones macroeconómicas expuestas en el Marco Macroeconómico, se procede a estimar el nivel de recaudación tributaria para el mediano plazo.</w:t>
      </w:r>
    </w:p>
    <w:p w14:paraId="0357C0F6" w14:textId="77777777" w:rsidR="001245F7" w:rsidRDefault="001245F7" w:rsidP="00B425B8">
      <w:pPr>
        <w:jc w:val="both"/>
        <w:rPr>
          <w:lang w:val="es-MX"/>
        </w:rPr>
      </w:pPr>
    </w:p>
    <w:p w14:paraId="743F9736" w14:textId="426B0675" w:rsidR="004E6590" w:rsidRPr="0071370B" w:rsidRDefault="0071370B" w:rsidP="0071370B">
      <w:pPr>
        <w:pStyle w:val="Descripcin"/>
        <w:keepNext/>
        <w:spacing w:after="0"/>
        <w:jc w:val="center"/>
        <w:rPr>
          <w:b/>
          <w:bCs/>
          <w:i w:val="0"/>
          <w:iCs w:val="0"/>
          <w:color w:val="auto"/>
          <w:sz w:val="24"/>
          <w:szCs w:val="24"/>
        </w:rPr>
      </w:pPr>
      <w:bookmarkStart w:id="223" w:name="_Toc81573042"/>
      <w:bookmarkStart w:id="224" w:name="_Toc104795836"/>
      <w:bookmarkStart w:id="225" w:name="_Toc143871231"/>
      <w:r w:rsidRPr="0071370B">
        <w:rPr>
          <w:b/>
          <w:bCs/>
          <w:i w:val="0"/>
          <w:iCs w:val="0"/>
          <w:color w:val="auto"/>
          <w:sz w:val="24"/>
          <w:szCs w:val="24"/>
        </w:rPr>
        <w:t xml:space="preserve">Tabla </w:t>
      </w:r>
      <w:r w:rsidRPr="0071370B">
        <w:rPr>
          <w:b/>
          <w:bCs/>
          <w:i w:val="0"/>
          <w:iCs w:val="0"/>
          <w:color w:val="auto"/>
          <w:sz w:val="24"/>
          <w:szCs w:val="24"/>
        </w:rPr>
        <w:fldChar w:fldCharType="begin"/>
      </w:r>
      <w:r w:rsidRPr="0071370B">
        <w:rPr>
          <w:b/>
          <w:bCs/>
          <w:i w:val="0"/>
          <w:iCs w:val="0"/>
          <w:color w:val="auto"/>
          <w:sz w:val="24"/>
          <w:szCs w:val="24"/>
        </w:rPr>
        <w:instrText xml:space="preserve"> SEQ Tabla \* ARABIC </w:instrText>
      </w:r>
      <w:r w:rsidRPr="0071370B">
        <w:rPr>
          <w:b/>
          <w:bCs/>
          <w:i w:val="0"/>
          <w:iCs w:val="0"/>
          <w:color w:val="auto"/>
          <w:sz w:val="24"/>
          <w:szCs w:val="24"/>
        </w:rPr>
        <w:fldChar w:fldCharType="separate"/>
      </w:r>
      <w:r w:rsidR="006622B2">
        <w:rPr>
          <w:b/>
          <w:bCs/>
          <w:i w:val="0"/>
          <w:iCs w:val="0"/>
          <w:noProof/>
          <w:color w:val="auto"/>
          <w:sz w:val="24"/>
          <w:szCs w:val="24"/>
        </w:rPr>
        <w:t>24</w:t>
      </w:r>
      <w:r w:rsidRPr="0071370B">
        <w:rPr>
          <w:b/>
          <w:bCs/>
          <w:i w:val="0"/>
          <w:iCs w:val="0"/>
          <w:color w:val="auto"/>
          <w:sz w:val="24"/>
          <w:szCs w:val="24"/>
        </w:rPr>
        <w:fldChar w:fldCharType="end"/>
      </w:r>
      <w:r w:rsidRPr="0071370B">
        <w:rPr>
          <w:b/>
          <w:bCs/>
          <w:i w:val="0"/>
          <w:iCs w:val="0"/>
          <w:color w:val="auto"/>
          <w:sz w:val="24"/>
          <w:szCs w:val="24"/>
        </w:rPr>
        <w:t xml:space="preserve">.  </w:t>
      </w:r>
      <w:r w:rsidR="004E6590" w:rsidRPr="0071370B">
        <w:rPr>
          <w:b/>
          <w:bCs/>
          <w:i w:val="0"/>
          <w:iCs w:val="0"/>
          <w:color w:val="auto"/>
          <w:sz w:val="24"/>
          <w:szCs w:val="24"/>
          <w:lang w:eastAsia="en-US"/>
        </w:rPr>
        <w:t>Escenario macroeconómico 2022-202</w:t>
      </w:r>
      <w:bookmarkEnd w:id="223"/>
      <w:r w:rsidR="004E6590" w:rsidRPr="0071370B">
        <w:rPr>
          <w:b/>
          <w:bCs/>
          <w:i w:val="0"/>
          <w:iCs w:val="0"/>
          <w:color w:val="auto"/>
          <w:sz w:val="24"/>
          <w:szCs w:val="24"/>
          <w:lang w:eastAsia="en-US"/>
        </w:rPr>
        <w:t>8</w:t>
      </w:r>
      <w:bookmarkEnd w:id="224"/>
      <w:bookmarkEnd w:id="225"/>
    </w:p>
    <w:p w14:paraId="4698FB36" w14:textId="77777777" w:rsidR="004E6590" w:rsidRPr="004317C2" w:rsidRDefault="004E6590" w:rsidP="004E6590">
      <w:pPr>
        <w:jc w:val="center"/>
        <w:rPr>
          <w:sz w:val="20"/>
          <w:szCs w:val="22"/>
          <w:lang w:eastAsia="en-US"/>
        </w:rPr>
      </w:pPr>
      <w:r w:rsidRPr="004317C2">
        <w:rPr>
          <w:sz w:val="20"/>
          <w:szCs w:val="22"/>
          <w:lang w:eastAsia="en-US"/>
        </w:rPr>
        <w:t>Millones de quetzales, millones de dólares y porcentajes</w:t>
      </w:r>
    </w:p>
    <w:p w14:paraId="75EA258C" w14:textId="77777777" w:rsidR="004E6590" w:rsidRPr="004317C2" w:rsidRDefault="004E6590" w:rsidP="004E6590">
      <w:pPr>
        <w:jc w:val="center"/>
        <w:rPr>
          <w:sz w:val="20"/>
          <w:szCs w:val="22"/>
          <w:lang w:eastAsia="en-US"/>
        </w:rPr>
      </w:pPr>
      <w:r w:rsidRPr="004317C2">
        <w:rPr>
          <w:rFonts w:asciiTheme="minorHAnsi" w:hAnsiTheme="minorHAnsi"/>
          <w:noProof/>
          <w:sz w:val="22"/>
          <w:szCs w:val="22"/>
          <w:lang w:eastAsia="en-US"/>
        </w:rPr>
        <w:drawing>
          <wp:inline distT="0" distB="0" distL="0" distR="0" wp14:anchorId="0F9D8A75" wp14:editId="29D5536B">
            <wp:extent cx="5610860" cy="1945640"/>
            <wp:effectExtent l="0" t="0" r="8890" b="0"/>
            <wp:docPr id="1796" name="Imagen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10860" cy="1945640"/>
                    </a:xfrm>
                    <a:prstGeom prst="rect">
                      <a:avLst/>
                    </a:prstGeom>
                    <a:noFill/>
                    <a:ln>
                      <a:noFill/>
                    </a:ln>
                  </pic:spPr>
                </pic:pic>
              </a:graphicData>
            </a:graphic>
          </wp:inline>
        </w:drawing>
      </w:r>
    </w:p>
    <w:p w14:paraId="736E4B37" w14:textId="4817D597" w:rsidR="004E6590" w:rsidRPr="004E6590" w:rsidRDefault="004E6590" w:rsidP="004E6590">
      <w:pPr>
        <w:jc w:val="both"/>
        <w:rPr>
          <w:lang w:val="es-MX"/>
        </w:rPr>
      </w:pPr>
      <w:r w:rsidRPr="004317C2">
        <w:rPr>
          <w:sz w:val="18"/>
          <w:szCs w:val="22"/>
          <w:lang w:eastAsia="en-US"/>
        </w:rPr>
        <w:t>Fuente: Banco de Guatemala (escenario medio 2023 y escenario bajo para 2024 -2028)</w:t>
      </w:r>
      <w:r>
        <w:rPr>
          <w:sz w:val="18"/>
          <w:szCs w:val="22"/>
          <w:lang w:eastAsia="en-US"/>
        </w:rPr>
        <w:t>.</w:t>
      </w:r>
    </w:p>
    <w:p w14:paraId="024D6F62" w14:textId="5569E5A9" w:rsidR="009F727A" w:rsidRDefault="009F727A" w:rsidP="00B425B8">
      <w:pPr>
        <w:jc w:val="both"/>
      </w:pPr>
    </w:p>
    <w:p w14:paraId="5A9C5C22" w14:textId="5FD4C889" w:rsidR="004E6590" w:rsidRDefault="004E6590" w:rsidP="00B425B8">
      <w:pPr>
        <w:jc w:val="both"/>
      </w:pPr>
      <w:r w:rsidRPr="004E6590">
        <w:t>Adicionalmente, para el período 2024-2028, se incluye recaudación adicional por concepto de la reducción de la evasión del IVA y el Impuesto Sobre la Renta a personas jurídicas, los cuales se sustentan desde 2016 con el efecto de las medidas administrativas que está realizando la SAT.</w:t>
      </w:r>
    </w:p>
    <w:p w14:paraId="76F6A3B6" w14:textId="5895FF42" w:rsidR="0071370B" w:rsidRDefault="008250D8" w:rsidP="00B425B8">
      <w:pPr>
        <w:jc w:val="both"/>
      </w:pPr>
      <w:r w:rsidRPr="007940BC">
        <w:rPr>
          <w:rFonts w:ascii="Calibri" w:hAnsi="Calibri"/>
          <w:noProof/>
          <w:sz w:val="22"/>
          <w:szCs w:val="22"/>
          <w:lang w:eastAsia="en-US"/>
        </w:rPr>
        <mc:AlternateContent>
          <mc:Choice Requires="wps">
            <w:drawing>
              <wp:anchor distT="0" distB="0" distL="114300" distR="114300" simplePos="0" relativeHeight="251754496" behindDoc="0" locked="0" layoutInCell="1" allowOverlap="1" wp14:anchorId="1919503E" wp14:editId="44F7946D">
                <wp:simplePos x="0" y="0"/>
                <wp:positionH relativeFrom="page">
                  <wp:posOffset>1028700</wp:posOffset>
                </wp:positionH>
                <wp:positionV relativeFrom="paragraph">
                  <wp:posOffset>-4445</wp:posOffset>
                </wp:positionV>
                <wp:extent cx="5686425" cy="2333625"/>
                <wp:effectExtent l="0" t="0" r="28575" b="28575"/>
                <wp:wrapNone/>
                <wp:docPr id="1793" name="Rectángulo: esquinas redondeadas 17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86425" cy="2333625"/>
                        </a:xfrm>
                        <a:prstGeom prst="roundRect">
                          <a:avLst>
                            <a:gd name="adj" fmla="val 5854"/>
                          </a:avLst>
                        </a:prstGeom>
                        <a:solidFill>
                          <a:srgbClr val="4472C4">
                            <a:alpha val="30000"/>
                          </a:srgbClr>
                        </a:solidFill>
                        <a:ln w="12700" cap="flat" cmpd="sng" algn="ctr">
                          <a:solidFill>
                            <a:srgbClr val="4472C4">
                              <a:shade val="50000"/>
                            </a:srgbClr>
                          </a:solidFill>
                          <a:prstDash val="solid"/>
                          <a:miter lim="800000"/>
                        </a:ln>
                        <a:effectLst/>
                      </wps:spPr>
                      <wps:txbx>
                        <w:txbxContent>
                          <w:p w14:paraId="1A2CE9FE" w14:textId="2302E7C0" w:rsidR="004E6590" w:rsidRDefault="004E6590" w:rsidP="004E6590">
                            <w:pPr>
                              <w:jc w:val="both"/>
                              <w:rPr>
                                <w:color w:val="000000"/>
                                <w:sz w:val="18"/>
                                <w:szCs w:val="18"/>
                                <w:lang w:val="es-MX"/>
                              </w:rPr>
                            </w:pPr>
                            <w:r w:rsidRPr="004E6590">
                              <w:rPr>
                                <w:color w:val="000000"/>
                                <w:sz w:val="18"/>
                                <w:szCs w:val="18"/>
                                <w:lang w:val="es-MX"/>
                              </w:rPr>
                              <w:t>Acciones que sigue implementando el ente recaudador en pro de la reducción de la elusión, evasión y contrabando y que permiten alcanzar la meta de recaudación establecidas en el escenario de mediano plazo.</w:t>
                            </w:r>
                          </w:p>
                          <w:p w14:paraId="418187BE" w14:textId="21415972" w:rsidR="004E6590" w:rsidRDefault="004E6590" w:rsidP="004E6590">
                            <w:pPr>
                              <w:jc w:val="both"/>
                              <w:rPr>
                                <w:color w:val="000000"/>
                                <w:sz w:val="18"/>
                                <w:szCs w:val="18"/>
                                <w:lang w:val="es-MX"/>
                              </w:rPr>
                            </w:pPr>
                          </w:p>
                          <w:p w14:paraId="63112096" w14:textId="6172BB1F" w:rsidR="004E6590" w:rsidRPr="007940BC" w:rsidRDefault="004E6590" w:rsidP="004E6590">
                            <w:pPr>
                              <w:jc w:val="center"/>
                              <w:rPr>
                                <w:color w:val="000000"/>
                                <w:sz w:val="18"/>
                                <w:szCs w:val="18"/>
                                <w:lang w:val="es-MX"/>
                              </w:rPr>
                            </w:pPr>
                            <w:r w:rsidRPr="004317C2">
                              <w:rPr>
                                <w:rFonts w:asciiTheme="minorHAnsi" w:hAnsiTheme="minorHAnsi"/>
                                <w:noProof/>
                                <w:sz w:val="22"/>
                                <w:szCs w:val="22"/>
                              </w:rPr>
                              <w:drawing>
                                <wp:inline distT="0" distB="0" distL="0" distR="0" wp14:anchorId="098179CB" wp14:editId="62A5021D">
                                  <wp:extent cx="3891687" cy="1806790"/>
                                  <wp:effectExtent l="0" t="0" r="0" b="3175"/>
                                  <wp:docPr id="1795" name="Imagen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899041" cy="181020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1919503E" id="Rectángulo: esquinas redondeadas 1793" o:spid="_x0000_s1045" style="position:absolute;left:0;text-align:left;margin-left:81pt;margin-top:-.35pt;width:447.75pt;height:183.75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arcsize="38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" fillcolor="#4472c4" strokecolor="#2f528f" strokeweight="1pt">
                <v:fill opacity="19789f"/>
                <v:stroke joinstyle="miter"/>
                <v:path arrowok="t"/>
                <v:textbox>
                  <w:txbxContent>
                    <w:p w14:paraId="1A2CE9FE" w14:textId="2302E7C0" w:rsidR="004E6590" w:rsidRDefault="004E6590" w:rsidP="004E6590">
                      <w:pPr>
                        <w:jc w:val="both"/>
                        <w:rPr>
                          <w:color w:val="000000"/>
                          <w:sz w:val="18"/>
                          <w:szCs w:val="18"/>
                          <w:lang w:val="es-MX"/>
                        </w:rPr>
                      </w:pPr>
                      <w:r w:rsidRPr="004E6590">
                        <w:rPr>
                          <w:color w:val="000000"/>
                          <w:sz w:val="18"/>
                          <w:szCs w:val="18"/>
                          <w:lang w:val="es-MX"/>
                        </w:rPr>
                        <w:t>Acciones que sigue implementando el ente recaudador en pro de la reducción de la elusión, evasión y contrabando y que permiten alcanzar la meta de recaudación establecidas en el escenario de mediano plazo.</w:t>
                      </w:r>
                    </w:p>
                    <w:p w14:paraId="418187BE" w14:textId="21415972" w:rsidR="004E6590" w:rsidRDefault="004E6590" w:rsidP="004E6590">
                      <w:pPr>
                        <w:jc w:val="both"/>
                        <w:rPr>
                          <w:color w:val="000000"/>
                          <w:sz w:val="18"/>
                          <w:szCs w:val="18"/>
                          <w:lang w:val="es-MX"/>
                        </w:rPr>
                      </w:pPr>
                    </w:p>
                    <w:p w14:paraId="63112096" w14:textId="6172BB1F" w:rsidR="004E6590" w:rsidRPr="007940BC" w:rsidRDefault="004E6590" w:rsidP="004E6590">
                      <w:pPr>
                        <w:jc w:val="center"/>
                        <w:rPr>
                          <w:color w:val="000000"/>
                          <w:sz w:val="18"/>
                          <w:szCs w:val="18"/>
                          <w:lang w:val="es-MX"/>
                        </w:rPr>
                      </w:pPr>
                      <w:r w:rsidRPr="004317C2">
                        <w:rPr>
                          <w:rFonts w:asciiTheme="minorHAnsi" w:hAnsiTheme="minorHAnsi"/>
                          <w:noProof/>
                          <w:sz w:val="22"/>
                          <w:szCs w:val="22"/>
                        </w:rPr>
                        <w:drawing>
                          <wp:inline distT="0" distB="0" distL="0" distR="0" wp14:anchorId="098179CB" wp14:editId="62A5021D">
                            <wp:extent cx="3891687" cy="1806790"/>
                            <wp:effectExtent l="0" t="0" r="0" b="3175"/>
                            <wp:docPr id="1795" name="Imagen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899041" cy="1810204"/>
                                    </a:xfrm>
                                    <a:prstGeom prst="rect">
                                      <a:avLst/>
                                    </a:prstGeom>
                                    <a:noFill/>
                                    <a:ln>
                                      <a:noFill/>
                                    </a:ln>
                                  </pic:spPr>
                                </pic:pic>
                              </a:graphicData>
                            </a:graphic>
                          </wp:inline>
                        </w:drawing>
                      </w:r>
                    </w:p>
                  </w:txbxContent>
                </v:textbox>
                <w10:wrap anchorx="page"/>
              </v:roundrect>
            </w:pict>
          </mc:Fallback>
        </mc:AlternateContent>
      </w:r>
    </w:p>
    <w:p w14:paraId="0B91E1C4" w14:textId="77777777" w:rsidR="0071370B" w:rsidRDefault="0071370B" w:rsidP="00B425B8">
      <w:pPr>
        <w:jc w:val="both"/>
      </w:pPr>
    </w:p>
    <w:p w14:paraId="55367319" w14:textId="519EEA79" w:rsidR="004E6590" w:rsidRDefault="004E6590" w:rsidP="00B425B8">
      <w:pPr>
        <w:jc w:val="both"/>
      </w:pPr>
    </w:p>
    <w:p w14:paraId="4DB3DAD0" w14:textId="626AA24C" w:rsidR="004E6590" w:rsidRDefault="004E6590" w:rsidP="00B425B8">
      <w:pPr>
        <w:jc w:val="both"/>
      </w:pPr>
    </w:p>
    <w:p w14:paraId="50BBA032" w14:textId="48FD8531" w:rsidR="009F727A" w:rsidRDefault="009F727A" w:rsidP="00B425B8">
      <w:pPr>
        <w:jc w:val="both"/>
      </w:pPr>
    </w:p>
    <w:p w14:paraId="40EB7946" w14:textId="24984F6B" w:rsidR="009F727A" w:rsidRDefault="009F727A" w:rsidP="00B425B8">
      <w:pPr>
        <w:jc w:val="both"/>
      </w:pPr>
    </w:p>
    <w:p w14:paraId="022B7F50" w14:textId="59BFBF75" w:rsidR="009F727A" w:rsidRDefault="009F727A" w:rsidP="00B425B8">
      <w:pPr>
        <w:jc w:val="both"/>
      </w:pPr>
    </w:p>
    <w:p w14:paraId="2C20C978" w14:textId="00DDC289" w:rsidR="009F727A" w:rsidRDefault="009F727A" w:rsidP="00B425B8">
      <w:pPr>
        <w:jc w:val="both"/>
      </w:pPr>
    </w:p>
    <w:p w14:paraId="567CAF40" w14:textId="085C0DE9" w:rsidR="009F727A" w:rsidRDefault="009F727A" w:rsidP="00B425B8">
      <w:pPr>
        <w:jc w:val="both"/>
      </w:pPr>
    </w:p>
    <w:p w14:paraId="4E8E528D" w14:textId="4501B9D3" w:rsidR="009F727A" w:rsidRDefault="009F727A" w:rsidP="00B425B8">
      <w:pPr>
        <w:jc w:val="both"/>
      </w:pPr>
    </w:p>
    <w:p w14:paraId="6E429BE1" w14:textId="0C630AD7" w:rsidR="009F727A" w:rsidRDefault="009F727A" w:rsidP="00B425B8">
      <w:pPr>
        <w:jc w:val="both"/>
      </w:pPr>
    </w:p>
    <w:p w14:paraId="4EA39692" w14:textId="74D44F47" w:rsidR="009F727A" w:rsidRDefault="009F727A" w:rsidP="00B425B8">
      <w:pPr>
        <w:jc w:val="both"/>
      </w:pPr>
    </w:p>
    <w:p w14:paraId="0FF25ABF" w14:textId="5F8FFFEA" w:rsidR="009F727A" w:rsidRDefault="009F727A" w:rsidP="00B425B8">
      <w:pPr>
        <w:jc w:val="both"/>
      </w:pPr>
    </w:p>
    <w:p w14:paraId="3259AC7E" w14:textId="353B3A9C" w:rsidR="009F727A" w:rsidRDefault="009F727A" w:rsidP="00B425B8">
      <w:pPr>
        <w:jc w:val="both"/>
      </w:pPr>
    </w:p>
    <w:p w14:paraId="047D47C3" w14:textId="4CCA5908" w:rsidR="009F727A" w:rsidRDefault="004E6590" w:rsidP="00B425B8">
      <w:pPr>
        <w:jc w:val="both"/>
      </w:pPr>
      <w:r w:rsidRPr="004E6590">
        <w:t>Además, es importante indicar que, la estimación de medidas administrativas encaminadas a reducir la evasión tributaria no constituye base para la estimación del año siguiente, las medidas administrativas se registran en el rubro de otros indirectos y otros directos.  El monto estimado para 2023 se elaboró con escenario rango medio y el escenario de mediano plazo 2024-2028 se elaboró con el escenario macroeconómico rango bajo. Para 2023 los principales impuestos ISR e IVA total, en conjunto representan el 76.0% de la recaudación total, se prevé un crecimiento de las importaciones en torno al 8.0% en 2023 monto inferior al observado en 2022 (22.2%), este escenario es conservador y es el recomendado para considerarse para el Presupuesto General de Ingresos y Egresos del Estado 2024 y multianual 2024-2028.</w:t>
      </w:r>
    </w:p>
    <w:p w14:paraId="36A19FEA" w14:textId="77777777" w:rsidR="001245F7" w:rsidRDefault="001245F7" w:rsidP="00B425B8">
      <w:pPr>
        <w:jc w:val="both"/>
      </w:pPr>
    </w:p>
    <w:p w14:paraId="71916D58" w14:textId="3AA1E33B" w:rsidR="004E6590" w:rsidRPr="0071370B" w:rsidRDefault="0071370B" w:rsidP="0071370B">
      <w:pPr>
        <w:pStyle w:val="Descripcin"/>
        <w:keepNext/>
        <w:spacing w:after="0"/>
        <w:jc w:val="center"/>
        <w:rPr>
          <w:b/>
          <w:bCs/>
          <w:i w:val="0"/>
          <w:iCs w:val="0"/>
          <w:color w:val="auto"/>
          <w:sz w:val="24"/>
          <w:szCs w:val="24"/>
        </w:rPr>
      </w:pPr>
      <w:bookmarkStart w:id="226" w:name="_Toc81573043"/>
      <w:bookmarkStart w:id="227" w:name="_Toc104795837"/>
      <w:bookmarkStart w:id="228" w:name="_Toc143871232"/>
      <w:r w:rsidRPr="0071370B">
        <w:rPr>
          <w:b/>
          <w:bCs/>
          <w:i w:val="0"/>
          <w:iCs w:val="0"/>
          <w:color w:val="auto"/>
          <w:sz w:val="24"/>
          <w:szCs w:val="24"/>
        </w:rPr>
        <w:t xml:space="preserve">Tabla </w:t>
      </w:r>
      <w:r w:rsidRPr="0071370B">
        <w:rPr>
          <w:b/>
          <w:bCs/>
          <w:i w:val="0"/>
          <w:iCs w:val="0"/>
          <w:color w:val="auto"/>
          <w:sz w:val="24"/>
          <w:szCs w:val="24"/>
        </w:rPr>
        <w:fldChar w:fldCharType="begin"/>
      </w:r>
      <w:r w:rsidRPr="0071370B">
        <w:rPr>
          <w:b/>
          <w:bCs/>
          <w:i w:val="0"/>
          <w:iCs w:val="0"/>
          <w:color w:val="auto"/>
          <w:sz w:val="24"/>
          <w:szCs w:val="24"/>
        </w:rPr>
        <w:instrText xml:space="preserve"> SEQ Tabla \* ARABIC </w:instrText>
      </w:r>
      <w:r w:rsidRPr="0071370B">
        <w:rPr>
          <w:b/>
          <w:bCs/>
          <w:i w:val="0"/>
          <w:iCs w:val="0"/>
          <w:color w:val="auto"/>
          <w:sz w:val="24"/>
          <w:szCs w:val="24"/>
        </w:rPr>
        <w:fldChar w:fldCharType="separate"/>
      </w:r>
      <w:r w:rsidR="006622B2">
        <w:rPr>
          <w:b/>
          <w:bCs/>
          <w:i w:val="0"/>
          <w:iCs w:val="0"/>
          <w:noProof/>
          <w:color w:val="auto"/>
          <w:sz w:val="24"/>
          <w:szCs w:val="24"/>
        </w:rPr>
        <w:t>25</w:t>
      </w:r>
      <w:r w:rsidRPr="0071370B">
        <w:rPr>
          <w:b/>
          <w:bCs/>
          <w:i w:val="0"/>
          <w:iCs w:val="0"/>
          <w:color w:val="auto"/>
          <w:sz w:val="24"/>
          <w:szCs w:val="24"/>
        </w:rPr>
        <w:fldChar w:fldCharType="end"/>
      </w:r>
      <w:r w:rsidRPr="0071370B">
        <w:rPr>
          <w:b/>
          <w:bCs/>
          <w:i w:val="0"/>
          <w:iCs w:val="0"/>
          <w:color w:val="auto"/>
          <w:sz w:val="24"/>
          <w:szCs w:val="24"/>
        </w:rPr>
        <w:t xml:space="preserve">.  </w:t>
      </w:r>
      <w:r w:rsidR="004E6590" w:rsidRPr="0071370B">
        <w:rPr>
          <w:b/>
          <w:bCs/>
          <w:i w:val="0"/>
          <w:iCs w:val="0"/>
          <w:color w:val="auto"/>
          <w:sz w:val="24"/>
          <w:szCs w:val="24"/>
          <w:lang w:eastAsia="en-US"/>
        </w:rPr>
        <w:t>Recaudación tributaria neta</w:t>
      </w:r>
      <w:bookmarkEnd w:id="226"/>
      <w:bookmarkEnd w:id="227"/>
      <w:bookmarkEnd w:id="228"/>
    </w:p>
    <w:p w14:paraId="731CC4BF" w14:textId="77777777" w:rsidR="004E6590" w:rsidRPr="004317C2" w:rsidRDefault="004E6590" w:rsidP="004E6590">
      <w:pPr>
        <w:jc w:val="center"/>
        <w:rPr>
          <w:sz w:val="20"/>
          <w:szCs w:val="22"/>
          <w:lang w:eastAsia="en-US"/>
        </w:rPr>
      </w:pPr>
      <w:r w:rsidRPr="004317C2">
        <w:rPr>
          <w:sz w:val="20"/>
          <w:szCs w:val="22"/>
          <w:lang w:eastAsia="en-US"/>
        </w:rPr>
        <w:t>2022 – 2028</w:t>
      </w:r>
    </w:p>
    <w:p w14:paraId="31B4D64A" w14:textId="77777777" w:rsidR="004E6590" w:rsidRPr="004317C2" w:rsidRDefault="004E6590" w:rsidP="004E6590">
      <w:pPr>
        <w:jc w:val="center"/>
        <w:rPr>
          <w:sz w:val="20"/>
          <w:szCs w:val="22"/>
          <w:lang w:eastAsia="en-US"/>
        </w:rPr>
      </w:pPr>
      <w:r w:rsidRPr="004317C2">
        <w:rPr>
          <w:sz w:val="20"/>
          <w:szCs w:val="22"/>
          <w:lang w:eastAsia="en-US"/>
        </w:rPr>
        <w:t>Millones de quetzales</w:t>
      </w:r>
    </w:p>
    <w:p w14:paraId="018D94F3" w14:textId="77777777" w:rsidR="004E6590" w:rsidRPr="004317C2" w:rsidRDefault="004E6590" w:rsidP="004E6590">
      <w:pPr>
        <w:jc w:val="center"/>
        <w:rPr>
          <w:sz w:val="22"/>
          <w:szCs w:val="22"/>
          <w:lang w:eastAsia="en-US"/>
        </w:rPr>
      </w:pPr>
      <w:r w:rsidRPr="004317C2">
        <w:rPr>
          <w:rFonts w:asciiTheme="minorHAnsi" w:hAnsiTheme="minorHAnsi"/>
          <w:noProof/>
          <w:sz w:val="22"/>
          <w:szCs w:val="22"/>
          <w:lang w:eastAsia="en-US"/>
        </w:rPr>
        <w:drawing>
          <wp:inline distT="0" distB="0" distL="0" distR="0" wp14:anchorId="727A06BD" wp14:editId="67070ACB">
            <wp:extent cx="4961614" cy="3443797"/>
            <wp:effectExtent l="0" t="0" r="0" b="4445"/>
            <wp:docPr id="1794" name="Imagen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006594" cy="3475017"/>
                    </a:xfrm>
                    <a:prstGeom prst="rect">
                      <a:avLst/>
                    </a:prstGeom>
                    <a:noFill/>
                    <a:ln>
                      <a:noFill/>
                    </a:ln>
                  </pic:spPr>
                </pic:pic>
              </a:graphicData>
            </a:graphic>
          </wp:inline>
        </w:drawing>
      </w:r>
    </w:p>
    <w:p w14:paraId="0AC54F1C" w14:textId="30B70DDE" w:rsidR="004E6590" w:rsidRPr="00435EA6" w:rsidRDefault="004E6590" w:rsidP="00435EA6">
      <w:pPr>
        <w:ind w:firstLine="708"/>
        <w:rPr>
          <w:sz w:val="18"/>
          <w:lang w:eastAsia="en-US"/>
        </w:rPr>
      </w:pPr>
      <w:r w:rsidRPr="004E6590">
        <w:rPr>
          <w:sz w:val="18"/>
          <w:lang w:eastAsia="en-US"/>
        </w:rPr>
        <w:t>Fuente: Superintendencia de Administración Tributaria.</w:t>
      </w:r>
    </w:p>
    <w:p w14:paraId="5B922A5D" w14:textId="77777777" w:rsidR="00490943" w:rsidRDefault="00490943" w:rsidP="004E6590">
      <w:pPr>
        <w:jc w:val="both"/>
      </w:pPr>
    </w:p>
    <w:p w14:paraId="038B6549" w14:textId="59B6F998" w:rsidR="004E6590" w:rsidRDefault="004E6590" w:rsidP="004E6590">
      <w:pPr>
        <w:jc w:val="both"/>
      </w:pPr>
      <w:r>
        <w:t xml:space="preserve">Tomando en consideración el escenario macroeconómico previsto para el mediano plazo (rango medio para 2023 y bajo para 2024-2028) y considerando un esfuerzo administrativo por parte de la SAT de Q1,996.1 millones para 2023 los ingresos tributarios pueden ubicarse en torno a Q93,407.6 millones, equivalente al 11.7% del PIB, indicador inferior al observado en 2022 (12.0%), con este escenario conservador se prevé que la carga tributaria se mantenga en el mediano plazo situando la carga de 2028 (12.1%).   </w:t>
      </w:r>
    </w:p>
    <w:p w14:paraId="15B94B8F" w14:textId="77777777" w:rsidR="004E6590" w:rsidRDefault="004E6590" w:rsidP="004E6590">
      <w:pPr>
        <w:jc w:val="both"/>
      </w:pPr>
    </w:p>
    <w:p w14:paraId="2F45EE8C" w14:textId="56B16DDD" w:rsidR="009F727A" w:rsidRDefault="004E6590" w:rsidP="004E6590">
      <w:pPr>
        <w:jc w:val="both"/>
      </w:pPr>
      <w:r>
        <w:t>Es importante mencionar que el esfuerzo administrativo de SAT es clave para estabilizar la recaudación tributaria.</w:t>
      </w:r>
    </w:p>
    <w:p w14:paraId="6FD0A308" w14:textId="320B56DA" w:rsidR="004E6590" w:rsidRDefault="004E6590" w:rsidP="004E6590">
      <w:pPr>
        <w:jc w:val="both"/>
      </w:pPr>
    </w:p>
    <w:p w14:paraId="731C63C5" w14:textId="484B1FA8" w:rsidR="004E6590" w:rsidRPr="0071370B" w:rsidRDefault="0071370B" w:rsidP="0071370B">
      <w:pPr>
        <w:pStyle w:val="Descripcin"/>
        <w:spacing w:after="0"/>
        <w:jc w:val="center"/>
        <w:rPr>
          <w:b/>
          <w:bCs/>
          <w:i w:val="0"/>
          <w:iCs w:val="0"/>
          <w:color w:val="auto"/>
          <w:sz w:val="24"/>
          <w:szCs w:val="24"/>
          <w:lang w:eastAsia="en-US"/>
        </w:rPr>
      </w:pPr>
      <w:bookmarkStart w:id="229" w:name="_Toc143870752"/>
      <w:r w:rsidRPr="0071370B">
        <w:rPr>
          <w:b/>
          <w:bCs/>
          <w:i w:val="0"/>
          <w:iCs w:val="0"/>
          <w:color w:val="auto"/>
          <w:sz w:val="24"/>
          <w:szCs w:val="24"/>
        </w:rPr>
        <w:t xml:space="preserve">Gráfico </w:t>
      </w:r>
      <w:r w:rsidRPr="0071370B">
        <w:rPr>
          <w:b/>
          <w:bCs/>
          <w:i w:val="0"/>
          <w:iCs w:val="0"/>
          <w:color w:val="auto"/>
          <w:sz w:val="24"/>
          <w:szCs w:val="24"/>
        </w:rPr>
        <w:fldChar w:fldCharType="begin"/>
      </w:r>
      <w:r w:rsidRPr="0071370B">
        <w:rPr>
          <w:b/>
          <w:bCs/>
          <w:i w:val="0"/>
          <w:iCs w:val="0"/>
          <w:color w:val="auto"/>
          <w:sz w:val="24"/>
          <w:szCs w:val="24"/>
        </w:rPr>
        <w:instrText xml:space="preserve"> SEQ Gráfico \* ARABIC </w:instrText>
      </w:r>
      <w:r w:rsidRPr="0071370B">
        <w:rPr>
          <w:b/>
          <w:bCs/>
          <w:i w:val="0"/>
          <w:iCs w:val="0"/>
          <w:color w:val="auto"/>
          <w:sz w:val="24"/>
          <w:szCs w:val="24"/>
        </w:rPr>
        <w:fldChar w:fldCharType="separate"/>
      </w:r>
      <w:r w:rsidR="006622B2">
        <w:rPr>
          <w:b/>
          <w:bCs/>
          <w:i w:val="0"/>
          <w:iCs w:val="0"/>
          <w:noProof/>
          <w:color w:val="auto"/>
          <w:sz w:val="24"/>
          <w:szCs w:val="24"/>
        </w:rPr>
        <w:t>85</w:t>
      </w:r>
      <w:r w:rsidRPr="0071370B">
        <w:rPr>
          <w:b/>
          <w:bCs/>
          <w:i w:val="0"/>
          <w:iCs w:val="0"/>
          <w:color w:val="auto"/>
          <w:sz w:val="24"/>
          <w:szCs w:val="24"/>
        </w:rPr>
        <w:fldChar w:fldCharType="end"/>
      </w:r>
      <w:r w:rsidRPr="0071370B">
        <w:rPr>
          <w:b/>
          <w:bCs/>
          <w:i w:val="0"/>
          <w:iCs w:val="0"/>
          <w:color w:val="auto"/>
          <w:sz w:val="24"/>
          <w:szCs w:val="24"/>
        </w:rPr>
        <w:t xml:space="preserve">.  </w:t>
      </w:r>
      <w:bookmarkStart w:id="230" w:name="_Toc81573100"/>
      <w:bookmarkStart w:id="231" w:name="_Toc104796051"/>
      <w:r w:rsidRPr="0071370B">
        <w:rPr>
          <w:b/>
          <w:bCs/>
          <w:i w:val="0"/>
          <w:iCs w:val="0"/>
          <w:color w:val="auto"/>
          <w:sz w:val="24"/>
          <w:szCs w:val="24"/>
          <w:lang w:eastAsia="en-US"/>
        </w:rPr>
        <w:t>Carga tributaria 2019-202</w:t>
      </w:r>
      <w:bookmarkEnd w:id="230"/>
      <w:r w:rsidRPr="0071370B">
        <w:rPr>
          <w:b/>
          <w:bCs/>
          <w:i w:val="0"/>
          <w:iCs w:val="0"/>
          <w:color w:val="auto"/>
          <w:sz w:val="24"/>
          <w:szCs w:val="24"/>
          <w:lang w:eastAsia="en-US"/>
        </w:rPr>
        <w:t>8</w:t>
      </w:r>
      <w:bookmarkEnd w:id="229"/>
      <w:bookmarkEnd w:id="231"/>
    </w:p>
    <w:p w14:paraId="7CA1848C" w14:textId="77777777" w:rsidR="004E6590" w:rsidRPr="004317C2" w:rsidRDefault="004E6590" w:rsidP="00435EA6">
      <w:pPr>
        <w:spacing w:line="259" w:lineRule="auto"/>
        <w:jc w:val="center"/>
        <w:rPr>
          <w:sz w:val="16"/>
          <w:szCs w:val="22"/>
          <w:lang w:eastAsia="en-US"/>
        </w:rPr>
      </w:pPr>
      <w:r w:rsidRPr="004317C2">
        <w:rPr>
          <w:noProof/>
          <w:sz w:val="20"/>
          <w:szCs w:val="22"/>
        </w:rPr>
        <w:drawing>
          <wp:inline distT="0" distB="0" distL="0" distR="0" wp14:anchorId="18C2958F" wp14:editId="30924E47">
            <wp:extent cx="4725670" cy="2075290"/>
            <wp:effectExtent l="0" t="0" r="0" b="1270"/>
            <wp:docPr id="1798" name="Gráfico 17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780FC73A" w14:textId="5EF3B5C1" w:rsidR="004E6590" w:rsidRDefault="004E6590" w:rsidP="004E6590">
      <w:pPr>
        <w:jc w:val="both"/>
        <w:rPr>
          <w:sz w:val="16"/>
          <w:szCs w:val="22"/>
          <w:lang w:eastAsia="en-US"/>
        </w:rPr>
      </w:pPr>
      <w:r w:rsidRPr="004317C2">
        <w:rPr>
          <w:sz w:val="16"/>
          <w:szCs w:val="22"/>
          <w:lang w:eastAsia="en-US"/>
        </w:rPr>
        <w:t xml:space="preserve">             Fuente: Dirección de Análisis y Política Fiscal</w:t>
      </w:r>
      <w:r>
        <w:rPr>
          <w:sz w:val="16"/>
          <w:szCs w:val="22"/>
          <w:lang w:eastAsia="en-US"/>
        </w:rPr>
        <w:t>.</w:t>
      </w:r>
    </w:p>
    <w:p w14:paraId="46908561" w14:textId="3159B308" w:rsidR="005F04DE" w:rsidRDefault="005F04DE" w:rsidP="004E6590">
      <w:pPr>
        <w:jc w:val="both"/>
        <w:rPr>
          <w:sz w:val="16"/>
          <w:szCs w:val="22"/>
          <w:lang w:eastAsia="en-US"/>
        </w:rPr>
      </w:pPr>
    </w:p>
    <w:p w14:paraId="6A47DF84" w14:textId="77777777" w:rsidR="00CC30AC" w:rsidRPr="00CC30AC" w:rsidRDefault="00CC30AC" w:rsidP="00CC30AC">
      <w:pPr>
        <w:numPr>
          <w:ilvl w:val="2"/>
          <w:numId w:val="3"/>
        </w:numPr>
        <w:contextualSpacing/>
        <w:jc w:val="both"/>
        <w:outlineLvl w:val="2"/>
        <w:rPr>
          <w:b/>
        </w:rPr>
      </w:pPr>
      <w:bookmarkStart w:id="232" w:name="_Toc113025363"/>
      <w:bookmarkStart w:id="233" w:name="_Toc143865861"/>
      <w:r w:rsidRPr="00CC30AC">
        <w:rPr>
          <w:b/>
          <w:bCs/>
        </w:rPr>
        <w:t>Escenarios alternativos en las proyecciones de recaudación tributaria</w:t>
      </w:r>
      <w:bookmarkEnd w:id="232"/>
      <w:bookmarkEnd w:id="233"/>
      <w:r w:rsidRPr="00CC30AC">
        <w:rPr>
          <w:bCs/>
        </w:rPr>
        <w:tab/>
      </w:r>
      <w:r w:rsidRPr="00CC30AC">
        <w:rPr>
          <w:b/>
        </w:rPr>
        <w:tab/>
      </w:r>
      <w:r w:rsidRPr="00CC30AC">
        <w:rPr>
          <w:b/>
        </w:rPr>
        <w:tab/>
      </w:r>
    </w:p>
    <w:p w14:paraId="6256C7B5" w14:textId="77777777" w:rsidR="00CC30AC" w:rsidRPr="00CC30AC" w:rsidRDefault="00CC30AC" w:rsidP="001245F7">
      <w:pPr>
        <w:jc w:val="both"/>
      </w:pPr>
      <w:r w:rsidRPr="00CC30AC">
        <w:t>Para efectos de medir el grado de sensibilidad que tiene la recaudación tributaria ante cambios en las proyecciones macroeconómicas, se elaboraron escenarios que muestran como la recaudación de impuestos de mediano plazo (2023-2028) cambia por la variación de las variables macroeconómicas. Para esto se consideraron escenarios con las proyecciones elaboradas por el Banco de Guatemala, vale indicar que en estos escenarios se considera recaudación extraordinaria por concepto de medidas administrativas a efecto de estabilizar la carga tributaria.</w:t>
      </w:r>
    </w:p>
    <w:p w14:paraId="36385527" w14:textId="77777777" w:rsidR="00CC30AC" w:rsidRPr="00CC30AC" w:rsidRDefault="00CC30AC" w:rsidP="00CC30AC">
      <w:pPr>
        <w:spacing w:line="276" w:lineRule="auto"/>
        <w:jc w:val="both"/>
      </w:pPr>
      <w:r w:rsidRPr="00CC30AC">
        <w:tab/>
      </w:r>
      <w:r w:rsidRPr="00CC30AC">
        <w:tab/>
      </w:r>
      <w:r w:rsidRPr="00CC30AC">
        <w:tab/>
      </w:r>
    </w:p>
    <w:p w14:paraId="2A279050" w14:textId="77777777" w:rsidR="00CC30AC" w:rsidRPr="00CC30AC" w:rsidRDefault="00CC30AC" w:rsidP="00354A9C">
      <w:pPr>
        <w:numPr>
          <w:ilvl w:val="0"/>
          <w:numId w:val="47"/>
        </w:numPr>
        <w:spacing w:line="276" w:lineRule="auto"/>
        <w:contextualSpacing/>
        <w:rPr>
          <w:b/>
          <w:vanish/>
          <w:highlight w:val="yellow"/>
        </w:rPr>
      </w:pPr>
    </w:p>
    <w:p w14:paraId="4AD80A0E" w14:textId="77777777" w:rsidR="00CC30AC" w:rsidRPr="00CC30AC" w:rsidRDefault="00CC30AC" w:rsidP="00354A9C">
      <w:pPr>
        <w:numPr>
          <w:ilvl w:val="0"/>
          <w:numId w:val="47"/>
        </w:numPr>
        <w:spacing w:line="276" w:lineRule="auto"/>
        <w:contextualSpacing/>
        <w:rPr>
          <w:b/>
          <w:vanish/>
          <w:highlight w:val="yellow"/>
        </w:rPr>
      </w:pPr>
    </w:p>
    <w:p w14:paraId="5D068F61" w14:textId="77777777" w:rsidR="00CC30AC" w:rsidRPr="00CC30AC" w:rsidRDefault="00CC30AC" w:rsidP="00354A9C">
      <w:pPr>
        <w:numPr>
          <w:ilvl w:val="1"/>
          <w:numId w:val="47"/>
        </w:numPr>
        <w:spacing w:line="276" w:lineRule="auto"/>
        <w:contextualSpacing/>
        <w:rPr>
          <w:b/>
          <w:vanish/>
          <w:highlight w:val="yellow"/>
        </w:rPr>
      </w:pPr>
    </w:p>
    <w:p w14:paraId="5FB76357" w14:textId="77777777" w:rsidR="00CC30AC" w:rsidRPr="00CC30AC" w:rsidRDefault="00CC30AC" w:rsidP="00354A9C">
      <w:pPr>
        <w:numPr>
          <w:ilvl w:val="1"/>
          <w:numId w:val="47"/>
        </w:numPr>
        <w:spacing w:line="276" w:lineRule="auto"/>
        <w:contextualSpacing/>
        <w:rPr>
          <w:b/>
          <w:vanish/>
          <w:highlight w:val="yellow"/>
        </w:rPr>
      </w:pPr>
    </w:p>
    <w:p w14:paraId="196AD80D" w14:textId="77777777" w:rsidR="00CC30AC" w:rsidRPr="00CC30AC" w:rsidRDefault="00CC30AC" w:rsidP="00354A9C">
      <w:pPr>
        <w:numPr>
          <w:ilvl w:val="1"/>
          <w:numId w:val="47"/>
        </w:numPr>
        <w:spacing w:line="276" w:lineRule="auto"/>
        <w:contextualSpacing/>
        <w:rPr>
          <w:b/>
          <w:vanish/>
          <w:highlight w:val="yellow"/>
        </w:rPr>
      </w:pPr>
    </w:p>
    <w:p w14:paraId="32EF1D3A" w14:textId="77777777" w:rsidR="00CC30AC" w:rsidRPr="00CC30AC" w:rsidRDefault="00CC30AC" w:rsidP="00354A9C">
      <w:pPr>
        <w:numPr>
          <w:ilvl w:val="1"/>
          <w:numId w:val="47"/>
        </w:numPr>
        <w:spacing w:line="276" w:lineRule="auto"/>
        <w:contextualSpacing/>
        <w:rPr>
          <w:b/>
          <w:vanish/>
          <w:highlight w:val="yellow"/>
        </w:rPr>
      </w:pPr>
    </w:p>
    <w:p w14:paraId="1A40FDE2" w14:textId="77777777" w:rsidR="00CC30AC" w:rsidRPr="00CC30AC" w:rsidRDefault="00CC30AC" w:rsidP="00354A9C">
      <w:pPr>
        <w:numPr>
          <w:ilvl w:val="2"/>
          <w:numId w:val="47"/>
        </w:numPr>
        <w:spacing w:line="276" w:lineRule="auto"/>
        <w:contextualSpacing/>
        <w:rPr>
          <w:b/>
          <w:vanish/>
          <w:highlight w:val="yellow"/>
        </w:rPr>
      </w:pPr>
    </w:p>
    <w:p w14:paraId="4A588956" w14:textId="77777777" w:rsidR="00CC30AC" w:rsidRPr="00CC30AC" w:rsidRDefault="00CC30AC" w:rsidP="00354A9C">
      <w:pPr>
        <w:numPr>
          <w:ilvl w:val="2"/>
          <w:numId w:val="47"/>
        </w:numPr>
        <w:spacing w:line="276" w:lineRule="auto"/>
        <w:contextualSpacing/>
        <w:rPr>
          <w:b/>
          <w:vanish/>
          <w:highlight w:val="yellow"/>
        </w:rPr>
      </w:pPr>
    </w:p>
    <w:p w14:paraId="419997F6" w14:textId="77777777" w:rsidR="00CC30AC" w:rsidRPr="00CC30AC" w:rsidRDefault="00CC30AC" w:rsidP="00354A9C">
      <w:pPr>
        <w:numPr>
          <w:ilvl w:val="2"/>
          <w:numId w:val="47"/>
        </w:numPr>
        <w:spacing w:line="276" w:lineRule="auto"/>
        <w:contextualSpacing/>
        <w:rPr>
          <w:b/>
          <w:vanish/>
          <w:highlight w:val="yellow"/>
        </w:rPr>
      </w:pPr>
    </w:p>
    <w:p w14:paraId="3C678B8A" w14:textId="77777777" w:rsidR="00CC30AC" w:rsidRPr="00CC30AC" w:rsidRDefault="00CC30AC" w:rsidP="00354A9C">
      <w:pPr>
        <w:numPr>
          <w:ilvl w:val="2"/>
          <w:numId w:val="47"/>
        </w:numPr>
        <w:spacing w:line="276" w:lineRule="auto"/>
        <w:contextualSpacing/>
        <w:rPr>
          <w:b/>
          <w:vanish/>
          <w:highlight w:val="yellow"/>
        </w:rPr>
      </w:pPr>
    </w:p>
    <w:p w14:paraId="6B60F86F" w14:textId="77777777" w:rsidR="00CC30AC" w:rsidRPr="00CC30AC" w:rsidRDefault="00CC30AC" w:rsidP="00354A9C">
      <w:pPr>
        <w:numPr>
          <w:ilvl w:val="2"/>
          <w:numId w:val="47"/>
        </w:numPr>
        <w:spacing w:line="276" w:lineRule="auto"/>
        <w:contextualSpacing/>
        <w:rPr>
          <w:b/>
          <w:vanish/>
          <w:highlight w:val="yellow"/>
        </w:rPr>
      </w:pPr>
    </w:p>
    <w:p w14:paraId="0227A939" w14:textId="77777777" w:rsidR="00CC30AC" w:rsidRPr="00CC30AC" w:rsidRDefault="00CC30AC" w:rsidP="00354A9C">
      <w:pPr>
        <w:numPr>
          <w:ilvl w:val="2"/>
          <w:numId w:val="47"/>
        </w:numPr>
        <w:spacing w:line="276" w:lineRule="auto"/>
        <w:contextualSpacing/>
        <w:rPr>
          <w:b/>
          <w:vanish/>
          <w:highlight w:val="yellow"/>
        </w:rPr>
      </w:pPr>
    </w:p>
    <w:p w14:paraId="46939C97" w14:textId="77777777" w:rsidR="00CC30AC" w:rsidRPr="00CC30AC" w:rsidRDefault="00CC30AC" w:rsidP="00354A9C">
      <w:pPr>
        <w:numPr>
          <w:ilvl w:val="2"/>
          <w:numId w:val="47"/>
        </w:numPr>
        <w:spacing w:line="276" w:lineRule="auto"/>
        <w:contextualSpacing/>
        <w:rPr>
          <w:b/>
          <w:vanish/>
          <w:highlight w:val="yellow"/>
        </w:rPr>
      </w:pPr>
    </w:p>
    <w:p w14:paraId="27EB1F22" w14:textId="77777777" w:rsidR="00CC30AC" w:rsidRPr="00CC30AC" w:rsidRDefault="00CC30AC" w:rsidP="00CC30AC">
      <w:pPr>
        <w:numPr>
          <w:ilvl w:val="2"/>
          <w:numId w:val="3"/>
        </w:numPr>
        <w:contextualSpacing/>
        <w:jc w:val="both"/>
        <w:outlineLvl w:val="2"/>
        <w:rPr>
          <w:b/>
          <w:bCs/>
        </w:rPr>
      </w:pPr>
      <w:bookmarkStart w:id="234" w:name="_Toc81571929"/>
      <w:bookmarkStart w:id="235" w:name="_Toc113025364"/>
      <w:r w:rsidRPr="00CC30AC">
        <w:rPr>
          <w:b/>
          <w:bCs/>
        </w:rPr>
        <w:t xml:space="preserve"> </w:t>
      </w:r>
      <w:bookmarkStart w:id="236" w:name="_Toc143865862"/>
      <w:r w:rsidRPr="00CC30AC">
        <w:rPr>
          <w:b/>
          <w:bCs/>
        </w:rPr>
        <w:t xml:space="preserve">Escenario </w:t>
      </w:r>
      <w:bookmarkEnd w:id="234"/>
      <w:r w:rsidRPr="00CC30AC">
        <w:rPr>
          <w:b/>
          <w:bCs/>
        </w:rPr>
        <w:t>medio</w:t>
      </w:r>
      <w:bookmarkEnd w:id="235"/>
      <w:bookmarkEnd w:id="236"/>
    </w:p>
    <w:p w14:paraId="02161068" w14:textId="77777777" w:rsidR="00CC30AC" w:rsidRPr="00CC30AC" w:rsidRDefault="00CC30AC" w:rsidP="001245F7">
      <w:pPr>
        <w:rPr>
          <w:highlight w:val="yellow"/>
        </w:rPr>
      </w:pPr>
    </w:p>
    <w:p w14:paraId="238009F9" w14:textId="77777777" w:rsidR="00CC30AC" w:rsidRPr="00CC30AC" w:rsidRDefault="00CC30AC" w:rsidP="001245F7">
      <w:pPr>
        <w:jc w:val="both"/>
      </w:pPr>
      <w:bookmarkStart w:id="237" w:name="_Toc81573047"/>
      <w:r w:rsidRPr="00CC30AC">
        <w:t>Este escenario considera que la actividad económica tendrá un desempeño más dinámico con respecto a lo que se había previsto para las estimaciones del presupuesto multianual, sustentadas en ligeras variaciones en la inversión privada, consumo y un entorno económico internacional no tan favorable en términos de precios y de la demanda externa.  De esa cuenta, se prevé que la economía en 2024 crece al mismo nivel de su potencial (3.5%), las importaciones podrían crecer 7.5%, el tipo de cambio y el precio del petróleo se mantienen en lo previsto precio internacional del petróleo WTI 83.26 dólares por barril y tipo de cambio en torno a 7.8 quetzales por dólar americano además considera la estimación de cierre del ejercicio fiscal 2023 ajustada.</w:t>
      </w:r>
    </w:p>
    <w:p w14:paraId="0A2FD101" w14:textId="77777777" w:rsidR="00CC30AC" w:rsidRPr="00CC30AC" w:rsidRDefault="00CC30AC" w:rsidP="001245F7">
      <w:pPr>
        <w:jc w:val="both"/>
      </w:pPr>
      <w:r w:rsidRPr="00CC30AC">
        <w:t>En el mediano plazo (2024-2028) se prevé que estas proyecciones sean crecientes, como se muestra a continuación:</w:t>
      </w:r>
    </w:p>
    <w:p w14:paraId="6771D8D2" w14:textId="77777777" w:rsidR="00CC30AC" w:rsidRPr="00CC30AC" w:rsidRDefault="00CC30AC" w:rsidP="001245F7">
      <w:pPr>
        <w:jc w:val="both"/>
        <w:rPr>
          <w:sz w:val="16"/>
        </w:rPr>
      </w:pPr>
    </w:p>
    <w:p w14:paraId="1597EFBC" w14:textId="657B3B75" w:rsidR="00CC30AC" w:rsidRPr="00CC30AC" w:rsidRDefault="00CC30AC" w:rsidP="001245F7">
      <w:pPr>
        <w:keepNext/>
        <w:jc w:val="center"/>
        <w:rPr>
          <w:b/>
          <w:iCs/>
          <w:szCs w:val="18"/>
        </w:rPr>
      </w:pPr>
      <w:bookmarkStart w:id="238" w:name="_Toc143871233"/>
      <w:r w:rsidRPr="00CC30AC">
        <w:rPr>
          <w:b/>
          <w:iCs/>
          <w:szCs w:val="18"/>
        </w:rPr>
        <w:t xml:space="preserve">Tabla </w:t>
      </w:r>
      <w:r w:rsidRPr="00CC30AC">
        <w:rPr>
          <w:b/>
          <w:iCs/>
          <w:szCs w:val="18"/>
        </w:rPr>
        <w:fldChar w:fldCharType="begin"/>
      </w:r>
      <w:r w:rsidRPr="00CC30AC">
        <w:rPr>
          <w:b/>
          <w:iCs/>
          <w:szCs w:val="18"/>
        </w:rPr>
        <w:instrText xml:space="preserve"> SEQ Tabla \* ARABIC </w:instrText>
      </w:r>
      <w:r w:rsidRPr="00CC30AC">
        <w:rPr>
          <w:b/>
          <w:iCs/>
          <w:szCs w:val="18"/>
        </w:rPr>
        <w:fldChar w:fldCharType="separate"/>
      </w:r>
      <w:r w:rsidR="006622B2">
        <w:rPr>
          <w:b/>
          <w:iCs/>
          <w:noProof/>
          <w:szCs w:val="18"/>
        </w:rPr>
        <w:t>26</w:t>
      </w:r>
      <w:r w:rsidRPr="00CC30AC">
        <w:rPr>
          <w:b/>
          <w:iCs/>
          <w:szCs w:val="18"/>
        </w:rPr>
        <w:fldChar w:fldCharType="end"/>
      </w:r>
      <w:r w:rsidRPr="00CC30AC">
        <w:rPr>
          <w:b/>
          <w:iCs/>
          <w:szCs w:val="18"/>
        </w:rPr>
        <w:t xml:space="preserve"> Escenario macroeconómico </w:t>
      </w:r>
      <w:bookmarkEnd w:id="237"/>
      <w:r w:rsidRPr="00CC30AC">
        <w:rPr>
          <w:b/>
          <w:iCs/>
          <w:szCs w:val="18"/>
        </w:rPr>
        <w:t>medio</w:t>
      </w:r>
      <w:bookmarkEnd w:id="238"/>
    </w:p>
    <w:p w14:paraId="00D4C8BB" w14:textId="39498F6A" w:rsidR="00CC30AC" w:rsidRPr="00CC30AC" w:rsidRDefault="00CC30AC" w:rsidP="001245F7">
      <w:pPr>
        <w:jc w:val="center"/>
        <w:rPr>
          <w:sz w:val="16"/>
        </w:rPr>
      </w:pPr>
      <w:r w:rsidRPr="00CC30AC">
        <w:rPr>
          <w:noProof/>
        </w:rPr>
        <w:drawing>
          <wp:inline distT="0" distB="0" distL="0" distR="0" wp14:anchorId="38312B0E" wp14:editId="60CF700C">
            <wp:extent cx="4315968" cy="1440621"/>
            <wp:effectExtent l="0" t="0" r="0" b="762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9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347695" cy="1451211"/>
                    </a:xfrm>
                    <a:prstGeom prst="rect">
                      <a:avLst/>
                    </a:prstGeom>
                    <a:noFill/>
                    <a:ln>
                      <a:noFill/>
                    </a:ln>
                  </pic:spPr>
                </pic:pic>
              </a:graphicData>
            </a:graphic>
          </wp:inline>
        </w:drawing>
      </w:r>
    </w:p>
    <w:p w14:paraId="7E2561B5" w14:textId="77777777" w:rsidR="00CC30AC" w:rsidRPr="00CC30AC" w:rsidRDefault="00CC30AC" w:rsidP="00827ED5">
      <w:pPr>
        <w:ind w:left="708" w:firstLine="708"/>
        <w:jc w:val="both"/>
        <w:rPr>
          <w:sz w:val="16"/>
          <w:szCs w:val="20"/>
        </w:rPr>
      </w:pPr>
      <w:r w:rsidRPr="00CC30AC">
        <w:rPr>
          <w:sz w:val="16"/>
          <w:szCs w:val="20"/>
        </w:rPr>
        <w:t xml:space="preserve">Fuente: Banco de Guatemala </w:t>
      </w:r>
    </w:p>
    <w:p w14:paraId="7B224A4C" w14:textId="77777777" w:rsidR="00CC30AC" w:rsidRPr="00CC30AC" w:rsidRDefault="00CC30AC" w:rsidP="001245F7">
      <w:pPr>
        <w:jc w:val="both"/>
      </w:pPr>
    </w:p>
    <w:p w14:paraId="6D89406A" w14:textId="77777777" w:rsidR="00CC30AC" w:rsidRPr="00CC30AC" w:rsidRDefault="00CC30AC" w:rsidP="001245F7">
      <w:pPr>
        <w:jc w:val="both"/>
      </w:pPr>
      <w:r w:rsidRPr="00CC30AC">
        <w:t>Este escenario para 2024 refleja que la recaudación tributaria podría ubicarse en Q104,485.4 millones, monto superior al previsto en la estimación del proyecto de presupuesto multianual.  Con el uso de este escenario se recalcula la recaudación tributaria para 2028 la cual se situará en Q137,525.6 millones monto superior a lo contemplado en el Proyecto de Presupuesto dado el cambio en el escenario macroeconómico, la nueva carga para 2028 utilizando el escenario medio en todos los años es de 12.62%.</w:t>
      </w:r>
    </w:p>
    <w:p w14:paraId="4579179F" w14:textId="77777777" w:rsidR="00CC30AC" w:rsidRPr="00CC30AC" w:rsidRDefault="00CC30AC" w:rsidP="001245F7">
      <w:pPr>
        <w:jc w:val="both"/>
      </w:pPr>
    </w:p>
    <w:p w14:paraId="518C0501" w14:textId="77777777" w:rsidR="00CC30AC" w:rsidRPr="00CC30AC" w:rsidRDefault="00CC30AC" w:rsidP="001245F7">
      <w:pPr>
        <w:jc w:val="both"/>
      </w:pPr>
      <w:r w:rsidRPr="00CC30AC">
        <w:t>Este escenario no contempla medidas de política fiscal (Reformas tributarias o modificaciones al marco legal vigente), en este ejercicio se adiciona un esfuerzo adicional por la reducción del incumplimiento por parte de la Superintendencia de Administración Tributaria –SAT- que a su vez se convertirán en un aumento en la percepción de riesgo de los contribuyentes.</w:t>
      </w:r>
    </w:p>
    <w:tbl>
      <w:tblPr>
        <w:tblStyle w:val="Tablaconcuadrcula11"/>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CC30AC" w:rsidRPr="00CC30AC" w14:paraId="0540ACE1" w14:textId="77777777" w:rsidTr="001245F7">
        <w:trPr>
          <w:jc w:val="center"/>
        </w:trPr>
        <w:tc>
          <w:tcPr>
            <w:tcW w:w="8838" w:type="dxa"/>
          </w:tcPr>
          <w:p w14:paraId="699CEFF8" w14:textId="77777777" w:rsidR="001245F7" w:rsidRDefault="001245F7" w:rsidP="00CC30AC">
            <w:pPr>
              <w:spacing w:line="276" w:lineRule="auto"/>
              <w:jc w:val="center"/>
              <w:rPr>
                <w:b/>
                <w:sz w:val="22"/>
                <w:szCs w:val="22"/>
              </w:rPr>
            </w:pPr>
            <w:bookmarkStart w:id="239" w:name="_Toc81573048"/>
          </w:p>
          <w:p w14:paraId="7ED32508" w14:textId="60A14B95" w:rsidR="00CC30AC" w:rsidRPr="008250D8" w:rsidRDefault="00CC30AC" w:rsidP="00CC30AC">
            <w:pPr>
              <w:spacing w:line="276" w:lineRule="auto"/>
              <w:jc w:val="center"/>
              <w:rPr>
                <w:sz w:val="22"/>
                <w:szCs w:val="22"/>
              </w:rPr>
            </w:pPr>
            <w:bookmarkStart w:id="240" w:name="_Toc143871234"/>
            <w:r w:rsidRPr="008250D8">
              <w:rPr>
                <w:b/>
                <w:sz w:val="22"/>
                <w:szCs w:val="22"/>
              </w:rPr>
              <w:t xml:space="preserve">Tabla </w:t>
            </w:r>
            <w:r w:rsidRPr="008250D8">
              <w:rPr>
                <w:b/>
                <w:sz w:val="22"/>
                <w:szCs w:val="22"/>
              </w:rPr>
              <w:fldChar w:fldCharType="begin"/>
            </w:r>
            <w:r w:rsidRPr="008250D8">
              <w:rPr>
                <w:b/>
                <w:sz w:val="22"/>
                <w:szCs w:val="22"/>
              </w:rPr>
              <w:instrText xml:space="preserve"> SEQ Tabla \* ARABIC </w:instrText>
            </w:r>
            <w:r w:rsidRPr="008250D8">
              <w:rPr>
                <w:b/>
                <w:sz w:val="22"/>
                <w:szCs w:val="22"/>
              </w:rPr>
              <w:fldChar w:fldCharType="separate"/>
            </w:r>
            <w:r w:rsidR="006622B2">
              <w:rPr>
                <w:b/>
                <w:noProof/>
                <w:sz w:val="22"/>
                <w:szCs w:val="22"/>
              </w:rPr>
              <w:t>27</w:t>
            </w:r>
            <w:r w:rsidRPr="008250D8">
              <w:rPr>
                <w:b/>
                <w:sz w:val="22"/>
                <w:szCs w:val="22"/>
              </w:rPr>
              <w:fldChar w:fldCharType="end"/>
            </w:r>
            <w:r w:rsidRPr="008250D8">
              <w:rPr>
                <w:b/>
                <w:sz w:val="22"/>
                <w:szCs w:val="22"/>
              </w:rPr>
              <w:t xml:space="preserve"> Proyección de recaudación tributaria</w:t>
            </w:r>
            <w:bookmarkEnd w:id="239"/>
            <w:bookmarkEnd w:id="240"/>
          </w:p>
        </w:tc>
      </w:tr>
      <w:tr w:rsidR="00CC30AC" w:rsidRPr="00CC30AC" w14:paraId="707D06FA" w14:textId="77777777" w:rsidTr="001245F7">
        <w:trPr>
          <w:jc w:val="center"/>
        </w:trPr>
        <w:tc>
          <w:tcPr>
            <w:tcW w:w="8838" w:type="dxa"/>
          </w:tcPr>
          <w:p w14:paraId="11D07812" w14:textId="6EFF1356" w:rsidR="00CC30AC" w:rsidRPr="00827ED5" w:rsidRDefault="00CC30AC" w:rsidP="00827ED5">
            <w:pPr>
              <w:spacing w:line="276" w:lineRule="auto"/>
              <w:jc w:val="center"/>
              <w:rPr>
                <w:sz w:val="20"/>
                <w:szCs w:val="20"/>
              </w:rPr>
            </w:pPr>
            <w:r w:rsidRPr="00F93305">
              <w:rPr>
                <w:sz w:val="20"/>
                <w:szCs w:val="20"/>
              </w:rPr>
              <w:t>Escenario Medio</w:t>
            </w:r>
            <w:r w:rsidR="00827ED5">
              <w:rPr>
                <w:sz w:val="20"/>
                <w:szCs w:val="20"/>
              </w:rPr>
              <w:t xml:space="preserve">, </w:t>
            </w:r>
            <w:r w:rsidRPr="00F93305">
              <w:rPr>
                <w:sz w:val="20"/>
                <w:szCs w:val="20"/>
              </w:rPr>
              <w:t>2022-2028</w:t>
            </w:r>
          </w:p>
          <w:p w14:paraId="059AF7E0" w14:textId="24C66927" w:rsidR="00CC30AC" w:rsidRPr="00CC30AC" w:rsidRDefault="00CC30AC" w:rsidP="00CC30AC">
            <w:pPr>
              <w:spacing w:line="276" w:lineRule="auto"/>
              <w:jc w:val="center"/>
              <w:rPr>
                <w:i/>
                <w:iCs/>
                <w:sz w:val="18"/>
                <w:szCs w:val="18"/>
              </w:rPr>
            </w:pPr>
            <w:r w:rsidRPr="00CC30AC">
              <w:rPr>
                <w:i/>
                <w:noProof/>
                <w:sz w:val="18"/>
                <w:szCs w:val="18"/>
              </w:rPr>
              <w:drawing>
                <wp:inline distT="0" distB="0" distL="0" distR="0" wp14:anchorId="514D89D5" wp14:editId="6E2FEED2">
                  <wp:extent cx="4696460" cy="3065069"/>
                  <wp:effectExtent l="0" t="0" r="0" b="254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9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761726" cy="3107664"/>
                          </a:xfrm>
                          <a:prstGeom prst="rect">
                            <a:avLst/>
                          </a:prstGeom>
                          <a:noFill/>
                          <a:ln>
                            <a:noFill/>
                          </a:ln>
                        </pic:spPr>
                      </pic:pic>
                    </a:graphicData>
                  </a:graphic>
                </wp:inline>
              </w:drawing>
            </w:r>
          </w:p>
          <w:p w14:paraId="2523FBBB" w14:textId="1D535263" w:rsidR="00CC30AC" w:rsidRPr="00CC30AC" w:rsidRDefault="00827ED5" w:rsidP="00827ED5">
            <w:pPr>
              <w:jc w:val="both"/>
              <w:rPr>
                <w:i/>
                <w:iCs/>
                <w:sz w:val="16"/>
                <w:szCs w:val="18"/>
              </w:rPr>
            </w:pPr>
            <w:r>
              <w:rPr>
                <w:i/>
                <w:iCs/>
                <w:sz w:val="16"/>
                <w:szCs w:val="18"/>
              </w:rPr>
              <w:t xml:space="preserve">               </w:t>
            </w:r>
            <w:r w:rsidR="00CC30AC" w:rsidRPr="00CC30AC">
              <w:rPr>
                <w:i/>
                <w:iCs/>
                <w:sz w:val="16"/>
                <w:szCs w:val="18"/>
              </w:rPr>
              <w:t xml:space="preserve">Fuente: Dirección de Análisis y Política Fiscal. </w:t>
            </w:r>
          </w:p>
        </w:tc>
      </w:tr>
      <w:tr w:rsidR="00CC30AC" w:rsidRPr="00CC30AC" w14:paraId="459D7C72" w14:textId="77777777" w:rsidTr="001245F7">
        <w:trPr>
          <w:jc w:val="center"/>
        </w:trPr>
        <w:tc>
          <w:tcPr>
            <w:tcW w:w="8838" w:type="dxa"/>
          </w:tcPr>
          <w:p w14:paraId="0781A10E" w14:textId="270750A9" w:rsidR="00CC30AC" w:rsidRPr="00CC30AC" w:rsidRDefault="00CC30AC" w:rsidP="00CC30AC">
            <w:pPr>
              <w:keepNext/>
              <w:spacing w:line="276" w:lineRule="auto"/>
              <w:jc w:val="center"/>
              <w:rPr>
                <w:sz w:val="20"/>
                <w:szCs w:val="18"/>
              </w:rPr>
            </w:pPr>
            <w:bookmarkStart w:id="241" w:name="_Toc81573111"/>
            <w:bookmarkStart w:id="242" w:name="_Toc113301412"/>
            <w:bookmarkStart w:id="243" w:name="_Toc143870753"/>
            <w:r w:rsidRPr="00F93305">
              <w:rPr>
                <w:b/>
                <w:sz w:val="20"/>
                <w:szCs w:val="18"/>
              </w:rPr>
              <w:t xml:space="preserve">Gráfico </w:t>
            </w:r>
            <w:r w:rsidRPr="00F93305">
              <w:rPr>
                <w:b/>
                <w:sz w:val="20"/>
                <w:szCs w:val="18"/>
              </w:rPr>
              <w:fldChar w:fldCharType="begin"/>
            </w:r>
            <w:r w:rsidRPr="00F93305">
              <w:rPr>
                <w:b/>
                <w:sz w:val="20"/>
                <w:szCs w:val="18"/>
              </w:rPr>
              <w:instrText xml:space="preserve"> SEQ Gráfico \* ARABIC </w:instrText>
            </w:r>
            <w:r w:rsidRPr="00F93305">
              <w:rPr>
                <w:b/>
                <w:sz w:val="20"/>
                <w:szCs w:val="18"/>
              </w:rPr>
              <w:fldChar w:fldCharType="separate"/>
            </w:r>
            <w:r w:rsidR="006622B2">
              <w:rPr>
                <w:b/>
                <w:noProof/>
                <w:sz w:val="20"/>
                <w:szCs w:val="18"/>
              </w:rPr>
              <w:t>86</w:t>
            </w:r>
            <w:r w:rsidRPr="00F93305">
              <w:rPr>
                <w:b/>
                <w:sz w:val="20"/>
                <w:szCs w:val="18"/>
              </w:rPr>
              <w:fldChar w:fldCharType="end"/>
            </w:r>
            <w:r w:rsidRPr="00F93305">
              <w:rPr>
                <w:b/>
                <w:sz w:val="20"/>
                <w:szCs w:val="18"/>
              </w:rPr>
              <w:t xml:space="preserve">.  </w:t>
            </w:r>
            <w:r w:rsidRPr="00F93305">
              <w:rPr>
                <w:b/>
              </w:rPr>
              <w:t>Carga</w:t>
            </w:r>
            <w:r w:rsidRPr="00CC30AC">
              <w:rPr>
                <w:b/>
              </w:rPr>
              <w:t xml:space="preserve"> tributaria escenario </w:t>
            </w:r>
            <w:bookmarkEnd w:id="241"/>
            <w:r w:rsidRPr="00961968">
              <w:rPr>
                <w:b/>
              </w:rPr>
              <w:t>medio</w:t>
            </w:r>
            <w:bookmarkEnd w:id="242"/>
            <w:bookmarkEnd w:id="243"/>
          </w:p>
          <w:p w14:paraId="130C4FDC" w14:textId="77777777" w:rsidR="00CC30AC" w:rsidRPr="00CC30AC" w:rsidRDefault="00CC30AC" w:rsidP="00CC30AC">
            <w:pPr>
              <w:spacing w:line="276" w:lineRule="auto"/>
              <w:jc w:val="center"/>
              <w:rPr>
                <w:i/>
                <w:iCs/>
                <w:color w:val="44546A" w:themeColor="text2"/>
                <w:sz w:val="18"/>
                <w:szCs w:val="18"/>
              </w:rPr>
            </w:pPr>
            <w:r w:rsidRPr="00CC30AC">
              <w:rPr>
                <w:i/>
                <w:iCs/>
                <w:color w:val="44546A" w:themeColor="text2"/>
                <w:sz w:val="18"/>
                <w:szCs w:val="18"/>
              </w:rPr>
              <w:t>2022 – 2028</w:t>
            </w:r>
          </w:p>
          <w:p w14:paraId="5A60601F" w14:textId="128C0A06" w:rsidR="00CC30AC" w:rsidRPr="00CC30AC" w:rsidRDefault="00CC30AC" w:rsidP="00CC30AC">
            <w:pPr>
              <w:spacing w:line="276" w:lineRule="auto"/>
              <w:jc w:val="center"/>
              <w:rPr>
                <w:i/>
                <w:iCs/>
                <w:color w:val="44546A" w:themeColor="text2"/>
                <w:sz w:val="18"/>
                <w:szCs w:val="18"/>
              </w:rPr>
            </w:pPr>
          </w:p>
          <w:p w14:paraId="3E545DC1" w14:textId="335E639D" w:rsidR="00CC30AC" w:rsidRPr="00CC30AC" w:rsidRDefault="00CC30AC" w:rsidP="00CC30AC">
            <w:pPr>
              <w:spacing w:after="200" w:line="276" w:lineRule="auto"/>
              <w:jc w:val="center"/>
              <w:rPr>
                <w:i/>
                <w:iCs/>
                <w:color w:val="44546A" w:themeColor="text2"/>
                <w:sz w:val="18"/>
                <w:szCs w:val="18"/>
              </w:rPr>
            </w:pPr>
            <w:r w:rsidRPr="00CC30AC">
              <w:rPr>
                <w:noProof/>
                <w:sz w:val="20"/>
              </w:rPr>
              <w:drawing>
                <wp:inline distT="0" distB="0" distL="0" distR="0" wp14:anchorId="26AD90BD" wp14:editId="171CBB3B">
                  <wp:extent cx="4752975" cy="1943100"/>
                  <wp:effectExtent l="0" t="0" r="0" b="0"/>
                  <wp:docPr id="197" name="Gráfico 1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tc>
      </w:tr>
    </w:tbl>
    <w:p w14:paraId="45BBF842" w14:textId="77777777" w:rsidR="00CC30AC" w:rsidRPr="00CC30AC" w:rsidRDefault="00CC30AC" w:rsidP="00CC30AC">
      <w:pPr>
        <w:spacing w:line="276" w:lineRule="auto"/>
        <w:ind w:firstLine="708"/>
        <w:rPr>
          <w:sz w:val="16"/>
        </w:rPr>
      </w:pPr>
      <w:r w:rsidRPr="00CC30AC">
        <w:rPr>
          <w:sz w:val="16"/>
        </w:rPr>
        <w:t xml:space="preserve">Fuente: Dirección de Análisis y Política Fiscal </w:t>
      </w:r>
    </w:p>
    <w:p w14:paraId="572FC375" w14:textId="77777777" w:rsidR="00CC30AC" w:rsidRPr="00CC30AC" w:rsidRDefault="00CC30AC" w:rsidP="00CC30AC">
      <w:pPr>
        <w:spacing w:line="276" w:lineRule="auto"/>
        <w:jc w:val="both"/>
      </w:pPr>
    </w:p>
    <w:p w14:paraId="5E6A4448" w14:textId="77777777" w:rsidR="00CC30AC" w:rsidRPr="00CC30AC" w:rsidRDefault="00CC30AC" w:rsidP="001245F7">
      <w:pPr>
        <w:numPr>
          <w:ilvl w:val="2"/>
          <w:numId w:val="3"/>
        </w:numPr>
        <w:contextualSpacing/>
        <w:jc w:val="both"/>
        <w:outlineLvl w:val="2"/>
        <w:rPr>
          <w:b/>
          <w:bCs/>
        </w:rPr>
      </w:pPr>
      <w:bookmarkStart w:id="244" w:name="_Toc81571930"/>
      <w:bookmarkStart w:id="245" w:name="_Toc113025365"/>
      <w:bookmarkStart w:id="246" w:name="_Toc143865863"/>
      <w:r w:rsidRPr="00CC30AC">
        <w:rPr>
          <w:b/>
          <w:bCs/>
        </w:rPr>
        <w:t>Escenario alto</w:t>
      </w:r>
      <w:bookmarkEnd w:id="244"/>
      <w:bookmarkEnd w:id="245"/>
      <w:bookmarkEnd w:id="246"/>
    </w:p>
    <w:p w14:paraId="2DCA63C3" w14:textId="77777777" w:rsidR="00CC30AC" w:rsidRPr="00CC30AC" w:rsidRDefault="00CC30AC" w:rsidP="001245F7"/>
    <w:p w14:paraId="4861EF01" w14:textId="77777777" w:rsidR="00CC30AC" w:rsidRPr="00CC30AC" w:rsidRDefault="00CC30AC" w:rsidP="001245F7">
      <w:pPr>
        <w:jc w:val="both"/>
      </w:pPr>
      <w:r w:rsidRPr="00CC30AC">
        <w:t>Este escenario considera que la actividad económica tendrá un desempeño mucho más dinámico con respecto a lo que se había previsto para las estimaciones del presupuesto multianual, sustentadas en una mayor inversión privada, un aumento en el consumo y un entorno económico internacional más favorable en términos de precios y de la demanda externa. De esa cuenta, se prevé que la economía en 2024 podría estar por encima de su potencial (3.5%), es decir un crecimiento económico en torno al 4.5%, además las importaciones podrían crecer 9.0%, el tipo de cambio y el precio del petróleo se mantienen en lo previsto, precio internacional del petróleo WTI 83.26 dólares por barril y tipo de cambio en torno a 7.8 quetzales por dólar americano además considera la estimación de cierre del ejercicio fiscal 2023 ajustada.</w:t>
      </w:r>
    </w:p>
    <w:p w14:paraId="701AD7EC" w14:textId="77777777" w:rsidR="00CC30AC" w:rsidRPr="00CC30AC" w:rsidRDefault="00CC30AC" w:rsidP="001245F7">
      <w:pPr>
        <w:jc w:val="both"/>
      </w:pPr>
    </w:p>
    <w:p w14:paraId="50DA5B6A" w14:textId="77777777" w:rsidR="00CC30AC" w:rsidRPr="00CC30AC" w:rsidRDefault="00CC30AC" w:rsidP="001245F7">
      <w:pPr>
        <w:jc w:val="both"/>
      </w:pPr>
      <w:r w:rsidRPr="00CC30AC">
        <w:t>En el mediano plazo se prevé que estas proyecciones sean crecientes, como se muestra a continuación:</w:t>
      </w:r>
    </w:p>
    <w:p w14:paraId="4F5A9843" w14:textId="38FBB45D" w:rsidR="00CC30AC" w:rsidRPr="00CC30AC" w:rsidRDefault="00CC30AC" w:rsidP="001245F7">
      <w:pPr>
        <w:keepNext/>
        <w:jc w:val="center"/>
        <w:rPr>
          <w:b/>
          <w:iCs/>
          <w:szCs w:val="18"/>
        </w:rPr>
      </w:pPr>
      <w:bookmarkStart w:id="247" w:name="_Toc16160567"/>
      <w:bookmarkStart w:id="248" w:name="_Toc49939519"/>
      <w:bookmarkStart w:id="249" w:name="_Toc81573049"/>
      <w:bookmarkStart w:id="250" w:name="_Toc143871235"/>
      <w:r w:rsidRPr="00CC30AC">
        <w:rPr>
          <w:b/>
          <w:iCs/>
          <w:szCs w:val="18"/>
        </w:rPr>
        <w:t xml:space="preserve">Tabla </w:t>
      </w:r>
      <w:r w:rsidRPr="00CC30AC">
        <w:rPr>
          <w:b/>
          <w:iCs/>
          <w:szCs w:val="18"/>
        </w:rPr>
        <w:fldChar w:fldCharType="begin"/>
      </w:r>
      <w:r w:rsidRPr="00CC30AC">
        <w:rPr>
          <w:b/>
          <w:iCs/>
          <w:szCs w:val="18"/>
        </w:rPr>
        <w:instrText xml:space="preserve"> SEQ Tabla \* ARABIC </w:instrText>
      </w:r>
      <w:r w:rsidRPr="00CC30AC">
        <w:rPr>
          <w:b/>
          <w:iCs/>
          <w:szCs w:val="18"/>
        </w:rPr>
        <w:fldChar w:fldCharType="separate"/>
      </w:r>
      <w:r w:rsidR="006622B2">
        <w:rPr>
          <w:b/>
          <w:iCs/>
          <w:noProof/>
          <w:szCs w:val="18"/>
        </w:rPr>
        <w:t>28</w:t>
      </w:r>
      <w:r w:rsidRPr="00CC30AC">
        <w:rPr>
          <w:b/>
          <w:iCs/>
          <w:szCs w:val="18"/>
        </w:rPr>
        <w:fldChar w:fldCharType="end"/>
      </w:r>
      <w:r w:rsidRPr="00CC30AC">
        <w:rPr>
          <w:b/>
          <w:iCs/>
          <w:szCs w:val="18"/>
        </w:rPr>
        <w:t xml:space="preserve"> Escenario macroeconómico </w:t>
      </w:r>
      <w:bookmarkEnd w:id="247"/>
      <w:r w:rsidRPr="00CC30AC">
        <w:rPr>
          <w:b/>
          <w:iCs/>
          <w:szCs w:val="18"/>
        </w:rPr>
        <w:t>alto</w:t>
      </w:r>
      <w:bookmarkEnd w:id="248"/>
      <w:bookmarkEnd w:id="249"/>
      <w:bookmarkEnd w:id="250"/>
    </w:p>
    <w:p w14:paraId="61901249" w14:textId="236D6637" w:rsidR="00CC30AC" w:rsidRPr="00CC30AC" w:rsidRDefault="00CC30AC" w:rsidP="00827ED5">
      <w:pPr>
        <w:jc w:val="center"/>
        <w:rPr>
          <w:sz w:val="16"/>
        </w:rPr>
      </w:pPr>
      <w:r w:rsidRPr="00CC30AC">
        <w:rPr>
          <w:noProof/>
        </w:rPr>
        <w:drawing>
          <wp:inline distT="0" distB="0" distL="0" distR="0" wp14:anchorId="6B966CC3" wp14:editId="2FF9F0A1">
            <wp:extent cx="4294023" cy="1433295"/>
            <wp:effectExtent l="0" t="0" r="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0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318933" cy="1441610"/>
                    </a:xfrm>
                    <a:prstGeom prst="rect">
                      <a:avLst/>
                    </a:prstGeom>
                    <a:noFill/>
                    <a:ln>
                      <a:noFill/>
                    </a:ln>
                  </pic:spPr>
                </pic:pic>
              </a:graphicData>
            </a:graphic>
          </wp:inline>
        </w:drawing>
      </w:r>
    </w:p>
    <w:p w14:paraId="6F1A7374" w14:textId="16ED11B2" w:rsidR="00CC30AC" w:rsidRPr="00CC30AC" w:rsidRDefault="00827ED5" w:rsidP="001245F7">
      <w:pPr>
        <w:jc w:val="both"/>
        <w:rPr>
          <w:sz w:val="18"/>
        </w:rPr>
      </w:pPr>
      <w:r>
        <w:rPr>
          <w:sz w:val="18"/>
        </w:rPr>
        <w:t xml:space="preserve">                             </w:t>
      </w:r>
      <w:r w:rsidR="00CC30AC" w:rsidRPr="00CC30AC">
        <w:rPr>
          <w:sz w:val="18"/>
        </w:rPr>
        <w:t>Fuente: Banco de Guatemala (escenario medio 2023 y alto para 2024-2028)</w:t>
      </w:r>
    </w:p>
    <w:p w14:paraId="64CC096C" w14:textId="77777777" w:rsidR="00CC30AC" w:rsidRPr="00CC30AC" w:rsidRDefault="00CC30AC" w:rsidP="001245F7">
      <w:pPr>
        <w:jc w:val="both"/>
      </w:pPr>
    </w:p>
    <w:p w14:paraId="02925DD0" w14:textId="77777777" w:rsidR="00CC30AC" w:rsidRPr="00CC30AC" w:rsidRDefault="00CC30AC" w:rsidP="001245F7">
      <w:pPr>
        <w:jc w:val="both"/>
      </w:pPr>
      <w:r w:rsidRPr="00CC30AC">
        <w:t xml:space="preserve">Este escenario puede considerarse como optimista, para 2024 refleja que la recaudación tributaria podría ubicarse en Q105,665.9 millones, monto mayor a lo previsto en la estimación de presupuesto multianual en Q14,281.4 millones vale indicar que para este escenario se mantienen los 12,000 millones que se consideraron como otros impuestos directos e indirectos en el Proyecto de presupuesto multianual.  </w:t>
      </w:r>
    </w:p>
    <w:p w14:paraId="4425A56A" w14:textId="77777777" w:rsidR="00CC30AC" w:rsidRPr="00CC30AC" w:rsidRDefault="00CC30AC" w:rsidP="001245F7">
      <w:pPr>
        <w:jc w:val="both"/>
      </w:pPr>
    </w:p>
    <w:p w14:paraId="7347BDD5" w14:textId="77777777" w:rsidR="00CC30AC" w:rsidRPr="00CC30AC" w:rsidRDefault="00CC30AC" w:rsidP="001245F7">
      <w:pPr>
        <w:jc w:val="both"/>
      </w:pPr>
      <w:r w:rsidRPr="00CC30AC">
        <w:t>Se prevé alcanzar con este escenario en 2028 una carga tributaria de 13.17%, los principales impuestos ISR e IVA, mostrarían una mayor dinámica que el escenario del Proyecto de Presupuesto, para el resto de los impuestos se espera un comportamiento apegado a las variables que los determinan, esto previendo una mayor recuperación de la economía mundial.</w:t>
      </w:r>
    </w:p>
    <w:p w14:paraId="224A7B8F" w14:textId="77777777" w:rsidR="00CC30AC" w:rsidRPr="00CC30AC" w:rsidRDefault="00CC30AC" w:rsidP="001245F7">
      <w:pPr>
        <w:jc w:val="both"/>
      </w:pPr>
    </w:p>
    <w:p w14:paraId="1E72D513" w14:textId="77777777" w:rsidR="00CC30AC" w:rsidRPr="00CC30AC" w:rsidRDefault="00CC30AC" w:rsidP="001245F7">
      <w:pPr>
        <w:jc w:val="both"/>
      </w:pPr>
      <w:r w:rsidRPr="00CC30AC">
        <w:t>Este escenario no contempla medidas de política fiscal (Reformas tributarias o modificaciones al marco legal vigente), en este ejercicio de igual manera que el anterior considera medidas administrativas para la reducción del incumplimiento por parte de la Superintendencia de Administración Tributaria –SAT- que a su vez se convertirán en un aumento en la percepción de riesgo de los contribuyentes.</w:t>
      </w:r>
    </w:p>
    <w:p w14:paraId="3664EF41" w14:textId="77777777" w:rsidR="00CC30AC" w:rsidRPr="00CC30AC" w:rsidRDefault="00CC30AC" w:rsidP="001245F7">
      <w:pPr>
        <w:jc w:val="both"/>
      </w:pPr>
    </w:p>
    <w:tbl>
      <w:tblPr>
        <w:tblStyle w:val="Tablaconcuadrcula11"/>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CC30AC" w:rsidRPr="00CC30AC" w14:paraId="5392E24D" w14:textId="77777777" w:rsidTr="001A6003">
        <w:trPr>
          <w:jc w:val="center"/>
        </w:trPr>
        <w:tc>
          <w:tcPr>
            <w:tcW w:w="8838" w:type="dxa"/>
          </w:tcPr>
          <w:p w14:paraId="593B50AD" w14:textId="61065A19" w:rsidR="00CC30AC" w:rsidRPr="00F93305" w:rsidRDefault="00CC30AC" w:rsidP="00E01410">
            <w:pPr>
              <w:jc w:val="center"/>
              <w:rPr>
                <w:color w:val="44546A" w:themeColor="text2"/>
                <w:sz w:val="22"/>
                <w:szCs w:val="22"/>
              </w:rPr>
            </w:pPr>
            <w:bookmarkStart w:id="251" w:name="_Toc16160568"/>
            <w:bookmarkStart w:id="252" w:name="_Toc49939520"/>
            <w:bookmarkStart w:id="253" w:name="_Toc81573050"/>
            <w:bookmarkStart w:id="254" w:name="_Toc143871236"/>
            <w:r w:rsidRPr="00961968">
              <w:rPr>
                <w:b/>
                <w:sz w:val="22"/>
                <w:szCs w:val="22"/>
              </w:rPr>
              <w:t xml:space="preserve">Tabla </w:t>
            </w:r>
            <w:r w:rsidRPr="00961968">
              <w:rPr>
                <w:b/>
                <w:sz w:val="22"/>
                <w:szCs w:val="22"/>
              </w:rPr>
              <w:fldChar w:fldCharType="begin"/>
            </w:r>
            <w:r w:rsidRPr="00961968">
              <w:rPr>
                <w:b/>
                <w:sz w:val="22"/>
                <w:szCs w:val="22"/>
              </w:rPr>
              <w:instrText xml:space="preserve"> SEQ Tabla \* ARABIC </w:instrText>
            </w:r>
            <w:r w:rsidRPr="00961968">
              <w:rPr>
                <w:b/>
                <w:sz w:val="22"/>
                <w:szCs w:val="22"/>
              </w:rPr>
              <w:fldChar w:fldCharType="separate"/>
            </w:r>
            <w:r w:rsidR="006622B2">
              <w:rPr>
                <w:b/>
                <w:noProof/>
                <w:sz w:val="22"/>
                <w:szCs w:val="22"/>
              </w:rPr>
              <w:t>29</w:t>
            </w:r>
            <w:r w:rsidRPr="00961968">
              <w:rPr>
                <w:b/>
                <w:sz w:val="22"/>
                <w:szCs w:val="22"/>
              </w:rPr>
              <w:fldChar w:fldCharType="end"/>
            </w:r>
            <w:r w:rsidRPr="00961968">
              <w:rPr>
                <w:b/>
                <w:sz w:val="22"/>
                <w:szCs w:val="22"/>
              </w:rPr>
              <w:t xml:space="preserve"> Proyección de recaudación tributaria</w:t>
            </w:r>
            <w:bookmarkEnd w:id="251"/>
            <w:bookmarkEnd w:id="252"/>
            <w:bookmarkEnd w:id="253"/>
            <w:bookmarkEnd w:id="254"/>
          </w:p>
        </w:tc>
      </w:tr>
      <w:tr w:rsidR="00CC30AC" w:rsidRPr="00CC30AC" w14:paraId="7299575F" w14:textId="77777777" w:rsidTr="001A6003">
        <w:trPr>
          <w:jc w:val="center"/>
        </w:trPr>
        <w:tc>
          <w:tcPr>
            <w:tcW w:w="8838" w:type="dxa"/>
          </w:tcPr>
          <w:p w14:paraId="45007B90" w14:textId="77777777" w:rsidR="00CC30AC" w:rsidRPr="00961968" w:rsidRDefault="00CC30AC" w:rsidP="001245F7">
            <w:pPr>
              <w:jc w:val="center"/>
              <w:rPr>
                <w:sz w:val="22"/>
                <w:szCs w:val="22"/>
              </w:rPr>
            </w:pPr>
            <w:r w:rsidRPr="00961968">
              <w:rPr>
                <w:sz w:val="22"/>
                <w:szCs w:val="22"/>
              </w:rPr>
              <w:t>Escenario Alto</w:t>
            </w:r>
          </w:p>
          <w:p w14:paraId="3E912A1D" w14:textId="77777777" w:rsidR="00CC30AC" w:rsidRPr="00961968" w:rsidRDefault="00CC30AC" w:rsidP="001245F7">
            <w:pPr>
              <w:jc w:val="center"/>
              <w:rPr>
                <w:sz w:val="22"/>
                <w:szCs w:val="22"/>
              </w:rPr>
            </w:pPr>
            <w:r w:rsidRPr="00961968">
              <w:rPr>
                <w:sz w:val="22"/>
                <w:szCs w:val="22"/>
              </w:rPr>
              <w:t>2022-2028</w:t>
            </w:r>
          </w:p>
          <w:p w14:paraId="62097C77" w14:textId="6CB3C7DF" w:rsidR="00CC30AC" w:rsidRPr="00F93305" w:rsidRDefault="00CC30AC" w:rsidP="001245F7">
            <w:pPr>
              <w:jc w:val="center"/>
              <w:rPr>
                <w:color w:val="44546A" w:themeColor="text2"/>
                <w:sz w:val="22"/>
                <w:szCs w:val="22"/>
              </w:rPr>
            </w:pPr>
            <w:r w:rsidRPr="00F93305">
              <w:rPr>
                <w:noProof/>
                <w:color w:val="44546A" w:themeColor="text2"/>
                <w:sz w:val="22"/>
                <w:szCs w:val="22"/>
              </w:rPr>
              <w:drawing>
                <wp:inline distT="0" distB="0" distL="0" distR="0" wp14:anchorId="04D76756" wp14:editId="18F42C6C">
                  <wp:extent cx="5368203" cy="3262579"/>
                  <wp:effectExtent l="0" t="0" r="4445"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0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401954" cy="3283092"/>
                          </a:xfrm>
                          <a:prstGeom prst="rect">
                            <a:avLst/>
                          </a:prstGeom>
                          <a:noFill/>
                          <a:ln>
                            <a:noFill/>
                          </a:ln>
                        </pic:spPr>
                      </pic:pic>
                    </a:graphicData>
                  </a:graphic>
                </wp:inline>
              </w:drawing>
            </w:r>
          </w:p>
          <w:p w14:paraId="03807872" w14:textId="2F280DB2" w:rsidR="00CC30AC" w:rsidRPr="00F93305" w:rsidRDefault="00CC30AC" w:rsidP="00BA2924">
            <w:pPr>
              <w:spacing w:after="200"/>
              <w:jc w:val="both"/>
              <w:rPr>
                <w:color w:val="44546A" w:themeColor="text2"/>
                <w:sz w:val="22"/>
                <w:szCs w:val="22"/>
              </w:rPr>
            </w:pPr>
            <w:r w:rsidRPr="00961968">
              <w:rPr>
                <w:color w:val="44546A" w:themeColor="text2"/>
                <w:sz w:val="18"/>
                <w:szCs w:val="18"/>
              </w:rPr>
              <w:t xml:space="preserve">Fuente: Dirección de Análisis y Política Fiscal </w:t>
            </w:r>
          </w:p>
        </w:tc>
      </w:tr>
      <w:tr w:rsidR="00CC30AC" w:rsidRPr="00CC30AC" w14:paraId="5E51A10F" w14:textId="77777777" w:rsidTr="001A6003">
        <w:trPr>
          <w:jc w:val="center"/>
        </w:trPr>
        <w:tc>
          <w:tcPr>
            <w:tcW w:w="8838" w:type="dxa"/>
          </w:tcPr>
          <w:p w14:paraId="7FB9CCEC" w14:textId="19B3BB6D" w:rsidR="00CC30AC" w:rsidRPr="00CC30AC" w:rsidRDefault="00CC30AC" w:rsidP="001245F7">
            <w:pPr>
              <w:keepNext/>
              <w:jc w:val="center"/>
              <w:rPr>
                <w:b/>
                <w:sz w:val="20"/>
                <w:szCs w:val="18"/>
              </w:rPr>
            </w:pPr>
            <w:bookmarkStart w:id="255" w:name="_Toc50016867"/>
            <w:bookmarkStart w:id="256" w:name="_Toc81573112"/>
            <w:bookmarkStart w:id="257" w:name="_Toc113301413"/>
            <w:bookmarkStart w:id="258" w:name="_Toc143870754"/>
            <w:r w:rsidRPr="00F93305">
              <w:rPr>
                <w:b/>
                <w:sz w:val="20"/>
                <w:szCs w:val="18"/>
              </w:rPr>
              <w:t xml:space="preserve">Gráfico </w:t>
            </w:r>
            <w:r w:rsidRPr="00F93305">
              <w:rPr>
                <w:b/>
                <w:sz w:val="20"/>
                <w:szCs w:val="18"/>
              </w:rPr>
              <w:fldChar w:fldCharType="begin"/>
            </w:r>
            <w:r w:rsidRPr="00F93305">
              <w:rPr>
                <w:b/>
                <w:sz w:val="20"/>
                <w:szCs w:val="18"/>
              </w:rPr>
              <w:instrText xml:space="preserve"> SEQ Gráfico \* ARABIC </w:instrText>
            </w:r>
            <w:r w:rsidRPr="00F93305">
              <w:rPr>
                <w:b/>
                <w:sz w:val="20"/>
                <w:szCs w:val="18"/>
              </w:rPr>
              <w:fldChar w:fldCharType="separate"/>
            </w:r>
            <w:r w:rsidR="006622B2">
              <w:rPr>
                <w:b/>
                <w:noProof/>
                <w:sz w:val="20"/>
                <w:szCs w:val="18"/>
              </w:rPr>
              <w:t>87</w:t>
            </w:r>
            <w:r w:rsidRPr="00F93305">
              <w:rPr>
                <w:b/>
                <w:sz w:val="20"/>
                <w:szCs w:val="18"/>
              </w:rPr>
              <w:fldChar w:fldCharType="end"/>
            </w:r>
            <w:r w:rsidRPr="00F93305">
              <w:rPr>
                <w:b/>
                <w:sz w:val="20"/>
                <w:szCs w:val="18"/>
              </w:rPr>
              <w:t>.</w:t>
            </w:r>
            <w:r w:rsidRPr="00CC30AC">
              <w:rPr>
                <w:b/>
                <w:i/>
                <w:iCs/>
                <w:sz w:val="20"/>
                <w:szCs w:val="18"/>
              </w:rPr>
              <w:t xml:space="preserve">  </w:t>
            </w:r>
            <w:r w:rsidRPr="00CC30AC">
              <w:rPr>
                <w:b/>
              </w:rPr>
              <w:t>Carga tributaria</w:t>
            </w:r>
            <w:bookmarkEnd w:id="255"/>
            <w:r w:rsidRPr="00CC30AC">
              <w:rPr>
                <w:b/>
                <w:i/>
                <w:iCs/>
              </w:rPr>
              <w:t xml:space="preserve"> </w:t>
            </w:r>
            <w:r w:rsidRPr="00961968">
              <w:rPr>
                <w:b/>
              </w:rPr>
              <w:t>escenario alto</w:t>
            </w:r>
            <w:bookmarkEnd w:id="256"/>
            <w:bookmarkEnd w:id="257"/>
            <w:bookmarkEnd w:id="258"/>
          </w:p>
          <w:p w14:paraId="788696BC" w14:textId="127A70C0" w:rsidR="00CC30AC" w:rsidRPr="00827ED5" w:rsidRDefault="00CC30AC" w:rsidP="00E01410">
            <w:pPr>
              <w:jc w:val="center"/>
              <w:rPr>
                <w:color w:val="44546A" w:themeColor="text2"/>
                <w:sz w:val="18"/>
                <w:szCs w:val="18"/>
              </w:rPr>
            </w:pPr>
            <w:r w:rsidRPr="00F93305">
              <w:rPr>
                <w:color w:val="44546A" w:themeColor="text2"/>
                <w:sz w:val="18"/>
                <w:szCs w:val="18"/>
              </w:rPr>
              <w:t>2022 – 2028</w:t>
            </w:r>
            <w:r w:rsidRPr="00F93305">
              <w:rPr>
                <w:noProof/>
              </w:rPr>
              <w:drawing>
                <wp:anchor distT="0" distB="0" distL="114300" distR="116840" simplePos="0" relativeHeight="251801600" behindDoc="0" locked="0" layoutInCell="1" allowOverlap="1" wp14:anchorId="175F2593" wp14:editId="37CF9CD1">
                  <wp:simplePos x="0" y="0"/>
                  <wp:positionH relativeFrom="column">
                    <wp:posOffset>204470</wp:posOffset>
                  </wp:positionH>
                  <wp:positionV relativeFrom="paragraph">
                    <wp:posOffset>153670</wp:posOffset>
                  </wp:positionV>
                  <wp:extent cx="4944745" cy="2523490"/>
                  <wp:effectExtent l="0" t="0" r="8255" b="0"/>
                  <wp:wrapSquare wrapText="bothSides"/>
                  <wp:docPr id="200" name="Gráfico 20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14:sizeRelH relativeFrom="page">
                    <wp14:pctWidth>0</wp14:pctWidth>
                  </wp14:sizeRelH>
                  <wp14:sizeRelV relativeFrom="page">
                    <wp14:pctHeight>0</wp14:pctHeight>
                  </wp14:sizeRelV>
                </wp:anchor>
              </w:drawing>
            </w:r>
          </w:p>
        </w:tc>
      </w:tr>
    </w:tbl>
    <w:p w14:paraId="7C9C928A" w14:textId="77777777" w:rsidR="00CC30AC" w:rsidRPr="00CC30AC" w:rsidRDefault="00CC30AC" w:rsidP="001245F7">
      <w:pPr>
        <w:ind w:firstLine="708"/>
        <w:rPr>
          <w:sz w:val="16"/>
        </w:rPr>
      </w:pPr>
      <w:r w:rsidRPr="00CC30AC">
        <w:rPr>
          <w:sz w:val="16"/>
        </w:rPr>
        <w:t xml:space="preserve">Fuente: Dirección de Análisis y Política Fiscal </w:t>
      </w:r>
    </w:p>
    <w:p w14:paraId="1DAEAD06" w14:textId="77777777" w:rsidR="00CC30AC" w:rsidRPr="00CC30AC" w:rsidRDefault="00CC30AC" w:rsidP="001245F7">
      <w:pPr>
        <w:jc w:val="both"/>
      </w:pPr>
    </w:p>
    <w:p w14:paraId="51308071" w14:textId="77777777" w:rsidR="00CC30AC" w:rsidRPr="00CC30AC" w:rsidRDefault="00CC30AC" w:rsidP="001245F7">
      <w:pPr>
        <w:jc w:val="both"/>
      </w:pPr>
      <w:r w:rsidRPr="00CC30AC">
        <w:t>De concretarse el uso de la estimación de recaudación con el escenario medio los efectos serán inmediatos sobre la ejecución financiera en el cierre del ejercicio fiscal 2023 y en el mediano plazo, la ejecución de gasto respecto a lo planteado en el Proyecto de Presupuesto 2023 aumentaría en Q1,892.3 millones, con este escenario se pueden asignar más recursos y atender más programas de gobierno en el mediano plazo, si se toma la decisión de utilizar el rango alto del escenario macroeconómico proporcionado por el Banco de Guatemala se crearía un efecto ilusorio sobre la disponibilidad de recursos que el ente recaudador no podrá garantizar y por consiguiente se tendrá un escenario de mayor disponibilidad para atender programas de gobierno que no necesariamente pueden cumplirse.</w:t>
      </w:r>
    </w:p>
    <w:p w14:paraId="4CBC50E8" w14:textId="77777777" w:rsidR="00CC30AC" w:rsidRPr="00CC30AC" w:rsidRDefault="00CC30AC" w:rsidP="001245F7">
      <w:pPr>
        <w:jc w:val="both"/>
      </w:pPr>
    </w:p>
    <w:p w14:paraId="6F78B6A9" w14:textId="77777777" w:rsidR="00CC30AC" w:rsidRPr="00CC30AC" w:rsidRDefault="00CC30AC" w:rsidP="001245F7">
      <w:pPr>
        <w:numPr>
          <w:ilvl w:val="2"/>
          <w:numId w:val="3"/>
        </w:numPr>
        <w:contextualSpacing/>
        <w:jc w:val="both"/>
        <w:outlineLvl w:val="2"/>
        <w:rPr>
          <w:b/>
          <w:bCs/>
        </w:rPr>
      </w:pPr>
      <w:bookmarkStart w:id="259" w:name="_Toc113025366"/>
      <w:bookmarkStart w:id="260" w:name="_Toc143865864"/>
      <w:r w:rsidRPr="00CC30AC">
        <w:rPr>
          <w:b/>
          <w:bCs/>
        </w:rPr>
        <w:t>Otros escenarios</w:t>
      </w:r>
      <w:bookmarkEnd w:id="259"/>
      <w:bookmarkEnd w:id="260"/>
    </w:p>
    <w:p w14:paraId="05045E32" w14:textId="77777777" w:rsidR="00CC30AC" w:rsidRPr="00CC30AC" w:rsidRDefault="00CC30AC" w:rsidP="001245F7">
      <w:pPr>
        <w:jc w:val="both"/>
      </w:pPr>
    </w:p>
    <w:p w14:paraId="139E4DC1" w14:textId="77777777" w:rsidR="00CC30AC" w:rsidRPr="00CC30AC" w:rsidRDefault="00CC30AC" w:rsidP="001245F7">
      <w:pPr>
        <w:jc w:val="both"/>
      </w:pPr>
      <w:r w:rsidRPr="00CC30AC">
        <w:t>Mediante el uso de factores múltiples que pueden afectar las trayectorias de la carga tributaria se consideró como base la metodología explicada en el Recuadro 2, el sustento de este modelo recae en la media del error de pronóstico, el balance de riesgo de cada año</w:t>
      </w:r>
      <w:r w:rsidRPr="00CC30AC">
        <w:rPr>
          <w:vertAlign w:val="superscript"/>
        </w:rPr>
        <w:footnoteReference w:id="4"/>
      </w:r>
      <w:r w:rsidRPr="00CC30AC">
        <w:t>, un factor de aumento de la desviación estándar del error de pronóstico y el cálculo de percentiles, de los resultados se observa que en un escenario pesimista inferior al proporcionado por el Banco de Guatemala, es decir un crecimiento de la economía inferior a 2.5%  y un crecimiento de las importaciones por abajo del 6%, afectarían a la estimación de la carga tributaria de 2024 a 2028, la ocurrencia de este evento tiene una probabilidad muy baja de ocurrencia.</w:t>
      </w:r>
    </w:p>
    <w:p w14:paraId="3B199152" w14:textId="77777777" w:rsidR="00CC30AC" w:rsidRPr="00CC30AC" w:rsidRDefault="00CC30AC" w:rsidP="001245F7">
      <w:pPr>
        <w:jc w:val="both"/>
      </w:pPr>
    </w:p>
    <w:p w14:paraId="5EE8D712" w14:textId="77777777" w:rsidR="00CC30AC" w:rsidRPr="00CC30AC" w:rsidRDefault="00CC30AC" w:rsidP="001245F7">
      <w:pPr>
        <w:jc w:val="both"/>
      </w:pPr>
      <w:r w:rsidRPr="00CC30AC">
        <w:t xml:space="preserve">De conformidad con los ejercicios realizados para el año 2023 se tiene una probabilidad del 95% que la carga tributaria (11.9%) se mantenga ligeramente por abajo del nivel observado en 2022 (12.0%), para el caso del 2024 se tiene probabilidad del 90% que la carga oscile entre 11.8% y 11.9% para 2028 puede rondar entre 13.1% y 13.2%.  </w:t>
      </w:r>
    </w:p>
    <w:p w14:paraId="156DCAE2" w14:textId="4158AA2C" w:rsidR="00CC30AC" w:rsidRPr="00961968" w:rsidRDefault="00CC30AC" w:rsidP="00CC30AC">
      <w:pPr>
        <w:keepNext/>
        <w:spacing w:after="200"/>
        <w:jc w:val="center"/>
        <w:rPr>
          <w:b/>
          <w:sz w:val="22"/>
          <w:szCs w:val="20"/>
        </w:rPr>
      </w:pPr>
      <w:bookmarkStart w:id="261" w:name="_Toc81573074"/>
      <w:bookmarkStart w:id="262" w:name="_Toc113301414"/>
      <w:bookmarkStart w:id="263" w:name="_Toc143870755"/>
      <w:r w:rsidRPr="00961968">
        <w:rPr>
          <w:b/>
          <w:sz w:val="20"/>
          <w:szCs w:val="20"/>
        </w:rPr>
        <w:t xml:space="preserve">Gráfico </w:t>
      </w:r>
      <w:r w:rsidRPr="00961968">
        <w:rPr>
          <w:b/>
          <w:sz w:val="20"/>
          <w:szCs w:val="20"/>
        </w:rPr>
        <w:fldChar w:fldCharType="begin"/>
      </w:r>
      <w:r w:rsidRPr="00961968">
        <w:rPr>
          <w:b/>
          <w:sz w:val="20"/>
          <w:szCs w:val="20"/>
        </w:rPr>
        <w:instrText xml:space="preserve"> SEQ Gráfico \* ARABIC </w:instrText>
      </w:r>
      <w:r w:rsidRPr="00961968">
        <w:rPr>
          <w:b/>
          <w:sz w:val="20"/>
          <w:szCs w:val="20"/>
        </w:rPr>
        <w:fldChar w:fldCharType="separate"/>
      </w:r>
      <w:r w:rsidR="006622B2">
        <w:rPr>
          <w:b/>
          <w:noProof/>
          <w:sz w:val="20"/>
          <w:szCs w:val="20"/>
        </w:rPr>
        <w:t>88</w:t>
      </w:r>
      <w:r w:rsidRPr="00961968">
        <w:rPr>
          <w:b/>
          <w:sz w:val="20"/>
          <w:szCs w:val="20"/>
        </w:rPr>
        <w:fldChar w:fldCharType="end"/>
      </w:r>
      <w:r w:rsidRPr="00961968">
        <w:rPr>
          <w:b/>
          <w:sz w:val="20"/>
          <w:szCs w:val="20"/>
        </w:rPr>
        <w:t>.</w:t>
      </w:r>
      <w:r w:rsidRPr="00961968">
        <w:rPr>
          <w:b/>
          <w:i/>
          <w:iCs/>
          <w:sz w:val="20"/>
          <w:szCs w:val="20"/>
        </w:rPr>
        <w:t xml:space="preserve">  </w:t>
      </w:r>
      <w:r w:rsidRPr="00961968">
        <w:rPr>
          <w:b/>
          <w:sz w:val="22"/>
          <w:szCs w:val="20"/>
        </w:rPr>
        <w:t xml:space="preserve">Fanchart de la proyección </w:t>
      </w:r>
      <w:bookmarkEnd w:id="261"/>
      <w:r w:rsidRPr="00961968">
        <w:rPr>
          <w:b/>
          <w:sz w:val="22"/>
          <w:szCs w:val="20"/>
        </w:rPr>
        <w:t>de carga tributaria</w:t>
      </w:r>
      <w:bookmarkEnd w:id="262"/>
      <w:bookmarkEnd w:id="263"/>
    </w:p>
    <w:p w14:paraId="300D082F" w14:textId="2A8A3D09" w:rsidR="00CC30AC" w:rsidRPr="00CC30AC" w:rsidRDefault="00CC30AC" w:rsidP="00CC30AC">
      <w:r w:rsidRPr="00CC30AC">
        <w:rPr>
          <w:noProof/>
        </w:rPr>
        <w:drawing>
          <wp:inline distT="0" distB="0" distL="0" distR="0" wp14:anchorId="56A3F055" wp14:editId="202EC28E">
            <wp:extent cx="5608955" cy="2743200"/>
            <wp:effectExtent l="0" t="0" r="0" b="635"/>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0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608955" cy="2743200"/>
                    </a:xfrm>
                    <a:prstGeom prst="rect">
                      <a:avLst/>
                    </a:prstGeom>
                    <a:noFill/>
                    <a:ln>
                      <a:noFill/>
                    </a:ln>
                  </pic:spPr>
                </pic:pic>
              </a:graphicData>
            </a:graphic>
          </wp:inline>
        </w:drawing>
      </w:r>
    </w:p>
    <w:p w14:paraId="4ACCDA9D" w14:textId="7E441E0F" w:rsidR="009F727A" w:rsidRPr="00E01410" w:rsidRDefault="00CC30AC" w:rsidP="00E01410">
      <w:pPr>
        <w:spacing w:line="276" w:lineRule="auto"/>
        <w:rPr>
          <w:bCs/>
          <w:sz w:val="18"/>
          <w:szCs w:val="16"/>
        </w:rPr>
      </w:pPr>
      <w:r w:rsidRPr="00CC30AC">
        <w:rPr>
          <w:bCs/>
          <w:sz w:val="18"/>
          <w:szCs w:val="16"/>
        </w:rPr>
        <w:t xml:space="preserve">        Fuente: Dirección de Análisis y Política Fiscal.</w:t>
      </w:r>
    </w:p>
    <w:p w14:paraId="73E6FC9A" w14:textId="77777777" w:rsidR="00FE1794" w:rsidRDefault="00FE1794" w:rsidP="00B425B8">
      <w:pPr>
        <w:jc w:val="both"/>
      </w:pPr>
    </w:p>
    <w:p w14:paraId="2373AD75" w14:textId="30942B9A" w:rsidR="004E6590" w:rsidRPr="004E6590" w:rsidRDefault="004E6590" w:rsidP="00531A1B">
      <w:pPr>
        <w:pStyle w:val="Prrafodelista"/>
        <w:numPr>
          <w:ilvl w:val="1"/>
          <w:numId w:val="3"/>
        </w:numPr>
        <w:jc w:val="both"/>
        <w:outlineLvl w:val="1"/>
        <w:rPr>
          <w:b/>
          <w:bCs/>
        </w:rPr>
      </w:pPr>
      <w:bookmarkStart w:id="264" w:name="_Toc143865865"/>
      <w:r w:rsidRPr="004E6590">
        <w:rPr>
          <w:b/>
          <w:bCs/>
        </w:rPr>
        <w:t>Proyecciones de gasto público</w:t>
      </w:r>
      <w:bookmarkEnd w:id="264"/>
    </w:p>
    <w:p w14:paraId="415374AB" w14:textId="77777777" w:rsidR="004E6590" w:rsidRDefault="004E6590" w:rsidP="00B425B8">
      <w:pPr>
        <w:jc w:val="both"/>
      </w:pPr>
    </w:p>
    <w:p w14:paraId="22F47C16" w14:textId="77777777" w:rsidR="004E6590" w:rsidRDefault="004E6590" w:rsidP="004E6590">
      <w:pPr>
        <w:jc w:val="both"/>
      </w:pPr>
      <w:r>
        <w:t>Las estimaciones de gasto público, como se indicó anteriormente, están determinadas por las obligaciones que el Estado debe honrar para cumplir con las obligaciones constitucionales o de leyes específicas, así como otros compromisos ineludibles como las remuneraciones, las prestaciones a la seguridad social y el servicio de la deuda pública. Asimismo, el componente de orientación de la política pública está vinculado con el Plan Nacional de Desarrollo y su articulación con los ODS que desemboca en la priorización de 10 objetivos estratégicos que permitirán que Guatemala en el mediano y largo plazos, logre mejorar considerablemente el bienestar de la población y permita a la vez contribuir al crecimiento económico.</w:t>
      </w:r>
    </w:p>
    <w:p w14:paraId="18492F96" w14:textId="77777777" w:rsidR="004E6590" w:rsidRDefault="004E6590" w:rsidP="004E6590">
      <w:pPr>
        <w:jc w:val="both"/>
      </w:pPr>
    </w:p>
    <w:p w14:paraId="4AB34DEE" w14:textId="77777777" w:rsidR="004E6590" w:rsidRDefault="004E6590" w:rsidP="004E6590">
      <w:pPr>
        <w:jc w:val="both"/>
      </w:pPr>
      <w:r>
        <w:t>En ese sentido, es importante considerar que para el proyecto de presupuesto 2024 y para el mediano plazo los ingresos tributarios proyectados tendrán pre asignaciones o destinos específicos que establece la Constitución Política de la República de Guatemala, así como la legislación tributaria, por el equivalente al 34.5% del total de ingresos que se espera recibir.</w:t>
      </w:r>
    </w:p>
    <w:p w14:paraId="5BC18564" w14:textId="77777777" w:rsidR="004E6590" w:rsidRDefault="004E6590" w:rsidP="004E6590">
      <w:pPr>
        <w:jc w:val="both"/>
      </w:pPr>
    </w:p>
    <w:p w14:paraId="2A2736AE" w14:textId="77777777" w:rsidR="004E6590" w:rsidRDefault="004E6590" w:rsidP="004E6590">
      <w:pPr>
        <w:jc w:val="both"/>
      </w:pPr>
      <w:r>
        <w:t>Sin embargo, a nivel de todo el presupuesto, las rigideces presupuestarias son mayores ya que no solo incorpora las pre asignaciones de los impuestos, sino también otros compromisos ineludibles como las remuneraciones del Estado, el pago de las clases pasivas y aportes al IGSS, así como el servicio de la deuda pública y los aportes institucionales a entidades descentralizadas y autónomas incluyendo las Municipalidades y los Consejos de Desarrollo Urbano y Rural. En su totalidad esto representa cerca del 92% de rigidez presupuestaria, es decir el margen de maniobra de la política fiscal está en torno al 8% del total del presupuesto. Esto sin duda genera una restricción importante en el manejo de la política fiscal derivado que más de la tercera parte de la tributación no puede tener un destino diferente al establecido por la Ley afectando el grado de discrecionalidad para orientar la política pública a determinados fines prioritarios.</w:t>
      </w:r>
    </w:p>
    <w:p w14:paraId="1181AC02" w14:textId="77777777" w:rsidR="004E6590" w:rsidRDefault="004E6590" w:rsidP="004E6590">
      <w:pPr>
        <w:jc w:val="both"/>
      </w:pPr>
    </w:p>
    <w:p w14:paraId="36B0716A" w14:textId="77777777" w:rsidR="004E6590" w:rsidRDefault="004E6590" w:rsidP="004E6590">
      <w:pPr>
        <w:jc w:val="both"/>
      </w:pPr>
      <w:r>
        <w:t>Con un manejo adecuado de la política fiscal se debe responder a los compromisos emanados de los programas prioritarios del Plan Nacional de Desarrollo, en congruencia con los lineamientos y las orientaciones generales del gasto público. Asimismo, se consideran las estimaciones de recaudación de ingresos fiscales de mediano plazo, así como las otras fuentes de financiamiento, para determinar las asignaciones generales del gasto público, para el ejercicio fiscal 2024-2028.</w:t>
      </w:r>
    </w:p>
    <w:p w14:paraId="78FE0810" w14:textId="77777777" w:rsidR="00253F84" w:rsidRDefault="00253F84" w:rsidP="004E6590">
      <w:pPr>
        <w:jc w:val="both"/>
      </w:pPr>
    </w:p>
    <w:p w14:paraId="29FBBB30" w14:textId="107DCD87" w:rsidR="004E6590" w:rsidRDefault="004E6590" w:rsidP="004E6590">
      <w:pPr>
        <w:jc w:val="both"/>
      </w:pPr>
      <w:r>
        <w:t>Es importante recordar que en 2023, en el mes de junio</w:t>
      </w:r>
      <w:r w:rsidR="00E85562">
        <w:t xml:space="preserve"> y agosto</w:t>
      </w:r>
      <w:r>
        <w:t xml:space="preserve"> se tienen previstas elecciones generales en Guatemala</w:t>
      </w:r>
      <w:r w:rsidR="00E85562">
        <w:t xml:space="preserve"> y la segunda vuelta electoral</w:t>
      </w:r>
      <w:r>
        <w:t>, según la planificación del Tribunal Supremo Electoral (TSE), simultáneamente se llevarán a cabo elecciones legislativas, elecciones municipales y elecciones al Parlamento Centroamericano, por lo cual las asignaciones futuras podrían tener ajustes que al mismo tiempo dependerán del financiamiento previsto y de las necesidades estratégicas e institucionales que plantee el gobierno que resulte electo.</w:t>
      </w:r>
    </w:p>
    <w:p w14:paraId="3948E572" w14:textId="77777777" w:rsidR="004E6590" w:rsidRDefault="004E6590" w:rsidP="004E6590">
      <w:pPr>
        <w:jc w:val="both"/>
      </w:pPr>
    </w:p>
    <w:p w14:paraId="3C972B6B" w14:textId="13397613" w:rsidR="004E6590" w:rsidRDefault="004E6590" w:rsidP="004E6590">
      <w:pPr>
        <w:jc w:val="both"/>
      </w:pPr>
      <w:r>
        <w:t>Tomando en cuenta lo anterior, el techo de presupuesto propuesto para 2024 se plantea en Q12</w:t>
      </w:r>
      <w:r w:rsidR="00CE6B23">
        <w:t>4</w:t>
      </w:r>
      <w:r>
        <w:t>,</w:t>
      </w:r>
      <w:r w:rsidR="00E85562">
        <w:t>880</w:t>
      </w:r>
      <w:r>
        <w:t>.</w:t>
      </w:r>
      <w:r w:rsidR="00E85562">
        <w:t>0</w:t>
      </w:r>
      <w:r>
        <w:t xml:space="preserve"> millones. El 2023 contó con un presupuesto propio, adicionalmente se dieron ampliaciones presupuestarias, las cuales se explican por la intervención del Estado para recuperar la infraestructura vial que fue dañada en 2022, así como mantener algunos subsidios para mitigar los efectos económicos sobre la población ante el incremento de los precios. De esa cuenta, en 2024 se prevé una asignación presupuestaria que estaría creciendo </w:t>
      </w:r>
      <w:r w:rsidR="00E85562">
        <w:t>9</w:t>
      </w:r>
      <w:r>
        <w:t xml:space="preserve">.1% con respecto a la estimación de cierre de 2023 y de </w:t>
      </w:r>
      <w:r w:rsidR="00E85562">
        <w:t>5</w:t>
      </w:r>
      <w:r>
        <w:t>.</w:t>
      </w:r>
      <w:r w:rsidR="00E85562">
        <w:t>7</w:t>
      </w:r>
      <w:r>
        <w:t xml:space="preserve">% comparada con el presupuesto vigente 2023 (incluyen las ampliaciones aprobadas por el Congreso hasta el 30 de </w:t>
      </w:r>
      <w:r w:rsidR="00E85562">
        <w:t>junio</w:t>
      </w:r>
      <w:r>
        <w:t>).</w:t>
      </w:r>
    </w:p>
    <w:p w14:paraId="0E697C05" w14:textId="77777777" w:rsidR="004E6590" w:rsidRDefault="004E6590" w:rsidP="004E6590">
      <w:pPr>
        <w:jc w:val="both"/>
      </w:pPr>
    </w:p>
    <w:p w14:paraId="1B049EB7" w14:textId="084E3681" w:rsidR="009C678F" w:rsidRDefault="004E6590" w:rsidP="004E6590">
      <w:pPr>
        <w:jc w:val="both"/>
      </w:pPr>
      <w:r>
        <w:t xml:space="preserve">Para 2024, se está considerando que el gasto público se enfocaría en aumentar el gasto de </w:t>
      </w:r>
      <w:r w:rsidR="00E568A5">
        <w:t>la inversión real directa</w:t>
      </w:r>
      <w:r>
        <w:t>,</w:t>
      </w:r>
      <w:r w:rsidR="00E568A5">
        <w:t xml:space="preserve"> la cual podría crecer en 20.0%</w:t>
      </w:r>
      <w:r>
        <w:t>,</w:t>
      </w:r>
      <w:r w:rsidR="009C678F" w:rsidRPr="009C678F">
        <w:t xml:space="preserve"> hay que considerar que en 2024 se contaría con una nueva administración pública y ello </w:t>
      </w:r>
      <w:r w:rsidR="009C678F">
        <w:t xml:space="preserve">podría motivar </w:t>
      </w:r>
      <w:r w:rsidR="009C678F" w:rsidRPr="009C678F">
        <w:t>la inversión</w:t>
      </w:r>
      <w:r w:rsidR="001F6BF5">
        <w:t xml:space="preserve"> pública</w:t>
      </w:r>
      <w:r w:rsidR="009C678F" w:rsidRPr="009C678F">
        <w:t>.</w:t>
      </w:r>
    </w:p>
    <w:p w14:paraId="20C32D9C" w14:textId="77777777" w:rsidR="009C678F" w:rsidRDefault="009C678F" w:rsidP="004E6590">
      <w:pPr>
        <w:jc w:val="both"/>
      </w:pPr>
    </w:p>
    <w:p w14:paraId="446D7297" w14:textId="775A30CB" w:rsidR="00E568A5" w:rsidRDefault="009C678F" w:rsidP="004E6590">
      <w:pPr>
        <w:jc w:val="both"/>
      </w:pPr>
      <w:r>
        <w:t>A</w:t>
      </w:r>
      <w:r w:rsidR="004E6590">
        <w:t>s</w:t>
      </w:r>
      <w:r>
        <w:t>i</w:t>
      </w:r>
      <w:r w:rsidR="004E6590">
        <w:t>mismo, se observaría un crecimiento importante en l</w:t>
      </w:r>
      <w:r w:rsidR="00E568A5">
        <w:t xml:space="preserve">as transferencias de capital (14.9%) </w:t>
      </w:r>
      <w:r w:rsidRPr="009C678F">
        <w:t>esto es relevante tomando en consideración que significaría mayores recursos para municipalidad</w:t>
      </w:r>
      <w:r>
        <w:t>es</w:t>
      </w:r>
      <w:r w:rsidRPr="009C678F">
        <w:t xml:space="preserve"> y CODEDES, lo cual es de suma importancia para continuar con los esfuerzos de descentralización y desarrollo económico y social en el área rural.</w:t>
      </w:r>
      <w:r>
        <w:t xml:space="preserve"> Mientras que las </w:t>
      </w:r>
      <w:r w:rsidR="00E568A5">
        <w:t xml:space="preserve">prestaciones a la seguridad social </w:t>
      </w:r>
      <w:r>
        <w:t xml:space="preserve">crecerían alrededor de </w:t>
      </w:r>
      <w:r w:rsidR="00E568A5">
        <w:t xml:space="preserve">11.3%. </w:t>
      </w:r>
    </w:p>
    <w:p w14:paraId="5A0EDBCC" w14:textId="07130B49" w:rsidR="001F6BF5" w:rsidRDefault="001F6BF5" w:rsidP="004E6590">
      <w:pPr>
        <w:jc w:val="both"/>
      </w:pPr>
    </w:p>
    <w:p w14:paraId="4F733B84" w14:textId="50C1EF4C" w:rsidR="00E568A5" w:rsidRDefault="001F6BF5" w:rsidP="004E6590">
      <w:pPr>
        <w:jc w:val="both"/>
      </w:pPr>
      <w:r w:rsidRPr="001F6BF5">
        <w:t>En lo que se refiere al gasto de funcionamiento, las remuneraciones podrían reportar un crecimiento de 7</w:t>
      </w:r>
      <w:r>
        <w:t>.5</w:t>
      </w:r>
      <w:r w:rsidRPr="001F6BF5">
        <w:t>%, tomando en consideración las mejoras que podrían darse en el sector salud.</w:t>
      </w:r>
    </w:p>
    <w:p w14:paraId="3B0625E1" w14:textId="77777777" w:rsidR="001F6BF5" w:rsidRDefault="001F6BF5" w:rsidP="004E6590">
      <w:pPr>
        <w:jc w:val="both"/>
      </w:pPr>
    </w:p>
    <w:p w14:paraId="7FC77E9D" w14:textId="3FB6BE5D" w:rsidR="004E6590" w:rsidRDefault="00E568A5" w:rsidP="004E6590">
      <w:pPr>
        <w:jc w:val="both"/>
      </w:pPr>
      <w:r>
        <w:t>Por su parte, lo</w:t>
      </w:r>
      <w:r w:rsidR="004E6590">
        <w:t>s intereses de la deuda pública</w:t>
      </w:r>
      <w:r>
        <w:t xml:space="preserve"> crecerían cerca de </w:t>
      </w:r>
      <w:r w:rsidR="003C29DD">
        <w:t>6</w:t>
      </w:r>
      <w:r>
        <w:t>.</w:t>
      </w:r>
      <w:r w:rsidR="003C29DD">
        <w:t>9</w:t>
      </w:r>
      <w:r>
        <w:t>%</w:t>
      </w:r>
      <w:r w:rsidR="004E6590">
        <w:t xml:space="preserve">, hay que considerar que el contexto internacional y nacional de alza de tasas de interés juega un rol importante en el encarecimiento del servicio de la deuda pública, en este contexto y ante la incertidumbre en cuánto al tiempo que estarán vigentes las tasas altas en el mercado, en el mediano plazo el gobierno deberá ser ágil en materializar su credibilidad en los mercados nacionales e internacionales para obtener las mejores condiciones financieras posibles. No obstante, es inminente que el servicio de la deuda pública aumentará. </w:t>
      </w:r>
    </w:p>
    <w:p w14:paraId="23515315" w14:textId="77777777" w:rsidR="004E6590" w:rsidRDefault="004E6590" w:rsidP="004E6590">
      <w:pPr>
        <w:jc w:val="both"/>
      </w:pPr>
    </w:p>
    <w:p w14:paraId="01ED24D3" w14:textId="27BCCC9B" w:rsidR="004E6590" w:rsidRDefault="001F6BF5" w:rsidP="004E6590">
      <w:pPr>
        <w:jc w:val="both"/>
      </w:pPr>
      <w:r>
        <w:t>L</w:t>
      </w:r>
      <w:r w:rsidR="004E6590">
        <w:t xml:space="preserve">as transferencias corrientes estarían </w:t>
      </w:r>
      <w:r w:rsidR="00E568A5">
        <w:t>contrayéndose alrededor de 6.2%</w:t>
      </w:r>
      <w:r w:rsidR="004E6590">
        <w:t xml:space="preserve">, </w:t>
      </w:r>
      <w:r w:rsidR="00E568A5">
        <w:t xml:space="preserve">siendo una normalización en su comportamiento, </w:t>
      </w:r>
      <w:r w:rsidR="004E6590">
        <w:t xml:space="preserve">luego de que, en 2020, 2022 y 2023 estas fueron muy importantes al registrar los apoyos temporales otorgados tanto para apoyar en la crisis del COVID-19 como para mitigar el alza de los precios a través de los subsidios </w:t>
      </w:r>
      <w:r w:rsidR="00E568A5">
        <w:t xml:space="preserve">temporales </w:t>
      </w:r>
      <w:r w:rsidR="004E6590">
        <w:t>otorgados.</w:t>
      </w:r>
      <w:r w:rsidRPr="001F6BF5">
        <w:t xml:space="preserve"> </w:t>
      </w:r>
      <w:r>
        <w:t>S</w:t>
      </w:r>
      <w:r w:rsidRPr="001F6BF5">
        <w:t>e prevé que los subsidios otorgados en</w:t>
      </w:r>
      <w:r>
        <w:t xml:space="preserve"> 2022 y</w:t>
      </w:r>
      <w:r w:rsidRPr="001F6BF5">
        <w:t xml:space="preserve"> 2023 ya no sea necesarios mantenerlos para 2024, previendo que las tensiones por conflictos geopolíticos continúan con su desescalada y los precios regresen a la senda previa al conflicto.</w:t>
      </w:r>
    </w:p>
    <w:p w14:paraId="01AA5E1D" w14:textId="77777777" w:rsidR="004E6590" w:rsidRDefault="004E6590" w:rsidP="004E6590">
      <w:pPr>
        <w:jc w:val="both"/>
      </w:pPr>
    </w:p>
    <w:p w14:paraId="7E7C49DE" w14:textId="721C3BFD" w:rsidR="009F727A" w:rsidRDefault="004E6590" w:rsidP="004E6590">
      <w:pPr>
        <w:jc w:val="both"/>
      </w:pPr>
      <w:r>
        <w:t xml:space="preserve">En el mediano plazo se prevé que la variación interanual en los techos presupuestarios sea en promedio de </w:t>
      </w:r>
      <w:r w:rsidR="003C29DD">
        <w:t>4</w:t>
      </w:r>
      <w:r>
        <w:t>.</w:t>
      </w:r>
      <w:r w:rsidR="003C29DD">
        <w:t>1</w:t>
      </w:r>
      <w:r>
        <w:t>%, entre 2024-2028, lo que permitirá una mayor ejecución de gasto, aunque de forma moderada.</w:t>
      </w:r>
    </w:p>
    <w:p w14:paraId="031E6E9A" w14:textId="4185C4FD" w:rsidR="004E6590" w:rsidRDefault="004E6590" w:rsidP="004E6590">
      <w:pPr>
        <w:jc w:val="both"/>
      </w:pPr>
    </w:p>
    <w:p w14:paraId="0D6181E5" w14:textId="15D695C3" w:rsidR="004E6590" w:rsidRPr="0071370B" w:rsidRDefault="0071370B" w:rsidP="0071370B">
      <w:pPr>
        <w:pStyle w:val="Descripcin"/>
        <w:spacing w:after="0"/>
        <w:jc w:val="center"/>
        <w:rPr>
          <w:b/>
          <w:bCs/>
          <w:i w:val="0"/>
          <w:iCs w:val="0"/>
          <w:color w:val="auto"/>
          <w:sz w:val="24"/>
          <w:szCs w:val="24"/>
        </w:rPr>
      </w:pPr>
      <w:bookmarkStart w:id="265" w:name="_Toc143870756"/>
      <w:r w:rsidRPr="0071370B">
        <w:rPr>
          <w:b/>
          <w:bCs/>
          <w:i w:val="0"/>
          <w:iCs w:val="0"/>
          <w:color w:val="auto"/>
          <w:sz w:val="24"/>
          <w:szCs w:val="24"/>
        </w:rPr>
        <w:t xml:space="preserve">Gráfico </w:t>
      </w:r>
      <w:r w:rsidRPr="0071370B">
        <w:rPr>
          <w:b/>
          <w:bCs/>
          <w:i w:val="0"/>
          <w:iCs w:val="0"/>
          <w:color w:val="auto"/>
          <w:sz w:val="24"/>
          <w:szCs w:val="24"/>
        </w:rPr>
        <w:fldChar w:fldCharType="begin"/>
      </w:r>
      <w:r w:rsidRPr="0071370B">
        <w:rPr>
          <w:b/>
          <w:bCs/>
          <w:i w:val="0"/>
          <w:iCs w:val="0"/>
          <w:color w:val="auto"/>
          <w:sz w:val="24"/>
          <w:szCs w:val="24"/>
        </w:rPr>
        <w:instrText xml:space="preserve"> SEQ Gráfico \* ARABIC </w:instrText>
      </w:r>
      <w:r w:rsidRPr="0071370B">
        <w:rPr>
          <w:b/>
          <w:bCs/>
          <w:i w:val="0"/>
          <w:iCs w:val="0"/>
          <w:color w:val="auto"/>
          <w:sz w:val="24"/>
          <w:szCs w:val="24"/>
        </w:rPr>
        <w:fldChar w:fldCharType="separate"/>
      </w:r>
      <w:r w:rsidR="006622B2">
        <w:rPr>
          <w:b/>
          <w:bCs/>
          <w:i w:val="0"/>
          <w:iCs w:val="0"/>
          <w:noProof/>
          <w:color w:val="auto"/>
          <w:sz w:val="24"/>
          <w:szCs w:val="24"/>
        </w:rPr>
        <w:t>89</w:t>
      </w:r>
      <w:r w:rsidRPr="0071370B">
        <w:rPr>
          <w:b/>
          <w:bCs/>
          <w:i w:val="0"/>
          <w:iCs w:val="0"/>
          <w:color w:val="auto"/>
          <w:sz w:val="24"/>
          <w:szCs w:val="24"/>
        </w:rPr>
        <w:fldChar w:fldCharType="end"/>
      </w:r>
      <w:r w:rsidRPr="0071370B">
        <w:rPr>
          <w:b/>
          <w:bCs/>
          <w:i w:val="0"/>
          <w:iCs w:val="0"/>
          <w:color w:val="auto"/>
          <w:sz w:val="24"/>
          <w:szCs w:val="24"/>
        </w:rPr>
        <w:t>.  Asignación total de egresos</w:t>
      </w:r>
      <w:bookmarkEnd w:id="265"/>
    </w:p>
    <w:p w14:paraId="70C0DA79" w14:textId="77777777" w:rsidR="004E6590" w:rsidRPr="00435EA6" w:rsidRDefault="004E6590" w:rsidP="00435EA6">
      <w:pPr>
        <w:spacing w:before="33"/>
        <w:ind w:right="49"/>
        <w:jc w:val="center"/>
        <w:rPr>
          <w:sz w:val="20"/>
          <w:szCs w:val="28"/>
        </w:rPr>
      </w:pPr>
      <w:r w:rsidRPr="00435EA6">
        <w:rPr>
          <w:sz w:val="20"/>
          <w:szCs w:val="28"/>
        </w:rPr>
        <w:t>2024-2028</w:t>
      </w:r>
    </w:p>
    <w:p w14:paraId="1F0E45C9" w14:textId="37687967" w:rsidR="004E6590" w:rsidRPr="00435EA6" w:rsidRDefault="004E6590" w:rsidP="00435EA6">
      <w:pPr>
        <w:spacing w:before="34"/>
        <w:ind w:right="49"/>
        <w:jc w:val="center"/>
        <w:rPr>
          <w:sz w:val="20"/>
          <w:szCs w:val="28"/>
        </w:rPr>
      </w:pPr>
      <w:r w:rsidRPr="00435EA6">
        <w:rPr>
          <w:noProof/>
          <w:sz w:val="20"/>
          <w:szCs w:val="28"/>
        </w:rPr>
        <w:drawing>
          <wp:anchor distT="0" distB="0" distL="114300" distR="114300" simplePos="0" relativeHeight="251756544" behindDoc="0" locked="0" layoutInCell="1" allowOverlap="1" wp14:anchorId="3BB468A9" wp14:editId="686245B6">
            <wp:simplePos x="0" y="0"/>
            <wp:positionH relativeFrom="column">
              <wp:posOffset>78893</wp:posOffset>
            </wp:positionH>
            <wp:positionV relativeFrom="paragraph">
              <wp:posOffset>199390</wp:posOffset>
            </wp:positionV>
            <wp:extent cx="5486400" cy="3200400"/>
            <wp:effectExtent l="0" t="0" r="0" b="0"/>
            <wp:wrapSquare wrapText="bothSides"/>
            <wp:docPr id="1800" name="Gráfico 18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14:sizeRelH relativeFrom="page">
              <wp14:pctWidth>0</wp14:pctWidth>
            </wp14:sizeRelH>
            <wp14:sizeRelV relativeFrom="page">
              <wp14:pctHeight>0</wp14:pctHeight>
            </wp14:sizeRelV>
          </wp:anchor>
        </w:drawing>
      </w:r>
      <w:r w:rsidRPr="00435EA6">
        <w:rPr>
          <w:sz w:val="20"/>
          <w:szCs w:val="28"/>
        </w:rPr>
        <w:t>Millones de quetzales</w:t>
      </w:r>
    </w:p>
    <w:p w14:paraId="43E2FCD9" w14:textId="7A9C95F4" w:rsidR="004E6590" w:rsidRDefault="004E6590" w:rsidP="004E6590">
      <w:pPr>
        <w:jc w:val="both"/>
      </w:pPr>
      <w:r>
        <w:rPr>
          <w:sz w:val="18"/>
        </w:rPr>
        <w:t>Fuente: Dirección de Análisis y Política Fiscal.</w:t>
      </w:r>
    </w:p>
    <w:p w14:paraId="603B5133" w14:textId="1AAF6159" w:rsidR="009F727A" w:rsidRDefault="009F727A" w:rsidP="00B425B8">
      <w:pPr>
        <w:jc w:val="both"/>
      </w:pPr>
    </w:p>
    <w:p w14:paraId="55366095" w14:textId="4276130E" w:rsidR="004E6590" w:rsidRDefault="004E6590" w:rsidP="00B425B8">
      <w:pPr>
        <w:jc w:val="both"/>
      </w:pPr>
      <w:r w:rsidRPr="004E6590">
        <w:t>Como resultado de las proyecciones de ingresos fiscales y la priorización del gasto, se distribuyeron los techos presupuestarios totales para la administración central de la siguiente forma: para 2024 se tiene contemplado un presupuesto de Q12</w:t>
      </w:r>
      <w:r w:rsidR="003C29DD">
        <w:t>4</w:t>
      </w:r>
      <w:r w:rsidRPr="004E6590">
        <w:t>,</w:t>
      </w:r>
      <w:r w:rsidR="003C29DD">
        <w:t>880</w:t>
      </w:r>
      <w:r w:rsidRPr="004E6590">
        <w:t>.</w:t>
      </w:r>
      <w:r w:rsidR="003C29DD">
        <w:t>0</w:t>
      </w:r>
      <w:r w:rsidRPr="004E6590">
        <w:t xml:space="preserve"> millones (1</w:t>
      </w:r>
      <w:r w:rsidR="003C29DD">
        <w:t>4</w:t>
      </w:r>
      <w:r w:rsidRPr="004E6590">
        <w:t>.</w:t>
      </w:r>
      <w:r w:rsidR="003C29DD">
        <w:t>8</w:t>
      </w:r>
      <w:r w:rsidRPr="004E6590">
        <w:t>% del PIB), el cual ascendería en 2025 hasta ubicarse en Q12</w:t>
      </w:r>
      <w:r w:rsidR="003C29DD">
        <w:t>5</w:t>
      </w:r>
      <w:r w:rsidRPr="004E6590">
        <w:t>,</w:t>
      </w:r>
      <w:r w:rsidR="003C29DD">
        <w:t>6</w:t>
      </w:r>
      <w:r w:rsidRPr="004E6590">
        <w:t>34</w:t>
      </w:r>
      <w:r w:rsidR="003C29DD">
        <w:t>.5</w:t>
      </w:r>
      <w:r w:rsidRPr="004E6590">
        <w:t xml:space="preserve"> millones (14.</w:t>
      </w:r>
      <w:r w:rsidR="003C29DD">
        <w:t>0</w:t>
      </w:r>
      <w:r w:rsidRPr="004E6590">
        <w:t>% del PIB), en 2026 en Q1</w:t>
      </w:r>
      <w:r w:rsidR="003C29DD">
        <w:t>29</w:t>
      </w:r>
      <w:r w:rsidRPr="004E6590">
        <w:t>,</w:t>
      </w:r>
      <w:r w:rsidR="003C29DD">
        <w:t>810</w:t>
      </w:r>
      <w:r w:rsidRPr="004E6590">
        <w:t>.</w:t>
      </w:r>
      <w:r w:rsidR="003C29DD">
        <w:t>8</w:t>
      </w:r>
      <w:r w:rsidRPr="004E6590">
        <w:t xml:space="preserve"> millones (1</w:t>
      </w:r>
      <w:r w:rsidR="003C29DD">
        <w:t>3</w:t>
      </w:r>
      <w:r w:rsidRPr="004E6590">
        <w:t>.</w:t>
      </w:r>
      <w:r w:rsidR="003C29DD">
        <w:t>6</w:t>
      </w:r>
      <w:r w:rsidRPr="004E6590">
        <w:t>% del PIB), en 2027 en Q1</w:t>
      </w:r>
      <w:r w:rsidR="003C29DD">
        <w:t>33</w:t>
      </w:r>
      <w:r w:rsidRPr="004E6590">
        <w:t>,</w:t>
      </w:r>
      <w:r w:rsidR="003C29DD">
        <w:t>455</w:t>
      </w:r>
      <w:r w:rsidRPr="004E6590">
        <w:t>.</w:t>
      </w:r>
      <w:r w:rsidR="003C29DD">
        <w:t>7</w:t>
      </w:r>
      <w:r w:rsidRPr="004E6590">
        <w:t xml:space="preserve"> millones (1</w:t>
      </w:r>
      <w:r w:rsidR="003C29DD">
        <w:t>3</w:t>
      </w:r>
      <w:r w:rsidRPr="004E6590">
        <w:t>.</w:t>
      </w:r>
      <w:r w:rsidR="003C29DD">
        <w:t>2</w:t>
      </w:r>
      <w:r w:rsidRPr="004E6590">
        <w:t>% del PIB) y en 2028 en Q1</w:t>
      </w:r>
      <w:r w:rsidR="003C29DD">
        <w:t>39</w:t>
      </w:r>
      <w:r w:rsidRPr="004E6590">
        <w:t>,</w:t>
      </w:r>
      <w:r w:rsidR="003C29DD">
        <w:t>453</w:t>
      </w:r>
      <w:r w:rsidRPr="004E6590">
        <w:t>.</w:t>
      </w:r>
      <w:r w:rsidR="003C29DD">
        <w:t>4</w:t>
      </w:r>
      <w:r w:rsidRPr="004E6590">
        <w:t xml:space="preserve"> millones (1</w:t>
      </w:r>
      <w:r w:rsidR="003C29DD">
        <w:t>2</w:t>
      </w:r>
      <w:r w:rsidRPr="004E6590">
        <w:t>.</w:t>
      </w:r>
      <w:r w:rsidR="003C29DD">
        <w:t>9</w:t>
      </w:r>
      <w:r w:rsidRPr="004E6590">
        <w:t>% del PIB). En 2024 se espera que las asignaciones respondan a lo planteado en las políticas públicas y responda a las prioridades que sean establecidas por la nueva administración pública, con aumentos que estén de acuerdo a las necesidades planteadas por las entidades públicas, y no respondan a aspectos coyunturales como sucedió en años anteriores, derivado de la pandemia COVID-19, y el aumento internacional de los precios. Por su parte, se contempla que las emergencias que puedan surgir por eventos naturales puedan ser atendidos con la asignación recurrente en el Fondo Emergente.</w:t>
      </w:r>
    </w:p>
    <w:p w14:paraId="7DF9A4B0" w14:textId="6D300106" w:rsidR="004E6590" w:rsidRDefault="004E6590" w:rsidP="00B425B8">
      <w:pPr>
        <w:jc w:val="both"/>
      </w:pPr>
    </w:p>
    <w:p w14:paraId="65A44494" w14:textId="7FA76CB7" w:rsidR="004E6590" w:rsidRDefault="00D53B5C" w:rsidP="00531A1B">
      <w:pPr>
        <w:pStyle w:val="Prrafodelista"/>
        <w:numPr>
          <w:ilvl w:val="1"/>
          <w:numId w:val="3"/>
        </w:numPr>
        <w:jc w:val="both"/>
        <w:outlineLvl w:val="1"/>
        <w:rPr>
          <w:b/>
          <w:bCs/>
        </w:rPr>
      </w:pPr>
      <w:bookmarkStart w:id="266" w:name="_Toc143865866"/>
      <w:r w:rsidRPr="00D53B5C">
        <w:rPr>
          <w:b/>
          <w:bCs/>
        </w:rPr>
        <w:t>Proyección del financiamiento del déficit fiscal</w:t>
      </w:r>
      <w:bookmarkEnd w:id="266"/>
    </w:p>
    <w:p w14:paraId="55029CEB" w14:textId="71427824" w:rsidR="00042B9E" w:rsidRDefault="00042B9E" w:rsidP="00042B9E">
      <w:pPr>
        <w:rPr>
          <w:b/>
          <w:bCs/>
        </w:rPr>
      </w:pPr>
    </w:p>
    <w:p w14:paraId="6D41B683" w14:textId="77777777" w:rsidR="00042B9E" w:rsidRPr="00042B9E" w:rsidRDefault="00042B9E" w:rsidP="00042B9E">
      <w:pPr>
        <w:jc w:val="both"/>
      </w:pPr>
      <w:r w:rsidRPr="00042B9E">
        <w:t>Como resultado de la proyección de ingresos prevista para el mediano plazo, y con base en la asignación de techos presupuestarios programada para responder a las necesidades de la sociedad guatemalteca y tomando en consideración los compromisos ineludibles del Estado, se tiene al final de cada ejercicio fiscal un resultado deficitario, cuyo nivel se considera no generará distorsiones a la economía y es financiable a través de recursos internos o externos en condiciones financieras que se buscara sigan siendo favorables para el Estado, a pesar del contexto de subida de tasas observado en 2022 y 2023, el cual podría llevar a una moderación e incluso reducción de tasas a partir de 2024.</w:t>
      </w:r>
    </w:p>
    <w:p w14:paraId="0D03BCA6" w14:textId="77777777" w:rsidR="00042B9E" w:rsidRPr="00042B9E" w:rsidRDefault="00042B9E" w:rsidP="00042B9E">
      <w:pPr>
        <w:jc w:val="both"/>
      </w:pPr>
    </w:p>
    <w:p w14:paraId="6368E5EC" w14:textId="29DCDE2B" w:rsidR="00042B9E" w:rsidRPr="00042B9E" w:rsidRDefault="00042B9E" w:rsidP="00042B9E">
      <w:pPr>
        <w:jc w:val="both"/>
      </w:pPr>
      <w:r w:rsidRPr="00042B9E">
        <w:t>En ese sentido, el déficit fiscal que se prevé para 2024 es de Q1</w:t>
      </w:r>
      <w:r w:rsidR="00EE3D7E">
        <w:t>4</w:t>
      </w:r>
      <w:r w:rsidRPr="00042B9E">
        <w:t>,</w:t>
      </w:r>
      <w:r w:rsidR="00EE3D7E">
        <w:t>681</w:t>
      </w:r>
      <w:r w:rsidRPr="00042B9E">
        <w:t>.</w:t>
      </w:r>
      <w:r w:rsidR="00EE3D7E">
        <w:t>1</w:t>
      </w:r>
      <w:r w:rsidRPr="00042B9E">
        <w:t xml:space="preserve"> millones, siendo de </w:t>
      </w:r>
      <w:r w:rsidR="00EE3D7E">
        <w:t>1</w:t>
      </w:r>
      <w:r w:rsidRPr="00042B9E">
        <w:t>.</w:t>
      </w:r>
      <w:r w:rsidR="00EE3D7E">
        <w:t>7</w:t>
      </w:r>
      <w:r w:rsidRPr="00042B9E">
        <w:t>% del PIB, siendo igual al considerado en la estimación de cierre de 2023 (</w:t>
      </w:r>
      <w:r w:rsidR="00EE3D7E">
        <w:t>1</w:t>
      </w:r>
      <w:r w:rsidRPr="00042B9E">
        <w:t>.</w:t>
      </w:r>
      <w:r w:rsidR="00EE3D7E">
        <w:t>7</w:t>
      </w:r>
      <w:r w:rsidRPr="00042B9E">
        <w:t>%), aunque por debajo del considerado en el presupuesto vigente para 202</w:t>
      </w:r>
      <w:r w:rsidR="00EE3D7E">
        <w:t>3</w:t>
      </w:r>
      <w:r w:rsidRPr="00042B9E">
        <w:t xml:space="preserve"> (3.</w:t>
      </w:r>
      <w:r w:rsidR="00EE3D7E">
        <w:t>0</w:t>
      </w:r>
      <w:r w:rsidRPr="00042B9E">
        <w:t>%).</w:t>
      </w:r>
    </w:p>
    <w:p w14:paraId="4A4982B9" w14:textId="77777777" w:rsidR="00042B9E" w:rsidRPr="00042B9E" w:rsidRDefault="00042B9E" w:rsidP="00042B9E">
      <w:pPr>
        <w:jc w:val="both"/>
      </w:pPr>
    </w:p>
    <w:p w14:paraId="0128D3F2" w14:textId="7F887616" w:rsidR="00042B9E" w:rsidRPr="00042B9E" w:rsidRDefault="00042B9E" w:rsidP="00042B9E">
      <w:pPr>
        <w:jc w:val="both"/>
      </w:pPr>
      <w:r w:rsidRPr="00042B9E">
        <w:t>La principal fuente de financiamiento del déficit será la emisión y nueva colocación de Bonos de Tesoro, la cual se prevé sea de Q1</w:t>
      </w:r>
      <w:r w:rsidR="00EE3D7E">
        <w:t>0</w:t>
      </w:r>
      <w:r w:rsidRPr="00042B9E">
        <w:t>,</w:t>
      </w:r>
      <w:r w:rsidR="00EE3D7E">
        <w:t>587</w:t>
      </w:r>
      <w:r w:rsidRPr="00042B9E">
        <w:t>.2 millones. Asimismo, se prevé un financiamiento externo neto de Q</w:t>
      </w:r>
      <w:r w:rsidR="00EE3D7E">
        <w:t>1,1</w:t>
      </w:r>
      <w:r w:rsidRPr="00042B9E">
        <w:t>9</w:t>
      </w:r>
      <w:r w:rsidR="00EE3D7E">
        <w:t>3</w:t>
      </w:r>
      <w:r w:rsidRPr="00042B9E">
        <w:t>.</w:t>
      </w:r>
      <w:r w:rsidR="00EE3D7E">
        <w:t>9</w:t>
      </w:r>
      <w:r w:rsidRPr="00042B9E">
        <w:t xml:space="preserve"> millones, de los cuales Q3,0</w:t>
      </w:r>
      <w:r w:rsidR="00EE3D7E">
        <w:t>84.8</w:t>
      </w:r>
      <w:r w:rsidRPr="00042B9E">
        <w:t xml:space="preserve"> millones son desembolsos de préstamos y Q</w:t>
      </w:r>
      <w:r w:rsidR="00EE3D7E">
        <w:t>4</w:t>
      </w:r>
      <w:r w:rsidRPr="00042B9E">
        <w:t>,</w:t>
      </w:r>
      <w:r w:rsidR="00EE3D7E">
        <w:t>278</w:t>
      </w:r>
      <w:r w:rsidRPr="00042B9E">
        <w:t>.</w:t>
      </w:r>
      <w:r w:rsidR="00EE3D7E">
        <w:t>7</w:t>
      </w:r>
      <w:r w:rsidRPr="00042B9E">
        <w:t xml:space="preserve"> millones corresponde a amortizaciones de préstamos.</w:t>
      </w:r>
    </w:p>
    <w:p w14:paraId="16578B23" w14:textId="77777777" w:rsidR="00042B9E" w:rsidRPr="00042B9E" w:rsidRDefault="00042B9E" w:rsidP="00042B9E">
      <w:pPr>
        <w:jc w:val="both"/>
      </w:pPr>
    </w:p>
    <w:p w14:paraId="3781753D" w14:textId="467952B0" w:rsidR="00042B9E" w:rsidRPr="00042B9E" w:rsidRDefault="00042B9E" w:rsidP="00042B9E">
      <w:pPr>
        <w:jc w:val="both"/>
      </w:pPr>
      <w:r w:rsidRPr="00042B9E">
        <w:t>Asimismo, en 2024 se estaría considerando también un monto de Q2,474.0 millones de deficiencia neta para el Banco de Guatemala correspondiente al ejercicio fiscal del 2022. Dentro de la Ley Orgánica del Banco de Guatemala, el artículo 9 establece que si después de cubrir sus gastos de funcionamiento, los ingresos del Banco no fueran suficientes para cubrir el costo de ejecución de la política monetaria, cambiaria y crediticia, la deficiencia resultante se cargara a la Cuenta Reserva General, y si el saldo de dicha cuenta no contara con los recursos suficientes, dichas deficiencias deberán ser absorbidas por el Estado. Por ello, una vez trasladado el monto al que ascienden las deficiencias netas, se incluyen dentro del Presupuesto General de Ingresos y Egresos del Estado para el ejercicio fiscal 202</w:t>
      </w:r>
      <w:r w:rsidR="00EE3D7E">
        <w:t>4</w:t>
      </w:r>
      <w:r w:rsidRPr="00042B9E">
        <w:t>.</w:t>
      </w:r>
    </w:p>
    <w:p w14:paraId="3D50B3C0" w14:textId="77777777" w:rsidR="00253F84" w:rsidRDefault="00253F84" w:rsidP="00042B9E">
      <w:pPr>
        <w:jc w:val="both"/>
      </w:pPr>
    </w:p>
    <w:p w14:paraId="1E07EE13" w14:textId="513D1FFB" w:rsidR="00042B9E" w:rsidRDefault="00042B9E" w:rsidP="00042B9E">
      <w:pPr>
        <w:jc w:val="both"/>
      </w:pPr>
      <w:r w:rsidRPr="00042B9E">
        <w:t xml:space="preserve">En el mediano plazo, el déficit fiscal mostrará un comportamiento decreciente, pasando de un déficit estimado de cierre de </w:t>
      </w:r>
      <w:r w:rsidR="009E12CA">
        <w:t>1</w:t>
      </w:r>
      <w:r w:rsidRPr="00042B9E">
        <w:t>.</w:t>
      </w:r>
      <w:r w:rsidR="009E12CA">
        <w:t>7</w:t>
      </w:r>
      <w:r w:rsidRPr="00042B9E">
        <w:t xml:space="preserve">% del PIB en 2023 que se mantendría por </w:t>
      </w:r>
      <w:r w:rsidR="009E12CA">
        <w:t>el</w:t>
      </w:r>
      <w:r w:rsidRPr="00042B9E">
        <w:t xml:space="preserve"> siguiente año, a un</w:t>
      </w:r>
      <w:r w:rsidR="009E12CA">
        <w:t xml:space="preserve"> leve superávit </w:t>
      </w:r>
      <w:r w:rsidRPr="00042B9E">
        <w:t xml:space="preserve">de </w:t>
      </w:r>
      <w:r w:rsidR="009E12CA">
        <w:t>0</w:t>
      </w:r>
      <w:r w:rsidRPr="00042B9E">
        <w:t>.</w:t>
      </w:r>
      <w:r w:rsidR="009E12CA">
        <w:t>1</w:t>
      </w:r>
      <w:r w:rsidRPr="00042B9E">
        <w:t>% en 2028, debido a que se espera que la nueva administración pública que asuma, continúe con un manejo prudente de las finanzas públicas, apuntalando la carga tributaria, manteniendo el gasto público, con una reducción gradual del déficit fiscal.</w:t>
      </w:r>
    </w:p>
    <w:p w14:paraId="2A78E3E3" w14:textId="04A2CD6E" w:rsidR="00042B9E" w:rsidRDefault="00042B9E" w:rsidP="00042B9E">
      <w:pPr>
        <w:jc w:val="both"/>
      </w:pPr>
    </w:p>
    <w:p w14:paraId="74AFB313" w14:textId="1375D000" w:rsidR="00827ED5" w:rsidRDefault="00827ED5" w:rsidP="00042B9E">
      <w:pPr>
        <w:jc w:val="both"/>
      </w:pPr>
    </w:p>
    <w:p w14:paraId="29B9394A" w14:textId="78864167" w:rsidR="00827ED5" w:rsidRDefault="00827ED5" w:rsidP="00042B9E">
      <w:pPr>
        <w:jc w:val="both"/>
      </w:pPr>
    </w:p>
    <w:p w14:paraId="5188111D" w14:textId="46E7E8E9" w:rsidR="00827ED5" w:rsidRDefault="00827ED5" w:rsidP="00042B9E">
      <w:pPr>
        <w:jc w:val="both"/>
      </w:pPr>
    </w:p>
    <w:p w14:paraId="49DF1F97" w14:textId="16421B04" w:rsidR="00827ED5" w:rsidRDefault="00827ED5" w:rsidP="00042B9E">
      <w:pPr>
        <w:jc w:val="both"/>
      </w:pPr>
    </w:p>
    <w:p w14:paraId="01131BC8" w14:textId="551D8B64" w:rsidR="00E01410" w:rsidRDefault="00E01410" w:rsidP="00042B9E">
      <w:pPr>
        <w:jc w:val="both"/>
      </w:pPr>
    </w:p>
    <w:p w14:paraId="69795CF5" w14:textId="77777777" w:rsidR="00E01410" w:rsidRDefault="00E01410" w:rsidP="00042B9E">
      <w:pPr>
        <w:jc w:val="both"/>
      </w:pPr>
    </w:p>
    <w:p w14:paraId="3529EB07" w14:textId="77777777" w:rsidR="00827ED5" w:rsidRDefault="00827ED5" w:rsidP="00042B9E">
      <w:pPr>
        <w:jc w:val="both"/>
      </w:pPr>
    </w:p>
    <w:p w14:paraId="45EB7312" w14:textId="151AFECB" w:rsidR="00042B9E" w:rsidRPr="0071370B" w:rsidRDefault="008250D8" w:rsidP="0071370B">
      <w:pPr>
        <w:pStyle w:val="Descripcin"/>
        <w:keepNext/>
        <w:spacing w:after="0"/>
        <w:jc w:val="center"/>
        <w:rPr>
          <w:b/>
          <w:bCs/>
          <w:i w:val="0"/>
          <w:iCs w:val="0"/>
          <w:color w:val="auto"/>
          <w:sz w:val="24"/>
          <w:szCs w:val="24"/>
        </w:rPr>
      </w:pPr>
      <w:bookmarkStart w:id="267" w:name="_Toc143871237"/>
      <w:r>
        <w:rPr>
          <w:b/>
          <w:bCs/>
          <w:i w:val="0"/>
          <w:iCs w:val="0"/>
          <w:color w:val="auto"/>
          <w:sz w:val="24"/>
          <w:szCs w:val="24"/>
        </w:rPr>
        <w:t>T</w:t>
      </w:r>
      <w:r w:rsidR="0071370B" w:rsidRPr="0071370B">
        <w:rPr>
          <w:b/>
          <w:bCs/>
          <w:i w:val="0"/>
          <w:iCs w:val="0"/>
          <w:color w:val="auto"/>
          <w:sz w:val="24"/>
          <w:szCs w:val="24"/>
        </w:rPr>
        <w:t xml:space="preserve">abla </w:t>
      </w:r>
      <w:r w:rsidR="0071370B" w:rsidRPr="0071370B">
        <w:rPr>
          <w:b/>
          <w:bCs/>
          <w:i w:val="0"/>
          <w:iCs w:val="0"/>
          <w:color w:val="auto"/>
          <w:sz w:val="24"/>
          <w:szCs w:val="24"/>
        </w:rPr>
        <w:fldChar w:fldCharType="begin"/>
      </w:r>
      <w:r w:rsidR="0071370B" w:rsidRPr="0071370B">
        <w:rPr>
          <w:b/>
          <w:bCs/>
          <w:i w:val="0"/>
          <w:iCs w:val="0"/>
          <w:color w:val="auto"/>
          <w:sz w:val="24"/>
          <w:szCs w:val="24"/>
        </w:rPr>
        <w:instrText xml:space="preserve"> SEQ Tabla \* ARABIC </w:instrText>
      </w:r>
      <w:r w:rsidR="0071370B" w:rsidRPr="0071370B">
        <w:rPr>
          <w:b/>
          <w:bCs/>
          <w:i w:val="0"/>
          <w:iCs w:val="0"/>
          <w:color w:val="auto"/>
          <w:sz w:val="24"/>
          <w:szCs w:val="24"/>
        </w:rPr>
        <w:fldChar w:fldCharType="separate"/>
      </w:r>
      <w:r w:rsidR="006622B2">
        <w:rPr>
          <w:b/>
          <w:bCs/>
          <w:i w:val="0"/>
          <w:iCs w:val="0"/>
          <w:noProof/>
          <w:color w:val="auto"/>
          <w:sz w:val="24"/>
          <w:szCs w:val="24"/>
        </w:rPr>
        <w:t>30</w:t>
      </w:r>
      <w:r w:rsidR="0071370B" w:rsidRPr="0071370B">
        <w:rPr>
          <w:b/>
          <w:bCs/>
          <w:i w:val="0"/>
          <w:iCs w:val="0"/>
          <w:color w:val="auto"/>
          <w:sz w:val="24"/>
          <w:szCs w:val="24"/>
        </w:rPr>
        <w:fldChar w:fldCharType="end"/>
      </w:r>
      <w:r w:rsidR="0071370B" w:rsidRPr="0071370B">
        <w:rPr>
          <w:b/>
          <w:bCs/>
          <w:i w:val="0"/>
          <w:iCs w:val="0"/>
          <w:color w:val="auto"/>
          <w:sz w:val="24"/>
          <w:szCs w:val="24"/>
        </w:rPr>
        <w:t xml:space="preserve">.  </w:t>
      </w:r>
      <w:r w:rsidR="00042B9E" w:rsidRPr="0071370B">
        <w:rPr>
          <w:b/>
          <w:bCs/>
          <w:i w:val="0"/>
          <w:iCs w:val="0"/>
          <w:color w:val="auto"/>
          <w:sz w:val="24"/>
          <w:szCs w:val="24"/>
        </w:rPr>
        <w:t xml:space="preserve">Proyección para </w:t>
      </w:r>
      <w:r w:rsidR="00F93305">
        <w:rPr>
          <w:b/>
          <w:bCs/>
          <w:i w:val="0"/>
          <w:iCs w:val="0"/>
          <w:color w:val="auto"/>
          <w:sz w:val="24"/>
          <w:szCs w:val="24"/>
        </w:rPr>
        <w:t>t</w:t>
      </w:r>
      <w:r w:rsidR="00042B9E" w:rsidRPr="0071370B">
        <w:rPr>
          <w:b/>
          <w:bCs/>
          <w:i w:val="0"/>
          <w:iCs w:val="0"/>
          <w:color w:val="auto"/>
          <w:sz w:val="24"/>
          <w:szCs w:val="24"/>
        </w:rPr>
        <w:t xml:space="preserve">echos </w:t>
      </w:r>
      <w:r w:rsidR="00F93305">
        <w:rPr>
          <w:b/>
          <w:bCs/>
          <w:i w:val="0"/>
          <w:iCs w:val="0"/>
          <w:color w:val="auto"/>
          <w:sz w:val="24"/>
          <w:szCs w:val="24"/>
        </w:rPr>
        <w:t>p</w:t>
      </w:r>
      <w:r w:rsidR="00042B9E" w:rsidRPr="0071370B">
        <w:rPr>
          <w:b/>
          <w:bCs/>
          <w:i w:val="0"/>
          <w:iCs w:val="0"/>
          <w:color w:val="auto"/>
          <w:sz w:val="24"/>
          <w:szCs w:val="24"/>
        </w:rPr>
        <w:t>resupuestarios 2024-2028*</w:t>
      </w:r>
      <w:bookmarkEnd w:id="267"/>
    </w:p>
    <w:p w14:paraId="74AA4AD5" w14:textId="77777777" w:rsidR="00042B9E" w:rsidRDefault="00042B9E" w:rsidP="00435EA6">
      <w:pPr>
        <w:spacing w:before="28"/>
        <w:ind w:right="49"/>
        <w:jc w:val="center"/>
      </w:pPr>
      <w:r w:rsidRPr="00435EA6">
        <w:rPr>
          <w:sz w:val="20"/>
          <w:szCs w:val="20"/>
        </w:rPr>
        <w:t>Porcentajes del PIB</w:t>
      </w:r>
    </w:p>
    <w:p w14:paraId="4405D0A7" w14:textId="77777777" w:rsidR="00042B9E" w:rsidRDefault="00042B9E" w:rsidP="00042B9E">
      <w:pPr>
        <w:spacing w:before="2"/>
        <w:rPr>
          <w:sz w:val="6"/>
        </w:rPr>
      </w:pPr>
    </w:p>
    <w:tbl>
      <w:tblPr>
        <w:tblW w:w="8495" w:type="dxa"/>
        <w:tblCellMar>
          <w:left w:w="70" w:type="dxa"/>
          <w:right w:w="70" w:type="dxa"/>
        </w:tblCellMar>
        <w:tblLook w:val="04A0" w:firstRow="1" w:lastRow="0" w:firstColumn="1" w:lastColumn="0" w:noHBand="0" w:noVBand="1"/>
      </w:tblPr>
      <w:tblGrid>
        <w:gridCol w:w="3534"/>
        <w:gridCol w:w="992"/>
        <w:gridCol w:w="993"/>
        <w:gridCol w:w="992"/>
        <w:gridCol w:w="992"/>
        <w:gridCol w:w="992"/>
      </w:tblGrid>
      <w:tr w:rsidR="00647FD4" w:rsidRPr="00647FD4" w14:paraId="075CE229" w14:textId="77777777" w:rsidTr="007223A6">
        <w:trPr>
          <w:trHeight w:val="360"/>
        </w:trPr>
        <w:tc>
          <w:tcPr>
            <w:tcW w:w="3534" w:type="dxa"/>
            <w:tcBorders>
              <w:top w:val="single" w:sz="8" w:space="0" w:color="auto"/>
              <w:left w:val="single" w:sz="8" w:space="0" w:color="auto"/>
              <w:bottom w:val="single" w:sz="8" w:space="0" w:color="auto"/>
              <w:right w:val="single" w:sz="8" w:space="0" w:color="auto"/>
            </w:tcBorders>
            <w:shd w:val="clear" w:color="000000" w:fill="C5D9F1"/>
            <w:noWrap/>
            <w:vAlign w:val="center"/>
            <w:hideMark/>
          </w:tcPr>
          <w:p w14:paraId="2999B292" w14:textId="77777777" w:rsidR="00647FD4" w:rsidRPr="00647FD4" w:rsidRDefault="00647FD4" w:rsidP="00647FD4">
            <w:pPr>
              <w:jc w:val="center"/>
              <w:rPr>
                <w:b/>
                <w:bCs/>
                <w:sz w:val="16"/>
                <w:szCs w:val="16"/>
              </w:rPr>
            </w:pPr>
            <w:r w:rsidRPr="00647FD4">
              <w:rPr>
                <w:b/>
                <w:bCs/>
                <w:sz w:val="16"/>
                <w:szCs w:val="16"/>
              </w:rPr>
              <w:t>Descripción</w:t>
            </w:r>
          </w:p>
        </w:tc>
        <w:tc>
          <w:tcPr>
            <w:tcW w:w="992" w:type="dxa"/>
            <w:tcBorders>
              <w:top w:val="single" w:sz="8" w:space="0" w:color="auto"/>
              <w:left w:val="nil"/>
              <w:bottom w:val="single" w:sz="8" w:space="0" w:color="auto"/>
              <w:right w:val="single" w:sz="4" w:space="0" w:color="auto"/>
            </w:tcBorders>
            <w:shd w:val="clear" w:color="000000" w:fill="C5D9F1"/>
            <w:vAlign w:val="center"/>
            <w:hideMark/>
          </w:tcPr>
          <w:p w14:paraId="08644291" w14:textId="77777777" w:rsidR="00647FD4" w:rsidRPr="00647FD4" w:rsidRDefault="00647FD4" w:rsidP="00647FD4">
            <w:pPr>
              <w:jc w:val="center"/>
              <w:rPr>
                <w:b/>
                <w:bCs/>
                <w:sz w:val="16"/>
                <w:szCs w:val="16"/>
              </w:rPr>
            </w:pPr>
            <w:r w:rsidRPr="00647FD4">
              <w:rPr>
                <w:b/>
                <w:bCs/>
                <w:sz w:val="16"/>
                <w:szCs w:val="16"/>
              </w:rPr>
              <w:t>2024</w:t>
            </w:r>
          </w:p>
        </w:tc>
        <w:tc>
          <w:tcPr>
            <w:tcW w:w="993" w:type="dxa"/>
            <w:tcBorders>
              <w:top w:val="single" w:sz="8" w:space="0" w:color="auto"/>
              <w:left w:val="nil"/>
              <w:bottom w:val="single" w:sz="8" w:space="0" w:color="auto"/>
              <w:right w:val="single" w:sz="4" w:space="0" w:color="auto"/>
            </w:tcBorders>
            <w:shd w:val="clear" w:color="000000" w:fill="C5D9F1"/>
            <w:vAlign w:val="center"/>
            <w:hideMark/>
          </w:tcPr>
          <w:p w14:paraId="095A58A5" w14:textId="77777777" w:rsidR="00647FD4" w:rsidRPr="00647FD4" w:rsidRDefault="00647FD4" w:rsidP="00647FD4">
            <w:pPr>
              <w:jc w:val="center"/>
              <w:rPr>
                <w:b/>
                <w:bCs/>
                <w:sz w:val="16"/>
                <w:szCs w:val="16"/>
              </w:rPr>
            </w:pPr>
            <w:r w:rsidRPr="00647FD4">
              <w:rPr>
                <w:b/>
                <w:bCs/>
                <w:sz w:val="16"/>
                <w:szCs w:val="16"/>
              </w:rPr>
              <w:t>2025</w:t>
            </w:r>
          </w:p>
        </w:tc>
        <w:tc>
          <w:tcPr>
            <w:tcW w:w="992" w:type="dxa"/>
            <w:tcBorders>
              <w:top w:val="single" w:sz="8" w:space="0" w:color="auto"/>
              <w:left w:val="nil"/>
              <w:bottom w:val="single" w:sz="8" w:space="0" w:color="auto"/>
              <w:right w:val="single" w:sz="4" w:space="0" w:color="auto"/>
            </w:tcBorders>
            <w:shd w:val="clear" w:color="000000" w:fill="C5D9F1"/>
            <w:vAlign w:val="center"/>
            <w:hideMark/>
          </w:tcPr>
          <w:p w14:paraId="6A076C9C" w14:textId="77777777" w:rsidR="00647FD4" w:rsidRPr="00647FD4" w:rsidRDefault="00647FD4" w:rsidP="00647FD4">
            <w:pPr>
              <w:jc w:val="center"/>
              <w:rPr>
                <w:b/>
                <w:bCs/>
                <w:sz w:val="16"/>
                <w:szCs w:val="16"/>
              </w:rPr>
            </w:pPr>
            <w:r w:rsidRPr="00647FD4">
              <w:rPr>
                <w:b/>
                <w:bCs/>
                <w:sz w:val="16"/>
                <w:szCs w:val="16"/>
              </w:rPr>
              <w:t>2026</w:t>
            </w:r>
          </w:p>
        </w:tc>
        <w:tc>
          <w:tcPr>
            <w:tcW w:w="992" w:type="dxa"/>
            <w:tcBorders>
              <w:top w:val="single" w:sz="8" w:space="0" w:color="auto"/>
              <w:left w:val="nil"/>
              <w:bottom w:val="single" w:sz="8" w:space="0" w:color="auto"/>
              <w:right w:val="single" w:sz="4" w:space="0" w:color="auto"/>
            </w:tcBorders>
            <w:shd w:val="clear" w:color="000000" w:fill="C5D9F1"/>
            <w:vAlign w:val="center"/>
            <w:hideMark/>
          </w:tcPr>
          <w:p w14:paraId="39DE7F21" w14:textId="77777777" w:rsidR="00647FD4" w:rsidRPr="00647FD4" w:rsidRDefault="00647FD4" w:rsidP="00647FD4">
            <w:pPr>
              <w:jc w:val="center"/>
              <w:rPr>
                <w:b/>
                <w:bCs/>
                <w:sz w:val="16"/>
                <w:szCs w:val="16"/>
              </w:rPr>
            </w:pPr>
            <w:r w:rsidRPr="00647FD4">
              <w:rPr>
                <w:b/>
                <w:bCs/>
                <w:sz w:val="16"/>
                <w:szCs w:val="16"/>
              </w:rPr>
              <w:t>2027</w:t>
            </w:r>
          </w:p>
        </w:tc>
        <w:tc>
          <w:tcPr>
            <w:tcW w:w="992" w:type="dxa"/>
            <w:tcBorders>
              <w:top w:val="single" w:sz="8" w:space="0" w:color="auto"/>
              <w:left w:val="nil"/>
              <w:bottom w:val="single" w:sz="8" w:space="0" w:color="auto"/>
              <w:right w:val="single" w:sz="8" w:space="0" w:color="auto"/>
            </w:tcBorders>
            <w:shd w:val="clear" w:color="000000" w:fill="C5D9F1"/>
            <w:vAlign w:val="center"/>
            <w:hideMark/>
          </w:tcPr>
          <w:p w14:paraId="27BFE264" w14:textId="77777777" w:rsidR="00647FD4" w:rsidRPr="00647FD4" w:rsidRDefault="00647FD4" w:rsidP="00647FD4">
            <w:pPr>
              <w:jc w:val="center"/>
              <w:rPr>
                <w:b/>
                <w:bCs/>
                <w:sz w:val="16"/>
                <w:szCs w:val="16"/>
              </w:rPr>
            </w:pPr>
            <w:r w:rsidRPr="00647FD4">
              <w:rPr>
                <w:b/>
                <w:bCs/>
                <w:sz w:val="16"/>
                <w:szCs w:val="16"/>
              </w:rPr>
              <w:t>2028</w:t>
            </w:r>
          </w:p>
        </w:tc>
      </w:tr>
      <w:tr w:rsidR="00FE127F" w:rsidRPr="00A84127" w14:paraId="46B9D550" w14:textId="77777777" w:rsidTr="00827ED5">
        <w:trPr>
          <w:trHeight w:val="117"/>
        </w:trPr>
        <w:tc>
          <w:tcPr>
            <w:tcW w:w="3534"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14:paraId="115CEB7B" w14:textId="77777777" w:rsidR="00FE127F" w:rsidRPr="00647FD4" w:rsidRDefault="00FE127F" w:rsidP="00FE127F">
            <w:pPr>
              <w:rPr>
                <w:b/>
                <w:bCs/>
                <w:sz w:val="16"/>
                <w:szCs w:val="16"/>
              </w:rPr>
            </w:pPr>
            <w:r w:rsidRPr="00647FD4">
              <w:rPr>
                <w:b/>
                <w:bCs/>
                <w:sz w:val="16"/>
                <w:szCs w:val="16"/>
              </w:rPr>
              <w:t xml:space="preserve">Ingresos Totales </w:t>
            </w:r>
          </w:p>
        </w:tc>
        <w:tc>
          <w:tcPr>
            <w:tcW w:w="992" w:type="dxa"/>
            <w:tcBorders>
              <w:top w:val="single" w:sz="8" w:space="0" w:color="auto"/>
              <w:left w:val="single" w:sz="4" w:space="0" w:color="auto"/>
              <w:bottom w:val="single" w:sz="4" w:space="0" w:color="auto"/>
              <w:right w:val="single" w:sz="4" w:space="0" w:color="auto"/>
            </w:tcBorders>
            <w:shd w:val="clear" w:color="000000" w:fill="FFFFFF"/>
            <w:noWrap/>
            <w:vAlign w:val="center"/>
            <w:hideMark/>
          </w:tcPr>
          <w:p w14:paraId="34C28415" w14:textId="3C9F6A82" w:rsidR="00FE127F" w:rsidRPr="00A84127" w:rsidRDefault="00FE127F" w:rsidP="00FE127F">
            <w:pPr>
              <w:jc w:val="center"/>
              <w:rPr>
                <w:b/>
                <w:bCs/>
                <w:sz w:val="16"/>
                <w:szCs w:val="16"/>
              </w:rPr>
            </w:pPr>
            <w:r w:rsidRPr="00A84127">
              <w:rPr>
                <w:b/>
                <w:bCs/>
                <w:sz w:val="16"/>
                <w:szCs w:val="16"/>
              </w:rPr>
              <w:t>12.3</w:t>
            </w:r>
          </w:p>
        </w:tc>
        <w:tc>
          <w:tcPr>
            <w:tcW w:w="993" w:type="dxa"/>
            <w:tcBorders>
              <w:top w:val="single" w:sz="8" w:space="0" w:color="auto"/>
              <w:left w:val="nil"/>
              <w:bottom w:val="single" w:sz="4" w:space="0" w:color="auto"/>
              <w:right w:val="single" w:sz="4" w:space="0" w:color="auto"/>
            </w:tcBorders>
            <w:shd w:val="clear" w:color="000000" w:fill="FFFFFF"/>
            <w:noWrap/>
            <w:vAlign w:val="center"/>
            <w:hideMark/>
          </w:tcPr>
          <w:p w14:paraId="2551EE86" w14:textId="244E280A" w:rsidR="00FE127F" w:rsidRPr="00A84127" w:rsidRDefault="00FE127F" w:rsidP="00FE127F">
            <w:pPr>
              <w:jc w:val="center"/>
              <w:rPr>
                <w:b/>
                <w:bCs/>
                <w:sz w:val="16"/>
                <w:szCs w:val="16"/>
              </w:rPr>
            </w:pPr>
            <w:r w:rsidRPr="00A84127">
              <w:rPr>
                <w:b/>
                <w:bCs/>
                <w:sz w:val="16"/>
                <w:szCs w:val="16"/>
              </w:rPr>
              <w:t>12.4</w:t>
            </w:r>
          </w:p>
        </w:tc>
        <w:tc>
          <w:tcPr>
            <w:tcW w:w="992" w:type="dxa"/>
            <w:tcBorders>
              <w:top w:val="single" w:sz="8" w:space="0" w:color="auto"/>
              <w:left w:val="nil"/>
              <w:bottom w:val="single" w:sz="4" w:space="0" w:color="auto"/>
              <w:right w:val="single" w:sz="4" w:space="0" w:color="auto"/>
            </w:tcBorders>
            <w:shd w:val="clear" w:color="000000" w:fill="FFFFFF"/>
            <w:noWrap/>
            <w:vAlign w:val="center"/>
            <w:hideMark/>
          </w:tcPr>
          <w:p w14:paraId="53385CCD" w14:textId="17D3714B" w:rsidR="00FE127F" w:rsidRPr="00A84127" w:rsidRDefault="00FE127F" w:rsidP="00FE127F">
            <w:pPr>
              <w:jc w:val="center"/>
              <w:rPr>
                <w:b/>
                <w:bCs/>
                <w:sz w:val="16"/>
                <w:szCs w:val="16"/>
              </w:rPr>
            </w:pPr>
            <w:r w:rsidRPr="00A84127">
              <w:rPr>
                <w:b/>
                <w:bCs/>
                <w:sz w:val="16"/>
                <w:szCs w:val="16"/>
              </w:rPr>
              <w:t>12.5</w:t>
            </w:r>
          </w:p>
        </w:tc>
        <w:tc>
          <w:tcPr>
            <w:tcW w:w="992" w:type="dxa"/>
            <w:tcBorders>
              <w:top w:val="single" w:sz="8" w:space="0" w:color="auto"/>
              <w:left w:val="nil"/>
              <w:bottom w:val="single" w:sz="4" w:space="0" w:color="auto"/>
              <w:right w:val="single" w:sz="4" w:space="0" w:color="auto"/>
            </w:tcBorders>
            <w:shd w:val="clear" w:color="000000" w:fill="FFFFFF"/>
            <w:noWrap/>
            <w:vAlign w:val="center"/>
            <w:hideMark/>
          </w:tcPr>
          <w:p w14:paraId="344D014F" w14:textId="22F08595" w:rsidR="00FE127F" w:rsidRPr="00A84127" w:rsidRDefault="00FE127F" w:rsidP="00FE127F">
            <w:pPr>
              <w:jc w:val="center"/>
              <w:rPr>
                <w:b/>
                <w:bCs/>
                <w:sz w:val="16"/>
                <w:szCs w:val="16"/>
              </w:rPr>
            </w:pPr>
            <w:r w:rsidRPr="00A84127">
              <w:rPr>
                <w:b/>
                <w:bCs/>
                <w:sz w:val="16"/>
                <w:szCs w:val="16"/>
              </w:rPr>
              <w:t>12.5</w:t>
            </w:r>
          </w:p>
        </w:tc>
        <w:tc>
          <w:tcPr>
            <w:tcW w:w="992" w:type="dxa"/>
            <w:tcBorders>
              <w:top w:val="single" w:sz="8" w:space="0" w:color="auto"/>
              <w:left w:val="nil"/>
              <w:bottom w:val="single" w:sz="4" w:space="0" w:color="auto"/>
              <w:right w:val="single" w:sz="8" w:space="0" w:color="auto"/>
            </w:tcBorders>
            <w:shd w:val="clear" w:color="000000" w:fill="FFFFFF"/>
            <w:noWrap/>
            <w:vAlign w:val="center"/>
            <w:hideMark/>
          </w:tcPr>
          <w:p w14:paraId="09380F91" w14:textId="68FEE0CD" w:rsidR="00FE127F" w:rsidRPr="00A84127" w:rsidRDefault="00FE127F" w:rsidP="00FE127F">
            <w:pPr>
              <w:jc w:val="center"/>
              <w:rPr>
                <w:b/>
                <w:bCs/>
                <w:sz w:val="16"/>
                <w:szCs w:val="16"/>
              </w:rPr>
            </w:pPr>
            <w:r w:rsidRPr="00A84127">
              <w:rPr>
                <w:b/>
                <w:bCs/>
                <w:sz w:val="16"/>
                <w:szCs w:val="16"/>
              </w:rPr>
              <w:t>12.6</w:t>
            </w:r>
          </w:p>
        </w:tc>
      </w:tr>
      <w:tr w:rsidR="00FE127F" w:rsidRPr="00647FD4" w14:paraId="027DF4C2" w14:textId="77777777" w:rsidTr="00827ED5">
        <w:trPr>
          <w:trHeight w:val="73"/>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62393B46" w14:textId="77777777" w:rsidR="00FE127F" w:rsidRPr="00647FD4" w:rsidRDefault="00FE127F" w:rsidP="00FE127F">
            <w:pPr>
              <w:ind w:firstLineChars="100" w:firstLine="160"/>
              <w:rPr>
                <w:sz w:val="16"/>
                <w:szCs w:val="16"/>
              </w:rPr>
            </w:pPr>
            <w:r w:rsidRPr="00647FD4">
              <w:rPr>
                <w:sz w:val="16"/>
                <w:szCs w:val="16"/>
              </w:rPr>
              <w:t>Ingresos Corrientes</w:t>
            </w:r>
          </w:p>
        </w:tc>
        <w:tc>
          <w:tcPr>
            <w:tcW w:w="992" w:type="dxa"/>
            <w:tcBorders>
              <w:top w:val="nil"/>
              <w:left w:val="single" w:sz="4" w:space="0" w:color="auto"/>
              <w:bottom w:val="single" w:sz="4" w:space="0" w:color="auto"/>
              <w:right w:val="single" w:sz="4" w:space="0" w:color="auto"/>
            </w:tcBorders>
            <w:shd w:val="clear" w:color="000000" w:fill="FFFFFF"/>
            <w:noWrap/>
            <w:vAlign w:val="center"/>
            <w:hideMark/>
          </w:tcPr>
          <w:p w14:paraId="48A3C4C5" w14:textId="3183542B" w:rsidR="00FE127F" w:rsidRPr="00FE127F" w:rsidRDefault="00FE127F" w:rsidP="00FE127F">
            <w:pPr>
              <w:jc w:val="center"/>
              <w:rPr>
                <w:sz w:val="16"/>
                <w:szCs w:val="16"/>
              </w:rPr>
            </w:pPr>
            <w:r w:rsidRPr="00FE127F">
              <w:rPr>
                <w:sz w:val="16"/>
                <w:szCs w:val="16"/>
              </w:rPr>
              <w:t>12.3</w:t>
            </w:r>
          </w:p>
        </w:tc>
        <w:tc>
          <w:tcPr>
            <w:tcW w:w="993" w:type="dxa"/>
            <w:tcBorders>
              <w:top w:val="nil"/>
              <w:left w:val="nil"/>
              <w:bottom w:val="single" w:sz="4" w:space="0" w:color="auto"/>
              <w:right w:val="single" w:sz="4" w:space="0" w:color="auto"/>
            </w:tcBorders>
            <w:shd w:val="clear" w:color="000000" w:fill="FFFFFF"/>
            <w:noWrap/>
            <w:vAlign w:val="center"/>
            <w:hideMark/>
          </w:tcPr>
          <w:p w14:paraId="4DC09953" w14:textId="4CBD520F" w:rsidR="00FE127F" w:rsidRPr="00FE127F" w:rsidRDefault="00FE127F" w:rsidP="00FE127F">
            <w:pPr>
              <w:jc w:val="center"/>
              <w:rPr>
                <w:sz w:val="16"/>
                <w:szCs w:val="16"/>
              </w:rPr>
            </w:pPr>
            <w:r w:rsidRPr="00FE127F">
              <w:rPr>
                <w:sz w:val="16"/>
                <w:szCs w:val="16"/>
              </w:rPr>
              <w:t>12.4</w:t>
            </w:r>
          </w:p>
        </w:tc>
        <w:tc>
          <w:tcPr>
            <w:tcW w:w="992" w:type="dxa"/>
            <w:tcBorders>
              <w:top w:val="nil"/>
              <w:left w:val="nil"/>
              <w:bottom w:val="single" w:sz="4" w:space="0" w:color="auto"/>
              <w:right w:val="single" w:sz="4" w:space="0" w:color="auto"/>
            </w:tcBorders>
            <w:shd w:val="clear" w:color="000000" w:fill="FFFFFF"/>
            <w:noWrap/>
            <w:vAlign w:val="center"/>
            <w:hideMark/>
          </w:tcPr>
          <w:p w14:paraId="70C6E43C" w14:textId="636D890D" w:rsidR="00FE127F" w:rsidRPr="00FE127F" w:rsidRDefault="00FE127F" w:rsidP="00FE127F">
            <w:pPr>
              <w:jc w:val="center"/>
              <w:rPr>
                <w:sz w:val="16"/>
                <w:szCs w:val="16"/>
              </w:rPr>
            </w:pPr>
            <w:r w:rsidRPr="00FE127F">
              <w:rPr>
                <w:sz w:val="16"/>
                <w:szCs w:val="16"/>
              </w:rPr>
              <w:t>12.4</w:t>
            </w:r>
          </w:p>
        </w:tc>
        <w:tc>
          <w:tcPr>
            <w:tcW w:w="992" w:type="dxa"/>
            <w:tcBorders>
              <w:top w:val="nil"/>
              <w:left w:val="nil"/>
              <w:bottom w:val="single" w:sz="4" w:space="0" w:color="auto"/>
              <w:right w:val="single" w:sz="4" w:space="0" w:color="auto"/>
            </w:tcBorders>
            <w:shd w:val="clear" w:color="000000" w:fill="FFFFFF"/>
            <w:noWrap/>
            <w:vAlign w:val="center"/>
            <w:hideMark/>
          </w:tcPr>
          <w:p w14:paraId="192EBEE5" w14:textId="49A4FF54" w:rsidR="00FE127F" w:rsidRPr="00FE127F" w:rsidRDefault="00FE127F" w:rsidP="00FE127F">
            <w:pPr>
              <w:jc w:val="center"/>
              <w:rPr>
                <w:sz w:val="16"/>
                <w:szCs w:val="16"/>
              </w:rPr>
            </w:pPr>
            <w:r w:rsidRPr="00FE127F">
              <w:rPr>
                <w:sz w:val="16"/>
                <w:szCs w:val="16"/>
              </w:rPr>
              <w:t>12.5</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315E1CA7" w14:textId="1BD8F1FA" w:rsidR="00FE127F" w:rsidRPr="00FE127F" w:rsidRDefault="00FE127F" w:rsidP="00FE127F">
            <w:pPr>
              <w:jc w:val="center"/>
              <w:rPr>
                <w:sz w:val="16"/>
                <w:szCs w:val="16"/>
              </w:rPr>
            </w:pPr>
            <w:r w:rsidRPr="00FE127F">
              <w:rPr>
                <w:sz w:val="16"/>
                <w:szCs w:val="16"/>
              </w:rPr>
              <w:t>12.6</w:t>
            </w:r>
          </w:p>
        </w:tc>
      </w:tr>
      <w:tr w:rsidR="00FE127F" w:rsidRPr="00647FD4" w14:paraId="079C77BB" w14:textId="77777777" w:rsidTr="00827ED5">
        <w:trPr>
          <w:trHeight w:val="56"/>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352371E5" w14:textId="77777777" w:rsidR="00FE127F" w:rsidRPr="00647FD4" w:rsidRDefault="00FE127F" w:rsidP="00FE127F">
            <w:pPr>
              <w:ind w:firstLineChars="200" w:firstLine="320"/>
              <w:rPr>
                <w:sz w:val="16"/>
                <w:szCs w:val="16"/>
              </w:rPr>
            </w:pPr>
            <w:r w:rsidRPr="00647FD4">
              <w:rPr>
                <w:sz w:val="16"/>
                <w:szCs w:val="16"/>
              </w:rPr>
              <w:t xml:space="preserve">Ingresos Tributarios </w:t>
            </w:r>
          </w:p>
        </w:tc>
        <w:tc>
          <w:tcPr>
            <w:tcW w:w="992" w:type="dxa"/>
            <w:tcBorders>
              <w:top w:val="nil"/>
              <w:left w:val="single" w:sz="4" w:space="0" w:color="auto"/>
              <w:bottom w:val="single" w:sz="4" w:space="0" w:color="auto"/>
              <w:right w:val="single" w:sz="4" w:space="0" w:color="auto"/>
            </w:tcBorders>
            <w:shd w:val="clear" w:color="000000" w:fill="FFFFFF"/>
            <w:noWrap/>
            <w:vAlign w:val="center"/>
            <w:hideMark/>
          </w:tcPr>
          <w:p w14:paraId="2BD5399C" w14:textId="477BD180" w:rsidR="00FE127F" w:rsidRPr="00FE127F" w:rsidRDefault="00FE127F" w:rsidP="00FE127F">
            <w:pPr>
              <w:jc w:val="center"/>
              <w:rPr>
                <w:sz w:val="16"/>
                <w:szCs w:val="16"/>
              </w:rPr>
            </w:pPr>
            <w:r w:rsidRPr="00FE127F">
              <w:rPr>
                <w:sz w:val="16"/>
                <w:szCs w:val="16"/>
              </w:rPr>
              <w:t>11.7</w:t>
            </w:r>
          </w:p>
        </w:tc>
        <w:tc>
          <w:tcPr>
            <w:tcW w:w="993" w:type="dxa"/>
            <w:tcBorders>
              <w:top w:val="nil"/>
              <w:left w:val="nil"/>
              <w:bottom w:val="single" w:sz="4" w:space="0" w:color="auto"/>
              <w:right w:val="single" w:sz="4" w:space="0" w:color="auto"/>
            </w:tcBorders>
            <w:shd w:val="clear" w:color="000000" w:fill="FFFFFF"/>
            <w:noWrap/>
            <w:vAlign w:val="center"/>
            <w:hideMark/>
          </w:tcPr>
          <w:p w14:paraId="2E0FD0DE" w14:textId="31DDC058" w:rsidR="00FE127F" w:rsidRPr="00FE127F" w:rsidRDefault="00FE127F" w:rsidP="00FE127F">
            <w:pPr>
              <w:jc w:val="center"/>
              <w:rPr>
                <w:sz w:val="16"/>
                <w:szCs w:val="16"/>
              </w:rPr>
            </w:pPr>
            <w:r w:rsidRPr="00FE127F">
              <w:rPr>
                <w:sz w:val="16"/>
                <w:szCs w:val="16"/>
              </w:rPr>
              <w:t>11.8</w:t>
            </w:r>
          </w:p>
        </w:tc>
        <w:tc>
          <w:tcPr>
            <w:tcW w:w="992" w:type="dxa"/>
            <w:tcBorders>
              <w:top w:val="nil"/>
              <w:left w:val="nil"/>
              <w:bottom w:val="single" w:sz="4" w:space="0" w:color="auto"/>
              <w:right w:val="single" w:sz="4" w:space="0" w:color="auto"/>
            </w:tcBorders>
            <w:shd w:val="clear" w:color="000000" w:fill="FFFFFF"/>
            <w:noWrap/>
            <w:vAlign w:val="center"/>
            <w:hideMark/>
          </w:tcPr>
          <w:p w14:paraId="2FCC9B28" w14:textId="6D9C69D6" w:rsidR="00FE127F" w:rsidRPr="00FE127F" w:rsidRDefault="00FE127F" w:rsidP="00FE127F">
            <w:pPr>
              <w:jc w:val="center"/>
              <w:rPr>
                <w:sz w:val="16"/>
                <w:szCs w:val="16"/>
              </w:rPr>
            </w:pPr>
            <w:r w:rsidRPr="00FE127F">
              <w:rPr>
                <w:sz w:val="16"/>
                <w:szCs w:val="16"/>
              </w:rPr>
              <w:t>11.9</w:t>
            </w:r>
          </w:p>
        </w:tc>
        <w:tc>
          <w:tcPr>
            <w:tcW w:w="992" w:type="dxa"/>
            <w:tcBorders>
              <w:top w:val="nil"/>
              <w:left w:val="nil"/>
              <w:bottom w:val="single" w:sz="4" w:space="0" w:color="auto"/>
              <w:right w:val="single" w:sz="4" w:space="0" w:color="auto"/>
            </w:tcBorders>
            <w:shd w:val="clear" w:color="000000" w:fill="FFFFFF"/>
            <w:noWrap/>
            <w:vAlign w:val="center"/>
            <w:hideMark/>
          </w:tcPr>
          <w:p w14:paraId="57692472" w14:textId="090E0ED3" w:rsidR="00FE127F" w:rsidRPr="00FE127F" w:rsidRDefault="00FE127F" w:rsidP="00FE127F">
            <w:pPr>
              <w:jc w:val="center"/>
              <w:rPr>
                <w:sz w:val="16"/>
                <w:szCs w:val="16"/>
              </w:rPr>
            </w:pPr>
            <w:r w:rsidRPr="00FE127F">
              <w:rPr>
                <w:sz w:val="16"/>
                <w:szCs w:val="16"/>
              </w:rPr>
              <w:t>12.0</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77A81E39" w14:textId="7B26FDA2" w:rsidR="00FE127F" w:rsidRPr="00FE127F" w:rsidRDefault="00FE127F" w:rsidP="00FE127F">
            <w:pPr>
              <w:jc w:val="center"/>
              <w:rPr>
                <w:sz w:val="16"/>
                <w:szCs w:val="16"/>
              </w:rPr>
            </w:pPr>
            <w:r w:rsidRPr="00FE127F">
              <w:rPr>
                <w:sz w:val="16"/>
                <w:szCs w:val="16"/>
              </w:rPr>
              <w:t>12.1</w:t>
            </w:r>
          </w:p>
        </w:tc>
      </w:tr>
      <w:tr w:rsidR="00FE127F" w:rsidRPr="00647FD4" w14:paraId="2AD94FFB" w14:textId="77777777" w:rsidTr="00827ED5">
        <w:trPr>
          <w:trHeight w:val="56"/>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18AA00B3" w14:textId="77777777" w:rsidR="00FE127F" w:rsidRPr="00647FD4" w:rsidRDefault="00FE127F" w:rsidP="00FE127F">
            <w:pPr>
              <w:ind w:firstLineChars="200" w:firstLine="320"/>
              <w:rPr>
                <w:sz w:val="16"/>
                <w:szCs w:val="16"/>
              </w:rPr>
            </w:pPr>
            <w:r w:rsidRPr="00647FD4">
              <w:rPr>
                <w:sz w:val="16"/>
                <w:szCs w:val="16"/>
              </w:rPr>
              <w:t>No tributarios</w:t>
            </w:r>
          </w:p>
        </w:tc>
        <w:tc>
          <w:tcPr>
            <w:tcW w:w="992" w:type="dxa"/>
            <w:tcBorders>
              <w:top w:val="nil"/>
              <w:left w:val="single" w:sz="4" w:space="0" w:color="auto"/>
              <w:bottom w:val="single" w:sz="4" w:space="0" w:color="auto"/>
              <w:right w:val="single" w:sz="4" w:space="0" w:color="auto"/>
            </w:tcBorders>
            <w:shd w:val="clear" w:color="000000" w:fill="FFFFFF"/>
            <w:noWrap/>
            <w:vAlign w:val="center"/>
            <w:hideMark/>
          </w:tcPr>
          <w:p w14:paraId="4CE99C9B" w14:textId="3D166002" w:rsidR="00FE127F" w:rsidRPr="00FE127F" w:rsidRDefault="00FE127F" w:rsidP="00FE127F">
            <w:pPr>
              <w:jc w:val="center"/>
              <w:rPr>
                <w:sz w:val="16"/>
                <w:szCs w:val="16"/>
              </w:rPr>
            </w:pPr>
            <w:r w:rsidRPr="00FE127F">
              <w:rPr>
                <w:sz w:val="16"/>
                <w:szCs w:val="16"/>
              </w:rPr>
              <w:t>0.6</w:t>
            </w:r>
          </w:p>
        </w:tc>
        <w:tc>
          <w:tcPr>
            <w:tcW w:w="993" w:type="dxa"/>
            <w:tcBorders>
              <w:top w:val="nil"/>
              <w:left w:val="nil"/>
              <w:bottom w:val="single" w:sz="4" w:space="0" w:color="auto"/>
              <w:right w:val="single" w:sz="4" w:space="0" w:color="auto"/>
            </w:tcBorders>
            <w:shd w:val="clear" w:color="000000" w:fill="FFFFFF"/>
            <w:noWrap/>
            <w:vAlign w:val="center"/>
            <w:hideMark/>
          </w:tcPr>
          <w:p w14:paraId="3929CE62" w14:textId="7AEDFDA6" w:rsidR="00FE127F" w:rsidRPr="00FE127F" w:rsidRDefault="00FE127F" w:rsidP="00FE127F">
            <w:pPr>
              <w:jc w:val="center"/>
              <w:rPr>
                <w:sz w:val="16"/>
                <w:szCs w:val="16"/>
              </w:rPr>
            </w:pPr>
            <w:r w:rsidRPr="00FE127F">
              <w:rPr>
                <w:sz w:val="16"/>
                <w:szCs w:val="16"/>
              </w:rPr>
              <w:t>0.6</w:t>
            </w:r>
          </w:p>
        </w:tc>
        <w:tc>
          <w:tcPr>
            <w:tcW w:w="992" w:type="dxa"/>
            <w:tcBorders>
              <w:top w:val="nil"/>
              <w:left w:val="nil"/>
              <w:bottom w:val="single" w:sz="4" w:space="0" w:color="auto"/>
              <w:right w:val="single" w:sz="4" w:space="0" w:color="auto"/>
            </w:tcBorders>
            <w:shd w:val="clear" w:color="000000" w:fill="FFFFFF"/>
            <w:noWrap/>
            <w:vAlign w:val="center"/>
            <w:hideMark/>
          </w:tcPr>
          <w:p w14:paraId="13DF6AE8" w14:textId="14961D14" w:rsidR="00FE127F" w:rsidRPr="00FE127F" w:rsidRDefault="00FE127F" w:rsidP="00FE127F">
            <w:pPr>
              <w:jc w:val="center"/>
              <w:rPr>
                <w:sz w:val="16"/>
                <w:szCs w:val="16"/>
              </w:rPr>
            </w:pPr>
            <w:r w:rsidRPr="00FE127F">
              <w:rPr>
                <w:sz w:val="16"/>
                <w:szCs w:val="16"/>
              </w:rPr>
              <w:t>0.5</w:t>
            </w:r>
          </w:p>
        </w:tc>
        <w:tc>
          <w:tcPr>
            <w:tcW w:w="992" w:type="dxa"/>
            <w:tcBorders>
              <w:top w:val="nil"/>
              <w:left w:val="nil"/>
              <w:bottom w:val="single" w:sz="4" w:space="0" w:color="auto"/>
              <w:right w:val="single" w:sz="4" w:space="0" w:color="auto"/>
            </w:tcBorders>
            <w:shd w:val="clear" w:color="000000" w:fill="FFFFFF"/>
            <w:noWrap/>
            <w:vAlign w:val="center"/>
            <w:hideMark/>
          </w:tcPr>
          <w:p w14:paraId="7D150FEF" w14:textId="688B2BC8" w:rsidR="00FE127F" w:rsidRPr="00FE127F" w:rsidRDefault="00FE127F" w:rsidP="00FE127F">
            <w:pPr>
              <w:jc w:val="center"/>
              <w:rPr>
                <w:sz w:val="16"/>
                <w:szCs w:val="16"/>
              </w:rPr>
            </w:pPr>
            <w:r w:rsidRPr="00FE127F">
              <w:rPr>
                <w:sz w:val="16"/>
                <w:szCs w:val="16"/>
              </w:rPr>
              <w:t>0.5</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2C1132DF" w14:textId="42C60E4B" w:rsidR="00FE127F" w:rsidRPr="00FE127F" w:rsidRDefault="00FE127F" w:rsidP="00FE127F">
            <w:pPr>
              <w:jc w:val="center"/>
              <w:rPr>
                <w:sz w:val="16"/>
                <w:szCs w:val="16"/>
              </w:rPr>
            </w:pPr>
            <w:r w:rsidRPr="00FE127F">
              <w:rPr>
                <w:sz w:val="16"/>
                <w:szCs w:val="16"/>
              </w:rPr>
              <w:t>0.5</w:t>
            </w:r>
          </w:p>
        </w:tc>
      </w:tr>
      <w:tr w:rsidR="00FE127F" w:rsidRPr="00647FD4" w14:paraId="0AAE668C" w14:textId="77777777" w:rsidTr="00827ED5">
        <w:trPr>
          <w:trHeight w:val="56"/>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6DDE2826" w14:textId="77777777" w:rsidR="00FE127F" w:rsidRPr="00647FD4" w:rsidRDefault="00FE127F" w:rsidP="00FE127F">
            <w:pPr>
              <w:ind w:firstLineChars="100" w:firstLine="160"/>
              <w:rPr>
                <w:sz w:val="16"/>
                <w:szCs w:val="16"/>
              </w:rPr>
            </w:pPr>
            <w:r w:rsidRPr="00647FD4">
              <w:rPr>
                <w:sz w:val="16"/>
                <w:szCs w:val="16"/>
              </w:rPr>
              <w:t>Ingresos de Capital</w:t>
            </w:r>
          </w:p>
        </w:tc>
        <w:tc>
          <w:tcPr>
            <w:tcW w:w="992" w:type="dxa"/>
            <w:tcBorders>
              <w:top w:val="nil"/>
              <w:left w:val="single" w:sz="4" w:space="0" w:color="auto"/>
              <w:bottom w:val="single" w:sz="4" w:space="0" w:color="auto"/>
              <w:right w:val="single" w:sz="4" w:space="0" w:color="auto"/>
            </w:tcBorders>
            <w:shd w:val="clear" w:color="000000" w:fill="FFFFFF"/>
            <w:noWrap/>
            <w:vAlign w:val="center"/>
            <w:hideMark/>
          </w:tcPr>
          <w:p w14:paraId="7EB71D15" w14:textId="1E5393B1" w:rsidR="00FE127F" w:rsidRPr="00FE127F" w:rsidRDefault="00FE127F" w:rsidP="00FE127F">
            <w:pPr>
              <w:jc w:val="center"/>
              <w:rPr>
                <w:sz w:val="16"/>
                <w:szCs w:val="16"/>
              </w:rPr>
            </w:pPr>
            <w:r w:rsidRPr="00FE127F">
              <w:rPr>
                <w:sz w:val="16"/>
                <w:szCs w:val="16"/>
              </w:rPr>
              <w:t>0.0</w:t>
            </w:r>
          </w:p>
        </w:tc>
        <w:tc>
          <w:tcPr>
            <w:tcW w:w="993" w:type="dxa"/>
            <w:tcBorders>
              <w:top w:val="nil"/>
              <w:left w:val="nil"/>
              <w:bottom w:val="single" w:sz="4" w:space="0" w:color="auto"/>
              <w:right w:val="single" w:sz="4" w:space="0" w:color="auto"/>
            </w:tcBorders>
            <w:shd w:val="clear" w:color="000000" w:fill="FFFFFF"/>
            <w:noWrap/>
            <w:vAlign w:val="center"/>
            <w:hideMark/>
          </w:tcPr>
          <w:p w14:paraId="51E3A264" w14:textId="7DFF81B1" w:rsidR="00FE127F" w:rsidRPr="00FE127F" w:rsidRDefault="00FE127F" w:rsidP="00FE127F">
            <w:pPr>
              <w:jc w:val="center"/>
              <w:rPr>
                <w:sz w:val="16"/>
                <w:szCs w:val="16"/>
              </w:rPr>
            </w:pPr>
            <w:r w:rsidRPr="00FE127F">
              <w:rPr>
                <w:sz w:val="16"/>
                <w:szCs w:val="16"/>
              </w:rPr>
              <w:t>0.0</w:t>
            </w:r>
          </w:p>
        </w:tc>
        <w:tc>
          <w:tcPr>
            <w:tcW w:w="992" w:type="dxa"/>
            <w:tcBorders>
              <w:top w:val="nil"/>
              <w:left w:val="nil"/>
              <w:bottom w:val="single" w:sz="4" w:space="0" w:color="auto"/>
              <w:right w:val="single" w:sz="4" w:space="0" w:color="auto"/>
            </w:tcBorders>
            <w:shd w:val="clear" w:color="000000" w:fill="FFFFFF"/>
            <w:noWrap/>
            <w:vAlign w:val="center"/>
            <w:hideMark/>
          </w:tcPr>
          <w:p w14:paraId="24D9C899" w14:textId="2278DD5F" w:rsidR="00FE127F" w:rsidRPr="00FE127F" w:rsidRDefault="00FE127F" w:rsidP="00FE127F">
            <w:pPr>
              <w:jc w:val="center"/>
              <w:rPr>
                <w:sz w:val="16"/>
                <w:szCs w:val="16"/>
              </w:rPr>
            </w:pPr>
            <w:r w:rsidRPr="00FE127F">
              <w:rPr>
                <w:sz w:val="16"/>
                <w:szCs w:val="16"/>
              </w:rPr>
              <w:t>0.0</w:t>
            </w:r>
          </w:p>
        </w:tc>
        <w:tc>
          <w:tcPr>
            <w:tcW w:w="992" w:type="dxa"/>
            <w:tcBorders>
              <w:top w:val="nil"/>
              <w:left w:val="nil"/>
              <w:bottom w:val="single" w:sz="4" w:space="0" w:color="auto"/>
              <w:right w:val="single" w:sz="4" w:space="0" w:color="auto"/>
            </w:tcBorders>
            <w:shd w:val="clear" w:color="000000" w:fill="FFFFFF"/>
            <w:noWrap/>
            <w:vAlign w:val="center"/>
            <w:hideMark/>
          </w:tcPr>
          <w:p w14:paraId="51F14922" w14:textId="265E073A" w:rsidR="00FE127F" w:rsidRPr="00FE127F" w:rsidRDefault="00FE127F" w:rsidP="00FE127F">
            <w:pPr>
              <w:jc w:val="center"/>
              <w:rPr>
                <w:sz w:val="16"/>
                <w:szCs w:val="16"/>
              </w:rPr>
            </w:pPr>
            <w:r w:rsidRPr="00FE127F">
              <w:rPr>
                <w:sz w:val="16"/>
                <w:szCs w:val="16"/>
              </w:rPr>
              <w:t>0.0</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308F75FE" w14:textId="638F7617" w:rsidR="00FE127F" w:rsidRPr="00FE127F" w:rsidRDefault="00FE127F" w:rsidP="00FE127F">
            <w:pPr>
              <w:jc w:val="center"/>
              <w:rPr>
                <w:sz w:val="16"/>
                <w:szCs w:val="16"/>
              </w:rPr>
            </w:pPr>
            <w:r w:rsidRPr="00FE127F">
              <w:rPr>
                <w:sz w:val="16"/>
                <w:szCs w:val="16"/>
              </w:rPr>
              <w:t>0.0</w:t>
            </w:r>
          </w:p>
        </w:tc>
      </w:tr>
      <w:tr w:rsidR="00FE127F" w:rsidRPr="00647FD4" w14:paraId="5E10B579" w14:textId="77777777" w:rsidTr="00827ED5">
        <w:trPr>
          <w:trHeight w:val="140"/>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5FA0B118" w14:textId="77777777" w:rsidR="00FE127F" w:rsidRPr="00647FD4" w:rsidRDefault="00FE127F" w:rsidP="00FE127F">
            <w:pPr>
              <w:rPr>
                <w:b/>
                <w:bCs/>
                <w:sz w:val="16"/>
                <w:szCs w:val="16"/>
              </w:rPr>
            </w:pPr>
            <w:r w:rsidRPr="00647FD4">
              <w:rPr>
                <w:b/>
                <w:bCs/>
                <w:sz w:val="16"/>
                <w:szCs w:val="16"/>
              </w:rPr>
              <w:t>Gastos Totales</w:t>
            </w:r>
          </w:p>
        </w:tc>
        <w:tc>
          <w:tcPr>
            <w:tcW w:w="992" w:type="dxa"/>
            <w:tcBorders>
              <w:top w:val="nil"/>
              <w:left w:val="single" w:sz="4" w:space="0" w:color="auto"/>
              <w:bottom w:val="single" w:sz="4" w:space="0" w:color="auto"/>
              <w:right w:val="single" w:sz="4" w:space="0" w:color="auto"/>
            </w:tcBorders>
            <w:shd w:val="clear" w:color="000000" w:fill="FFFFFF"/>
            <w:noWrap/>
            <w:vAlign w:val="center"/>
            <w:hideMark/>
          </w:tcPr>
          <w:p w14:paraId="32B6D450" w14:textId="7BE13685" w:rsidR="00FE127F" w:rsidRPr="00A84127" w:rsidRDefault="00FE127F" w:rsidP="00FE127F">
            <w:pPr>
              <w:jc w:val="center"/>
              <w:rPr>
                <w:b/>
                <w:bCs/>
                <w:sz w:val="16"/>
                <w:szCs w:val="16"/>
              </w:rPr>
            </w:pPr>
            <w:r w:rsidRPr="00A84127">
              <w:rPr>
                <w:b/>
                <w:bCs/>
                <w:sz w:val="16"/>
                <w:szCs w:val="16"/>
              </w:rPr>
              <w:t>14.0</w:t>
            </w:r>
          </w:p>
        </w:tc>
        <w:tc>
          <w:tcPr>
            <w:tcW w:w="993" w:type="dxa"/>
            <w:tcBorders>
              <w:top w:val="nil"/>
              <w:left w:val="nil"/>
              <w:bottom w:val="single" w:sz="4" w:space="0" w:color="auto"/>
              <w:right w:val="single" w:sz="4" w:space="0" w:color="auto"/>
            </w:tcBorders>
            <w:shd w:val="clear" w:color="000000" w:fill="FFFFFF"/>
            <w:noWrap/>
            <w:vAlign w:val="center"/>
            <w:hideMark/>
          </w:tcPr>
          <w:p w14:paraId="2AFBDECD" w14:textId="2B0008CB" w:rsidR="00FE127F" w:rsidRPr="00A84127" w:rsidRDefault="00FE127F" w:rsidP="00FE127F">
            <w:pPr>
              <w:jc w:val="center"/>
              <w:rPr>
                <w:b/>
                <w:bCs/>
                <w:sz w:val="16"/>
                <w:szCs w:val="16"/>
              </w:rPr>
            </w:pPr>
            <w:r w:rsidRPr="00A84127">
              <w:rPr>
                <w:b/>
                <w:bCs/>
                <w:sz w:val="16"/>
                <w:szCs w:val="16"/>
              </w:rPr>
              <w:t>13.6</w:t>
            </w:r>
          </w:p>
        </w:tc>
        <w:tc>
          <w:tcPr>
            <w:tcW w:w="992" w:type="dxa"/>
            <w:tcBorders>
              <w:top w:val="nil"/>
              <w:left w:val="nil"/>
              <w:bottom w:val="single" w:sz="4" w:space="0" w:color="auto"/>
              <w:right w:val="single" w:sz="4" w:space="0" w:color="auto"/>
            </w:tcBorders>
            <w:shd w:val="clear" w:color="000000" w:fill="FFFFFF"/>
            <w:noWrap/>
            <w:vAlign w:val="center"/>
            <w:hideMark/>
          </w:tcPr>
          <w:p w14:paraId="1B9F1ADE" w14:textId="24DCDE20" w:rsidR="00FE127F" w:rsidRPr="00A84127" w:rsidRDefault="00FE127F" w:rsidP="00FE127F">
            <w:pPr>
              <w:jc w:val="center"/>
              <w:rPr>
                <w:b/>
                <w:bCs/>
                <w:sz w:val="16"/>
                <w:szCs w:val="16"/>
              </w:rPr>
            </w:pPr>
            <w:r w:rsidRPr="00A84127">
              <w:rPr>
                <w:b/>
                <w:bCs/>
                <w:sz w:val="16"/>
                <w:szCs w:val="16"/>
              </w:rPr>
              <w:t>13.2</w:t>
            </w:r>
          </w:p>
        </w:tc>
        <w:tc>
          <w:tcPr>
            <w:tcW w:w="992" w:type="dxa"/>
            <w:tcBorders>
              <w:top w:val="nil"/>
              <w:left w:val="nil"/>
              <w:bottom w:val="single" w:sz="4" w:space="0" w:color="auto"/>
              <w:right w:val="single" w:sz="4" w:space="0" w:color="auto"/>
            </w:tcBorders>
            <w:shd w:val="clear" w:color="000000" w:fill="FFFFFF"/>
            <w:noWrap/>
            <w:vAlign w:val="center"/>
            <w:hideMark/>
          </w:tcPr>
          <w:p w14:paraId="41D6798F" w14:textId="30BAD866" w:rsidR="00FE127F" w:rsidRPr="00A84127" w:rsidRDefault="00FE127F" w:rsidP="00FE127F">
            <w:pPr>
              <w:jc w:val="center"/>
              <w:rPr>
                <w:b/>
                <w:bCs/>
                <w:sz w:val="16"/>
                <w:szCs w:val="16"/>
              </w:rPr>
            </w:pPr>
            <w:r w:rsidRPr="00A84127">
              <w:rPr>
                <w:b/>
                <w:bCs/>
                <w:sz w:val="16"/>
                <w:szCs w:val="16"/>
              </w:rPr>
              <w:t>12.8</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5C0244A8" w14:textId="79E1DFED" w:rsidR="00FE127F" w:rsidRPr="00A84127" w:rsidRDefault="00FE127F" w:rsidP="00FE127F">
            <w:pPr>
              <w:jc w:val="center"/>
              <w:rPr>
                <w:b/>
                <w:bCs/>
                <w:sz w:val="16"/>
                <w:szCs w:val="16"/>
              </w:rPr>
            </w:pPr>
            <w:r w:rsidRPr="00A84127">
              <w:rPr>
                <w:b/>
                <w:bCs/>
                <w:sz w:val="16"/>
                <w:szCs w:val="16"/>
              </w:rPr>
              <w:t>12.6</w:t>
            </w:r>
          </w:p>
        </w:tc>
      </w:tr>
      <w:tr w:rsidR="00FE127F" w:rsidRPr="00647FD4" w14:paraId="45176FFB" w14:textId="77777777" w:rsidTr="00827ED5">
        <w:trPr>
          <w:trHeight w:val="86"/>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420ED7FF" w14:textId="77777777" w:rsidR="00FE127F" w:rsidRPr="00647FD4" w:rsidRDefault="00FE127F" w:rsidP="00FE127F">
            <w:pPr>
              <w:ind w:firstLineChars="100" w:firstLine="160"/>
              <w:rPr>
                <w:sz w:val="16"/>
                <w:szCs w:val="16"/>
              </w:rPr>
            </w:pPr>
            <w:r w:rsidRPr="00647FD4">
              <w:rPr>
                <w:sz w:val="16"/>
                <w:szCs w:val="16"/>
              </w:rPr>
              <w:t>Gasto Corriente</w:t>
            </w:r>
          </w:p>
        </w:tc>
        <w:tc>
          <w:tcPr>
            <w:tcW w:w="992" w:type="dxa"/>
            <w:tcBorders>
              <w:top w:val="nil"/>
              <w:left w:val="single" w:sz="4" w:space="0" w:color="auto"/>
              <w:bottom w:val="single" w:sz="4" w:space="0" w:color="auto"/>
              <w:right w:val="single" w:sz="4" w:space="0" w:color="auto"/>
            </w:tcBorders>
            <w:shd w:val="clear" w:color="000000" w:fill="FFFFFF"/>
            <w:noWrap/>
            <w:vAlign w:val="center"/>
            <w:hideMark/>
          </w:tcPr>
          <w:p w14:paraId="4E8120D6" w14:textId="02E9D68E" w:rsidR="00FE127F" w:rsidRPr="00FE127F" w:rsidRDefault="00FE127F" w:rsidP="00FE127F">
            <w:pPr>
              <w:jc w:val="center"/>
              <w:rPr>
                <w:sz w:val="16"/>
                <w:szCs w:val="16"/>
              </w:rPr>
            </w:pPr>
            <w:r w:rsidRPr="00FE127F">
              <w:rPr>
                <w:sz w:val="16"/>
                <w:szCs w:val="16"/>
              </w:rPr>
              <w:t>11.3</w:t>
            </w:r>
          </w:p>
        </w:tc>
        <w:tc>
          <w:tcPr>
            <w:tcW w:w="993" w:type="dxa"/>
            <w:tcBorders>
              <w:top w:val="nil"/>
              <w:left w:val="nil"/>
              <w:bottom w:val="single" w:sz="4" w:space="0" w:color="auto"/>
              <w:right w:val="single" w:sz="4" w:space="0" w:color="auto"/>
            </w:tcBorders>
            <w:shd w:val="clear" w:color="000000" w:fill="FFFFFF"/>
            <w:noWrap/>
            <w:vAlign w:val="center"/>
            <w:hideMark/>
          </w:tcPr>
          <w:p w14:paraId="4AD58B5B" w14:textId="19687F2B" w:rsidR="00FE127F" w:rsidRPr="00FE127F" w:rsidRDefault="00FE127F" w:rsidP="00FE127F">
            <w:pPr>
              <w:jc w:val="center"/>
              <w:rPr>
                <w:sz w:val="16"/>
                <w:szCs w:val="16"/>
              </w:rPr>
            </w:pPr>
            <w:r w:rsidRPr="00FE127F">
              <w:rPr>
                <w:sz w:val="16"/>
                <w:szCs w:val="16"/>
              </w:rPr>
              <w:t>11.1</w:t>
            </w:r>
          </w:p>
        </w:tc>
        <w:tc>
          <w:tcPr>
            <w:tcW w:w="992" w:type="dxa"/>
            <w:tcBorders>
              <w:top w:val="nil"/>
              <w:left w:val="nil"/>
              <w:bottom w:val="single" w:sz="4" w:space="0" w:color="auto"/>
              <w:right w:val="single" w:sz="4" w:space="0" w:color="auto"/>
            </w:tcBorders>
            <w:shd w:val="clear" w:color="000000" w:fill="FFFFFF"/>
            <w:noWrap/>
            <w:vAlign w:val="center"/>
            <w:hideMark/>
          </w:tcPr>
          <w:p w14:paraId="7D50052F" w14:textId="25541619" w:rsidR="00FE127F" w:rsidRPr="00FE127F" w:rsidRDefault="00FE127F" w:rsidP="00FE127F">
            <w:pPr>
              <w:jc w:val="center"/>
              <w:rPr>
                <w:sz w:val="16"/>
                <w:szCs w:val="16"/>
              </w:rPr>
            </w:pPr>
            <w:r w:rsidRPr="00FE127F">
              <w:rPr>
                <w:sz w:val="16"/>
                <w:szCs w:val="16"/>
              </w:rPr>
              <w:t>10.8</w:t>
            </w:r>
          </w:p>
        </w:tc>
        <w:tc>
          <w:tcPr>
            <w:tcW w:w="992" w:type="dxa"/>
            <w:tcBorders>
              <w:top w:val="nil"/>
              <w:left w:val="nil"/>
              <w:bottom w:val="single" w:sz="4" w:space="0" w:color="auto"/>
              <w:right w:val="single" w:sz="4" w:space="0" w:color="auto"/>
            </w:tcBorders>
            <w:shd w:val="clear" w:color="000000" w:fill="FFFFFF"/>
            <w:noWrap/>
            <w:vAlign w:val="center"/>
            <w:hideMark/>
          </w:tcPr>
          <w:p w14:paraId="01E3E832" w14:textId="2F70226E" w:rsidR="00FE127F" w:rsidRPr="00FE127F" w:rsidRDefault="00FE127F" w:rsidP="00FE127F">
            <w:pPr>
              <w:jc w:val="center"/>
              <w:rPr>
                <w:sz w:val="16"/>
                <w:szCs w:val="16"/>
              </w:rPr>
            </w:pPr>
            <w:r w:rsidRPr="00FE127F">
              <w:rPr>
                <w:sz w:val="16"/>
                <w:szCs w:val="16"/>
              </w:rPr>
              <w:t>10.4</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1F4F6D0E" w14:textId="35C41B14" w:rsidR="00FE127F" w:rsidRPr="00FE127F" w:rsidRDefault="00FE127F" w:rsidP="00FE127F">
            <w:pPr>
              <w:jc w:val="center"/>
              <w:rPr>
                <w:sz w:val="16"/>
                <w:szCs w:val="16"/>
              </w:rPr>
            </w:pPr>
            <w:r w:rsidRPr="00FE127F">
              <w:rPr>
                <w:sz w:val="16"/>
                <w:szCs w:val="16"/>
              </w:rPr>
              <w:t>10.2</w:t>
            </w:r>
          </w:p>
        </w:tc>
      </w:tr>
      <w:tr w:rsidR="00FE127F" w:rsidRPr="00647FD4" w14:paraId="5EE18FB5" w14:textId="77777777" w:rsidTr="00827ED5">
        <w:trPr>
          <w:trHeight w:val="56"/>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2F2FBC03" w14:textId="77777777" w:rsidR="00FE127F" w:rsidRPr="00647FD4" w:rsidRDefault="00FE127F" w:rsidP="00FE127F">
            <w:pPr>
              <w:ind w:firstLineChars="200" w:firstLine="320"/>
              <w:rPr>
                <w:sz w:val="16"/>
                <w:szCs w:val="16"/>
              </w:rPr>
            </w:pPr>
            <w:r w:rsidRPr="00647FD4">
              <w:rPr>
                <w:sz w:val="16"/>
                <w:szCs w:val="16"/>
              </w:rPr>
              <w:t>Intereses de la deuda pública</w:t>
            </w:r>
          </w:p>
        </w:tc>
        <w:tc>
          <w:tcPr>
            <w:tcW w:w="992" w:type="dxa"/>
            <w:tcBorders>
              <w:top w:val="nil"/>
              <w:left w:val="single" w:sz="4" w:space="0" w:color="auto"/>
              <w:bottom w:val="single" w:sz="4" w:space="0" w:color="auto"/>
              <w:right w:val="single" w:sz="4" w:space="0" w:color="auto"/>
            </w:tcBorders>
            <w:shd w:val="clear" w:color="000000" w:fill="FFFFFF"/>
            <w:noWrap/>
            <w:vAlign w:val="center"/>
            <w:hideMark/>
          </w:tcPr>
          <w:p w14:paraId="554C9209" w14:textId="69C39596" w:rsidR="00FE127F" w:rsidRPr="00FE127F" w:rsidRDefault="00FE127F" w:rsidP="00FE127F">
            <w:pPr>
              <w:jc w:val="center"/>
              <w:rPr>
                <w:sz w:val="16"/>
                <w:szCs w:val="16"/>
              </w:rPr>
            </w:pPr>
            <w:r w:rsidRPr="00FE127F">
              <w:rPr>
                <w:sz w:val="16"/>
                <w:szCs w:val="16"/>
              </w:rPr>
              <w:t>1.7</w:t>
            </w:r>
          </w:p>
        </w:tc>
        <w:tc>
          <w:tcPr>
            <w:tcW w:w="993" w:type="dxa"/>
            <w:tcBorders>
              <w:top w:val="nil"/>
              <w:left w:val="nil"/>
              <w:bottom w:val="single" w:sz="4" w:space="0" w:color="auto"/>
              <w:right w:val="single" w:sz="4" w:space="0" w:color="auto"/>
            </w:tcBorders>
            <w:shd w:val="clear" w:color="000000" w:fill="FFFFFF"/>
            <w:noWrap/>
            <w:vAlign w:val="center"/>
            <w:hideMark/>
          </w:tcPr>
          <w:p w14:paraId="758B4007" w14:textId="556D10B3" w:rsidR="00FE127F" w:rsidRPr="00FE127F" w:rsidRDefault="00FE127F" w:rsidP="00FE127F">
            <w:pPr>
              <w:jc w:val="center"/>
              <w:rPr>
                <w:sz w:val="16"/>
                <w:szCs w:val="16"/>
              </w:rPr>
            </w:pPr>
            <w:r w:rsidRPr="00FE127F">
              <w:rPr>
                <w:sz w:val="16"/>
                <w:szCs w:val="16"/>
              </w:rPr>
              <w:t>1.7</w:t>
            </w:r>
          </w:p>
        </w:tc>
        <w:tc>
          <w:tcPr>
            <w:tcW w:w="992" w:type="dxa"/>
            <w:tcBorders>
              <w:top w:val="nil"/>
              <w:left w:val="nil"/>
              <w:bottom w:val="single" w:sz="4" w:space="0" w:color="auto"/>
              <w:right w:val="single" w:sz="4" w:space="0" w:color="auto"/>
            </w:tcBorders>
            <w:shd w:val="clear" w:color="000000" w:fill="FFFFFF"/>
            <w:noWrap/>
            <w:vAlign w:val="center"/>
            <w:hideMark/>
          </w:tcPr>
          <w:p w14:paraId="7A2447CC" w14:textId="624F30CE" w:rsidR="00FE127F" w:rsidRPr="00FE127F" w:rsidRDefault="00FE127F" w:rsidP="00FE127F">
            <w:pPr>
              <w:jc w:val="center"/>
              <w:rPr>
                <w:sz w:val="16"/>
                <w:szCs w:val="16"/>
              </w:rPr>
            </w:pPr>
            <w:r w:rsidRPr="00FE127F">
              <w:rPr>
                <w:sz w:val="16"/>
                <w:szCs w:val="16"/>
              </w:rPr>
              <w:t>1.6</w:t>
            </w:r>
          </w:p>
        </w:tc>
        <w:tc>
          <w:tcPr>
            <w:tcW w:w="992" w:type="dxa"/>
            <w:tcBorders>
              <w:top w:val="nil"/>
              <w:left w:val="nil"/>
              <w:bottom w:val="single" w:sz="4" w:space="0" w:color="auto"/>
              <w:right w:val="single" w:sz="4" w:space="0" w:color="auto"/>
            </w:tcBorders>
            <w:shd w:val="clear" w:color="000000" w:fill="FFFFFF"/>
            <w:noWrap/>
            <w:vAlign w:val="center"/>
            <w:hideMark/>
          </w:tcPr>
          <w:p w14:paraId="5CE355AB" w14:textId="6E120539" w:rsidR="00FE127F" w:rsidRPr="00FE127F" w:rsidRDefault="00FE127F" w:rsidP="00FE127F">
            <w:pPr>
              <w:jc w:val="center"/>
              <w:rPr>
                <w:sz w:val="16"/>
                <w:szCs w:val="16"/>
              </w:rPr>
            </w:pPr>
            <w:r w:rsidRPr="00FE127F">
              <w:rPr>
                <w:sz w:val="16"/>
                <w:szCs w:val="16"/>
              </w:rPr>
              <w:t>1.6</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185A6501" w14:textId="18D75116" w:rsidR="00FE127F" w:rsidRPr="00FE127F" w:rsidRDefault="00FE127F" w:rsidP="00FE127F">
            <w:pPr>
              <w:jc w:val="center"/>
              <w:rPr>
                <w:sz w:val="16"/>
                <w:szCs w:val="16"/>
              </w:rPr>
            </w:pPr>
            <w:r w:rsidRPr="00FE127F">
              <w:rPr>
                <w:sz w:val="16"/>
                <w:szCs w:val="16"/>
              </w:rPr>
              <w:t>1.6</w:t>
            </w:r>
          </w:p>
        </w:tc>
      </w:tr>
      <w:tr w:rsidR="00FE127F" w:rsidRPr="00647FD4" w14:paraId="25C6B1EB" w14:textId="77777777" w:rsidTr="00827ED5">
        <w:trPr>
          <w:trHeight w:val="121"/>
        </w:trPr>
        <w:tc>
          <w:tcPr>
            <w:tcW w:w="3534" w:type="dxa"/>
            <w:tcBorders>
              <w:top w:val="nil"/>
              <w:left w:val="single" w:sz="8" w:space="0" w:color="auto"/>
              <w:bottom w:val="nil"/>
              <w:right w:val="single" w:sz="8" w:space="0" w:color="auto"/>
            </w:tcBorders>
            <w:shd w:val="clear" w:color="000000" w:fill="FFFFFF"/>
            <w:noWrap/>
            <w:vAlign w:val="center"/>
            <w:hideMark/>
          </w:tcPr>
          <w:p w14:paraId="0E530360" w14:textId="77777777" w:rsidR="00FE127F" w:rsidRPr="00647FD4" w:rsidRDefault="00FE127F" w:rsidP="00FE127F">
            <w:pPr>
              <w:ind w:firstLineChars="100" w:firstLine="160"/>
              <w:rPr>
                <w:sz w:val="16"/>
                <w:szCs w:val="16"/>
              </w:rPr>
            </w:pPr>
            <w:r w:rsidRPr="00647FD4">
              <w:rPr>
                <w:sz w:val="16"/>
                <w:szCs w:val="16"/>
              </w:rPr>
              <w:t>Gasto de Capital</w:t>
            </w:r>
          </w:p>
        </w:tc>
        <w:tc>
          <w:tcPr>
            <w:tcW w:w="992" w:type="dxa"/>
            <w:tcBorders>
              <w:top w:val="nil"/>
              <w:left w:val="single" w:sz="4" w:space="0" w:color="auto"/>
              <w:bottom w:val="nil"/>
              <w:right w:val="single" w:sz="4" w:space="0" w:color="auto"/>
            </w:tcBorders>
            <w:shd w:val="clear" w:color="000000" w:fill="FFFFFF"/>
            <w:noWrap/>
            <w:vAlign w:val="center"/>
            <w:hideMark/>
          </w:tcPr>
          <w:p w14:paraId="21B52D94" w14:textId="360BB01F" w:rsidR="00FE127F" w:rsidRPr="00FE127F" w:rsidRDefault="00FE127F" w:rsidP="00FE127F">
            <w:pPr>
              <w:jc w:val="center"/>
              <w:rPr>
                <w:sz w:val="16"/>
                <w:szCs w:val="16"/>
              </w:rPr>
            </w:pPr>
            <w:r w:rsidRPr="00FE127F">
              <w:rPr>
                <w:sz w:val="16"/>
                <w:szCs w:val="16"/>
              </w:rPr>
              <w:t>2.7</w:t>
            </w:r>
          </w:p>
        </w:tc>
        <w:tc>
          <w:tcPr>
            <w:tcW w:w="993" w:type="dxa"/>
            <w:tcBorders>
              <w:top w:val="nil"/>
              <w:left w:val="nil"/>
              <w:bottom w:val="nil"/>
              <w:right w:val="single" w:sz="4" w:space="0" w:color="auto"/>
            </w:tcBorders>
            <w:shd w:val="clear" w:color="000000" w:fill="FFFFFF"/>
            <w:noWrap/>
            <w:vAlign w:val="center"/>
            <w:hideMark/>
          </w:tcPr>
          <w:p w14:paraId="3EA246FB" w14:textId="678E7F32" w:rsidR="00FE127F" w:rsidRPr="00FE127F" w:rsidRDefault="00FE127F" w:rsidP="00FE127F">
            <w:pPr>
              <w:jc w:val="center"/>
              <w:rPr>
                <w:sz w:val="16"/>
                <w:szCs w:val="16"/>
              </w:rPr>
            </w:pPr>
            <w:r w:rsidRPr="00FE127F">
              <w:rPr>
                <w:sz w:val="16"/>
                <w:szCs w:val="16"/>
              </w:rPr>
              <w:t>2.5</w:t>
            </w:r>
          </w:p>
        </w:tc>
        <w:tc>
          <w:tcPr>
            <w:tcW w:w="992" w:type="dxa"/>
            <w:tcBorders>
              <w:top w:val="nil"/>
              <w:left w:val="nil"/>
              <w:bottom w:val="nil"/>
              <w:right w:val="single" w:sz="4" w:space="0" w:color="auto"/>
            </w:tcBorders>
            <w:shd w:val="clear" w:color="000000" w:fill="FFFFFF"/>
            <w:noWrap/>
            <w:vAlign w:val="center"/>
            <w:hideMark/>
          </w:tcPr>
          <w:p w14:paraId="7289D835" w14:textId="3D0585EE" w:rsidR="00FE127F" w:rsidRPr="00FE127F" w:rsidRDefault="00FE127F" w:rsidP="00FE127F">
            <w:pPr>
              <w:jc w:val="center"/>
              <w:rPr>
                <w:sz w:val="16"/>
                <w:szCs w:val="16"/>
              </w:rPr>
            </w:pPr>
            <w:r w:rsidRPr="00FE127F">
              <w:rPr>
                <w:sz w:val="16"/>
                <w:szCs w:val="16"/>
              </w:rPr>
              <w:t>2.4</w:t>
            </w:r>
          </w:p>
        </w:tc>
        <w:tc>
          <w:tcPr>
            <w:tcW w:w="992" w:type="dxa"/>
            <w:tcBorders>
              <w:top w:val="nil"/>
              <w:left w:val="nil"/>
              <w:bottom w:val="nil"/>
              <w:right w:val="single" w:sz="4" w:space="0" w:color="auto"/>
            </w:tcBorders>
            <w:shd w:val="clear" w:color="000000" w:fill="FFFFFF"/>
            <w:noWrap/>
            <w:vAlign w:val="center"/>
            <w:hideMark/>
          </w:tcPr>
          <w:p w14:paraId="2D385EF8" w14:textId="63E59E87" w:rsidR="00FE127F" w:rsidRPr="00FE127F" w:rsidRDefault="00FE127F" w:rsidP="00FE127F">
            <w:pPr>
              <w:jc w:val="center"/>
              <w:rPr>
                <w:sz w:val="16"/>
                <w:szCs w:val="16"/>
              </w:rPr>
            </w:pPr>
            <w:r w:rsidRPr="00FE127F">
              <w:rPr>
                <w:sz w:val="16"/>
                <w:szCs w:val="16"/>
              </w:rPr>
              <w:t>2.4</w:t>
            </w:r>
          </w:p>
        </w:tc>
        <w:tc>
          <w:tcPr>
            <w:tcW w:w="992" w:type="dxa"/>
            <w:tcBorders>
              <w:top w:val="nil"/>
              <w:left w:val="single" w:sz="4" w:space="0" w:color="auto"/>
              <w:bottom w:val="nil"/>
              <w:right w:val="single" w:sz="8" w:space="0" w:color="auto"/>
            </w:tcBorders>
            <w:shd w:val="clear" w:color="000000" w:fill="FFFFFF"/>
            <w:noWrap/>
            <w:vAlign w:val="center"/>
            <w:hideMark/>
          </w:tcPr>
          <w:p w14:paraId="66A0115B" w14:textId="36DD78FB" w:rsidR="00FE127F" w:rsidRPr="00FE127F" w:rsidRDefault="00FE127F" w:rsidP="00FE127F">
            <w:pPr>
              <w:jc w:val="center"/>
              <w:rPr>
                <w:sz w:val="16"/>
                <w:szCs w:val="16"/>
              </w:rPr>
            </w:pPr>
            <w:r w:rsidRPr="00FE127F">
              <w:rPr>
                <w:sz w:val="16"/>
                <w:szCs w:val="16"/>
              </w:rPr>
              <w:t>2.3</w:t>
            </w:r>
          </w:p>
        </w:tc>
      </w:tr>
      <w:tr w:rsidR="00FE127F" w:rsidRPr="00647FD4" w14:paraId="16F1A43E" w14:textId="77777777" w:rsidTr="00827ED5">
        <w:trPr>
          <w:trHeight w:val="80"/>
        </w:trPr>
        <w:tc>
          <w:tcPr>
            <w:tcW w:w="3534" w:type="dxa"/>
            <w:tcBorders>
              <w:top w:val="single" w:sz="4" w:space="0" w:color="auto"/>
              <w:left w:val="single" w:sz="8" w:space="0" w:color="auto"/>
              <w:bottom w:val="single" w:sz="8" w:space="0" w:color="auto"/>
              <w:right w:val="single" w:sz="8" w:space="0" w:color="auto"/>
            </w:tcBorders>
            <w:shd w:val="clear" w:color="000000" w:fill="C5D9F1"/>
            <w:noWrap/>
            <w:vAlign w:val="center"/>
            <w:hideMark/>
          </w:tcPr>
          <w:p w14:paraId="52A44063" w14:textId="77777777" w:rsidR="00FE127F" w:rsidRPr="00647FD4" w:rsidRDefault="00FE127F" w:rsidP="00FE127F">
            <w:pPr>
              <w:rPr>
                <w:b/>
                <w:bCs/>
                <w:sz w:val="16"/>
                <w:szCs w:val="16"/>
              </w:rPr>
            </w:pPr>
            <w:r w:rsidRPr="00647FD4">
              <w:rPr>
                <w:b/>
                <w:bCs/>
                <w:sz w:val="16"/>
                <w:szCs w:val="16"/>
              </w:rPr>
              <w:t>Balance Presupuestal</w:t>
            </w:r>
          </w:p>
        </w:tc>
        <w:tc>
          <w:tcPr>
            <w:tcW w:w="992" w:type="dxa"/>
            <w:tcBorders>
              <w:top w:val="single" w:sz="4" w:space="0" w:color="auto"/>
              <w:left w:val="single" w:sz="4" w:space="0" w:color="auto"/>
              <w:bottom w:val="single" w:sz="8" w:space="0" w:color="auto"/>
              <w:right w:val="single" w:sz="4" w:space="0" w:color="auto"/>
            </w:tcBorders>
            <w:shd w:val="clear" w:color="auto" w:fill="BDD6EE" w:themeFill="accent5" w:themeFillTint="66"/>
            <w:noWrap/>
            <w:vAlign w:val="center"/>
            <w:hideMark/>
          </w:tcPr>
          <w:p w14:paraId="024702C4" w14:textId="15BC3F8C" w:rsidR="00FE127F" w:rsidRPr="00FE127F" w:rsidRDefault="00FE127F" w:rsidP="00FE127F">
            <w:pPr>
              <w:jc w:val="center"/>
              <w:rPr>
                <w:b/>
                <w:bCs/>
                <w:sz w:val="16"/>
                <w:szCs w:val="16"/>
              </w:rPr>
            </w:pPr>
            <w:r w:rsidRPr="00FE127F">
              <w:rPr>
                <w:b/>
                <w:bCs/>
                <w:sz w:val="16"/>
                <w:szCs w:val="16"/>
              </w:rPr>
              <w:t>-1.7</w:t>
            </w:r>
          </w:p>
        </w:tc>
        <w:tc>
          <w:tcPr>
            <w:tcW w:w="993" w:type="dxa"/>
            <w:tcBorders>
              <w:top w:val="single" w:sz="4" w:space="0" w:color="auto"/>
              <w:left w:val="nil"/>
              <w:bottom w:val="single" w:sz="8" w:space="0" w:color="auto"/>
              <w:right w:val="single" w:sz="4" w:space="0" w:color="auto"/>
            </w:tcBorders>
            <w:shd w:val="clear" w:color="auto" w:fill="BDD6EE" w:themeFill="accent5" w:themeFillTint="66"/>
            <w:noWrap/>
            <w:vAlign w:val="center"/>
            <w:hideMark/>
          </w:tcPr>
          <w:p w14:paraId="7941C2C9" w14:textId="037D1647" w:rsidR="00FE127F" w:rsidRPr="00FE127F" w:rsidRDefault="00FE127F" w:rsidP="00FE127F">
            <w:pPr>
              <w:jc w:val="center"/>
              <w:rPr>
                <w:b/>
                <w:bCs/>
                <w:sz w:val="16"/>
                <w:szCs w:val="16"/>
              </w:rPr>
            </w:pPr>
            <w:r w:rsidRPr="00FE127F">
              <w:rPr>
                <w:b/>
                <w:bCs/>
                <w:sz w:val="16"/>
                <w:szCs w:val="16"/>
              </w:rPr>
              <w:t>-1.3</w:t>
            </w:r>
          </w:p>
        </w:tc>
        <w:tc>
          <w:tcPr>
            <w:tcW w:w="992" w:type="dxa"/>
            <w:tcBorders>
              <w:top w:val="single" w:sz="4" w:space="0" w:color="auto"/>
              <w:left w:val="nil"/>
              <w:bottom w:val="single" w:sz="8" w:space="0" w:color="auto"/>
              <w:right w:val="single" w:sz="4" w:space="0" w:color="auto"/>
            </w:tcBorders>
            <w:shd w:val="clear" w:color="auto" w:fill="BDD6EE" w:themeFill="accent5" w:themeFillTint="66"/>
            <w:noWrap/>
            <w:vAlign w:val="center"/>
            <w:hideMark/>
          </w:tcPr>
          <w:p w14:paraId="6ADA91F4" w14:textId="6BC77487" w:rsidR="00FE127F" w:rsidRPr="00FE127F" w:rsidRDefault="00FE127F" w:rsidP="00FE127F">
            <w:pPr>
              <w:jc w:val="center"/>
              <w:rPr>
                <w:b/>
                <w:bCs/>
                <w:sz w:val="16"/>
                <w:szCs w:val="16"/>
              </w:rPr>
            </w:pPr>
            <w:r w:rsidRPr="00FE127F">
              <w:rPr>
                <w:b/>
                <w:bCs/>
                <w:sz w:val="16"/>
                <w:szCs w:val="16"/>
              </w:rPr>
              <w:t>-0.8</w:t>
            </w:r>
          </w:p>
        </w:tc>
        <w:tc>
          <w:tcPr>
            <w:tcW w:w="992" w:type="dxa"/>
            <w:tcBorders>
              <w:top w:val="single" w:sz="4" w:space="0" w:color="auto"/>
              <w:left w:val="nil"/>
              <w:bottom w:val="single" w:sz="8" w:space="0" w:color="auto"/>
              <w:right w:val="single" w:sz="4" w:space="0" w:color="auto"/>
            </w:tcBorders>
            <w:shd w:val="clear" w:color="auto" w:fill="BDD6EE" w:themeFill="accent5" w:themeFillTint="66"/>
            <w:noWrap/>
            <w:vAlign w:val="center"/>
            <w:hideMark/>
          </w:tcPr>
          <w:p w14:paraId="5E1E3500" w14:textId="4D90EF04" w:rsidR="00FE127F" w:rsidRPr="00FE127F" w:rsidRDefault="00FE127F" w:rsidP="00FE127F">
            <w:pPr>
              <w:jc w:val="center"/>
              <w:rPr>
                <w:b/>
                <w:bCs/>
                <w:sz w:val="16"/>
                <w:szCs w:val="16"/>
              </w:rPr>
            </w:pPr>
            <w:r w:rsidRPr="00FE127F">
              <w:rPr>
                <w:b/>
                <w:bCs/>
                <w:sz w:val="16"/>
                <w:szCs w:val="16"/>
              </w:rPr>
              <w:t>-0.3</w:t>
            </w:r>
          </w:p>
        </w:tc>
        <w:tc>
          <w:tcPr>
            <w:tcW w:w="992" w:type="dxa"/>
            <w:tcBorders>
              <w:top w:val="single" w:sz="4" w:space="0" w:color="auto"/>
              <w:left w:val="nil"/>
              <w:bottom w:val="single" w:sz="8" w:space="0" w:color="auto"/>
              <w:right w:val="single" w:sz="8" w:space="0" w:color="auto"/>
            </w:tcBorders>
            <w:shd w:val="clear" w:color="auto" w:fill="BDD6EE" w:themeFill="accent5" w:themeFillTint="66"/>
            <w:noWrap/>
            <w:vAlign w:val="center"/>
            <w:hideMark/>
          </w:tcPr>
          <w:p w14:paraId="47E4287A" w14:textId="296D78D6" w:rsidR="00FE127F" w:rsidRPr="00FE127F" w:rsidRDefault="00FE127F" w:rsidP="00FE127F">
            <w:pPr>
              <w:jc w:val="center"/>
              <w:rPr>
                <w:b/>
                <w:bCs/>
                <w:sz w:val="16"/>
                <w:szCs w:val="16"/>
              </w:rPr>
            </w:pPr>
            <w:r w:rsidRPr="00FE127F">
              <w:rPr>
                <w:b/>
                <w:bCs/>
                <w:sz w:val="16"/>
                <w:szCs w:val="16"/>
              </w:rPr>
              <w:t>0.1</w:t>
            </w:r>
          </w:p>
        </w:tc>
      </w:tr>
      <w:tr w:rsidR="00FE127F" w:rsidRPr="00647FD4" w14:paraId="4E3BBD0C" w14:textId="77777777" w:rsidTr="00827ED5">
        <w:trPr>
          <w:trHeight w:val="158"/>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4F36A2C8" w14:textId="77777777" w:rsidR="00FE127F" w:rsidRPr="00647FD4" w:rsidRDefault="00FE127F" w:rsidP="00FE127F">
            <w:pPr>
              <w:ind w:firstLineChars="100" w:firstLine="160"/>
              <w:rPr>
                <w:sz w:val="16"/>
                <w:szCs w:val="16"/>
              </w:rPr>
            </w:pPr>
            <w:r w:rsidRPr="00647FD4">
              <w:rPr>
                <w:sz w:val="16"/>
                <w:szCs w:val="16"/>
              </w:rPr>
              <w:t>Financiamiento Externo Neto</w:t>
            </w:r>
          </w:p>
        </w:tc>
        <w:tc>
          <w:tcPr>
            <w:tcW w:w="992" w:type="dxa"/>
            <w:tcBorders>
              <w:top w:val="nil"/>
              <w:left w:val="single" w:sz="4" w:space="0" w:color="auto"/>
              <w:bottom w:val="single" w:sz="4" w:space="0" w:color="auto"/>
              <w:right w:val="single" w:sz="4" w:space="0" w:color="auto"/>
            </w:tcBorders>
            <w:shd w:val="clear" w:color="000000" w:fill="FFFFFF"/>
            <w:noWrap/>
            <w:vAlign w:val="center"/>
            <w:hideMark/>
          </w:tcPr>
          <w:p w14:paraId="7E0FBEB3" w14:textId="05FB9BA4" w:rsidR="00FE127F" w:rsidRPr="00FE127F" w:rsidRDefault="00FE127F" w:rsidP="00FE127F">
            <w:pPr>
              <w:jc w:val="center"/>
              <w:rPr>
                <w:sz w:val="16"/>
                <w:szCs w:val="16"/>
              </w:rPr>
            </w:pPr>
            <w:r w:rsidRPr="00FE127F">
              <w:rPr>
                <w:sz w:val="16"/>
                <w:szCs w:val="16"/>
              </w:rPr>
              <w:t>-0.1</w:t>
            </w:r>
          </w:p>
        </w:tc>
        <w:tc>
          <w:tcPr>
            <w:tcW w:w="993" w:type="dxa"/>
            <w:tcBorders>
              <w:top w:val="nil"/>
              <w:left w:val="nil"/>
              <w:bottom w:val="single" w:sz="4" w:space="0" w:color="auto"/>
              <w:right w:val="single" w:sz="4" w:space="0" w:color="auto"/>
            </w:tcBorders>
            <w:shd w:val="clear" w:color="000000" w:fill="FFFFFF"/>
            <w:noWrap/>
            <w:vAlign w:val="center"/>
            <w:hideMark/>
          </w:tcPr>
          <w:p w14:paraId="3D13D662" w14:textId="193F0756" w:rsidR="00FE127F" w:rsidRPr="00FE127F" w:rsidRDefault="00FE127F" w:rsidP="00FE127F">
            <w:pPr>
              <w:jc w:val="center"/>
              <w:rPr>
                <w:sz w:val="16"/>
                <w:szCs w:val="16"/>
              </w:rPr>
            </w:pPr>
            <w:r w:rsidRPr="00FE127F">
              <w:rPr>
                <w:sz w:val="16"/>
                <w:szCs w:val="16"/>
              </w:rPr>
              <w:t>-0.2</w:t>
            </w:r>
          </w:p>
        </w:tc>
        <w:tc>
          <w:tcPr>
            <w:tcW w:w="992" w:type="dxa"/>
            <w:tcBorders>
              <w:top w:val="nil"/>
              <w:left w:val="nil"/>
              <w:bottom w:val="single" w:sz="4" w:space="0" w:color="auto"/>
              <w:right w:val="single" w:sz="4" w:space="0" w:color="auto"/>
            </w:tcBorders>
            <w:shd w:val="clear" w:color="000000" w:fill="FFFFFF"/>
            <w:noWrap/>
            <w:vAlign w:val="center"/>
            <w:hideMark/>
          </w:tcPr>
          <w:p w14:paraId="3D144318" w14:textId="58028C1A" w:rsidR="00FE127F" w:rsidRPr="00FE127F" w:rsidRDefault="00FE127F" w:rsidP="00FE127F">
            <w:pPr>
              <w:jc w:val="center"/>
              <w:rPr>
                <w:sz w:val="16"/>
                <w:szCs w:val="16"/>
              </w:rPr>
            </w:pPr>
            <w:r w:rsidRPr="00FE127F">
              <w:rPr>
                <w:sz w:val="16"/>
                <w:szCs w:val="16"/>
              </w:rPr>
              <w:t>-0.3</w:t>
            </w:r>
          </w:p>
        </w:tc>
        <w:tc>
          <w:tcPr>
            <w:tcW w:w="992" w:type="dxa"/>
            <w:tcBorders>
              <w:top w:val="nil"/>
              <w:left w:val="nil"/>
              <w:bottom w:val="single" w:sz="4" w:space="0" w:color="auto"/>
              <w:right w:val="single" w:sz="4" w:space="0" w:color="auto"/>
            </w:tcBorders>
            <w:shd w:val="clear" w:color="000000" w:fill="FFFFFF"/>
            <w:noWrap/>
            <w:vAlign w:val="center"/>
            <w:hideMark/>
          </w:tcPr>
          <w:p w14:paraId="4D5ED339" w14:textId="5F7807EF" w:rsidR="00FE127F" w:rsidRPr="00FE127F" w:rsidRDefault="00FE127F" w:rsidP="00FE127F">
            <w:pPr>
              <w:jc w:val="center"/>
              <w:rPr>
                <w:sz w:val="16"/>
                <w:szCs w:val="16"/>
              </w:rPr>
            </w:pPr>
            <w:r w:rsidRPr="00FE127F">
              <w:rPr>
                <w:sz w:val="16"/>
                <w:szCs w:val="16"/>
              </w:rPr>
              <w:t>-0.2</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49DA13F0" w14:textId="04A01C95" w:rsidR="00FE127F" w:rsidRPr="00FE127F" w:rsidRDefault="00FE127F" w:rsidP="00FE127F">
            <w:pPr>
              <w:jc w:val="center"/>
              <w:rPr>
                <w:sz w:val="16"/>
                <w:szCs w:val="16"/>
              </w:rPr>
            </w:pPr>
            <w:r w:rsidRPr="00FE127F">
              <w:rPr>
                <w:sz w:val="16"/>
                <w:szCs w:val="16"/>
              </w:rPr>
              <w:t>-0.3</w:t>
            </w:r>
          </w:p>
        </w:tc>
      </w:tr>
      <w:tr w:rsidR="00FE127F" w:rsidRPr="00647FD4" w14:paraId="7A3D90C5" w14:textId="77777777" w:rsidTr="00827ED5">
        <w:trPr>
          <w:trHeight w:val="101"/>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64D04D8C" w14:textId="77777777" w:rsidR="00FE127F" w:rsidRPr="00647FD4" w:rsidRDefault="00FE127F" w:rsidP="00FE127F">
            <w:pPr>
              <w:ind w:firstLineChars="200" w:firstLine="320"/>
              <w:rPr>
                <w:sz w:val="16"/>
                <w:szCs w:val="16"/>
              </w:rPr>
            </w:pPr>
            <w:r w:rsidRPr="00647FD4">
              <w:rPr>
                <w:sz w:val="16"/>
                <w:szCs w:val="16"/>
              </w:rPr>
              <w:t>Préstamos Netos</w:t>
            </w:r>
          </w:p>
        </w:tc>
        <w:tc>
          <w:tcPr>
            <w:tcW w:w="992" w:type="dxa"/>
            <w:tcBorders>
              <w:top w:val="nil"/>
              <w:left w:val="single" w:sz="4" w:space="0" w:color="auto"/>
              <w:bottom w:val="single" w:sz="4" w:space="0" w:color="auto"/>
              <w:right w:val="single" w:sz="4" w:space="0" w:color="auto"/>
            </w:tcBorders>
            <w:shd w:val="clear" w:color="000000" w:fill="FFFFFF"/>
            <w:noWrap/>
            <w:vAlign w:val="center"/>
            <w:hideMark/>
          </w:tcPr>
          <w:p w14:paraId="263BEC0C" w14:textId="65AE02F1" w:rsidR="00FE127F" w:rsidRPr="00FE127F" w:rsidRDefault="00FE127F" w:rsidP="00FE127F">
            <w:pPr>
              <w:jc w:val="center"/>
              <w:rPr>
                <w:sz w:val="16"/>
                <w:szCs w:val="16"/>
              </w:rPr>
            </w:pPr>
            <w:r w:rsidRPr="00FE127F">
              <w:rPr>
                <w:sz w:val="16"/>
                <w:szCs w:val="16"/>
              </w:rPr>
              <w:t>-0.1</w:t>
            </w:r>
          </w:p>
        </w:tc>
        <w:tc>
          <w:tcPr>
            <w:tcW w:w="993" w:type="dxa"/>
            <w:tcBorders>
              <w:top w:val="nil"/>
              <w:left w:val="nil"/>
              <w:bottom w:val="single" w:sz="4" w:space="0" w:color="auto"/>
              <w:right w:val="single" w:sz="4" w:space="0" w:color="auto"/>
            </w:tcBorders>
            <w:shd w:val="clear" w:color="000000" w:fill="FFFFFF"/>
            <w:noWrap/>
            <w:vAlign w:val="center"/>
            <w:hideMark/>
          </w:tcPr>
          <w:p w14:paraId="63DB4952" w14:textId="0F802EC6" w:rsidR="00FE127F" w:rsidRPr="00FE127F" w:rsidRDefault="00FE127F" w:rsidP="00FE127F">
            <w:pPr>
              <w:jc w:val="center"/>
              <w:rPr>
                <w:sz w:val="16"/>
                <w:szCs w:val="16"/>
              </w:rPr>
            </w:pPr>
            <w:r w:rsidRPr="00FE127F">
              <w:rPr>
                <w:sz w:val="16"/>
                <w:szCs w:val="16"/>
              </w:rPr>
              <w:t>-0.2</w:t>
            </w:r>
          </w:p>
        </w:tc>
        <w:tc>
          <w:tcPr>
            <w:tcW w:w="992" w:type="dxa"/>
            <w:tcBorders>
              <w:top w:val="nil"/>
              <w:left w:val="nil"/>
              <w:bottom w:val="single" w:sz="4" w:space="0" w:color="auto"/>
              <w:right w:val="single" w:sz="4" w:space="0" w:color="auto"/>
            </w:tcBorders>
            <w:shd w:val="clear" w:color="000000" w:fill="FFFFFF"/>
            <w:noWrap/>
            <w:vAlign w:val="center"/>
            <w:hideMark/>
          </w:tcPr>
          <w:p w14:paraId="6E98BB22" w14:textId="64A4F7E6" w:rsidR="00FE127F" w:rsidRPr="00FE127F" w:rsidRDefault="00FE127F" w:rsidP="00FE127F">
            <w:pPr>
              <w:jc w:val="center"/>
              <w:rPr>
                <w:sz w:val="16"/>
                <w:szCs w:val="16"/>
              </w:rPr>
            </w:pPr>
            <w:r w:rsidRPr="00FE127F">
              <w:rPr>
                <w:sz w:val="16"/>
                <w:szCs w:val="16"/>
              </w:rPr>
              <w:t>-0.3</w:t>
            </w:r>
          </w:p>
        </w:tc>
        <w:tc>
          <w:tcPr>
            <w:tcW w:w="992" w:type="dxa"/>
            <w:tcBorders>
              <w:top w:val="nil"/>
              <w:left w:val="nil"/>
              <w:bottom w:val="single" w:sz="4" w:space="0" w:color="auto"/>
              <w:right w:val="single" w:sz="4" w:space="0" w:color="auto"/>
            </w:tcBorders>
            <w:shd w:val="clear" w:color="000000" w:fill="FFFFFF"/>
            <w:noWrap/>
            <w:vAlign w:val="center"/>
            <w:hideMark/>
          </w:tcPr>
          <w:p w14:paraId="744FFA37" w14:textId="1B920097" w:rsidR="00FE127F" w:rsidRPr="00FE127F" w:rsidRDefault="00FE127F" w:rsidP="00FE127F">
            <w:pPr>
              <w:jc w:val="center"/>
              <w:rPr>
                <w:sz w:val="16"/>
                <w:szCs w:val="16"/>
              </w:rPr>
            </w:pPr>
            <w:r w:rsidRPr="00FE127F">
              <w:rPr>
                <w:sz w:val="16"/>
                <w:szCs w:val="16"/>
              </w:rPr>
              <w:t>-0.2</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3B3EFB5A" w14:textId="245C9A50" w:rsidR="00FE127F" w:rsidRPr="00FE127F" w:rsidRDefault="00FE127F" w:rsidP="00FE127F">
            <w:pPr>
              <w:jc w:val="center"/>
              <w:rPr>
                <w:sz w:val="16"/>
                <w:szCs w:val="16"/>
              </w:rPr>
            </w:pPr>
            <w:r w:rsidRPr="00FE127F">
              <w:rPr>
                <w:sz w:val="16"/>
                <w:szCs w:val="16"/>
              </w:rPr>
              <w:t>-0.3</w:t>
            </w:r>
          </w:p>
        </w:tc>
      </w:tr>
      <w:tr w:rsidR="00FE127F" w:rsidRPr="00647FD4" w14:paraId="0DE0BB1D" w14:textId="77777777" w:rsidTr="00827ED5">
        <w:trPr>
          <w:trHeight w:val="56"/>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26E7D70B" w14:textId="77777777" w:rsidR="00FE127F" w:rsidRPr="00647FD4" w:rsidRDefault="00FE127F" w:rsidP="00FE127F">
            <w:pPr>
              <w:ind w:firstLineChars="300" w:firstLine="480"/>
              <w:rPr>
                <w:sz w:val="16"/>
                <w:szCs w:val="16"/>
              </w:rPr>
            </w:pPr>
            <w:r w:rsidRPr="00647FD4">
              <w:rPr>
                <w:sz w:val="16"/>
                <w:szCs w:val="16"/>
              </w:rPr>
              <w:t xml:space="preserve">Desembolsos </w:t>
            </w:r>
          </w:p>
        </w:tc>
        <w:tc>
          <w:tcPr>
            <w:tcW w:w="992" w:type="dxa"/>
            <w:tcBorders>
              <w:top w:val="nil"/>
              <w:left w:val="single" w:sz="4" w:space="0" w:color="auto"/>
              <w:bottom w:val="single" w:sz="4" w:space="0" w:color="auto"/>
              <w:right w:val="single" w:sz="4" w:space="0" w:color="auto"/>
            </w:tcBorders>
            <w:shd w:val="clear" w:color="000000" w:fill="FFFFFF"/>
            <w:noWrap/>
            <w:vAlign w:val="center"/>
            <w:hideMark/>
          </w:tcPr>
          <w:p w14:paraId="2731960B" w14:textId="701E7D17" w:rsidR="00FE127F" w:rsidRPr="00FE127F" w:rsidRDefault="00FE127F" w:rsidP="00FE127F">
            <w:pPr>
              <w:jc w:val="center"/>
              <w:rPr>
                <w:sz w:val="16"/>
                <w:szCs w:val="16"/>
              </w:rPr>
            </w:pPr>
            <w:r w:rsidRPr="00FE127F">
              <w:rPr>
                <w:sz w:val="16"/>
                <w:szCs w:val="16"/>
              </w:rPr>
              <w:t>0.4</w:t>
            </w:r>
          </w:p>
        </w:tc>
        <w:tc>
          <w:tcPr>
            <w:tcW w:w="993" w:type="dxa"/>
            <w:tcBorders>
              <w:top w:val="nil"/>
              <w:left w:val="nil"/>
              <w:bottom w:val="single" w:sz="4" w:space="0" w:color="auto"/>
              <w:right w:val="single" w:sz="4" w:space="0" w:color="auto"/>
            </w:tcBorders>
            <w:shd w:val="clear" w:color="000000" w:fill="FFFFFF"/>
            <w:noWrap/>
            <w:vAlign w:val="center"/>
            <w:hideMark/>
          </w:tcPr>
          <w:p w14:paraId="3455DDB1" w14:textId="2F0FC563" w:rsidR="00FE127F" w:rsidRPr="00FE127F" w:rsidRDefault="00FE127F" w:rsidP="00FE127F">
            <w:pPr>
              <w:jc w:val="center"/>
              <w:rPr>
                <w:sz w:val="16"/>
                <w:szCs w:val="16"/>
              </w:rPr>
            </w:pPr>
            <w:r w:rsidRPr="00FE127F">
              <w:rPr>
                <w:sz w:val="16"/>
                <w:szCs w:val="16"/>
              </w:rPr>
              <w:t>0.2</w:t>
            </w:r>
          </w:p>
        </w:tc>
        <w:tc>
          <w:tcPr>
            <w:tcW w:w="992" w:type="dxa"/>
            <w:tcBorders>
              <w:top w:val="nil"/>
              <w:left w:val="nil"/>
              <w:bottom w:val="single" w:sz="4" w:space="0" w:color="auto"/>
              <w:right w:val="single" w:sz="4" w:space="0" w:color="auto"/>
            </w:tcBorders>
            <w:shd w:val="clear" w:color="000000" w:fill="FFFFFF"/>
            <w:noWrap/>
            <w:vAlign w:val="center"/>
            <w:hideMark/>
          </w:tcPr>
          <w:p w14:paraId="5D26A3E5" w14:textId="1FC835E3" w:rsidR="00FE127F" w:rsidRPr="00FE127F" w:rsidRDefault="00FE127F" w:rsidP="00FE127F">
            <w:pPr>
              <w:jc w:val="center"/>
              <w:rPr>
                <w:sz w:val="16"/>
                <w:szCs w:val="16"/>
              </w:rPr>
            </w:pPr>
            <w:r w:rsidRPr="00FE127F">
              <w:rPr>
                <w:sz w:val="16"/>
                <w:szCs w:val="16"/>
              </w:rPr>
              <w:t>0.1</w:t>
            </w:r>
          </w:p>
        </w:tc>
        <w:tc>
          <w:tcPr>
            <w:tcW w:w="992" w:type="dxa"/>
            <w:tcBorders>
              <w:top w:val="nil"/>
              <w:left w:val="nil"/>
              <w:bottom w:val="single" w:sz="4" w:space="0" w:color="auto"/>
              <w:right w:val="single" w:sz="4" w:space="0" w:color="auto"/>
            </w:tcBorders>
            <w:shd w:val="clear" w:color="000000" w:fill="FFFFFF"/>
            <w:noWrap/>
            <w:vAlign w:val="center"/>
            <w:hideMark/>
          </w:tcPr>
          <w:p w14:paraId="2E6A64CE" w14:textId="38D6E506" w:rsidR="00FE127F" w:rsidRPr="00FE127F" w:rsidRDefault="00FE127F" w:rsidP="00FE127F">
            <w:pPr>
              <w:jc w:val="center"/>
              <w:rPr>
                <w:sz w:val="16"/>
                <w:szCs w:val="16"/>
              </w:rPr>
            </w:pPr>
            <w:r w:rsidRPr="00FE127F">
              <w:rPr>
                <w:sz w:val="16"/>
                <w:szCs w:val="16"/>
              </w:rPr>
              <w:t>0.1</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42A9F9CB" w14:textId="1D45B3C2" w:rsidR="00FE127F" w:rsidRPr="00FE127F" w:rsidRDefault="00FE127F" w:rsidP="00FE127F">
            <w:pPr>
              <w:jc w:val="center"/>
              <w:rPr>
                <w:sz w:val="16"/>
                <w:szCs w:val="16"/>
              </w:rPr>
            </w:pPr>
            <w:r w:rsidRPr="00FE127F">
              <w:rPr>
                <w:sz w:val="16"/>
                <w:szCs w:val="16"/>
              </w:rPr>
              <w:t>0.1</w:t>
            </w:r>
          </w:p>
        </w:tc>
      </w:tr>
      <w:tr w:rsidR="00FE127F" w:rsidRPr="00647FD4" w14:paraId="2DFD6F32" w14:textId="77777777" w:rsidTr="00827ED5">
        <w:trPr>
          <w:trHeight w:val="134"/>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0176FD43" w14:textId="77777777" w:rsidR="00FE127F" w:rsidRPr="00647FD4" w:rsidRDefault="00FE127F" w:rsidP="00FE127F">
            <w:pPr>
              <w:ind w:firstLineChars="300" w:firstLine="480"/>
              <w:rPr>
                <w:sz w:val="16"/>
                <w:szCs w:val="16"/>
              </w:rPr>
            </w:pPr>
            <w:r w:rsidRPr="00647FD4">
              <w:rPr>
                <w:sz w:val="16"/>
                <w:szCs w:val="16"/>
              </w:rPr>
              <w:t>Amortizaciones</w:t>
            </w:r>
          </w:p>
        </w:tc>
        <w:tc>
          <w:tcPr>
            <w:tcW w:w="992" w:type="dxa"/>
            <w:tcBorders>
              <w:top w:val="nil"/>
              <w:left w:val="single" w:sz="4" w:space="0" w:color="auto"/>
              <w:bottom w:val="single" w:sz="4" w:space="0" w:color="auto"/>
              <w:right w:val="single" w:sz="4" w:space="0" w:color="auto"/>
            </w:tcBorders>
            <w:shd w:val="clear" w:color="000000" w:fill="FFFFFF"/>
            <w:noWrap/>
            <w:vAlign w:val="center"/>
            <w:hideMark/>
          </w:tcPr>
          <w:p w14:paraId="4CDEAFE2" w14:textId="2AE6D987" w:rsidR="00FE127F" w:rsidRPr="00FE127F" w:rsidRDefault="00FE127F" w:rsidP="00FE127F">
            <w:pPr>
              <w:jc w:val="center"/>
              <w:rPr>
                <w:sz w:val="16"/>
                <w:szCs w:val="16"/>
              </w:rPr>
            </w:pPr>
            <w:r w:rsidRPr="00FE127F">
              <w:rPr>
                <w:sz w:val="16"/>
                <w:szCs w:val="16"/>
              </w:rPr>
              <w:t>0.5</w:t>
            </w:r>
          </w:p>
        </w:tc>
        <w:tc>
          <w:tcPr>
            <w:tcW w:w="993" w:type="dxa"/>
            <w:tcBorders>
              <w:top w:val="nil"/>
              <w:left w:val="nil"/>
              <w:bottom w:val="single" w:sz="4" w:space="0" w:color="auto"/>
              <w:right w:val="single" w:sz="4" w:space="0" w:color="auto"/>
            </w:tcBorders>
            <w:shd w:val="clear" w:color="000000" w:fill="FFFFFF"/>
            <w:noWrap/>
            <w:vAlign w:val="center"/>
            <w:hideMark/>
          </w:tcPr>
          <w:p w14:paraId="160E41F4" w14:textId="63B473DE" w:rsidR="00FE127F" w:rsidRPr="00FE127F" w:rsidRDefault="00FE127F" w:rsidP="00FE127F">
            <w:pPr>
              <w:jc w:val="center"/>
              <w:rPr>
                <w:sz w:val="16"/>
                <w:szCs w:val="16"/>
              </w:rPr>
            </w:pPr>
            <w:r w:rsidRPr="00FE127F">
              <w:rPr>
                <w:sz w:val="16"/>
                <w:szCs w:val="16"/>
              </w:rPr>
              <w:t>0.4</w:t>
            </w:r>
          </w:p>
        </w:tc>
        <w:tc>
          <w:tcPr>
            <w:tcW w:w="992" w:type="dxa"/>
            <w:tcBorders>
              <w:top w:val="nil"/>
              <w:left w:val="nil"/>
              <w:bottom w:val="single" w:sz="4" w:space="0" w:color="auto"/>
              <w:right w:val="single" w:sz="4" w:space="0" w:color="auto"/>
            </w:tcBorders>
            <w:shd w:val="clear" w:color="000000" w:fill="FFFFFF"/>
            <w:noWrap/>
            <w:vAlign w:val="center"/>
            <w:hideMark/>
          </w:tcPr>
          <w:p w14:paraId="3C04EC35" w14:textId="23486E4E" w:rsidR="00FE127F" w:rsidRPr="00FE127F" w:rsidRDefault="00FE127F" w:rsidP="00FE127F">
            <w:pPr>
              <w:jc w:val="center"/>
              <w:rPr>
                <w:sz w:val="16"/>
                <w:szCs w:val="16"/>
              </w:rPr>
            </w:pPr>
            <w:r w:rsidRPr="00FE127F">
              <w:rPr>
                <w:sz w:val="16"/>
                <w:szCs w:val="16"/>
              </w:rPr>
              <w:t>0.4</w:t>
            </w:r>
          </w:p>
        </w:tc>
        <w:tc>
          <w:tcPr>
            <w:tcW w:w="992" w:type="dxa"/>
            <w:tcBorders>
              <w:top w:val="nil"/>
              <w:left w:val="nil"/>
              <w:bottom w:val="single" w:sz="4" w:space="0" w:color="auto"/>
              <w:right w:val="single" w:sz="4" w:space="0" w:color="auto"/>
            </w:tcBorders>
            <w:shd w:val="clear" w:color="000000" w:fill="FFFFFF"/>
            <w:noWrap/>
            <w:vAlign w:val="center"/>
            <w:hideMark/>
          </w:tcPr>
          <w:p w14:paraId="23E67A6F" w14:textId="55E197C7" w:rsidR="00FE127F" w:rsidRPr="00FE127F" w:rsidRDefault="00FE127F" w:rsidP="00FE127F">
            <w:pPr>
              <w:jc w:val="center"/>
              <w:rPr>
                <w:sz w:val="16"/>
                <w:szCs w:val="16"/>
              </w:rPr>
            </w:pPr>
            <w:r w:rsidRPr="00FE127F">
              <w:rPr>
                <w:sz w:val="16"/>
                <w:szCs w:val="16"/>
              </w:rPr>
              <w:t>0.3</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5BF3AB3F" w14:textId="7533184F" w:rsidR="00FE127F" w:rsidRPr="00FE127F" w:rsidRDefault="00FE127F" w:rsidP="00FE127F">
            <w:pPr>
              <w:jc w:val="center"/>
              <w:rPr>
                <w:sz w:val="16"/>
                <w:szCs w:val="16"/>
              </w:rPr>
            </w:pPr>
            <w:r w:rsidRPr="00FE127F">
              <w:rPr>
                <w:sz w:val="16"/>
                <w:szCs w:val="16"/>
              </w:rPr>
              <w:t>0.4</w:t>
            </w:r>
          </w:p>
        </w:tc>
      </w:tr>
      <w:tr w:rsidR="00FE127F" w:rsidRPr="00647FD4" w14:paraId="72608DFD" w14:textId="77777777" w:rsidTr="00827ED5">
        <w:trPr>
          <w:trHeight w:val="95"/>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6E9FACCD" w14:textId="77777777" w:rsidR="00FE127F" w:rsidRPr="00647FD4" w:rsidRDefault="00FE127F" w:rsidP="00FE127F">
            <w:pPr>
              <w:ind w:firstLineChars="200" w:firstLine="320"/>
              <w:rPr>
                <w:sz w:val="16"/>
                <w:szCs w:val="16"/>
              </w:rPr>
            </w:pPr>
            <w:r w:rsidRPr="00647FD4">
              <w:rPr>
                <w:sz w:val="16"/>
                <w:szCs w:val="16"/>
              </w:rPr>
              <w:t>Negociación Neta de Eurobonos</w:t>
            </w:r>
          </w:p>
        </w:tc>
        <w:tc>
          <w:tcPr>
            <w:tcW w:w="992" w:type="dxa"/>
            <w:tcBorders>
              <w:top w:val="nil"/>
              <w:left w:val="single" w:sz="4" w:space="0" w:color="auto"/>
              <w:bottom w:val="single" w:sz="4" w:space="0" w:color="auto"/>
              <w:right w:val="single" w:sz="4" w:space="0" w:color="auto"/>
            </w:tcBorders>
            <w:shd w:val="clear" w:color="000000" w:fill="FFFFFF"/>
            <w:noWrap/>
            <w:vAlign w:val="center"/>
            <w:hideMark/>
          </w:tcPr>
          <w:p w14:paraId="7EB513EE" w14:textId="499DFC5A" w:rsidR="00FE127F" w:rsidRPr="00FE127F" w:rsidRDefault="00FE127F" w:rsidP="00FE127F">
            <w:pPr>
              <w:jc w:val="center"/>
              <w:rPr>
                <w:sz w:val="16"/>
                <w:szCs w:val="16"/>
              </w:rPr>
            </w:pPr>
            <w:r w:rsidRPr="00FE127F">
              <w:rPr>
                <w:sz w:val="16"/>
                <w:szCs w:val="16"/>
              </w:rPr>
              <w:t>0.0</w:t>
            </w:r>
          </w:p>
        </w:tc>
        <w:tc>
          <w:tcPr>
            <w:tcW w:w="993" w:type="dxa"/>
            <w:tcBorders>
              <w:top w:val="nil"/>
              <w:left w:val="nil"/>
              <w:bottom w:val="single" w:sz="4" w:space="0" w:color="auto"/>
              <w:right w:val="single" w:sz="4" w:space="0" w:color="auto"/>
            </w:tcBorders>
            <w:shd w:val="clear" w:color="000000" w:fill="FFFFFF"/>
            <w:noWrap/>
            <w:vAlign w:val="center"/>
            <w:hideMark/>
          </w:tcPr>
          <w:p w14:paraId="03CA7B30" w14:textId="530E769A" w:rsidR="00FE127F" w:rsidRPr="00FE127F" w:rsidRDefault="00FE127F" w:rsidP="00FE127F">
            <w:pPr>
              <w:jc w:val="center"/>
              <w:rPr>
                <w:sz w:val="16"/>
                <w:szCs w:val="16"/>
              </w:rPr>
            </w:pPr>
            <w:r w:rsidRPr="00FE127F">
              <w:rPr>
                <w:sz w:val="16"/>
                <w:szCs w:val="16"/>
              </w:rPr>
              <w:t>0.0</w:t>
            </w:r>
          </w:p>
        </w:tc>
        <w:tc>
          <w:tcPr>
            <w:tcW w:w="992" w:type="dxa"/>
            <w:tcBorders>
              <w:top w:val="nil"/>
              <w:left w:val="nil"/>
              <w:bottom w:val="single" w:sz="4" w:space="0" w:color="auto"/>
              <w:right w:val="single" w:sz="4" w:space="0" w:color="auto"/>
            </w:tcBorders>
            <w:shd w:val="clear" w:color="000000" w:fill="FFFFFF"/>
            <w:noWrap/>
            <w:vAlign w:val="center"/>
            <w:hideMark/>
          </w:tcPr>
          <w:p w14:paraId="09E49F4E" w14:textId="3A0F8D7E" w:rsidR="00FE127F" w:rsidRPr="00FE127F" w:rsidRDefault="00FE127F" w:rsidP="00FE127F">
            <w:pPr>
              <w:jc w:val="center"/>
              <w:rPr>
                <w:sz w:val="16"/>
                <w:szCs w:val="16"/>
              </w:rPr>
            </w:pPr>
            <w:r w:rsidRPr="00FE127F">
              <w:rPr>
                <w:sz w:val="16"/>
                <w:szCs w:val="16"/>
              </w:rPr>
              <w:t>0.0</w:t>
            </w:r>
          </w:p>
        </w:tc>
        <w:tc>
          <w:tcPr>
            <w:tcW w:w="992" w:type="dxa"/>
            <w:tcBorders>
              <w:top w:val="nil"/>
              <w:left w:val="nil"/>
              <w:bottom w:val="single" w:sz="4" w:space="0" w:color="auto"/>
              <w:right w:val="single" w:sz="4" w:space="0" w:color="auto"/>
            </w:tcBorders>
            <w:shd w:val="clear" w:color="000000" w:fill="FFFFFF"/>
            <w:noWrap/>
            <w:vAlign w:val="center"/>
            <w:hideMark/>
          </w:tcPr>
          <w:p w14:paraId="22C03606" w14:textId="70AD71D7" w:rsidR="00FE127F" w:rsidRPr="00FE127F" w:rsidRDefault="00FE127F" w:rsidP="00FE127F">
            <w:pPr>
              <w:jc w:val="center"/>
              <w:rPr>
                <w:sz w:val="16"/>
                <w:szCs w:val="16"/>
              </w:rPr>
            </w:pPr>
            <w:r w:rsidRPr="00FE127F">
              <w:rPr>
                <w:sz w:val="16"/>
                <w:szCs w:val="16"/>
              </w:rPr>
              <w:t>0.0</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42E550FB" w14:textId="043D12B5" w:rsidR="00FE127F" w:rsidRPr="00FE127F" w:rsidRDefault="00FE127F" w:rsidP="00FE127F">
            <w:pPr>
              <w:jc w:val="center"/>
              <w:rPr>
                <w:sz w:val="16"/>
                <w:szCs w:val="16"/>
              </w:rPr>
            </w:pPr>
            <w:r w:rsidRPr="00FE127F">
              <w:rPr>
                <w:sz w:val="16"/>
                <w:szCs w:val="16"/>
              </w:rPr>
              <w:t>0.0</w:t>
            </w:r>
          </w:p>
        </w:tc>
      </w:tr>
      <w:tr w:rsidR="00FE127F" w:rsidRPr="00647FD4" w14:paraId="123F0706" w14:textId="77777777" w:rsidTr="00827ED5">
        <w:trPr>
          <w:trHeight w:val="56"/>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7D3416D2" w14:textId="77777777" w:rsidR="00FE127F" w:rsidRPr="00647FD4" w:rsidRDefault="00FE127F" w:rsidP="00FE127F">
            <w:pPr>
              <w:ind w:firstLineChars="100" w:firstLine="160"/>
              <w:rPr>
                <w:sz w:val="16"/>
                <w:szCs w:val="16"/>
              </w:rPr>
            </w:pPr>
            <w:r w:rsidRPr="00647FD4">
              <w:rPr>
                <w:sz w:val="16"/>
                <w:szCs w:val="16"/>
              </w:rPr>
              <w:t>Financiamiento Interno Neto</w:t>
            </w:r>
          </w:p>
        </w:tc>
        <w:tc>
          <w:tcPr>
            <w:tcW w:w="992" w:type="dxa"/>
            <w:tcBorders>
              <w:top w:val="nil"/>
              <w:left w:val="single" w:sz="4" w:space="0" w:color="auto"/>
              <w:bottom w:val="single" w:sz="4" w:space="0" w:color="auto"/>
              <w:right w:val="single" w:sz="4" w:space="0" w:color="auto"/>
            </w:tcBorders>
            <w:shd w:val="clear" w:color="000000" w:fill="FFFFFF"/>
            <w:noWrap/>
            <w:vAlign w:val="center"/>
            <w:hideMark/>
          </w:tcPr>
          <w:p w14:paraId="525C767E" w14:textId="384DA6ED" w:rsidR="00FE127F" w:rsidRPr="00FE127F" w:rsidRDefault="00FE127F" w:rsidP="00FE127F">
            <w:pPr>
              <w:jc w:val="center"/>
              <w:rPr>
                <w:sz w:val="16"/>
                <w:szCs w:val="16"/>
              </w:rPr>
            </w:pPr>
            <w:r w:rsidRPr="00FE127F">
              <w:rPr>
                <w:sz w:val="16"/>
                <w:szCs w:val="16"/>
              </w:rPr>
              <w:t>1.9</w:t>
            </w:r>
          </w:p>
        </w:tc>
        <w:tc>
          <w:tcPr>
            <w:tcW w:w="993" w:type="dxa"/>
            <w:tcBorders>
              <w:top w:val="nil"/>
              <w:left w:val="nil"/>
              <w:bottom w:val="single" w:sz="4" w:space="0" w:color="auto"/>
              <w:right w:val="single" w:sz="4" w:space="0" w:color="auto"/>
            </w:tcBorders>
            <w:shd w:val="clear" w:color="000000" w:fill="FFFFFF"/>
            <w:noWrap/>
            <w:vAlign w:val="center"/>
            <w:hideMark/>
          </w:tcPr>
          <w:p w14:paraId="403A9185" w14:textId="0DB6B51C" w:rsidR="00FE127F" w:rsidRPr="00FE127F" w:rsidRDefault="00FE127F" w:rsidP="00FE127F">
            <w:pPr>
              <w:jc w:val="center"/>
              <w:rPr>
                <w:sz w:val="16"/>
                <w:szCs w:val="16"/>
              </w:rPr>
            </w:pPr>
            <w:r w:rsidRPr="00FE127F">
              <w:rPr>
                <w:sz w:val="16"/>
                <w:szCs w:val="16"/>
              </w:rPr>
              <w:t>1.4</w:t>
            </w:r>
          </w:p>
        </w:tc>
        <w:tc>
          <w:tcPr>
            <w:tcW w:w="992" w:type="dxa"/>
            <w:tcBorders>
              <w:top w:val="nil"/>
              <w:left w:val="nil"/>
              <w:bottom w:val="single" w:sz="4" w:space="0" w:color="auto"/>
              <w:right w:val="single" w:sz="4" w:space="0" w:color="auto"/>
            </w:tcBorders>
            <w:shd w:val="clear" w:color="000000" w:fill="FFFFFF"/>
            <w:noWrap/>
            <w:vAlign w:val="center"/>
            <w:hideMark/>
          </w:tcPr>
          <w:p w14:paraId="21ED7BAD" w14:textId="27BA84B1" w:rsidR="00FE127F" w:rsidRPr="00FE127F" w:rsidRDefault="00FE127F" w:rsidP="00FE127F">
            <w:pPr>
              <w:jc w:val="center"/>
              <w:rPr>
                <w:sz w:val="16"/>
                <w:szCs w:val="16"/>
              </w:rPr>
            </w:pPr>
            <w:r w:rsidRPr="00FE127F">
              <w:rPr>
                <w:sz w:val="16"/>
                <w:szCs w:val="16"/>
              </w:rPr>
              <w:t>1.0</w:t>
            </w:r>
          </w:p>
        </w:tc>
        <w:tc>
          <w:tcPr>
            <w:tcW w:w="992" w:type="dxa"/>
            <w:tcBorders>
              <w:top w:val="nil"/>
              <w:left w:val="nil"/>
              <w:bottom w:val="single" w:sz="4" w:space="0" w:color="auto"/>
              <w:right w:val="single" w:sz="4" w:space="0" w:color="auto"/>
            </w:tcBorders>
            <w:shd w:val="clear" w:color="000000" w:fill="FFFFFF"/>
            <w:noWrap/>
            <w:vAlign w:val="center"/>
            <w:hideMark/>
          </w:tcPr>
          <w:p w14:paraId="2EAE65F4" w14:textId="2DA047A1" w:rsidR="00FE127F" w:rsidRPr="00FE127F" w:rsidRDefault="00FE127F" w:rsidP="00FE127F">
            <w:pPr>
              <w:jc w:val="center"/>
              <w:rPr>
                <w:sz w:val="16"/>
                <w:szCs w:val="16"/>
              </w:rPr>
            </w:pPr>
            <w:r w:rsidRPr="00FE127F">
              <w:rPr>
                <w:sz w:val="16"/>
                <w:szCs w:val="16"/>
              </w:rPr>
              <w:t>0.5</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738A0DC4" w14:textId="10AB49F2" w:rsidR="00FE127F" w:rsidRPr="00FE127F" w:rsidRDefault="00FE127F" w:rsidP="00FE127F">
            <w:pPr>
              <w:jc w:val="center"/>
              <w:rPr>
                <w:sz w:val="16"/>
                <w:szCs w:val="16"/>
              </w:rPr>
            </w:pPr>
            <w:r w:rsidRPr="00FE127F">
              <w:rPr>
                <w:sz w:val="16"/>
                <w:szCs w:val="16"/>
              </w:rPr>
              <w:t>0.2</w:t>
            </w:r>
          </w:p>
        </w:tc>
      </w:tr>
      <w:tr w:rsidR="00FE127F" w:rsidRPr="00647FD4" w14:paraId="22882FCE" w14:textId="77777777" w:rsidTr="00827ED5">
        <w:trPr>
          <w:trHeight w:val="128"/>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16FD3D89" w14:textId="6F6ADEEC" w:rsidR="00FE127F" w:rsidRPr="00647FD4" w:rsidRDefault="00FE127F" w:rsidP="00FE127F">
            <w:pPr>
              <w:ind w:firstLineChars="200" w:firstLine="320"/>
              <w:rPr>
                <w:sz w:val="16"/>
                <w:szCs w:val="16"/>
              </w:rPr>
            </w:pPr>
            <w:r w:rsidRPr="00647FD4">
              <w:rPr>
                <w:sz w:val="16"/>
                <w:szCs w:val="16"/>
              </w:rPr>
              <w:t>Negociación Neta de Bonos</w:t>
            </w:r>
          </w:p>
        </w:tc>
        <w:tc>
          <w:tcPr>
            <w:tcW w:w="992" w:type="dxa"/>
            <w:tcBorders>
              <w:top w:val="nil"/>
              <w:left w:val="single" w:sz="4" w:space="0" w:color="auto"/>
              <w:bottom w:val="single" w:sz="4" w:space="0" w:color="auto"/>
              <w:right w:val="single" w:sz="4" w:space="0" w:color="auto"/>
            </w:tcBorders>
            <w:shd w:val="clear" w:color="000000" w:fill="FFFFFF"/>
            <w:noWrap/>
            <w:vAlign w:val="center"/>
            <w:hideMark/>
          </w:tcPr>
          <w:p w14:paraId="0C2E67C5" w14:textId="45BF79AB" w:rsidR="00FE127F" w:rsidRPr="00FE127F" w:rsidRDefault="00FE127F" w:rsidP="00FE127F">
            <w:pPr>
              <w:jc w:val="center"/>
              <w:rPr>
                <w:sz w:val="16"/>
                <w:szCs w:val="16"/>
              </w:rPr>
            </w:pPr>
            <w:r w:rsidRPr="00FE127F">
              <w:rPr>
                <w:sz w:val="16"/>
                <w:szCs w:val="16"/>
              </w:rPr>
              <w:t>1.3</w:t>
            </w:r>
          </w:p>
        </w:tc>
        <w:tc>
          <w:tcPr>
            <w:tcW w:w="993" w:type="dxa"/>
            <w:tcBorders>
              <w:top w:val="nil"/>
              <w:left w:val="nil"/>
              <w:bottom w:val="single" w:sz="4" w:space="0" w:color="auto"/>
              <w:right w:val="single" w:sz="4" w:space="0" w:color="auto"/>
            </w:tcBorders>
            <w:shd w:val="clear" w:color="000000" w:fill="FFFFFF"/>
            <w:noWrap/>
            <w:vAlign w:val="center"/>
            <w:hideMark/>
          </w:tcPr>
          <w:p w14:paraId="6B4FB07A" w14:textId="15901C3F" w:rsidR="00FE127F" w:rsidRPr="00FE127F" w:rsidRDefault="00FE127F" w:rsidP="00FE127F">
            <w:pPr>
              <w:jc w:val="center"/>
              <w:rPr>
                <w:sz w:val="16"/>
                <w:szCs w:val="16"/>
              </w:rPr>
            </w:pPr>
            <w:r w:rsidRPr="00FE127F">
              <w:rPr>
                <w:sz w:val="16"/>
                <w:szCs w:val="16"/>
              </w:rPr>
              <w:t>1.4</w:t>
            </w:r>
          </w:p>
        </w:tc>
        <w:tc>
          <w:tcPr>
            <w:tcW w:w="992" w:type="dxa"/>
            <w:tcBorders>
              <w:top w:val="nil"/>
              <w:left w:val="nil"/>
              <w:bottom w:val="single" w:sz="4" w:space="0" w:color="auto"/>
              <w:right w:val="single" w:sz="4" w:space="0" w:color="auto"/>
            </w:tcBorders>
            <w:shd w:val="clear" w:color="000000" w:fill="FFFFFF"/>
            <w:noWrap/>
            <w:vAlign w:val="center"/>
            <w:hideMark/>
          </w:tcPr>
          <w:p w14:paraId="6B323633" w14:textId="763DE431" w:rsidR="00FE127F" w:rsidRPr="00FE127F" w:rsidRDefault="00FE127F" w:rsidP="00FE127F">
            <w:pPr>
              <w:jc w:val="center"/>
              <w:rPr>
                <w:sz w:val="16"/>
                <w:szCs w:val="16"/>
              </w:rPr>
            </w:pPr>
            <w:r w:rsidRPr="00FE127F">
              <w:rPr>
                <w:sz w:val="16"/>
                <w:szCs w:val="16"/>
              </w:rPr>
              <w:t>1.0</w:t>
            </w:r>
          </w:p>
        </w:tc>
        <w:tc>
          <w:tcPr>
            <w:tcW w:w="992" w:type="dxa"/>
            <w:tcBorders>
              <w:top w:val="nil"/>
              <w:left w:val="nil"/>
              <w:bottom w:val="single" w:sz="4" w:space="0" w:color="auto"/>
              <w:right w:val="single" w:sz="4" w:space="0" w:color="auto"/>
            </w:tcBorders>
            <w:shd w:val="clear" w:color="000000" w:fill="FFFFFF"/>
            <w:noWrap/>
            <w:vAlign w:val="center"/>
            <w:hideMark/>
          </w:tcPr>
          <w:p w14:paraId="0056225D" w14:textId="16EC1C76" w:rsidR="00FE127F" w:rsidRPr="00FE127F" w:rsidRDefault="00FE127F" w:rsidP="00FE127F">
            <w:pPr>
              <w:jc w:val="center"/>
              <w:rPr>
                <w:sz w:val="16"/>
                <w:szCs w:val="16"/>
              </w:rPr>
            </w:pPr>
            <w:r w:rsidRPr="00FE127F">
              <w:rPr>
                <w:sz w:val="16"/>
                <w:szCs w:val="16"/>
              </w:rPr>
              <w:t>0.5</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0371098E" w14:textId="2FAE8A40" w:rsidR="00FE127F" w:rsidRPr="00FE127F" w:rsidRDefault="00FE127F" w:rsidP="00FE127F">
            <w:pPr>
              <w:jc w:val="center"/>
              <w:rPr>
                <w:sz w:val="16"/>
                <w:szCs w:val="16"/>
              </w:rPr>
            </w:pPr>
            <w:r w:rsidRPr="00FE127F">
              <w:rPr>
                <w:sz w:val="16"/>
                <w:szCs w:val="16"/>
              </w:rPr>
              <w:t>0.2</w:t>
            </w:r>
          </w:p>
        </w:tc>
      </w:tr>
      <w:tr w:rsidR="00FE127F" w:rsidRPr="00647FD4" w14:paraId="39DF0B89" w14:textId="77777777" w:rsidTr="00827ED5">
        <w:trPr>
          <w:trHeight w:val="75"/>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5D9EC1EB" w14:textId="77777777" w:rsidR="00FE127F" w:rsidRPr="00647FD4" w:rsidRDefault="00FE127F" w:rsidP="00FE127F">
            <w:pPr>
              <w:ind w:firstLineChars="200" w:firstLine="320"/>
              <w:rPr>
                <w:sz w:val="16"/>
                <w:szCs w:val="16"/>
              </w:rPr>
            </w:pPr>
            <w:r w:rsidRPr="00647FD4">
              <w:rPr>
                <w:sz w:val="16"/>
                <w:szCs w:val="16"/>
              </w:rPr>
              <w:t>Amortización (costo de la política monetaria)</w:t>
            </w:r>
          </w:p>
        </w:tc>
        <w:tc>
          <w:tcPr>
            <w:tcW w:w="992" w:type="dxa"/>
            <w:tcBorders>
              <w:top w:val="nil"/>
              <w:left w:val="single" w:sz="4" w:space="0" w:color="auto"/>
              <w:bottom w:val="single" w:sz="4" w:space="0" w:color="auto"/>
              <w:right w:val="single" w:sz="4" w:space="0" w:color="auto"/>
            </w:tcBorders>
            <w:shd w:val="clear" w:color="000000" w:fill="FFFFFF"/>
            <w:noWrap/>
            <w:vAlign w:val="center"/>
            <w:hideMark/>
          </w:tcPr>
          <w:p w14:paraId="2E82445A" w14:textId="04CD9A5D" w:rsidR="00FE127F" w:rsidRPr="00FE127F" w:rsidRDefault="00FE127F" w:rsidP="00FE127F">
            <w:pPr>
              <w:jc w:val="center"/>
              <w:rPr>
                <w:sz w:val="16"/>
                <w:szCs w:val="16"/>
              </w:rPr>
            </w:pPr>
            <w:r w:rsidRPr="00FE127F">
              <w:rPr>
                <w:sz w:val="16"/>
                <w:szCs w:val="16"/>
              </w:rPr>
              <w:t>0.3</w:t>
            </w:r>
          </w:p>
        </w:tc>
        <w:tc>
          <w:tcPr>
            <w:tcW w:w="993" w:type="dxa"/>
            <w:tcBorders>
              <w:top w:val="nil"/>
              <w:left w:val="nil"/>
              <w:bottom w:val="single" w:sz="4" w:space="0" w:color="auto"/>
              <w:right w:val="single" w:sz="4" w:space="0" w:color="auto"/>
            </w:tcBorders>
            <w:shd w:val="clear" w:color="000000" w:fill="FFFFFF"/>
            <w:noWrap/>
            <w:vAlign w:val="center"/>
            <w:hideMark/>
          </w:tcPr>
          <w:p w14:paraId="5685091C" w14:textId="5FD668D6" w:rsidR="00FE127F" w:rsidRPr="00FE127F" w:rsidRDefault="00FE127F" w:rsidP="00FE127F">
            <w:pPr>
              <w:jc w:val="center"/>
              <w:rPr>
                <w:sz w:val="16"/>
                <w:szCs w:val="16"/>
              </w:rPr>
            </w:pPr>
            <w:r w:rsidRPr="00FE127F">
              <w:rPr>
                <w:sz w:val="16"/>
                <w:szCs w:val="16"/>
              </w:rPr>
              <w:t>0.0</w:t>
            </w:r>
          </w:p>
        </w:tc>
        <w:tc>
          <w:tcPr>
            <w:tcW w:w="992" w:type="dxa"/>
            <w:tcBorders>
              <w:top w:val="nil"/>
              <w:left w:val="nil"/>
              <w:bottom w:val="single" w:sz="4" w:space="0" w:color="auto"/>
              <w:right w:val="single" w:sz="4" w:space="0" w:color="auto"/>
            </w:tcBorders>
            <w:shd w:val="clear" w:color="000000" w:fill="FFFFFF"/>
            <w:noWrap/>
            <w:vAlign w:val="center"/>
            <w:hideMark/>
          </w:tcPr>
          <w:p w14:paraId="48BB5DE6" w14:textId="48C95D8A" w:rsidR="00FE127F" w:rsidRPr="00FE127F" w:rsidRDefault="00FE127F" w:rsidP="00FE127F">
            <w:pPr>
              <w:jc w:val="center"/>
              <w:rPr>
                <w:sz w:val="16"/>
                <w:szCs w:val="16"/>
              </w:rPr>
            </w:pPr>
            <w:r w:rsidRPr="00FE127F">
              <w:rPr>
                <w:sz w:val="16"/>
                <w:szCs w:val="16"/>
              </w:rPr>
              <w:t>0.0</w:t>
            </w:r>
          </w:p>
        </w:tc>
        <w:tc>
          <w:tcPr>
            <w:tcW w:w="992" w:type="dxa"/>
            <w:tcBorders>
              <w:top w:val="nil"/>
              <w:left w:val="nil"/>
              <w:bottom w:val="single" w:sz="4" w:space="0" w:color="auto"/>
              <w:right w:val="single" w:sz="4" w:space="0" w:color="auto"/>
            </w:tcBorders>
            <w:shd w:val="clear" w:color="000000" w:fill="FFFFFF"/>
            <w:noWrap/>
            <w:vAlign w:val="center"/>
            <w:hideMark/>
          </w:tcPr>
          <w:p w14:paraId="570E1B84" w14:textId="24F91D70" w:rsidR="00FE127F" w:rsidRPr="00FE127F" w:rsidRDefault="00FE127F" w:rsidP="00FE127F">
            <w:pPr>
              <w:jc w:val="center"/>
              <w:rPr>
                <w:sz w:val="16"/>
                <w:szCs w:val="16"/>
              </w:rPr>
            </w:pPr>
            <w:r w:rsidRPr="00FE127F">
              <w:rPr>
                <w:sz w:val="16"/>
                <w:szCs w:val="16"/>
              </w:rPr>
              <w:t>0.0</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5342846C" w14:textId="6ED238A5" w:rsidR="00FE127F" w:rsidRPr="00FE127F" w:rsidRDefault="00FE127F" w:rsidP="00FE127F">
            <w:pPr>
              <w:jc w:val="center"/>
              <w:rPr>
                <w:sz w:val="16"/>
                <w:szCs w:val="16"/>
              </w:rPr>
            </w:pPr>
            <w:r w:rsidRPr="00FE127F">
              <w:rPr>
                <w:sz w:val="16"/>
                <w:szCs w:val="16"/>
              </w:rPr>
              <w:t>0.0</w:t>
            </w:r>
          </w:p>
        </w:tc>
      </w:tr>
      <w:tr w:rsidR="00FE127F" w:rsidRPr="00647FD4" w14:paraId="14A52B20" w14:textId="77777777" w:rsidTr="00827ED5">
        <w:trPr>
          <w:trHeight w:val="56"/>
        </w:trPr>
        <w:tc>
          <w:tcPr>
            <w:tcW w:w="3534" w:type="dxa"/>
            <w:tcBorders>
              <w:top w:val="nil"/>
              <w:left w:val="single" w:sz="8" w:space="0" w:color="auto"/>
              <w:bottom w:val="single" w:sz="8" w:space="0" w:color="auto"/>
              <w:right w:val="single" w:sz="8" w:space="0" w:color="auto"/>
            </w:tcBorders>
            <w:shd w:val="clear" w:color="000000" w:fill="FFFFFF"/>
            <w:noWrap/>
            <w:vAlign w:val="center"/>
            <w:hideMark/>
          </w:tcPr>
          <w:p w14:paraId="3CCA5A9D" w14:textId="7B7563F4" w:rsidR="00FE127F" w:rsidRPr="00647FD4" w:rsidRDefault="00FE127F" w:rsidP="00FE127F">
            <w:pPr>
              <w:ind w:firstLineChars="200" w:firstLine="320"/>
              <w:rPr>
                <w:sz w:val="16"/>
                <w:szCs w:val="16"/>
              </w:rPr>
            </w:pPr>
            <w:r w:rsidRPr="00647FD4">
              <w:rPr>
                <w:sz w:val="16"/>
                <w:szCs w:val="16"/>
              </w:rPr>
              <w:t>Variación de Caja (+) disminución (-) aumento</w:t>
            </w:r>
          </w:p>
        </w:tc>
        <w:tc>
          <w:tcPr>
            <w:tcW w:w="992" w:type="dxa"/>
            <w:tcBorders>
              <w:top w:val="nil"/>
              <w:left w:val="single" w:sz="4" w:space="0" w:color="auto"/>
              <w:bottom w:val="single" w:sz="8" w:space="0" w:color="auto"/>
              <w:right w:val="single" w:sz="4" w:space="0" w:color="auto"/>
            </w:tcBorders>
            <w:shd w:val="clear" w:color="000000" w:fill="FFFFFF"/>
            <w:noWrap/>
            <w:vAlign w:val="center"/>
            <w:hideMark/>
          </w:tcPr>
          <w:p w14:paraId="3A031CB1" w14:textId="0E3C390A" w:rsidR="00FE127F" w:rsidRPr="00FE127F" w:rsidRDefault="00FE127F" w:rsidP="00FE127F">
            <w:pPr>
              <w:jc w:val="center"/>
              <w:rPr>
                <w:sz w:val="16"/>
                <w:szCs w:val="16"/>
              </w:rPr>
            </w:pPr>
            <w:r w:rsidRPr="00FE127F">
              <w:rPr>
                <w:sz w:val="16"/>
                <w:szCs w:val="16"/>
              </w:rPr>
              <w:t>0.9</w:t>
            </w:r>
          </w:p>
        </w:tc>
        <w:tc>
          <w:tcPr>
            <w:tcW w:w="993" w:type="dxa"/>
            <w:tcBorders>
              <w:top w:val="nil"/>
              <w:left w:val="nil"/>
              <w:bottom w:val="single" w:sz="8" w:space="0" w:color="auto"/>
              <w:right w:val="single" w:sz="4" w:space="0" w:color="auto"/>
            </w:tcBorders>
            <w:shd w:val="clear" w:color="000000" w:fill="FFFFFF"/>
            <w:noWrap/>
            <w:vAlign w:val="center"/>
            <w:hideMark/>
          </w:tcPr>
          <w:p w14:paraId="24707C1B" w14:textId="3520AC3C" w:rsidR="00FE127F" w:rsidRPr="00FE127F" w:rsidRDefault="00FE127F" w:rsidP="00FE127F">
            <w:pPr>
              <w:jc w:val="center"/>
              <w:rPr>
                <w:sz w:val="16"/>
                <w:szCs w:val="16"/>
              </w:rPr>
            </w:pPr>
            <w:r w:rsidRPr="00FE127F">
              <w:rPr>
                <w:sz w:val="16"/>
                <w:szCs w:val="16"/>
              </w:rPr>
              <w:t>0.0</w:t>
            </w:r>
          </w:p>
        </w:tc>
        <w:tc>
          <w:tcPr>
            <w:tcW w:w="992" w:type="dxa"/>
            <w:tcBorders>
              <w:top w:val="nil"/>
              <w:left w:val="nil"/>
              <w:bottom w:val="single" w:sz="8" w:space="0" w:color="auto"/>
              <w:right w:val="single" w:sz="4" w:space="0" w:color="auto"/>
            </w:tcBorders>
            <w:shd w:val="clear" w:color="000000" w:fill="FFFFFF"/>
            <w:noWrap/>
            <w:vAlign w:val="center"/>
            <w:hideMark/>
          </w:tcPr>
          <w:p w14:paraId="0A55EE6E" w14:textId="55AAB38A" w:rsidR="00FE127F" w:rsidRPr="00FE127F" w:rsidRDefault="00FE127F" w:rsidP="00FE127F">
            <w:pPr>
              <w:jc w:val="center"/>
              <w:rPr>
                <w:sz w:val="16"/>
                <w:szCs w:val="16"/>
              </w:rPr>
            </w:pPr>
            <w:r w:rsidRPr="00FE127F">
              <w:rPr>
                <w:sz w:val="16"/>
                <w:szCs w:val="16"/>
              </w:rPr>
              <w:t>0.0</w:t>
            </w:r>
          </w:p>
        </w:tc>
        <w:tc>
          <w:tcPr>
            <w:tcW w:w="992" w:type="dxa"/>
            <w:tcBorders>
              <w:top w:val="nil"/>
              <w:left w:val="nil"/>
              <w:bottom w:val="single" w:sz="8" w:space="0" w:color="auto"/>
              <w:right w:val="single" w:sz="4" w:space="0" w:color="auto"/>
            </w:tcBorders>
            <w:shd w:val="clear" w:color="000000" w:fill="FFFFFF"/>
            <w:noWrap/>
            <w:vAlign w:val="center"/>
            <w:hideMark/>
          </w:tcPr>
          <w:p w14:paraId="1DA8A48A" w14:textId="46109E35" w:rsidR="00FE127F" w:rsidRPr="00FE127F" w:rsidRDefault="00FE127F" w:rsidP="00FE127F">
            <w:pPr>
              <w:jc w:val="center"/>
              <w:rPr>
                <w:sz w:val="16"/>
                <w:szCs w:val="16"/>
              </w:rPr>
            </w:pPr>
            <w:r w:rsidRPr="00FE127F">
              <w:rPr>
                <w:sz w:val="16"/>
                <w:szCs w:val="16"/>
              </w:rPr>
              <w:t>0.0</w:t>
            </w:r>
          </w:p>
        </w:tc>
        <w:tc>
          <w:tcPr>
            <w:tcW w:w="992" w:type="dxa"/>
            <w:tcBorders>
              <w:top w:val="nil"/>
              <w:left w:val="nil"/>
              <w:bottom w:val="single" w:sz="8" w:space="0" w:color="auto"/>
              <w:right w:val="single" w:sz="8" w:space="0" w:color="auto"/>
            </w:tcBorders>
            <w:shd w:val="clear" w:color="000000" w:fill="FFFFFF"/>
            <w:noWrap/>
            <w:vAlign w:val="center"/>
            <w:hideMark/>
          </w:tcPr>
          <w:p w14:paraId="69BD0CE9" w14:textId="31A8D4EF" w:rsidR="00FE127F" w:rsidRPr="00FE127F" w:rsidRDefault="00FE127F" w:rsidP="00FE127F">
            <w:pPr>
              <w:jc w:val="center"/>
              <w:rPr>
                <w:sz w:val="16"/>
                <w:szCs w:val="16"/>
              </w:rPr>
            </w:pPr>
            <w:r w:rsidRPr="00FE127F">
              <w:rPr>
                <w:sz w:val="16"/>
                <w:szCs w:val="16"/>
              </w:rPr>
              <w:t>0.0</w:t>
            </w:r>
          </w:p>
        </w:tc>
      </w:tr>
      <w:tr w:rsidR="00647FD4" w:rsidRPr="00647FD4" w14:paraId="3D3406BC" w14:textId="77777777" w:rsidTr="007223A6">
        <w:trPr>
          <w:trHeight w:val="330"/>
        </w:trPr>
        <w:tc>
          <w:tcPr>
            <w:tcW w:w="3534" w:type="dxa"/>
            <w:tcBorders>
              <w:top w:val="nil"/>
              <w:left w:val="nil"/>
              <w:bottom w:val="nil"/>
              <w:right w:val="nil"/>
            </w:tcBorders>
            <w:shd w:val="clear" w:color="000000" w:fill="FFFFFF"/>
            <w:noWrap/>
            <w:hideMark/>
          </w:tcPr>
          <w:p w14:paraId="1F74345B" w14:textId="77777777" w:rsidR="00647FD4" w:rsidRPr="00647FD4" w:rsidRDefault="00647FD4" w:rsidP="00647FD4">
            <w:pPr>
              <w:rPr>
                <w:b/>
                <w:bCs/>
                <w:sz w:val="16"/>
                <w:szCs w:val="16"/>
              </w:rPr>
            </w:pPr>
            <w:r w:rsidRPr="00647FD4">
              <w:rPr>
                <w:b/>
                <w:bCs/>
                <w:sz w:val="16"/>
                <w:szCs w:val="16"/>
              </w:rPr>
              <w:t>Egresos Totales</w:t>
            </w:r>
          </w:p>
        </w:tc>
        <w:tc>
          <w:tcPr>
            <w:tcW w:w="992" w:type="dxa"/>
            <w:tcBorders>
              <w:top w:val="nil"/>
              <w:left w:val="nil"/>
              <w:bottom w:val="nil"/>
              <w:right w:val="nil"/>
            </w:tcBorders>
            <w:shd w:val="clear" w:color="000000" w:fill="FFFFFF"/>
            <w:noWrap/>
            <w:hideMark/>
          </w:tcPr>
          <w:p w14:paraId="480956B5" w14:textId="77777777" w:rsidR="00647FD4" w:rsidRPr="00647FD4" w:rsidRDefault="00647FD4" w:rsidP="00647FD4">
            <w:pPr>
              <w:jc w:val="center"/>
              <w:rPr>
                <w:b/>
                <w:bCs/>
                <w:sz w:val="16"/>
                <w:szCs w:val="16"/>
              </w:rPr>
            </w:pPr>
            <w:r w:rsidRPr="00647FD4">
              <w:rPr>
                <w:b/>
                <w:bCs/>
                <w:sz w:val="16"/>
                <w:szCs w:val="16"/>
              </w:rPr>
              <w:t>14.8</w:t>
            </w:r>
          </w:p>
        </w:tc>
        <w:tc>
          <w:tcPr>
            <w:tcW w:w="993" w:type="dxa"/>
            <w:tcBorders>
              <w:top w:val="nil"/>
              <w:left w:val="nil"/>
              <w:bottom w:val="nil"/>
              <w:right w:val="nil"/>
            </w:tcBorders>
            <w:shd w:val="clear" w:color="000000" w:fill="FFFFFF"/>
            <w:noWrap/>
            <w:hideMark/>
          </w:tcPr>
          <w:p w14:paraId="29503AD1" w14:textId="77777777" w:rsidR="00647FD4" w:rsidRPr="00647FD4" w:rsidRDefault="00647FD4" w:rsidP="00647FD4">
            <w:pPr>
              <w:jc w:val="center"/>
              <w:rPr>
                <w:b/>
                <w:bCs/>
                <w:sz w:val="16"/>
                <w:szCs w:val="16"/>
              </w:rPr>
            </w:pPr>
            <w:r w:rsidRPr="00647FD4">
              <w:rPr>
                <w:b/>
                <w:bCs/>
                <w:sz w:val="16"/>
                <w:szCs w:val="16"/>
              </w:rPr>
              <w:t>14.0</w:t>
            </w:r>
          </w:p>
        </w:tc>
        <w:tc>
          <w:tcPr>
            <w:tcW w:w="992" w:type="dxa"/>
            <w:tcBorders>
              <w:top w:val="nil"/>
              <w:left w:val="nil"/>
              <w:bottom w:val="nil"/>
              <w:right w:val="nil"/>
            </w:tcBorders>
            <w:shd w:val="clear" w:color="000000" w:fill="FFFFFF"/>
            <w:noWrap/>
            <w:hideMark/>
          </w:tcPr>
          <w:p w14:paraId="05ED2E55" w14:textId="77777777" w:rsidR="00647FD4" w:rsidRPr="00647FD4" w:rsidRDefault="00647FD4" w:rsidP="00647FD4">
            <w:pPr>
              <w:jc w:val="center"/>
              <w:rPr>
                <w:b/>
                <w:bCs/>
                <w:sz w:val="16"/>
                <w:szCs w:val="16"/>
              </w:rPr>
            </w:pPr>
            <w:r w:rsidRPr="00647FD4">
              <w:rPr>
                <w:b/>
                <w:bCs/>
                <w:sz w:val="16"/>
                <w:szCs w:val="16"/>
              </w:rPr>
              <w:t>13.6</w:t>
            </w:r>
          </w:p>
        </w:tc>
        <w:tc>
          <w:tcPr>
            <w:tcW w:w="992" w:type="dxa"/>
            <w:tcBorders>
              <w:top w:val="nil"/>
              <w:left w:val="nil"/>
              <w:bottom w:val="nil"/>
              <w:right w:val="nil"/>
            </w:tcBorders>
            <w:shd w:val="clear" w:color="000000" w:fill="FFFFFF"/>
            <w:noWrap/>
            <w:hideMark/>
          </w:tcPr>
          <w:p w14:paraId="77173483" w14:textId="77777777" w:rsidR="00647FD4" w:rsidRPr="00647FD4" w:rsidRDefault="00647FD4" w:rsidP="00647FD4">
            <w:pPr>
              <w:jc w:val="center"/>
              <w:rPr>
                <w:b/>
                <w:bCs/>
                <w:sz w:val="16"/>
                <w:szCs w:val="16"/>
              </w:rPr>
            </w:pPr>
            <w:r w:rsidRPr="00647FD4">
              <w:rPr>
                <w:b/>
                <w:bCs/>
                <w:sz w:val="16"/>
                <w:szCs w:val="16"/>
              </w:rPr>
              <w:t>13.2</w:t>
            </w:r>
          </w:p>
        </w:tc>
        <w:tc>
          <w:tcPr>
            <w:tcW w:w="992" w:type="dxa"/>
            <w:tcBorders>
              <w:top w:val="nil"/>
              <w:left w:val="nil"/>
              <w:bottom w:val="nil"/>
              <w:right w:val="nil"/>
            </w:tcBorders>
            <w:shd w:val="clear" w:color="000000" w:fill="FFFFFF"/>
            <w:noWrap/>
            <w:hideMark/>
          </w:tcPr>
          <w:p w14:paraId="50468A4A" w14:textId="77777777" w:rsidR="00647FD4" w:rsidRPr="00647FD4" w:rsidRDefault="00647FD4" w:rsidP="00647FD4">
            <w:pPr>
              <w:jc w:val="center"/>
              <w:rPr>
                <w:b/>
                <w:bCs/>
                <w:sz w:val="16"/>
                <w:szCs w:val="16"/>
              </w:rPr>
            </w:pPr>
            <w:r w:rsidRPr="00647FD4">
              <w:rPr>
                <w:b/>
                <w:bCs/>
                <w:sz w:val="16"/>
                <w:szCs w:val="16"/>
              </w:rPr>
              <w:t>12.9</w:t>
            </w:r>
          </w:p>
        </w:tc>
      </w:tr>
    </w:tbl>
    <w:p w14:paraId="14A4D2B1" w14:textId="6DBEBD23" w:rsidR="00042B9E" w:rsidRDefault="00042B9E" w:rsidP="00AF239C">
      <w:pPr>
        <w:spacing w:before="26" w:line="276" w:lineRule="auto"/>
        <w:ind w:left="142" w:right="333"/>
        <w:jc w:val="both"/>
        <w:rPr>
          <w:sz w:val="16"/>
        </w:rPr>
      </w:pPr>
      <w:r>
        <w:rPr>
          <w:sz w:val="16"/>
        </w:rPr>
        <w:t>*Para 2023 los datos hacen referencia a la estimación de cierre. Para 2024-2028 los datos son de referencia para los techos presupuestarios/ Cifras corresponden al escenario bajo de las proyecciones macroeconómicas del Banguat</w:t>
      </w:r>
    </w:p>
    <w:p w14:paraId="65BCA132" w14:textId="1DF3DE65" w:rsidR="00042B9E" w:rsidRPr="009E12CA" w:rsidRDefault="00042B9E" w:rsidP="009E12CA">
      <w:pPr>
        <w:spacing w:before="26" w:line="276" w:lineRule="auto"/>
        <w:ind w:right="1596"/>
        <w:rPr>
          <w:sz w:val="16"/>
        </w:rPr>
      </w:pPr>
      <w:r w:rsidRPr="009E12CA">
        <w:rPr>
          <w:sz w:val="16"/>
        </w:rPr>
        <w:t>Fuente: Dirección de Análisis y Política Fiscal</w:t>
      </w:r>
    </w:p>
    <w:p w14:paraId="2FA79485" w14:textId="4AF98543" w:rsidR="00042B9E" w:rsidRPr="00042B9E" w:rsidRDefault="00042B9E" w:rsidP="00042B9E">
      <w:pPr>
        <w:jc w:val="both"/>
      </w:pPr>
    </w:p>
    <w:p w14:paraId="13BC7032" w14:textId="6BCB58BF" w:rsidR="00F93305" w:rsidRDefault="0071370B" w:rsidP="0071370B">
      <w:pPr>
        <w:pStyle w:val="Descripcin"/>
        <w:keepNext/>
        <w:spacing w:after="0"/>
        <w:jc w:val="center"/>
        <w:rPr>
          <w:b/>
          <w:bCs/>
          <w:i w:val="0"/>
          <w:iCs w:val="0"/>
          <w:color w:val="auto"/>
          <w:sz w:val="24"/>
          <w:szCs w:val="24"/>
        </w:rPr>
      </w:pPr>
      <w:bookmarkStart w:id="268" w:name="_Toc143871238"/>
      <w:r w:rsidRPr="0071370B">
        <w:rPr>
          <w:b/>
          <w:bCs/>
          <w:i w:val="0"/>
          <w:iCs w:val="0"/>
          <w:color w:val="auto"/>
          <w:sz w:val="24"/>
          <w:szCs w:val="24"/>
        </w:rPr>
        <w:t xml:space="preserve">Tabla </w:t>
      </w:r>
      <w:r w:rsidRPr="0071370B">
        <w:rPr>
          <w:b/>
          <w:bCs/>
          <w:i w:val="0"/>
          <w:iCs w:val="0"/>
          <w:color w:val="auto"/>
          <w:sz w:val="24"/>
          <w:szCs w:val="24"/>
        </w:rPr>
        <w:fldChar w:fldCharType="begin"/>
      </w:r>
      <w:r w:rsidRPr="0071370B">
        <w:rPr>
          <w:b/>
          <w:bCs/>
          <w:i w:val="0"/>
          <w:iCs w:val="0"/>
          <w:color w:val="auto"/>
          <w:sz w:val="24"/>
          <w:szCs w:val="24"/>
        </w:rPr>
        <w:instrText xml:space="preserve"> SEQ Tabla \* ARABIC </w:instrText>
      </w:r>
      <w:r w:rsidRPr="0071370B">
        <w:rPr>
          <w:b/>
          <w:bCs/>
          <w:i w:val="0"/>
          <w:iCs w:val="0"/>
          <w:color w:val="auto"/>
          <w:sz w:val="24"/>
          <w:szCs w:val="24"/>
        </w:rPr>
        <w:fldChar w:fldCharType="separate"/>
      </w:r>
      <w:r w:rsidR="006622B2">
        <w:rPr>
          <w:b/>
          <w:bCs/>
          <w:i w:val="0"/>
          <w:iCs w:val="0"/>
          <w:noProof/>
          <w:color w:val="auto"/>
          <w:sz w:val="24"/>
          <w:szCs w:val="24"/>
        </w:rPr>
        <w:t>31</w:t>
      </w:r>
      <w:r w:rsidRPr="0071370B">
        <w:rPr>
          <w:b/>
          <w:bCs/>
          <w:i w:val="0"/>
          <w:iCs w:val="0"/>
          <w:color w:val="auto"/>
          <w:sz w:val="24"/>
          <w:szCs w:val="24"/>
        </w:rPr>
        <w:fldChar w:fldCharType="end"/>
      </w:r>
      <w:r w:rsidRPr="0071370B">
        <w:rPr>
          <w:b/>
          <w:bCs/>
          <w:i w:val="0"/>
          <w:iCs w:val="0"/>
          <w:color w:val="auto"/>
          <w:sz w:val="24"/>
          <w:szCs w:val="24"/>
        </w:rPr>
        <w:t xml:space="preserve">.  </w:t>
      </w:r>
      <w:r w:rsidR="00F93305">
        <w:rPr>
          <w:b/>
          <w:bCs/>
          <w:i w:val="0"/>
          <w:iCs w:val="0"/>
          <w:color w:val="auto"/>
          <w:sz w:val="24"/>
          <w:szCs w:val="24"/>
        </w:rPr>
        <w:t>P</w:t>
      </w:r>
      <w:r w:rsidR="00564970" w:rsidRPr="0071370B">
        <w:rPr>
          <w:b/>
          <w:bCs/>
          <w:i w:val="0"/>
          <w:iCs w:val="0"/>
          <w:color w:val="auto"/>
          <w:sz w:val="24"/>
          <w:szCs w:val="24"/>
        </w:rPr>
        <w:t xml:space="preserve">royección para </w:t>
      </w:r>
      <w:r w:rsidR="00F93305">
        <w:rPr>
          <w:b/>
          <w:bCs/>
          <w:i w:val="0"/>
          <w:iCs w:val="0"/>
          <w:color w:val="auto"/>
          <w:sz w:val="24"/>
          <w:szCs w:val="24"/>
        </w:rPr>
        <w:t>t</w:t>
      </w:r>
      <w:r w:rsidR="00564970" w:rsidRPr="0071370B">
        <w:rPr>
          <w:b/>
          <w:bCs/>
          <w:i w:val="0"/>
          <w:iCs w:val="0"/>
          <w:color w:val="auto"/>
          <w:sz w:val="24"/>
          <w:szCs w:val="24"/>
        </w:rPr>
        <w:t xml:space="preserve">echos </w:t>
      </w:r>
      <w:r w:rsidR="00F93305">
        <w:rPr>
          <w:b/>
          <w:bCs/>
          <w:i w:val="0"/>
          <w:iCs w:val="0"/>
          <w:color w:val="auto"/>
          <w:sz w:val="24"/>
          <w:szCs w:val="24"/>
        </w:rPr>
        <w:t>p</w:t>
      </w:r>
      <w:r w:rsidR="00564970" w:rsidRPr="0071370B">
        <w:rPr>
          <w:b/>
          <w:bCs/>
          <w:i w:val="0"/>
          <w:iCs w:val="0"/>
          <w:color w:val="auto"/>
          <w:sz w:val="24"/>
          <w:szCs w:val="24"/>
        </w:rPr>
        <w:t>resupuestarios 2024-2028</w:t>
      </w:r>
      <w:r w:rsidR="003D6F4B" w:rsidRPr="0071370B">
        <w:rPr>
          <w:b/>
          <w:bCs/>
          <w:i w:val="0"/>
          <w:iCs w:val="0"/>
          <w:color w:val="auto"/>
          <w:sz w:val="24"/>
          <w:szCs w:val="24"/>
        </w:rPr>
        <w:t>*</w:t>
      </w:r>
      <w:bookmarkEnd w:id="268"/>
    </w:p>
    <w:p w14:paraId="03DF1AA3" w14:textId="50F9A1AE" w:rsidR="00564970" w:rsidRPr="00F93305" w:rsidRDefault="003D6F4B" w:rsidP="0071370B">
      <w:pPr>
        <w:pStyle w:val="Descripcin"/>
        <w:keepNext/>
        <w:spacing w:after="0"/>
        <w:jc w:val="center"/>
        <w:rPr>
          <w:i w:val="0"/>
          <w:iCs w:val="0"/>
          <w:color w:val="auto"/>
          <w:sz w:val="20"/>
          <w:szCs w:val="20"/>
        </w:rPr>
      </w:pPr>
      <w:r w:rsidRPr="00F93305">
        <w:rPr>
          <w:i w:val="0"/>
          <w:iCs w:val="0"/>
          <w:color w:val="auto"/>
          <w:sz w:val="20"/>
          <w:szCs w:val="20"/>
        </w:rPr>
        <w:t xml:space="preserve"> Millones</w:t>
      </w:r>
      <w:r w:rsidR="00564970" w:rsidRPr="00F93305">
        <w:rPr>
          <w:i w:val="0"/>
          <w:iCs w:val="0"/>
          <w:color w:val="auto"/>
          <w:sz w:val="20"/>
          <w:szCs w:val="20"/>
        </w:rPr>
        <w:t xml:space="preserve"> de quetzales</w:t>
      </w:r>
    </w:p>
    <w:tbl>
      <w:tblPr>
        <w:tblW w:w="8779" w:type="dxa"/>
        <w:jc w:val="center"/>
        <w:tblCellMar>
          <w:left w:w="70" w:type="dxa"/>
          <w:right w:w="70" w:type="dxa"/>
        </w:tblCellMar>
        <w:tblLook w:val="04A0" w:firstRow="1" w:lastRow="0" w:firstColumn="1" w:lastColumn="0" w:noHBand="0" w:noVBand="1"/>
      </w:tblPr>
      <w:tblGrid>
        <w:gridCol w:w="3534"/>
        <w:gridCol w:w="1134"/>
        <w:gridCol w:w="1134"/>
        <w:gridCol w:w="992"/>
        <w:gridCol w:w="993"/>
        <w:gridCol w:w="992"/>
      </w:tblGrid>
      <w:tr w:rsidR="00647FD4" w:rsidRPr="00647FD4" w14:paraId="1668DD18" w14:textId="77777777" w:rsidTr="00827ED5">
        <w:trPr>
          <w:trHeight w:val="435"/>
          <w:jc w:val="center"/>
        </w:trPr>
        <w:tc>
          <w:tcPr>
            <w:tcW w:w="3534" w:type="dxa"/>
            <w:tcBorders>
              <w:top w:val="single" w:sz="8" w:space="0" w:color="auto"/>
              <w:left w:val="single" w:sz="8" w:space="0" w:color="auto"/>
              <w:bottom w:val="single" w:sz="8" w:space="0" w:color="auto"/>
              <w:right w:val="single" w:sz="8" w:space="0" w:color="auto"/>
            </w:tcBorders>
            <w:shd w:val="clear" w:color="000000" w:fill="C5D9F1"/>
            <w:noWrap/>
            <w:vAlign w:val="center"/>
            <w:hideMark/>
          </w:tcPr>
          <w:p w14:paraId="680BF313" w14:textId="77777777" w:rsidR="00647FD4" w:rsidRPr="00647FD4" w:rsidRDefault="00647FD4" w:rsidP="00647FD4">
            <w:pPr>
              <w:jc w:val="center"/>
              <w:rPr>
                <w:b/>
                <w:bCs/>
                <w:sz w:val="16"/>
                <w:szCs w:val="16"/>
              </w:rPr>
            </w:pPr>
            <w:r w:rsidRPr="00647FD4">
              <w:rPr>
                <w:b/>
                <w:bCs/>
                <w:sz w:val="16"/>
                <w:szCs w:val="16"/>
              </w:rPr>
              <w:t>Descripción</w:t>
            </w:r>
          </w:p>
        </w:tc>
        <w:tc>
          <w:tcPr>
            <w:tcW w:w="1134" w:type="dxa"/>
            <w:tcBorders>
              <w:top w:val="single" w:sz="8" w:space="0" w:color="auto"/>
              <w:left w:val="nil"/>
              <w:bottom w:val="single" w:sz="8" w:space="0" w:color="auto"/>
              <w:right w:val="single" w:sz="4" w:space="0" w:color="auto"/>
            </w:tcBorders>
            <w:shd w:val="clear" w:color="000000" w:fill="C5D9F1"/>
            <w:vAlign w:val="center"/>
            <w:hideMark/>
          </w:tcPr>
          <w:p w14:paraId="2D790668" w14:textId="77777777" w:rsidR="00647FD4" w:rsidRPr="00647FD4" w:rsidRDefault="00647FD4" w:rsidP="00647FD4">
            <w:pPr>
              <w:jc w:val="center"/>
              <w:rPr>
                <w:b/>
                <w:bCs/>
                <w:sz w:val="16"/>
                <w:szCs w:val="16"/>
              </w:rPr>
            </w:pPr>
            <w:r w:rsidRPr="00647FD4">
              <w:rPr>
                <w:b/>
                <w:bCs/>
                <w:sz w:val="16"/>
                <w:szCs w:val="16"/>
              </w:rPr>
              <w:t>2024</w:t>
            </w:r>
          </w:p>
        </w:tc>
        <w:tc>
          <w:tcPr>
            <w:tcW w:w="1134" w:type="dxa"/>
            <w:tcBorders>
              <w:top w:val="single" w:sz="8" w:space="0" w:color="auto"/>
              <w:left w:val="nil"/>
              <w:bottom w:val="single" w:sz="8" w:space="0" w:color="auto"/>
              <w:right w:val="single" w:sz="4" w:space="0" w:color="auto"/>
            </w:tcBorders>
            <w:shd w:val="clear" w:color="000000" w:fill="C5D9F1"/>
            <w:vAlign w:val="center"/>
            <w:hideMark/>
          </w:tcPr>
          <w:p w14:paraId="16F789D8" w14:textId="77777777" w:rsidR="00647FD4" w:rsidRPr="00647FD4" w:rsidRDefault="00647FD4" w:rsidP="00647FD4">
            <w:pPr>
              <w:jc w:val="center"/>
              <w:rPr>
                <w:b/>
                <w:bCs/>
                <w:sz w:val="16"/>
                <w:szCs w:val="16"/>
              </w:rPr>
            </w:pPr>
            <w:r w:rsidRPr="00647FD4">
              <w:rPr>
                <w:b/>
                <w:bCs/>
                <w:sz w:val="16"/>
                <w:szCs w:val="16"/>
              </w:rPr>
              <w:t>2025</w:t>
            </w:r>
          </w:p>
        </w:tc>
        <w:tc>
          <w:tcPr>
            <w:tcW w:w="992" w:type="dxa"/>
            <w:tcBorders>
              <w:top w:val="single" w:sz="8" w:space="0" w:color="auto"/>
              <w:left w:val="nil"/>
              <w:bottom w:val="single" w:sz="8" w:space="0" w:color="auto"/>
              <w:right w:val="single" w:sz="4" w:space="0" w:color="auto"/>
            </w:tcBorders>
            <w:shd w:val="clear" w:color="000000" w:fill="C5D9F1"/>
            <w:vAlign w:val="center"/>
            <w:hideMark/>
          </w:tcPr>
          <w:p w14:paraId="316FD094" w14:textId="77777777" w:rsidR="00647FD4" w:rsidRPr="00647FD4" w:rsidRDefault="00647FD4" w:rsidP="00647FD4">
            <w:pPr>
              <w:jc w:val="center"/>
              <w:rPr>
                <w:b/>
                <w:bCs/>
                <w:sz w:val="16"/>
                <w:szCs w:val="16"/>
              </w:rPr>
            </w:pPr>
            <w:r w:rsidRPr="00647FD4">
              <w:rPr>
                <w:b/>
                <w:bCs/>
                <w:sz w:val="16"/>
                <w:szCs w:val="16"/>
              </w:rPr>
              <w:t>2026</w:t>
            </w:r>
          </w:p>
        </w:tc>
        <w:tc>
          <w:tcPr>
            <w:tcW w:w="993" w:type="dxa"/>
            <w:tcBorders>
              <w:top w:val="single" w:sz="8" w:space="0" w:color="auto"/>
              <w:left w:val="nil"/>
              <w:bottom w:val="single" w:sz="8" w:space="0" w:color="auto"/>
              <w:right w:val="single" w:sz="4" w:space="0" w:color="auto"/>
            </w:tcBorders>
            <w:shd w:val="clear" w:color="000000" w:fill="C5D9F1"/>
            <w:vAlign w:val="center"/>
            <w:hideMark/>
          </w:tcPr>
          <w:p w14:paraId="29A17E95" w14:textId="77777777" w:rsidR="00647FD4" w:rsidRPr="00647FD4" w:rsidRDefault="00647FD4" w:rsidP="00647FD4">
            <w:pPr>
              <w:jc w:val="center"/>
              <w:rPr>
                <w:b/>
                <w:bCs/>
                <w:sz w:val="16"/>
                <w:szCs w:val="16"/>
              </w:rPr>
            </w:pPr>
            <w:r w:rsidRPr="00647FD4">
              <w:rPr>
                <w:b/>
                <w:bCs/>
                <w:sz w:val="16"/>
                <w:szCs w:val="16"/>
              </w:rPr>
              <w:t>2027</w:t>
            </w:r>
          </w:p>
        </w:tc>
        <w:tc>
          <w:tcPr>
            <w:tcW w:w="992" w:type="dxa"/>
            <w:tcBorders>
              <w:top w:val="single" w:sz="8" w:space="0" w:color="auto"/>
              <w:left w:val="nil"/>
              <w:bottom w:val="single" w:sz="8" w:space="0" w:color="auto"/>
              <w:right w:val="single" w:sz="8" w:space="0" w:color="auto"/>
            </w:tcBorders>
            <w:shd w:val="clear" w:color="000000" w:fill="C5D9F1"/>
            <w:vAlign w:val="center"/>
            <w:hideMark/>
          </w:tcPr>
          <w:p w14:paraId="3381D22D" w14:textId="77777777" w:rsidR="00647FD4" w:rsidRPr="00647FD4" w:rsidRDefault="00647FD4" w:rsidP="00647FD4">
            <w:pPr>
              <w:jc w:val="center"/>
              <w:rPr>
                <w:b/>
                <w:bCs/>
                <w:sz w:val="16"/>
                <w:szCs w:val="16"/>
              </w:rPr>
            </w:pPr>
            <w:r w:rsidRPr="00647FD4">
              <w:rPr>
                <w:b/>
                <w:bCs/>
                <w:sz w:val="16"/>
                <w:szCs w:val="16"/>
              </w:rPr>
              <w:t>2028</w:t>
            </w:r>
          </w:p>
        </w:tc>
      </w:tr>
      <w:tr w:rsidR="003314AC" w:rsidRPr="00647FD4" w14:paraId="662D9C92" w14:textId="77777777" w:rsidTr="00827ED5">
        <w:trPr>
          <w:trHeight w:val="191"/>
          <w:jc w:val="center"/>
        </w:trPr>
        <w:tc>
          <w:tcPr>
            <w:tcW w:w="3534"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14:paraId="4FF6A5E7" w14:textId="77777777" w:rsidR="003314AC" w:rsidRPr="00647FD4" w:rsidRDefault="003314AC" w:rsidP="003314AC">
            <w:pPr>
              <w:rPr>
                <w:b/>
                <w:bCs/>
                <w:sz w:val="16"/>
                <w:szCs w:val="16"/>
              </w:rPr>
            </w:pPr>
            <w:r w:rsidRPr="00647FD4">
              <w:rPr>
                <w:b/>
                <w:bCs/>
                <w:sz w:val="16"/>
                <w:szCs w:val="16"/>
              </w:rPr>
              <w:t xml:space="preserve">Ingresos Totales </w:t>
            </w:r>
          </w:p>
        </w:tc>
        <w:tc>
          <w:tcPr>
            <w:tcW w:w="1134" w:type="dxa"/>
            <w:tcBorders>
              <w:top w:val="nil"/>
              <w:left w:val="nil"/>
              <w:bottom w:val="single" w:sz="4" w:space="0" w:color="auto"/>
              <w:right w:val="single" w:sz="4" w:space="0" w:color="auto"/>
            </w:tcBorders>
            <w:shd w:val="clear" w:color="000000" w:fill="FFFFFF"/>
            <w:noWrap/>
            <w:vAlign w:val="center"/>
            <w:hideMark/>
          </w:tcPr>
          <w:p w14:paraId="444773FF" w14:textId="2275986A" w:rsidR="003314AC" w:rsidRPr="00A84127" w:rsidRDefault="003314AC" w:rsidP="003314AC">
            <w:pPr>
              <w:jc w:val="center"/>
              <w:rPr>
                <w:b/>
                <w:bCs/>
                <w:sz w:val="16"/>
                <w:szCs w:val="16"/>
              </w:rPr>
            </w:pPr>
            <w:r w:rsidRPr="00A84127">
              <w:rPr>
                <w:b/>
                <w:bCs/>
                <w:sz w:val="16"/>
                <w:szCs w:val="16"/>
              </w:rPr>
              <w:t>103,446.2</w:t>
            </w:r>
          </w:p>
        </w:tc>
        <w:tc>
          <w:tcPr>
            <w:tcW w:w="1134" w:type="dxa"/>
            <w:tcBorders>
              <w:top w:val="nil"/>
              <w:left w:val="nil"/>
              <w:bottom w:val="single" w:sz="4" w:space="0" w:color="auto"/>
              <w:right w:val="single" w:sz="4" w:space="0" w:color="auto"/>
            </w:tcBorders>
            <w:shd w:val="clear" w:color="000000" w:fill="FFFFFF"/>
            <w:noWrap/>
            <w:vAlign w:val="center"/>
            <w:hideMark/>
          </w:tcPr>
          <w:p w14:paraId="0439D8C1" w14:textId="7D63EA01" w:rsidR="003314AC" w:rsidRPr="00A84127" w:rsidRDefault="003314AC" w:rsidP="003314AC">
            <w:pPr>
              <w:jc w:val="center"/>
              <w:rPr>
                <w:b/>
                <w:bCs/>
                <w:sz w:val="16"/>
                <w:szCs w:val="16"/>
              </w:rPr>
            </w:pPr>
            <w:r w:rsidRPr="00A84127">
              <w:rPr>
                <w:b/>
                <w:bCs/>
                <w:sz w:val="16"/>
                <w:szCs w:val="16"/>
              </w:rPr>
              <w:t>110,734.3</w:t>
            </w:r>
          </w:p>
        </w:tc>
        <w:tc>
          <w:tcPr>
            <w:tcW w:w="992" w:type="dxa"/>
            <w:tcBorders>
              <w:top w:val="nil"/>
              <w:left w:val="nil"/>
              <w:bottom w:val="single" w:sz="4" w:space="0" w:color="auto"/>
              <w:right w:val="single" w:sz="4" w:space="0" w:color="auto"/>
            </w:tcBorders>
            <w:shd w:val="clear" w:color="000000" w:fill="FFFFFF"/>
            <w:noWrap/>
            <w:vAlign w:val="center"/>
            <w:hideMark/>
          </w:tcPr>
          <w:p w14:paraId="3A3D12CB" w14:textId="2F3DDA5F" w:rsidR="003314AC" w:rsidRPr="00A84127" w:rsidRDefault="003314AC" w:rsidP="003314AC">
            <w:pPr>
              <w:jc w:val="center"/>
              <w:rPr>
                <w:b/>
                <w:bCs/>
                <w:sz w:val="16"/>
                <w:szCs w:val="16"/>
              </w:rPr>
            </w:pPr>
            <w:r w:rsidRPr="00A84127">
              <w:rPr>
                <w:b/>
                <w:bCs/>
                <w:sz w:val="16"/>
                <w:szCs w:val="16"/>
              </w:rPr>
              <w:t>118,678.4</w:t>
            </w:r>
          </w:p>
        </w:tc>
        <w:tc>
          <w:tcPr>
            <w:tcW w:w="993" w:type="dxa"/>
            <w:tcBorders>
              <w:top w:val="nil"/>
              <w:left w:val="nil"/>
              <w:bottom w:val="single" w:sz="4" w:space="0" w:color="auto"/>
              <w:right w:val="single" w:sz="4" w:space="0" w:color="auto"/>
            </w:tcBorders>
            <w:shd w:val="clear" w:color="000000" w:fill="FFFFFF"/>
            <w:noWrap/>
            <w:vAlign w:val="center"/>
            <w:hideMark/>
          </w:tcPr>
          <w:p w14:paraId="5406D5CE" w14:textId="615E2EDD" w:rsidR="003314AC" w:rsidRPr="00A84127" w:rsidRDefault="003314AC" w:rsidP="003314AC">
            <w:pPr>
              <w:jc w:val="center"/>
              <w:rPr>
                <w:b/>
                <w:bCs/>
                <w:sz w:val="16"/>
                <w:szCs w:val="16"/>
              </w:rPr>
            </w:pPr>
            <w:r w:rsidRPr="00A84127">
              <w:rPr>
                <w:b/>
                <w:bCs/>
                <w:sz w:val="16"/>
                <w:szCs w:val="16"/>
              </w:rPr>
              <w:t>127,154.6</w:t>
            </w:r>
          </w:p>
        </w:tc>
        <w:tc>
          <w:tcPr>
            <w:tcW w:w="992" w:type="dxa"/>
            <w:tcBorders>
              <w:top w:val="nil"/>
              <w:left w:val="nil"/>
              <w:bottom w:val="single" w:sz="4" w:space="0" w:color="auto"/>
              <w:right w:val="single" w:sz="8" w:space="0" w:color="auto"/>
            </w:tcBorders>
            <w:shd w:val="clear" w:color="000000" w:fill="FFFFFF"/>
            <w:noWrap/>
            <w:vAlign w:val="center"/>
            <w:hideMark/>
          </w:tcPr>
          <w:p w14:paraId="2545146F" w14:textId="1ED8211F" w:rsidR="003314AC" w:rsidRPr="00A84127" w:rsidRDefault="003314AC" w:rsidP="003314AC">
            <w:pPr>
              <w:jc w:val="center"/>
              <w:rPr>
                <w:b/>
                <w:bCs/>
                <w:sz w:val="16"/>
                <w:szCs w:val="16"/>
              </w:rPr>
            </w:pPr>
            <w:r w:rsidRPr="00A84127">
              <w:rPr>
                <w:b/>
                <w:bCs/>
                <w:sz w:val="16"/>
                <w:szCs w:val="16"/>
              </w:rPr>
              <w:t>136,202.1</w:t>
            </w:r>
          </w:p>
        </w:tc>
      </w:tr>
      <w:tr w:rsidR="003314AC" w:rsidRPr="00647FD4" w14:paraId="73760B51" w14:textId="77777777" w:rsidTr="00827ED5">
        <w:trPr>
          <w:trHeight w:val="56"/>
          <w:jc w:val="center"/>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7EDC7A5B" w14:textId="77777777" w:rsidR="003314AC" w:rsidRPr="00647FD4" w:rsidRDefault="003314AC" w:rsidP="003314AC">
            <w:pPr>
              <w:ind w:firstLineChars="100" w:firstLine="160"/>
              <w:rPr>
                <w:sz w:val="16"/>
                <w:szCs w:val="16"/>
              </w:rPr>
            </w:pPr>
            <w:r w:rsidRPr="00647FD4">
              <w:rPr>
                <w:sz w:val="16"/>
                <w:szCs w:val="16"/>
              </w:rPr>
              <w:t>Ingresos Corrientes</w:t>
            </w:r>
          </w:p>
        </w:tc>
        <w:tc>
          <w:tcPr>
            <w:tcW w:w="1134" w:type="dxa"/>
            <w:tcBorders>
              <w:top w:val="nil"/>
              <w:left w:val="nil"/>
              <w:bottom w:val="single" w:sz="4" w:space="0" w:color="auto"/>
              <w:right w:val="single" w:sz="4" w:space="0" w:color="auto"/>
            </w:tcBorders>
            <w:shd w:val="clear" w:color="000000" w:fill="FFFFFF"/>
            <w:noWrap/>
            <w:vAlign w:val="center"/>
            <w:hideMark/>
          </w:tcPr>
          <w:p w14:paraId="6B4EF5C8" w14:textId="6C60F0A3" w:rsidR="003314AC" w:rsidRPr="003314AC" w:rsidRDefault="003314AC" w:rsidP="003314AC">
            <w:pPr>
              <w:jc w:val="center"/>
              <w:rPr>
                <w:sz w:val="16"/>
                <w:szCs w:val="16"/>
              </w:rPr>
            </w:pPr>
            <w:r w:rsidRPr="003314AC">
              <w:rPr>
                <w:sz w:val="16"/>
                <w:szCs w:val="16"/>
              </w:rPr>
              <w:t>103,371.2</w:t>
            </w:r>
          </w:p>
        </w:tc>
        <w:tc>
          <w:tcPr>
            <w:tcW w:w="1134" w:type="dxa"/>
            <w:tcBorders>
              <w:top w:val="nil"/>
              <w:left w:val="nil"/>
              <w:bottom w:val="single" w:sz="4" w:space="0" w:color="auto"/>
              <w:right w:val="single" w:sz="4" w:space="0" w:color="auto"/>
            </w:tcBorders>
            <w:shd w:val="clear" w:color="000000" w:fill="FFFFFF"/>
            <w:noWrap/>
            <w:vAlign w:val="center"/>
            <w:hideMark/>
          </w:tcPr>
          <w:p w14:paraId="4F37FC41" w14:textId="3E0AB0CF" w:rsidR="003314AC" w:rsidRPr="003314AC" w:rsidRDefault="003314AC" w:rsidP="003314AC">
            <w:pPr>
              <w:jc w:val="center"/>
              <w:rPr>
                <w:sz w:val="16"/>
                <w:szCs w:val="16"/>
              </w:rPr>
            </w:pPr>
            <w:r w:rsidRPr="003314AC">
              <w:rPr>
                <w:sz w:val="16"/>
                <w:szCs w:val="16"/>
              </w:rPr>
              <w:t>110,651.1</w:t>
            </w:r>
          </w:p>
        </w:tc>
        <w:tc>
          <w:tcPr>
            <w:tcW w:w="992" w:type="dxa"/>
            <w:tcBorders>
              <w:top w:val="nil"/>
              <w:left w:val="nil"/>
              <w:bottom w:val="single" w:sz="4" w:space="0" w:color="auto"/>
              <w:right w:val="single" w:sz="4" w:space="0" w:color="auto"/>
            </w:tcBorders>
            <w:shd w:val="clear" w:color="000000" w:fill="FFFFFF"/>
            <w:noWrap/>
            <w:vAlign w:val="center"/>
            <w:hideMark/>
          </w:tcPr>
          <w:p w14:paraId="31D53A88" w14:textId="68275BE5" w:rsidR="003314AC" w:rsidRPr="003314AC" w:rsidRDefault="003314AC" w:rsidP="003314AC">
            <w:pPr>
              <w:jc w:val="center"/>
              <w:rPr>
                <w:sz w:val="16"/>
                <w:szCs w:val="16"/>
              </w:rPr>
            </w:pPr>
            <w:r w:rsidRPr="003314AC">
              <w:rPr>
                <w:sz w:val="16"/>
                <w:szCs w:val="16"/>
              </w:rPr>
              <w:t>118,586.9</w:t>
            </w:r>
          </w:p>
        </w:tc>
        <w:tc>
          <w:tcPr>
            <w:tcW w:w="993" w:type="dxa"/>
            <w:tcBorders>
              <w:top w:val="nil"/>
              <w:left w:val="nil"/>
              <w:bottom w:val="single" w:sz="4" w:space="0" w:color="auto"/>
              <w:right w:val="single" w:sz="4" w:space="0" w:color="auto"/>
            </w:tcBorders>
            <w:shd w:val="clear" w:color="000000" w:fill="FFFFFF"/>
            <w:noWrap/>
            <w:vAlign w:val="center"/>
            <w:hideMark/>
          </w:tcPr>
          <w:p w14:paraId="5C3342FB" w14:textId="3B7073FA" w:rsidR="003314AC" w:rsidRPr="003314AC" w:rsidRDefault="003314AC" w:rsidP="003314AC">
            <w:pPr>
              <w:jc w:val="center"/>
              <w:rPr>
                <w:sz w:val="16"/>
                <w:szCs w:val="16"/>
              </w:rPr>
            </w:pPr>
            <w:r w:rsidRPr="003314AC">
              <w:rPr>
                <w:sz w:val="16"/>
                <w:szCs w:val="16"/>
              </w:rPr>
              <w:t>127,054.7</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359D6D47" w14:textId="6F92F62E" w:rsidR="003314AC" w:rsidRPr="003314AC" w:rsidRDefault="003314AC" w:rsidP="003314AC">
            <w:pPr>
              <w:jc w:val="center"/>
              <w:rPr>
                <w:sz w:val="16"/>
                <w:szCs w:val="16"/>
              </w:rPr>
            </w:pPr>
            <w:r w:rsidRPr="003314AC">
              <w:rPr>
                <w:sz w:val="16"/>
                <w:szCs w:val="16"/>
              </w:rPr>
              <w:t>136,093.9</w:t>
            </w:r>
          </w:p>
        </w:tc>
      </w:tr>
      <w:tr w:rsidR="003314AC" w:rsidRPr="00647FD4" w14:paraId="08C34A37" w14:textId="77777777" w:rsidTr="00827ED5">
        <w:trPr>
          <w:trHeight w:val="64"/>
          <w:jc w:val="center"/>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129D0A0E" w14:textId="77777777" w:rsidR="003314AC" w:rsidRPr="00647FD4" w:rsidRDefault="003314AC" w:rsidP="003314AC">
            <w:pPr>
              <w:ind w:firstLineChars="200" w:firstLine="320"/>
              <w:rPr>
                <w:sz w:val="16"/>
                <w:szCs w:val="16"/>
              </w:rPr>
            </w:pPr>
            <w:r w:rsidRPr="00647FD4">
              <w:rPr>
                <w:sz w:val="16"/>
                <w:szCs w:val="16"/>
              </w:rPr>
              <w:t xml:space="preserve">Ingresos Tributarios </w:t>
            </w:r>
          </w:p>
        </w:tc>
        <w:tc>
          <w:tcPr>
            <w:tcW w:w="1134" w:type="dxa"/>
            <w:tcBorders>
              <w:top w:val="nil"/>
              <w:left w:val="nil"/>
              <w:bottom w:val="single" w:sz="4" w:space="0" w:color="auto"/>
              <w:right w:val="single" w:sz="4" w:space="0" w:color="auto"/>
            </w:tcBorders>
            <w:shd w:val="clear" w:color="000000" w:fill="FFFFFF"/>
            <w:noWrap/>
            <w:vAlign w:val="center"/>
            <w:hideMark/>
          </w:tcPr>
          <w:p w14:paraId="2D9776A8" w14:textId="05912762" w:rsidR="003314AC" w:rsidRPr="003314AC" w:rsidRDefault="003314AC" w:rsidP="003314AC">
            <w:pPr>
              <w:jc w:val="center"/>
              <w:rPr>
                <w:sz w:val="16"/>
                <w:szCs w:val="16"/>
              </w:rPr>
            </w:pPr>
            <w:r w:rsidRPr="003314AC">
              <w:rPr>
                <w:sz w:val="16"/>
                <w:szCs w:val="16"/>
              </w:rPr>
              <w:t>98,533.3</w:t>
            </w:r>
          </w:p>
        </w:tc>
        <w:tc>
          <w:tcPr>
            <w:tcW w:w="1134" w:type="dxa"/>
            <w:tcBorders>
              <w:top w:val="nil"/>
              <w:left w:val="nil"/>
              <w:bottom w:val="single" w:sz="4" w:space="0" w:color="auto"/>
              <w:right w:val="single" w:sz="4" w:space="0" w:color="auto"/>
            </w:tcBorders>
            <w:shd w:val="clear" w:color="000000" w:fill="FFFFFF"/>
            <w:noWrap/>
            <w:vAlign w:val="center"/>
            <w:hideMark/>
          </w:tcPr>
          <w:p w14:paraId="26AFCE05" w14:textId="24B6FB1D" w:rsidR="003314AC" w:rsidRPr="003314AC" w:rsidRDefault="003314AC" w:rsidP="003314AC">
            <w:pPr>
              <w:jc w:val="center"/>
              <w:rPr>
                <w:sz w:val="16"/>
                <w:szCs w:val="16"/>
              </w:rPr>
            </w:pPr>
            <w:r w:rsidRPr="003314AC">
              <w:rPr>
                <w:sz w:val="16"/>
                <w:szCs w:val="16"/>
              </w:rPr>
              <w:t>105,693.3</w:t>
            </w:r>
          </w:p>
        </w:tc>
        <w:tc>
          <w:tcPr>
            <w:tcW w:w="992" w:type="dxa"/>
            <w:tcBorders>
              <w:top w:val="nil"/>
              <w:left w:val="nil"/>
              <w:bottom w:val="single" w:sz="4" w:space="0" w:color="auto"/>
              <w:right w:val="single" w:sz="4" w:space="0" w:color="auto"/>
            </w:tcBorders>
            <w:shd w:val="clear" w:color="000000" w:fill="FFFFFF"/>
            <w:noWrap/>
            <w:vAlign w:val="center"/>
            <w:hideMark/>
          </w:tcPr>
          <w:p w14:paraId="417F5821" w14:textId="2C4AC25C" w:rsidR="003314AC" w:rsidRPr="003314AC" w:rsidRDefault="003314AC" w:rsidP="003314AC">
            <w:pPr>
              <w:jc w:val="center"/>
              <w:rPr>
                <w:sz w:val="16"/>
                <w:szCs w:val="16"/>
              </w:rPr>
            </w:pPr>
            <w:r w:rsidRPr="003314AC">
              <w:rPr>
                <w:sz w:val="16"/>
                <w:szCs w:val="16"/>
              </w:rPr>
              <w:t>113,410.3</w:t>
            </w:r>
          </w:p>
        </w:tc>
        <w:tc>
          <w:tcPr>
            <w:tcW w:w="993" w:type="dxa"/>
            <w:tcBorders>
              <w:top w:val="nil"/>
              <w:left w:val="nil"/>
              <w:bottom w:val="single" w:sz="4" w:space="0" w:color="auto"/>
              <w:right w:val="single" w:sz="4" w:space="0" w:color="auto"/>
            </w:tcBorders>
            <w:shd w:val="clear" w:color="000000" w:fill="FFFFFF"/>
            <w:noWrap/>
            <w:vAlign w:val="center"/>
            <w:hideMark/>
          </w:tcPr>
          <w:p w14:paraId="4D64BA50" w14:textId="1D9D681E" w:rsidR="003314AC" w:rsidRPr="003314AC" w:rsidRDefault="003314AC" w:rsidP="003314AC">
            <w:pPr>
              <w:jc w:val="center"/>
              <w:rPr>
                <w:sz w:val="16"/>
                <w:szCs w:val="16"/>
              </w:rPr>
            </w:pPr>
            <w:r w:rsidRPr="003314AC">
              <w:rPr>
                <w:sz w:val="16"/>
                <w:szCs w:val="16"/>
              </w:rPr>
              <w:t>121,725.3</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2C4C5E1D" w14:textId="0F66A10C" w:rsidR="003314AC" w:rsidRPr="003314AC" w:rsidRDefault="003314AC" w:rsidP="003314AC">
            <w:pPr>
              <w:jc w:val="center"/>
              <w:rPr>
                <w:sz w:val="16"/>
                <w:szCs w:val="16"/>
              </w:rPr>
            </w:pPr>
            <w:r w:rsidRPr="003314AC">
              <w:rPr>
                <w:sz w:val="16"/>
                <w:szCs w:val="16"/>
              </w:rPr>
              <w:t>130,549.4</w:t>
            </w:r>
          </w:p>
        </w:tc>
      </w:tr>
      <w:tr w:rsidR="003314AC" w:rsidRPr="00647FD4" w14:paraId="7FA962D0" w14:textId="77777777" w:rsidTr="00827ED5">
        <w:trPr>
          <w:trHeight w:val="167"/>
          <w:jc w:val="center"/>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4702E4FD" w14:textId="77777777" w:rsidR="003314AC" w:rsidRPr="00647FD4" w:rsidRDefault="003314AC" w:rsidP="003314AC">
            <w:pPr>
              <w:ind w:firstLineChars="200" w:firstLine="320"/>
              <w:rPr>
                <w:sz w:val="16"/>
                <w:szCs w:val="16"/>
              </w:rPr>
            </w:pPr>
            <w:r w:rsidRPr="00647FD4">
              <w:rPr>
                <w:sz w:val="16"/>
                <w:szCs w:val="16"/>
              </w:rPr>
              <w:t>No tributarios</w:t>
            </w:r>
          </w:p>
        </w:tc>
        <w:tc>
          <w:tcPr>
            <w:tcW w:w="1134" w:type="dxa"/>
            <w:tcBorders>
              <w:top w:val="nil"/>
              <w:left w:val="nil"/>
              <w:bottom w:val="single" w:sz="4" w:space="0" w:color="auto"/>
              <w:right w:val="single" w:sz="4" w:space="0" w:color="auto"/>
            </w:tcBorders>
            <w:shd w:val="clear" w:color="000000" w:fill="FFFFFF"/>
            <w:noWrap/>
            <w:vAlign w:val="center"/>
            <w:hideMark/>
          </w:tcPr>
          <w:p w14:paraId="5517A2EA" w14:textId="10CAFA48" w:rsidR="003314AC" w:rsidRPr="003314AC" w:rsidRDefault="003314AC" w:rsidP="003314AC">
            <w:pPr>
              <w:jc w:val="center"/>
              <w:rPr>
                <w:sz w:val="16"/>
                <w:szCs w:val="16"/>
              </w:rPr>
            </w:pPr>
            <w:r w:rsidRPr="003314AC">
              <w:rPr>
                <w:sz w:val="16"/>
                <w:szCs w:val="16"/>
              </w:rPr>
              <w:t>4,838.0</w:t>
            </w:r>
          </w:p>
        </w:tc>
        <w:tc>
          <w:tcPr>
            <w:tcW w:w="1134" w:type="dxa"/>
            <w:tcBorders>
              <w:top w:val="nil"/>
              <w:left w:val="nil"/>
              <w:bottom w:val="single" w:sz="4" w:space="0" w:color="auto"/>
              <w:right w:val="single" w:sz="4" w:space="0" w:color="auto"/>
            </w:tcBorders>
            <w:shd w:val="clear" w:color="000000" w:fill="FFFFFF"/>
            <w:noWrap/>
            <w:vAlign w:val="center"/>
            <w:hideMark/>
          </w:tcPr>
          <w:p w14:paraId="06D1BF28" w14:textId="7F42CA7C" w:rsidR="003314AC" w:rsidRPr="003314AC" w:rsidRDefault="003314AC" w:rsidP="003314AC">
            <w:pPr>
              <w:jc w:val="center"/>
              <w:rPr>
                <w:sz w:val="16"/>
                <w:szCs w:val="16"/>
              </w:rPr>
            </w:pPr>
            <w:r w:rsidRPr="003314AC">
              <w:rPr>
                <w:sz w:val="16"/>
                <w:szCs w:val="16"/>
              </w:rPr>
              <w:t>4,957.8</w:t>
            </w:r>
          </w:p>
        </w:tc>
        <w:tc>
          <w:tcPr>
            <w:tcW w:w="992" w:type="dxa"/>
            <w:tcBorders>
              <w:top w:val="nil"/>
              <w:left w:val="nil"/>
              <w:bottom w:val="single" w:sz="4" w:space="0" w:color="auto"/>
              <w:right w:val="single" w:sz="4" w:space="0" w:color="auto"/>
            </w:tcBorders>
            <w:shd w:val="clear" w:color="000000" w:fill="FFFFFF"/>
            <w:noWrap/>
            <w:vAlign w:val="center"/>
            <w:hideMark/>
          </w:tcPr>
          <w:p w14:paraId="379F1455" w14:textId="16FDDB77" w:rsidR="003314AC" w:rsidRPr="003314AC" w:rsidRDefault="003314AC" w:rsidP="003314AC">
            <w:pPr>
              <w:jc w:val="center"/>
              <w:rPr>
                <w:sz w:val="16"/>
                <w:szCs w:val="16"/>
              </w:rPr>
            </w:pPr>
            <w:r w:rsidRPr="003314AC">
              <w:rPr>
                <w:sz w:val="16"/>
                <w:szCs w:val="16"/>
              </w:rPr>
              <w:t>5,176.6</w:t>
            </w:r>
          </w:p>
        </w:tc>
        <w:tc>
          <w:tcPr>
            <w:tcW w:w="993" w:type="dxa"/>
            <w:tcBorders>
              <w:top w:val="nil"/>
              <w:left w:val="nil"/>
              <w:bottom w:val="single" w:sz="4" w:space="0" w:color="auto"/>
              <w:right w:val="single" w:sz="4" w:space="0" w:color="auto"/>
            </w:tcBorders>
            <w:shd w:val="clear" w:color="000000" w:fill="FFFFFF"/>
            <w:noWrap/>
            <w:vAlign w:val="center"/>
            <w:hideMark/>
          </w:tcPr>
          <w:p w14:paraId="6CDBE08F" w14:textId="5AE5271F" w:rsidR="003314AC" w:rsidRPr="003314AC" w:rsidRDefault="003314AC" w:rsidP="003314AC">
            <w:pPr>
              <w:jc w:val="center"/>
              <w:rPr>
                <w:sz w:val="16"/>
                <w:szCs w:val="16"/>
              </w:rPr>
            </w:pPr>
            <w:r w:rsidRPr="003314AC">
              <w:rPr>
                <w:sz w:val="16"/>
                <w:szCs w:val="16"/>
              </w:rPr>
              <w:t>5,329.4</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4A42CC6E" w14:textId="3157F273" w:rsidR="003314AC" w:rsidRPr="003314AC" w:rsidRDefault="003314AC" w:rsidP="003314AC">
            <w:pPr>
              <w:jc w:val="center"/>
              <w:rPr>
                <w:sz w:val="16"/>
                <w:szCs w:val="16"/>
              </w:rPr>
            </w:pPr>
            <w:r w:rsidRPr="003314AC">
              <w:rPr>
                <w:sz w:val="16"/>
                <w:szCs w:val="16"/>
              </w:rPr>
              <w:t>5,544.5</w:t>
            </w:r>
          </w:p>
        </w:tc>
      </w:tr>
      <w:tr w:rsidR="003314AC" w:rsidRPr="00647FD4" w14:paraId="4B9AD3D2" w14:textId="77777777" w:rsidTr="00827ED5">
        <w:trPr>
          <w:trHeight w:val="112"/>
          <w:jc w:val="center"/>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2040B103" w14:textId="77777777" w:rsidR="003314AC" w:rsidRPr="00647FD4" w:rsidRDefault="003314AC" w:rsidP="003314AC">
            <w:pPr>
              <w:ind w:firstLineChars="100" w:firstLine="160"/>
              <w:rPr>
                <w:sz w:val="16"/>
                <w:szCs w:val="16"/>
              </w:rPr>
            </w:pPr>
            <w:r w:rsidRPr="00647FD4">
              <w:rPr>
                <w:sz w:val="16"/>
                <w:szCs w:val="16"/>
              </w:rPr>
              <w:t>Ingresos de Capital</w:t>
            </w:r>
          </w:p>
        </w:tc>
        <w:tc>
          <w:tcPr>
            <w:tcW w:w="1134" w:type="dxa"/>
            <w:tcBorders>
              <w:top w:val="nil"/>
              <w:left w:val="nil"/>
              <w:bottom w:val="single" w:sz="4" w:space="0" w:color="auto"/>
              <w:right w:val="single" w:sz="4" w:space="0" w:color="auto"/>
            </w:tcBorders>
            <w:shd w:val="clear" w:color="000000" w:fill="FFFFFF"/>
            <w:noWrap/>
            <w:vAlign w:val="center"/>
            <w:hideMark/>
          </w:tcPr>
          <w:p w14:paraId="6CD385D8" w14:textId="25268ABD" w:rsidR="003314AC" w:rsidRPr="003314AC" w:rsidRDefault="003314AC" w:rsidP="003314AC">
            <w:pPr>
              <w:jc w:val="center"/>
              <w:rPr>
                <w:sz w:val="16"/>
                <w:szCs w:val="16"/>
              </w:rPr>
            </w:pPr>
            <w:r w:rsidRPr="003314AC">
              <w:rPr>
                <w:sz w:val="16"/>
                <w:szCs w:val="16"/>
              </w:rPr>
              <w:t>74.9</w:t>
            </w:r>
          </w:p>
        </w:tc>
        <w:tc>
          <w:tcPr>
            <w:tcW w:w="1134" w:type="dxa"/>
            <w:tcBorders>
              <w:top w:val="nil"/>
              <w:left w:val="nil"/>
              <w:bottom w:val="single" w:sz="4" w:space="0" w:color="auto"/>
              <w:right w:val="single" w:sz="4" w:space="0" w:color="auto"/>
            </w:tcBorders>
            <w:shd w:val="clear" w:color="000000" w:fill="FFFFFF"/>
            <w:noWrap/>
            <w:vAlign w:val="center"/>
            <w:hideMark/>
          </w:tcPr>
          <w:p w14:paraId="09C2B3CC" w14:textId="2612AC1A" w:rsidR="003314AC" w:rsidRPr="003314AC" w:rsidRDefault="003314AC" w:rsidP="003314AC">
            <w:pPr>
              <w:jc w:val="center"/>
              <w:rPr>
                <w:sz w:val="16"/>
                <w:szCs w:val="16"/>
              </w:rPr>
            </w:pPr>
            <w:r w:rsidRPr="003314AC">
              <w:rPr>
                <w:sz w:val="16"/>
                <w:szCs w:val="16"/>
              </w:rPr>
              <w:t>83.2</w:t>
            </w:r>
          </w:p>
        </w:tc>
        <w:tc>
          <w:tcPr>
            <w:tcW w:w="992" w:type="dxa"/>
            <w:tcBorders>
              <w:top w:val="nil"/>
              <w:left w:val="nil"/>
              <w:bottom w:val="single" w:sz="4" w:space="0" w:color="auto"/>
              <w:right w:val="single" w:sz="4" w:space="0" w:color="auto"/>
            </w:tcBorders>
            <w:shd w:val="clear" w:color="000000" w:fill="FFFFFF"/>
            <w:noWrap/>
            <w:vAlign w:val="center"/>
            <w:hideMark/>
          </w:tcPr>
          <w:p w14:paraId="0D784432" w14:textId="6CED1F8B" w:rsidR="003314AC" w:rsidRPr="003314AC" w:rsidRDefault="003314AC" w:rsidP="003314AC">
            <w:pPr>
              <w:jc w:val="center"/>
              <w:rPr>
                <w:sz w:val="16"/>
                <w:szCs w:val="16"/>
              </w:rPr>
            </w:pPr>
            <w:r w:rsidRPr="003314AC">
              <w:rPr>
                <w:sz w:val="16"/>
                <w:szCs w:val="16"/>
              </w:rPr>
              <w:t>91.6</w:t>
            </w:r>
          </w:p>
        </w:tc>
        <w:tc>
          <w:tcPr>
            <w:tcW w:w="993" w:type="dxa"/>
            <w:tcBorders>
              <w:top w:val="nil"/>
              <w:left w:val="nil"/>
              <w:bottom w:val="single" w:sz="4" w:space="0" w:color="auto"/>
              <w:right w:val="single" w:sz="4" w:space="0" w:color="auto"/>
            </w:tcBorders>
            <w:shd w:val="clear" w:color="000000" w:fill="FFFFFF"/>
            <w:noWrap/>
            <w:vAlign w:val="center"/>
            <w:hideMark/>
          </w:tcPr>
          <w:p w14:paraId="59DCF6A6" w14:textId="3278A5AB" w:rsidR="003314AC" w:rsidRPr="003314AC" w:rsidRDefault="003314AC" w:rsidP="003314AC">
            <w:pPr>
              <w:jc w:val="center"/>
              <w:rPr>
                <w:sz w:val="16"/>
                <w:szCs w:val="16"/>
              </w:rPr>
            </w:pPr>
            <w:r w:rsidRPr="003314AC">
              <w:rPr>
                <w:sz w:val="16"/>
                <w:szCs w:val="16"/>
              </w:rPr>
              <w:t>99.9</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0CEF18E5" w14:textId="7CBD44C0" w:rsidR="003314AC" w:rsidRPr="003314AC" w:rsidRDefault="003314AC" w:rsidP="003314AC">
            <w:pPr>
              <w:jc w:val="center"/>
              <w:rPr>
                <w:sz w:val="16"/>
                <w:szCs w:val="16"/>
              </w:rPr>
            </w:pPr>
            <w:r w:rsidRPr="003314AC">
              <w:rPr>
                <w:sz w:val="16"/>
                <w:szCs w:val="16"/>
              </w:rPr>
              <w:t>108.2</w:t>
            </w:r>
          </w:p>
        </w:tc>
      </w:tr>
      <w:tr w:rsidR="003314AC" w:rsidRPr="00647FD4" w14:paraId="204625AD" w14:textId="77777777" w:rsidTr="00827ED5">
        <w:trPr>
          <w:trHeight w:val="58"/>
          <w:jc w:val="center"/>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0DBCF5D6" w14:textId="77777777" w:rsidR="003314AC" w:rsidRPr="00647FD4" w:rsidRDefault="003314AC" w:rsidP="003314AC">
            <w:pPr>
              <w:rPr>
                <w:b/>
                <w:bCs/>
                <w:sz w:val="16"/>
                <w:szCs w:val="16"/>
              </w:rPr>
            </w:pPr>
            <w:r w:rsidRPr="00647FD4">
              <w:rPr>
                <w:b/>
                <w:bCs/>
                <w:sz w:val="16"/>
                <w:szCs w:val="16"/>
              </w:rPr>
              <w:t>Gastos Totales</w:t>
            </w:r>
          </w:p>
        </w:tc>
        <w:tc>
          <w:tcPr>
            <w:tcW w:w="1134" w:type="dxa"/>
            <w:tcBorders>
              <w:top w:val="nil"/>
              <w:left w:val="nil"/>
              <w:bottom w:val="single" w:sz="4" w:space="0" w:color="auto"/>
              <w:right w:val="single" w:sz="4" w:space="0" w:color="auto"/>
            </w:tcBorders>
            <w:shd w:val="clear" w:color="000000" w:fill="FFFFFF"/>
            <w:noWrap/>
            <w:vAlign w:val="center"/>
            <w:hideMark/>
          </w:tcPr>
          <w:p w14:paraId="252FBE5A" w14:textId="132B45AC" w:rsidR="003314AC" w:rsidRPr="00A84127" w:rsidRDefault="003314AC" w:rsidP="003314AC">
            <w:pPr>
              <w:jc w:val="center"/>
              <w:rPr>
                <w:b/>
                <w:bCs/>
                <w:sz w:val="16"/>
                <w:szCs w:val="16"/>
              </w:rPr>
            </w:pPr>
            <w:r w:rsidRPr="00A84127">
              <w:rPr>
                <w:b/>
                <w:bCs/>
                <w:sz w:val="16"/>
                <w:szCs w:val="16"/>
              </w:rPr>
              <w:t>118,127.3</w:t>
            </w:r>
          </w:p>
        </w:tc>
        <w:tc>
          <w:tcPr>
            <w:tcW w:w="1134" w:type="dxa"/>
            <w:tcBorders>
              <w:top w:val="nil"/>
              <w:left w:val="nil"/>
              <w:bottom w:val="single" w:sz="4" w:space="0" w:color="auto"/>
              <w:right w:val="single" w:sz="4" w:space="0" w:color="auto"/>
            </w:tcBorders>
            <w:shd w:val="clear" w:color="000000" w:fill="FFFFFF"/>
            <w:noWrap/>
            <w:vAlign w:val="center"/>
            <w:hideMark/>
          </w:tcPr>
          <w:p w14:paraId="33A65199" w14:textId="278A76DC" w:rsidR="003314AC" w:rsidRPr="00A84127" w:rsidRDefault="003314AC" w:rsidP="003314AC">
            <w:pPr>
              <w:jc w:val="center"/>
              <w:rPr>
                <w:b/>
                <w:bCs/>
                <w:sz w:val="16"/>
                <w:szCs w:val="16"/>
              </w:rPr>
            </w:pPr>
            <w:r w:rsidRPr="00A84127">
              <w:rPr>
                <w:b/>
                <w:bCs/>
                <w:sz w:val="16"/>
                <w:szCs w:val="16"/>
              </w:rPr>
              <w:t>122,153.9</w:t>
            </w:r>
          </w:p>
        </w:tc>
        <w:tc>
          <w:tcPr>
            <w:tcW w:w="992" w:type="dxa"/>
            <w:tcBorders>
              <w:top w:val="nil"/>
              <w:left w:val="nil"/>
              <w:bottom w:val="single" w:sz="4" w:space="0" w:color="auto"/>
              <w:right w:val="single" w:sz="4" w:space="0" w:color="auto"/>
            </w:tcBorders>
            <w:shd w:val="clear" w:color="000000" w:fill="FFFFFF"/>
            <w:noWrap/>
            <w:vAlign w:val="center"/>
            <w:hideMark/>
          </w:tcPr>
          <w:p w14:paraId="0E951854" w14:textId="15A6E927" w:rsidR="003314AC" w:rsidRPr="00A84127" w:rsidRDefault="003314AC" w:rsidP="003314AC">
            <w:pPr>
              <w:jc w:val="center"/>
              <w:rPr>
                <w:b/>
                <w:bCs/>
                <w:sz w:val="16"/>
                <w:szCs w:val="16"/>
              </w:rPr>
            </w:pPr>
            <w:r w:rsidRPr="00A84127">
              <w:rPr>
                <w:b/>
                <w:bCs/>
                <w:sz w:val="16"/>
                <w:szCs w:val="16"/>
              </w:rPr>
              <w:t>126,037.6</w:t>
            </w:r>
          </w:p>
        </w:tc>
        <w:tc>
          <w:tcPr>
            <w:tcW w:w="993" w:type="dxa"/>
            <w:tcBorders>
              <w:top w:val="nil"/>
              <w:left w:val="nil"/>
              <w:bottom w:val="single" w:sz="4" w:space="0" w:color="auto"/>
              <w:right w:val="single" w:sz="4" w:space="0" w:color="auto"/>
            </w:tcBorders>
            <w:shd w:val="clear" w:color="000000" w:fill="FFFFFF"/>
            <w:noWrap/>
            <w:vAlign w:val="center"/>
            <w:hideMark/>
          </w:tcPr>
          <w:p w14:paraId="08D2F568" w14:textId="465BD029" w:rsidR="003314AC" w:rsidRPr="00A84127" w:rsidRDefault="003314AC" w:rsidP="003314AC">
            <w:pPr>
              <w:jc w:val="center"/>
              <w:rPr>
                <w:b/>
                <w:bCs/>
                <w:sz w:val="16"/>
                <w:szCs w:val="16"/>
              </w:rPr>
            </w:pPr>
            <w:r w:rsidRPr="00A84127">
              <w:rPr>
                <w:b/>
                <w:bCs/>
                <w:sz w:val="16"/>
                <w:szCs w:val="16"/>
              </w:rPr>
              <w:t>129,973.3</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201D54AD" w14:textId="78CE5AF3" w:rsidR="003314AC" w:rsidRPr="00A84127" w:rsidRDefault="003314AC" w:rsidP="003314AC">
            <w:pPr>
              <w:jc w:val="center"/>
              <w:rPr>
                <w:b/>
                <w:bCs/>
                <w:sz w:val="16"/>
                <w:szCs w:val="16"/>
              </w:rPr>
            </w:pPr>
            <w:r w:rsidRPr="00A84127">
              <w:rPr>
                <w:b/>
                <w:bCs/>
                <w:sz w:val="16"/>
                <w:szCs w:val="16"/>
              </w:rPr>
              <w:t>135,445.4</w:t>
            </w:r>
          </w:p>
        </w:tc>
      </w:tr>
      <w:tr w:rsidR="003314AC" w:rsidRPr="00647FD4" w14:paraId="67198E3C" w14:textId="77777777" w:rsidTr="00827ED5">
        <w:trPr>
          <w:trHeight w:val="56"/>
          <w:jc w:val="center"/>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3E20137F" w14:textId="77777777" w:rsidR="003314AC" w:rsidRPr="00647FD4" w:rsidRDefault="003314AC" w:rsidP="003314AC">
            <w:pPr>
              <w:ind w:firstLineChars="100" w:firstLine="160"/>
              <w:rPr>
                <w:sz w:val="16"/>
                <w:szCs w:val="16"/>
              </w:rPr>
            </w:pPr>
            <w:r w:rsidRPr="00647FD4">
              <w:rPr>
                <w:sz w:val="16"/>
                <w:szCs w:val="16"/>
              </w:rPr>
              <w:t>Gasto Corriente</w:t>
            </w:r>
          </w:p>
        </w:tc>
        <w:tc>
          <w:tcPr>
            <w:tcW w:w="1134" w:type="dxa"/>
            <w:tcBorders>
              <w:top w:val="nil"/>
              <w:left w:val="nil"/>
              <w:bottom w:val="single" w:sz="4" w:space="0" w:color="auto"/>
              <w:right w:val="single" w:sz="4" w:space="0" w:color="auto"/>
            </w:tcBorders>
            <w:shd w:val="clear" w:color="000000" w:fill="FFFFFF"/>
            <w:noWrap/>
            <w:vAlign w:val="center"/>
            <w:hideMark/>
          </w:tcPr>
          <w:p w14:paraId="6F98CB12" w14:textId="290EFA66" w:rsidR="003314AC" w:rsidRPr="003314AC" w:rsidRDefault="003314AC" w:rsidP="003314AC">
            <w:pPr>
              <w:jc w:val="center"/>
              <w:rPr>
                <w:sz w:val="16"/>
                <w:szCs w:val="16"/>
              </w:rPr>
            </w:pPr>
            <w:r w:rsidRPr="003314AC">
              <w:rPr>
                <w:sz w:val="16"/>
                <w:szCs w:val="16"/>
              </w:rPr>
              <w:t>95,170.5</w:t>
            </w:r>
          </w:p>
        </w:tc>
        <w:tc>
          <w:tcPr>
            <w:tcW w:w="1134" w:type="dxa"/>
            <w:tcBorders>
              <w:top w:val="nil"/>
              <w:left w:val="nil"/>
              <w:bottom w:val="single" w:sz="4" w:space="0" w:color="auto"/>
              <w:right w:val="single" w:sz="4" w:space="0" w:color="auto"/>
            </w:tcBorders>
            <w:shd w:val="clear" w:color="000000" w:fill="FFFFFF"/>
            <w:noWrap/>
            <w:vAlign w:val="center"/>
            <w:hideMark/>
          </w:tcPr>
          <w:p w14:paraId="53B36CDF" w14:textId="717775FE" w:rsidR="003314AC" w:rsidRPr="003314AC" w:rsidRDefault="003314AC" w:rsidP="003314AC">
            <w:pPr>
              <w:jc w:val="center"/>
              <w:rPr>
                <w:sz w:val="16"/>
                <w:szCs w:val="16"/>
              </w:rPr>
            </w:pPr>
            <w:r w:rsidRPr="003314AC">
              <w:rPr>
                <w:sz w:val="16"/>
                <w:szCs w:val="16"/>
              </w:rPr>
              <w:t>99,388.4</w:t>
            </w:r>
          </w:p>
        </w:tc>
        <w:tc>
          <w:tcPr>
            <w:tcW w:w="992" w:type="dxa"/>
            <w:tcBorders>
              <w:top w:val="nil"/>
              <w:left w:val="nil"/>
              <w:bottom w:val="single" w:sz="4" w:space="0" w:color="auto"/>
              <w:right w:val="single" w:sz="4" w:space="0" w:color="auto"/>
            </w:tcBorders>
            <w:shd w:val="clear" w:color="000000" w:fill="FFFFFF"/>
            <w:noWrap/>
            <w:vAlign w:val="center"/>
            <w:hideMark/>
          </w:tcPr>
          <w:p w14:paraId="25648041" w14:textId="21AB445A" w:rsidR="003314AC" w:rsidRPr="003314AC" w:rsidRDefault="003314AC" w:rsidP="003314AC">
            <w:pPr>
              <w:jc w:val="center"/>
              <w:rPr>
                <w:sz w:val="16"/>
                <w:szCs w:val="16"/>
              </w:rPr>
            </w:pPr>
            <w:r w:rsidRPr="003314AC">
              <w:rPr>
                <w:sz w:val="16"/>
                <w:szCs w:val="16"/>
              </w:rPr>
              <w:t>102,745.1</w:t>
            </w:r>
          </w:p>
        </w:tc>
        <w:tc>
          <w:tcPr>
            <w:tcW w:w="993" w:type="dxa"/>
            <w:tcBorders>
              <w:top w:val="nil"/>
              <w:left w:val="nil"/>
              <w:bottom w:val="single" w:sz="4" w:space="0" w:color="auto"/>
              <w:right w:val="single" w:sz="4" w:space="0" w:color="auto"/>
            </w:tcBorders>
            <w:shd w:val="clear" w:color="000000" w:fill="FFFFFF"/>
            <w:noWrap/>
            <w:vAlign w:val="center"/>
            <w:hideMark/>
          </w:tcPr>
          <w:p w14:paraId="1B98FDE8" w14:textId="758844F4" w:rsidR="003314AC" w:rsidRPr="003314AC" w:rsidRDefault="003314AC" w:rsidP="003314AC">
            <w:pPr>
              <w:jc w:val="center"/>
              <w:rPr>
                <w:sz w:val="16"/>
                <w:szCs w:val="16"/>
              </w:rPr>
            </w:pPr>
            <w:r w:rsidRPr="003314AC">
              <w:rPr>
                <w:sz w:val="16"/>
                <w:szCs w:val="16"/>
              </w:rPr>
              <w:t>105,790.9</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57515AE9" w14:textId="72B4E72F" w:rsidR="003314AC" w:rsidRPr="003314AC" w:rsidRDefault="003314AC" w:rsidP="003314AC">
            <w:pPr>
              <w:jc w:val="center"/>
              <w:rPr>
                <w:sz w:val="16"/>
                <w:szCs w:val="16"/>
              </w:rPr>
            </w:pPr>
            <w:r w:rsidRPr="003314AC">
              <w:rPr>
                <w:sz w:val="16"/>
                <w:szCs w:val="16"/>
              </w:rPr>
              <w:t>110,235.0</w:t>
            </w:r>
          </w:p>
        </w:tc>
      </w:tr>
      <w:tr w:rsidR="003314AC" w:rsidRPr="00647FD4" w14:paraId="3A4C9A68" w14:textId="77777777" w:rsidTr="00827ED5">
        <w:trPr>
          <w:trHeight w:val="92"/>
          <w:jc w:val="center"/>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5A727BB9" w14:textId="77777777" w:rsidR="003314AC" w:rsidRPr="00647FD4" w:rsidRDefault="003314AC" w:rsidP="003314AC">
            <w:pPr>
              <w:ind w:firstLineChars="300" w:firstLine="480"/>
              <w:rPr>
                <w:sz w:val="16"/>
                <w:szCs w:val="16"/>
              </w:rPr>
            </w:pPr>
            <w:r w:rsidRPr="00647FD4">
              <w:rPr>
                <w:sz w:val="16"/>
                <w:szCs w:val="16"/>
              </w:rPr>
              <w:t>Remuneraciones</w:t>
            </w:r>
          </w:p>
        </w:tc>
        <w:tc>
          <w:tcPr>
            <w:tcW w:w="1134" w:type="dxa"/>
            <w:tcBorders>
              <w:top w:val="nil"/>
              <w:left w:val="nil"/>
              <w:bottom w:val="single" w:sz="4" w:space="0" w:color="auto"/>
              <w:right w:val="single" w:sz="4" w:space="0" w:color="auto"/>
            </w:tcBorders>
            <w:shd w:val="clear" w:color="000000" w:fill="FFFFFF"/>
            <w:noWrap/>
            <w:vAlign w:val="center"/>
            <w:hideMark/>
          </w:tcPr>
          <w:p w14:paraId="75013F92" w14:textId="63286D04" w:rsidR="003314AC" w:rsidRPr="003314AC" w:rsidRDefault="003314AC" w:rsidP="003314AC">
            <w:pPr>
              <w:jc w:val="center"/>
              <w:rPr>
                <w:sz w:val="16"/>
                <w:szCs w:val="16"/>
              </w:rPr>
            </w:pPr>
            <w:r w:rsidRPr="003314AC">
              <w:rPr>
                <w:sz w:val="16"/>
                <w:szCs w:val="16"/>
              </w:rPr>
              <w:t>34,903.3</w:t>
            </w:r>
          </w:p>
        </w:tc>
        <w:tc>
          <w:tcPr>
            <w:tcW w:w="1134" w:type="dxa"/>
            <w:tcBorders>
              <w:top w:val="nil"/>
              <w:left w:val="nil"/>
              <w:bottom w:val="single" w:sz="4" w:space="0" w:color="auto"/>
              <w:right w:val="single" w:sz="4" w:space="0" w:color="auto"/>
            </w:tcBorders>
            <w:shd w:val="clear" w:color="000000" w:fill="FFFFFF"/>
            <w:noWrap/>
            <w:vAlign w:val="center"/>
            <w:hideMark/>
          </w:tcPr>
          <w:p w14:paraId="4BF0BC4C" w14:textId="7948511B" w:rsidR="003314AC" w:rsidRPr="003314AC" w:rsidRDefault="003314AC" w:rsidP="003314AC">
            <w:pPr>
              <w:jc w:val="center"/>
              <w:rPr>
                <w:sz w:val="16"/>
                <w:szCs w:val="16"/>
              </w:rPr>
            </w:pPr>
            <w:r w:rsidRPr="003314AC">
              <w:rPr>
                <w:sz w:val="16"/>
                <w:szCs w:val="16"/>
              </w:rPr>
              <w:t>35,147.7</w:t>
            </w:r>
          </w:p>
        </w:tc>
        <w:tc>
          <w:tcPr>
            <w:tcW w:w="992" w:type="dxa"/>
            <w:tcBorders>
              <w:top w:val="nil"/>
              <w:left w:val="nil"/>
              <w:bottom w:val="single" w:sz="4" w:space="0" w:color="auto"/>
              <w:right w:val="single" w:sz="4" w:space="0" w:color="auto"/>
            </w:tcBorders>
            <w:shd w:val="clear" w:color="000000" w:fill="FFFFFF"/>
            <w:noWrap/>
            <w:vAlign w:val="center"/>
            <w:hideMark/>
          </w:tcPr>
          <w:p w14:paraId="6D749DFA" w14:textId="04701BB5" w:rsidR="003314AC" w:rsidRPr="003314AC" w:rsidRDefault="003314AC" w:rsidP="003314AC">
            <w:pPr>
              <w:jc w:val="center"/>
              <w:rPr>
                <w:sz w:val="16"/>
                <w:szCs w:val="16"/>
              </w:rPr>
            </w:pPr>
            <w:r w:rsidRPr="003314AC">
              <w:rPr>
                <w:sz w:val="16"/>
                <w:szCs w:val="16"/>
              </w:rPr>
              <w:t>35,542.6</w:t>
            </w:r>
          </w:p>
        </w:tc>
        <w:tc>
          <w:tcPr>
            <w:tcW w:w="993" w:type="dxa"/>
            <w:tcBorders>
              <w:top w:val="nil"/>
              <w:left w:val="nil"/>
              <w:bottom w:val="single" w:sz="4" w:space="0" w:color="auto"/>
              <w:right w:val="single" w:sz="4" w:space="0" w:color="auto"/>
            </w:tcBorders>
            <w:shd w:val="clear" w:color="000000" w:fill="FFFFFF"/>
            <w:noWrap/>
            <w:vAlign w:val="center"/>
            <w:hideMark/>
          </w:tcPr>
          <w:p w14:paraId="2DDD6F04" w14:textId="44863D9E" w:rsidR="003314AC" w:rsidRPr="003314AC" w:rsidRDefault="003314AC" w:rsidP="003314AC">
            <w:pPr>
              <w:jc w:val="center"/>
              <w:rPr>
                <w:sz w:val="16"/>
                <w:szCs w:val="16"/>
              </w:rPr>
            </w:pPr>
            <w:r w:rsidRPr="003314AC">
              <w:rPr>
                <w:sz w:val="16"/>
                <w:szCs w:val="16"/>
              </w:rPr>
              <w:t>36,021.8</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22F8B536" w14:textId="4EE2452F" w:rsidR="003314AC" w:rsidRPr="003314AC" w:rsidRDefault="003314AC" w:rsidP="003314AC">
            <w:pPr>
              <w:jc w:val="center"/>
              <w:rPr>
                <w:sz w:val="16"/>
                <w:szCs w:val="16"/>
              </w:rPr>
            </w:pPr>
            <w:r w:rsidRPr="003314AC">
              <w:rPr>
                <w:sz w:val="16"/>
                <w:szCs w:val="16"/>
              </w:rPr>
              <w:t>36,463.6</w:t>
            </w:r>
          </w:p>
        </w:tc>
      </w:tr>
      <w:tr w:rsidR="003314AC" w:rsidRPr="00647FD4" w14:paraId="262517B0" w14:textId="77777777" w:rsidTr="00827ED5">
        <w:trPr>
          <w:trHeight w:val="56"/>
          <w:jc w:val="center"/>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27CC4DB1" w14:textId="77777777" w:rsidR="003314AC" w:rsidRPr="00647FD4" w:rsidRDefault="003314AC" w:rsidP="003314AC">
            <w:pPr>
              <w:ind w:firstLineChars="300" w:firstLine="480"/>
              <w:rPr>
                <w:sz w:val="16"/>
                <w:szCs w:val="16"/>
              </w:rPr>
            </w:pPr>
            <w:r w:rsidRPr="00647FD4">
              <w:rPr>
                <w:sz w:val="16"/>
                <w:szCs w:val="16"/>
              </w:rPr>
              <w:t>Bienes y Servicios</w:t>
            </w:r>
          </w:p>
        </w:tc>
        <w:tc>
          <w:tcPr>
            <w:tcW w:w="1134" w:type="dxa"/>
            <w:tcBorders>
              <w:top w:val="nil"/>
              <w:left w:val="nil"/>
              <w:bottom w:val="single" w:sz="4" w:space="0" w:color="auto"/>
              <w:right w:val="single" w:sz="4" w:space="0" w:color="auto"/>
            </w:tcBorders>
            <w:shd w:val="clear" w:color="000000" w:fill="FFFFFF"/>
            <w:noWrap/>
            <w:vAlign w:val="center"/>
            <w:hideMark/>
          </w:tcPr>
          <w:p w14:paraId="63CD44D5" w14:textId="5F75C5AD" w:rsidR="003314AC" w:rsidRPr="003314AC" w:rsidRDefault="003314AC" w:rsidP="003314AC">
            <w:pPr>
              <w:jc w:val="center"/>
              <w:rPr>
                <w:sz w:val="16"/>
                <w:szCs w:val="16"/>
              </w:rPr>
            </w:pPr>
            <w:r w:rsidRPr="003314AC">
              <w:rPr>
                <w:sz w:val="16"/>
                <w:szCs w:val="16"/>
              </w:rPr>
              <w:t>17,397.5</w:t>
            </w:r>
          </w:p>
        </w:tc>
        <w:tc>
          <w:tcPr>
            <w:tcW w:w="1134" w:type="dxa"/>
            <w:tcBorders>
              <w:top w:val="nil"/>
              <w:left w:val="nil"/>
              <w:bottom w:val="single" w:sz="4" w:space="0" w:color="auto"/>
              <w:right w:val="single" w:sz="4" w:space="0" w:color="auto"/>
            </w:tcBorders>
            <w:shd w:val="clear" w:color="000000" w:fill="FFFFFF"/>
            <w:noWrap/>
            <w:vAlign w:val="center"/>
            <w:hideMark/>
          </w:tcPr>
          <w:p w14:paraId="54D68ECC" w14:textId="1AEB8837" w:rsidR="003314AC" w:rsidRPr="003314AC" w:rsidRDefault="003314AC" w:rsidP="003314AC">
            <w:pPr>
              <w:jc w:val="center"/>
              <w:rPr>
                <w:sz w:val="16"/>
                <w:szCs w:val="16"/>
              </w:rPr>
            </w:pPr>
            <w:r w:rsidRPr="003314AC">
              <w:rPr>
                <w:sz w:val="16"/>
                <w:szCs w:val="16"/>
              </w:rPr>
              <w:t>19,211.1</w:t>
            </w:r>
          </w:p>
        </w:tc>
        <w:tc>
          <w:tcPr>
            <w:tcW w:w="992" w:type="dxa"/>
            <w:tcBorders>
              <w:top w:val="nil"/>
              <w:left w:val="nil"/>
              <w:bottom w:val="single" w:sz="4" w:space="0" w:color="auto"/>
              <w:right w:val="single" w:sz="4" w:space="0" w:color="auto"/>
            </w:tcBorders>
            <w:shd w:val="clear" w:color="000000" w:fill="FFFFFF"/>
            <w:noWrap/>
            <w:vAlign w:val="center"/>
            <w:hideMark/>
          </w:tcPr>
          <w:p w14:paraId="463105C5" w14:textId="0DC418EF" w:rsidR="003314AC" w:rsidRPr="003314AC" w:rsidRDefault="003314AC" w:rsidP="003314AC">
            <w:pPr>
              <w:jc w:val="center"/>
              <w:rPr>
                <w:sz w:val="16"/>
                <w:szCs w:val="16"/>
              </w:rPr>
            </w:pPr>
            <w:r w:rsidRPr="003314AC">
              <w:rPr>
                <w:sz w:val="16"/>
                <w:szCs w:val="16"/>
              </w:rPr>
              <w:t>20,971.2</w:t>
            </w:r>
          </w:p>
        </w:tc>
        <w:tc>
          <w:tcPr>
            <w:tcW w:w="993" w:type="dxa"/>
            <w:tcBorders>
              <w:top w:val="nil"/>
              <w:left w:val="nil"/>
              <w:bottom w:val="single" w:sz="4" w:space="0" w:color="auto"/>
              <w:right w:val="single" w:sz="4" w:space="0" w:color="auto"/>
            </w:tcBorders>
            <w:shd w:val="clear" w:color="000000" w:fill="FFFFFF"/>
            <w:noWrap/>
            <w:vAlign w:val="center"/>
            <w:hideMark/>
          </w:tcPr>
          <w:p w14:paraId="61B7325A" w14:textId="2EF045C3" w:rsidR="003314AC" w:rsidRPr="003314AC" w:rsidRDefault="003314AC" w:rsidP="003314AC">
            <w:pPr>
              <w:jc w:val="center"/>
              <w:rPr>
                <w:sz w:val="16"/>
                <w:szCs w:val="16"/>
              </w:rPr>
            </w:pPr>
            <w:r w:rsidRPr="003314AC">
              <w:rPr>
                <w:sz w:val="16"/>
                <w:szCs w:val="16"/>
              </w:rPr>
              <w:t>22,742.5</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4C139417" w14:textId="6FCCA63A" w:rsidR="003314AC" w:rsidRPr="003314AC" w:rsidRDefault="003314AC" w:rsidP="003314AC">
            <w:pPr>
              <w:jc w:val="center"/>
              <w:rPr>
                <w:sz w:val="16"/>
                <w:szCs w:val="16"/>
              </w:rPr>
            </w:pPr>
            <w:r w:rsidRPr="003314AC">
              <w:rPr>
                <w:sz w:val="16"/>
                <w:szCs w:val="16"/>
              </w:rPr>
              <w:t>24,789.7</w:t>
            </w:r>
          </w:p>
        </w:tc>
      </w:tr>
      <w:tr w:rsidR="003314AC" w:rsidRPr="00647FD4" w14:paraId="5EBA532F" w14:textId="77777777" w:rsidTr="00827ED5">
        <w:trPr>
          <w:trHeight w:val="56"/>
          <w:jc w:val="center"/>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780A92E6" w14:textId="77777777" w:rsidR="003314AC" w:rsidRPr="00647FD4" w:rsidRDefault="003314AC" w:rsidP="003314AC">
            <w:pPr>
              <w:ind w:firstLineChars="300" w:firstLine="480"/>
              <w:rPr>
                <w:sz w:val="16"/>
                <w:szCs w:val="16"/>
              </w:rPr>
            </w:pPr>
            <w:r w:rsidRPr="00647FD4">
              <w:rPr>
                <w:sz w:val="16"/>
                <w:szCs w:val="16"/>
              </w:rPr>
              <w:t>Intereses de la deuda pública</w:t>
            </w:r>
          </w:p>
        </w:tc>
        <w:tc>
          <w:tcPr>
            <w:tcW w:w="1134" w:type="dxa"/>
            <w:tcBorders>
              <w:top w:val="nil"/>
              <w:left w:val="nil"/>
              <w:bottom w:val="single" w:sz="4" w:space="0" w:color="auto"/>
              <w:right w:val="single" w:sz="4" w:space="0" w:color="auto"/>
            </w:tcBorders>
            <w:shd w:val="clear" w:color="000000" w:fill="FFFFFF"/>
            <w:noWrap/>
            <w:vAlign w:val="center"/>
            <w:hideMark/>
          </w:tcPr>
          <w:p w14:paraId="48B28B33" w14:textId="6013CDDA" w:rsidR="003314AC" w:rsidRPr="003314AC" w:rsidRDefault="003314AC" w:rsidP="003314AC">
            <w:pPr>
              <w:jc w:val="center"/>
              <w:rPr>
                <w:sz w:val="16"/>
                <w:szCs w:val="16"/>
              </w:rPr>
            </w:pPr>
            <w:r w:rsidRPr="003314AC">
              <w:rPr>
                <w:sz w:val="16"/>
                <w:szCs w:val="16"/>
              </w:rPr>
              <w:t>14,025.7</w:t>
            </w:r>
          </w:p>
        </w:tc>
        <w:tc>
          <w:tcPr>
            <w:tcW w:w="1134" w:type="dxa"/>
            <w:tcBorders>
              <w:top w:val="nil"/>
              <w:left w:val="nil"/>
              <w:bottom w:val="single" w:sz="4" w:space="0" w:color="auto"/>
              <w:right w:val="single" w:sz="4" w:space="0" w:color="auto"/>
            </w:tcBorders>
            <w:shd w:val="clear" w:color="000000" w:fill="FFFFFF"/>
            <w:noWrap/>
            <w:vAlign w:val="center"/>
            <w:hideMark/>
          </w:tcPr>
          <w:p w14:paraId="0492F0EF" w14:textId="3E234677" w:rsidR="003314AC" w:rsidRPr="003314AC" w:rsidRDefault="003314AC" w:rsidP="003314AC">
            <w:pPr>
              <w:jc w:val="center"/>
              <w:rPr>
                <w:sz w:val="16"/>
                <w:szCs w:val="16"/>
              </w:rPr>
            </w:pPr>
            <w:r w:rsidRPr="003314AC">
              <w:rPr>
                <w:sz w:val="16"/>
                <w:szCs w:val="16"/>
              </w:rPr>
              <w:t>15,261.0</w:t>
            </w:r>
          </w:p>
        </w:tc>
        <w:tc>
          <w:tcPr>
            <w:tcW w:w="992" w:type="dxa"/>
            <w:tcBorders>
              <w:top w:val="nil"/>
              <w:left w:val="nil"/>
              <w:bottom w:val="single" w:sz="4" w:space="0" w:color="auto"/>
              <w:right w:val="single" w:sz="4" w:space="0" w:color="auto"/>
            </w:tcBorders>
            <w:shd w:val="clear" w:color="000000" w:fill="FFFFFF"/>
            <w:noWrap/>
            <w:vAlign w:val="center"/>
            <w:hideMark/>
          </w:tcPr>
          <w:p w14:paraId="1431A64B" w14:textId="13387A13" w:rsidR="003314AC" w:rsidRPr="003314AC" w:rsidRDefault="003314AC" w:rsidP="003314AC">
            <w:pPr>
              <w:jc w:val="center"/>
              <w:rPr>
                <w:sz w:val="16"/>
                <w:szCs w:val="16"/>
              </w:rPr>
            </w:pPr>
            <w:r w:rsidRPr="003314AC">
              <w:rPr>
                <w:sz w:val="16"/>
                <w:szCs w:val="16"/>
              </w:rPr>
              <w:t>15,168.5</w:t>
            </w:r>
          </w:p>
        </w:tc>
        <w:tc>
          <w:tcPr>
            <w:tcW w:w="993" w:type="dxa"/>
            <w:tcBorders>
              <w:top w:val="nil"/>
              <w:left w:val="nil"/>
              <w:bottom w:val="single" w:sz="4" w:space="0" w:color="auto"/>
              <w:right w:val="single" w:sz="4" w:space="0" w:color="auto"/>
            </w:tcBorders>
            <w:shd w:val="clear" w:color="000000" w:fill="FFFFFF"/>
            <w:noWrap/>
            <w:vAlign w:val="center"/>
            <w:hideMark/>
          </w:tcPr>
          <w:p w14:paraId="4FC537D4" w14:textId="0E773AF7" w:rsidR="003314AC" w:rsidRPr="003314AC" w:rsidRDefault="003314AC" w:rsidP="003314AC">
            <w:pPr>
              <w:jc w:val="center"/>
              <w:rPr>
                <w:sz w:val="16"/>
                <w:szCs w:val="16"/>
              </w:rPr>
            </w:pPr>
            <w:r w:rsidRPr="003314AC">
              <w:rPr>
                <w:sz w:val="16"/>
                <w:szCs w:val="16"/>
              </w:rPr>
              <w:t>15,907.5</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5BFB9CC7" w14:textId="0501C4D3" w:rsidR="003314AC" w:rsidRPr="003314AC" w:rsidRDefault="003314AC" w:rsidP="003314AC">
            <w:pPr>
              <w:jc w:val="center"/>
              <w:rPr>
                <w:sz w:val="16"/>
                <w:szCs w:val="16"/>
              </w:rPr>
            </w:pPr>
            <w:r w:rsidRPr="003314AC">
              <w:rPr>
                <w:sz w:val="16"/>
                <w:szCs w:val="16"/>
              </w:rPr>
              <w:t>16,975.3</w:t>
            </w:r>
          </w:p>
        </w:tc>
      </w:tr>
      <w:tr w:rsidR="003314AC" w:rsidRPr="00647FD4" w14:paraId="49615145" w14:textId="77777777" w:rsidTr="00827ED5">
        <w:trPr>
          <w:trHeight w:val="86"/>
          <w:jc w:val="center"/>
        </w:trPr>
        <w:tc>
          <w:tcPr>
            <w:tcW w:w="3534" w:type="dxa"/>
            <w:tcBorders>
              <w:top w:val="nil"/>
              <w:left w:val="single" w:sz="8" w:space="0" w:color="auto"/>
              <w:bottom w:val="nil"/>
              <w:right w:val="single" w:sz="8" w:space="0" w:color="auto"/>
            </w:tcBorders>
            <w:shd w:val="clear" w:color="000000" w:fill="FFFFFF"/>
            <w:noWrap/>
            <w:vAlign w:val="center"/>
            <w:hideMark/>
          </w:tcPr>
          <w:p w14:paraId="2D162A8F" w14:textId="77777777" w:rsidR="003314AC" w:rsidRPr="00647FD4" w:rsidRDefault="003314AC" w:rsidP="003314AC">
            <w:pPr>
              <w:ind w:firstLineChars="300" w:firstLine="480"/>
              <w:rPr>
                <w:sz w:val="16"/>
                <w:szCs w:val="16"/>
              </w:rPr>
            </w:pPr>
            <w:r w:rsidRPr="00647FD4">
              <w:rPr>
                <w:sz w:val="16"/>
                <w:szCs w:val="16"/>
              </w:rPr>
              <w:t>Transferencias corrientes</w:t>
            </w:r>
          </w:p>
        </w:tc>
        <w:tc>
          <w:tcPr>
            <w:tcW w:w="1134" w:type="dxa"/>
            <w:tcBorders>
              <w:top w:val="nil"/>
              <w:left w:val="nil"/>
              <w:bottom w:val="nil"/>
              <w:right w:val="single" w:sz="4" w:space="0" w:color="auto"/>
            </w:tcBorders>
            <w:shd w:val="clear" w:color="000000" w:fill="FFFFFF"/>
            <w:noWrap/>
            <w:vAlign w:val="center"/>
            <w:hideMark/>
          </w:tcPr>
          <w:p w14:paraId="466B8CC9" w14:textId="08CA1681" w:rsidR="003314AC" w:rsidRPr="003314AC" w:rsidRDefault="003314AC" w:rsidP="003314AC">
            <w:pPr>
              <w:jc w:val="center"/>
              <w:rPr>
                <w:sz w:val="16"/>
                <w:szCs w:val="16"/>
              </w:rPr>
            </w:pPr>
            <w:r w:rsidRPr="003314AC">
              <w:rPr>
                <w:sz w:val="16"/>
                <w:szCs w:val="16"/>
              </w:rPr>
              <w:t>20,997.8</w:t>
            </w:r>
          </w:p>
        </w:tc>
        <w:tc>
          <w:tcPr>
            <w:tcW w:w="1134" w:type="dxa"/>
            <w:tcBorders>
              <w:top w:val="nil"/>
              <w:left w:val="nil"/>
              <w:bottom w:val="nil"/>
              <w:right w:val="single" w:sz="4" w:space="0" w:color="auto"/>
            </w:tcBorders>
            <w:shd w:val="clear" w:color="000000" w:fill="FFFFFF"/>
            <w:noWrap/>
            <w:vAlign w:val="center"/>
            <w:hideMark/>
          </w:tcPr>
          <w:p w14:paraId="2704D6E2" w14:textId="3C4E6CD3" w:rsidR="003314AC" w:rsidRPr="003314AC" w:rsidRDefault="003314AC" w:rsidP="003314AC">
            <w:pPr>
              <w:jc w:val="center"/>
              <w:rPr>
                <w:sz w:val="16"/>
                <w:szCs w:val="16"/>
              </w:rPr>
            </w:pPr>
            <w:r w:rsidRPr="003314AC">
              <w:rPr>
                <w:sz w:val="16"/>
                <w:szCs w:val="16"/>
              </w:rPr>
              <w:t>21,474.4</w:t>
            </w:r>
          </w:p>
        </w:tc>
        <w:tc>
          <w:tcPr>
            <w:tcW w:w="992" w:type="dxa"/>
            <w:tcBorders>
              <w:top w:val="nil"/>
              <w:left w:val="nil"/>
              <w:bottom w:val="nil"/>
              <w:right w:val="single" w:sz="4" w:space="0" w:color="auto"/>
            </w:tcBorders>
            <w:shd w:val="clear" w:color="000000" w:fill="FFFFFF"/>
            <w:noWrap/>
            <w:vAlign w:val="center"/>
            <w:hideMark/>
          </w:tcPr>
          <w:p w14:paraId="7FB46A19" w14:textId="69713FE8" w:rsidR="003314AC" w:rsidRPr="003314AC" w:rsidRDefault="003314AC" w:rsidP="003314AC">
            <w:pPr>
              <w:jc w:val="center"/>
              <w:rPr>
                <w:sz w:val="16"/>
                <w:szCs w:val="16"/>
              </w:rPr>
            </w:pPr>
            <w:r w:rsidRPr="003314AC">
              <w:rPr>
                <w:sz w:val="16"/>
                <w:szCs w:val="16"/>
              </w:rPr>
              <w:t>22,274.9</w:t>
            </w:r>
          </w:p>
        </w:tc>
        <w:tc>
          <w:tcPr>
            <w:tcW w:w="993" w:type="dxa"/>
            <w:tcBorders>
              <w:top w:val="nil"/>
              <w:left w:val="nil"/>
              <w:bottom w:val="nil"/>
              <w:right w:val="single" w:sz="4" w:space="0" w:color="auto"/>
            </w:tcBorders>
            <w:shd w:val="clear" w:color="000000" w:fill="FFFFFF"/>
            <w:noWrap/>
            <w:vAlign w:val="center"/>
            <w:hideMark/>
          </w:tcPr>
          <w:p w14:paraId="475744A8" w14:textId="75C336F6" w:rsidR="003314AC" w:rsidRPr="003314AC" w:rsidRDefault="003314AC" w:rsidP="003314AC">
            <w:pPr>
              <w:jc w:val="center"/>
              <w:rPr>
                <w:sz w:val="16"/>
                <w:szCs w:val="16"/>
              </w:rPr>
            </w:pPr>
            <w:r w:rsidRPr="003314AC">
              <w:rPr>
                <w:sz w:val="16"/>
                <w:szCs w:val="16"/>
              </w:rPr>
              <w:t>21,849.8</w:t>
            </w:r>
          </w:p>
        </w:tc>
        <w:tc>
          <w:tcPr>
            <w:tcW w:w="992" w:type="dxa"/>
            <w:tcBorders>
              <w:top w:val="nil"/>
              <w:left w:val="single" w:sz="4" w:space="0" w:color="auto"/>
              <w:bottom w:val="nil"/>
              <w:right w:val="single" w:sz="8" w:space="0" w:color="auto"/>
            </w:tcBorders>
            <w:shd w:val="clear" w:color="000000" w:fill="FFFFFF"/>
            <w:noWrap/>
            <w:vAlign w:val="center"/>
            <w:hideMark/>
          </w:tcPr>
          <w:p w14:paraId="79F1B95E" w14:textId="41C426B3" w:rsidR="003314AC" w:rsidRPr="003314AC" w:rsidRDefault="003314AC" w:rsidP="003314AC">
            <w:pPr>
              <w:jc w:val="center"/>
              <w:rPr>
                <w:sz w:val="16"/>
                <w:szCs w:val="16"/>
              </w:rPr>
            </w:pPr>
            <w:r w:rsidRPr="003314AC">
              <w:rPr>
                <w:sz w:val="16"/>
                <w:szCs w:val="16"/>
              </w:rPr>
              <w:t>22,202.2</w:t>
            </w:r>
          </w:p>
        </w:tc>
      </w:tr>
      <w:tr w:rsidR="003314AC" w:rsidRPr="00647FD4" w14:paraId="1C2BFF06" w14:textId="77777777" w:rsidTr="00827ED5">
        <w:trPr>
          <w:trHeight w:val="56"/>
          <w:jc w:val="center"/>
        </w:trPr>
        <w:tc>
          <w:tcPr>
            <w:tcW w:w="3534" w:type="dxa"/>
            <w:tcBorders>
              <w:top w:val="single" w:sz="4" w:space="0" w:color="auto"/>
              <w:left w:val="single" w:sz="8" w:space="0" w:color="auto"/>
              <w:bottom w:val="nil"/>
              <w:right w:val="single" w:sz="8" w:space="0" w:color="auto"/>
            </w:tcBorders>
            <w:shd w:val="clear" w:color="000000" w:fill="FFFFFF"/>
            <w:noWrap/>
            <w:vAlign w:val="center"/>
            <w:hideMark/>
          </w:tcPr>
          <w:p w14:paraId="3577A34D" w14:textId="77777777" w:rsidR="003314AC" w:rsidRPr="00647FD4" w:rsidRDefault="003314AC" w:rsidP="003314AC">
            <w:pPr>
              <w:ind w:firstLineChars="300" w:firstLine="480"/>
              <w:rPr>
                <w:sz w:val="16"/>
                <w:szCs w:val="16"/>
              </w:rPr>
            </w:pPr>
            <w:r w:rsidRPr="00647FD4">
              <w:rPr>
                <w:sz w:val="16"/>
                <w:szCs w:val="16"/>
              </w:rPr>
              <w:t>Otros</w:t>
            </w:r>
          </w:p>
        </w:tc>
        <w:tc>
          <w:tcPr>
            <w:tcW w:w="1134" w:type="dxa"/>
            <w:tcBorders>
              <w:top w:val="single" w:sz="4" w:space="0" w:color="auto"/>
              <w:left w:val="nil"/>
              <w:bottom w:val="nil"/>
              <w:right w:val="single" w:sz="4" w:space="0" w:color="auto"/>
            </w:tcBorders>
            <w:shd w:val="clear" w:color="000000" w:fill="FFFFFF"/>
            <w:noWrap/>
            <w:vAlign w:val="center"/>
            <w:hideMark/>
          </w:tcPr>
          <w:p w14:paraId="49C095A4" w14:textId="2AA237A4" w:rsidR="003314AC" w:rsidRPr="003314AC" w:rsidRDefault="003314AC" w:rsidP="003314AC">
            <w:pPr>
              <w:jc w:val="center"/>
              <w:rPr>
                <w:sz w:val="16"/>
                <w:szCs w:val="16"/>
              </w:rPr>
            </w:pPr>
            <w:r w:rsidRPr="003314AC">
              <w:rPr>
                <w:sz w:val="16"/>
                <w:szCs w:val="16"/>
              </w:rPr>
              <w:t>7,846.1</w:t>
            </w:r>
          </w:p>
        </w:tc>
        <w:tc>
          <w:tcPr>
            <w:tcW w:w="1134" w:type="dxa"/>
            <w:tcBorders>
              <w:top w:val="single" w:sz="4" w:space="0" w:color="auto"/>
              <w:left w:val="nil"/>
              <w:bottom w:val="nil"/>
              <w:right w:val="single" w:sz="4" w:space="0" w:color="auto"/>
            </w:tcBorders>
            <w:shd w:val="clear" w:color="000000" w:fill="FFFFFF"/>
            <w:noWrap/>
            <w:vAlign w:val="center"/>
            <w:hideMark/>
          </w:tcPr>
          <w:p w14:paraId="7C399828" w14:textId="45DC7C18" w:rsidR="003314AC" w:rsidRPr="003314AC" w:rsidRDefault="003314AC" w:rsidP="003314AC">
            <w:pPr>
              <w:jc w:val="center"/>
              <w:rPr>
                <w:sz w:val="16"/>
                <w:szCs w:val="16"/>
              </w:rPr>
            </w:pPr>
            <w:r w:rsidRPr="003314AC">
              <w:rPr>
                <w:sz w:val="16"/>
                <w:szCs w:val="16"/>
              </w:rPr>
              <w:t>8,294.2</w:t>
            </w:r>
          </w:p>
        </w:tc>
        <w:tc>
          <w:tcPr>
            <w:tcW w:w="992" w:type="dxa"/>
            <w:tcBorders>
              <w:top w:val="single" w:sz="4" w:space="0" w:color="auto"/>
              <w:left w:val="nil"/>
              <w:bottom w:val="nil"/>
              <w:right w:val="single" w:sz="4" w:space="0" w:color="auto"/>
            </w:tcBorders>
            <w:shd w:val="clear" w:color="000000" w:fill="FFFFFF"/>
            <w:noWrap/>
            <w:vAlign w:val="center"/>
            <w:hideMark/>
          </w:tcPr>
          <w:p w14:paraId="488F1FBB" w14:textId="057D7376" w:rsidR="003314AC" w:rsidRPr="003314AC" w:rsidRDefault="003314AC" w:rsidP="003314AC">
            <w:pPr>
              <w:jc w:val="center"/>
              <w:rPr>
                <w:sz w:val="16"/>
                <w:szCs w:val="16"/>
              </w:rPr>
            </w:pPr>
            <w:r w:rsidRPr="003314AC">
              <w:rPr>
                <w:sz w:val="16"/>
                <w:szCs w:val="16"/>
              </w:rPr>
              <w:t>8,787.9</w:t>
            </w:r>
          </w:p>
        </w:tc>
        <w:tc>
          <w:tcPr>
            <w:tcW w:w="993" w:type="dxa"/>
            <w:tcBorders>
              <w:top w:val="single" w:sz="4" w:space="0" w:color="auto"/>
              <w:left w:val="nil"/>
              <w:bottom w:val="nil"/>
              <w:right w:val="single" w:sz="4" w:space="0" w:color="auto"/>
            </w:tcBorders>
            <w:shd w:val="clear" w:color="000000" w:fill="FFFFFF"/>
            <w:noWrap/>
            <w:vAlign w:val="center"/>
            <w:hideMark/>
          </w:tcPr>
          <w:p w14:paraId="35C123AC" w14:textId="34DBE6B3" w:rsidR="003314AC" w:rsidRPr="003314AC" w:rsidRDefault="003314AC" w:rsidP="003314AC">
            <w:pPr>
              <w:jc w:val="center"/>
              <w:rPr>
                <w:sz w:val="16"/>
                <w:szCs w:val="16"/>
              </w:rPr>
            </w:pPr>
            <w:r w:rsidRPr="003314AC">
              <w:rPr>
                <w:sz w:val="16"/>
                <w:szCs w:val="16"/>
              </w:rPr>
              <w:t>9,269.4</w:t>
            </w:r>
          </w:p>
        </w:tc>
        <w:tc>
          <w:tcPr>
            <w:tcW w:w="992" w:type="dxa"/>
            <w:tcBorders>
              <w:top w:val="single" w:sz="4" w:space="0" w:color="auto"/>
              <w:left w:val="single" w:sz="4" w:space="0" w:color="auto"/>
              <w:bottom w:val="nil"/>
              <w:right w:val="single" w:sz="8" w:space="0" w:color="auto"/>
            </w:tcBorders>
            <w:shd w:val="clear" w:color="000000" w:fill="FFFFFF"/>
            <w:noWrap/>
            <w:vAlign w:val="center"/>
            <w:hideMark/>
          </w:tcPr>
          <w:p w14:paraId="4D82560D" w14:textId="4C732C67" w:rsidR="003314AC" w:rsidRPr="003314AC" w:rsidRDefault="003314AC" w:rsidP="003314AC">
            <w:pPr>
              <w:jc w:val="center"/>
              <w:rPr>
                <w:sz w:val="16"/>
                <w:szCs w:val="16"/>
              </w:rPr>
            </w:pPr>
            <w:r w:rsidRPr="003314AC">
              <w:rPr>
                <w:sz w:val="16"/>
                <w:szCs w:val="16"/>
              </w:rPr>
              <w:t>9,804.2</w:t>
            </w:r>
          </w:p>
        </w:tc>
      </w:tr>
      <w:tr w:rsidR="003314AC" w:rsidRPr="00647FD4" w14:paraId="71617522" w14:textId="77777777" w:rsidTr="00827ED5">
        <w:trPr>
          <w:trHeight w:val="56"/>
          <w:jc w:val="center"/>
        </w:trPr>
        <w:tc>
          <w:tcPr>
            <w:tcW w:w="3534" w:type="dxa"/>
            <w:tcBorders>
              <w:top w:val="single" w:sz="4" w:space="0" w:color="auto"/>
              <w:left w:val="single" w:sz="8" w:space="0" w:color="auto"/>
              <w:bottom w:val="nil"/>
              <w:right w:val="single" w:sz="8" w:space="0" w:color="auto"/>
            </w:tcBorders>
            <w:shd w:val="clear" w:color="000000" w:fill="FFFFFF"/>
            <w:noWrap/>
            <w:vAlign w:val="center"/>
            <w:hideMark/>
          </w:tcPr>
          <w:p w14:paraId="5EE35BE6" w14:textId="77777777" w:rsidR="003314AC" w:rsidRPr="00647FD4" w:rsidRDefault="003314AC" w:rsidP="003314AC">
            <w:pPr>
              <w:ind w:firstLineChars="100" w:firstLine="160"/>
              <w:rPr>
                <w:sz w:val="16"/>
                <w:szCs w:val="16"/>
              </w:rPr>
            </w:pPr>
            <w:r w:rsidRPr="00647FD4">
              <w:rPr>
                <w:sz w:val="16"/>
                <w:szCs w:val="16"/>
              </w:rPr>
              <w:t>Gasto de Capital</w:t>
            </w:r>
          </w:p>
        </w:tc>
        <w:tc>
          <w:tcPr>
            <w:tcW w:w="1134" w:type="dxa"/>
            <w:tcBorders>
              <w:top w:val="single" w:sz="4" w:space="0" w:color="auto"/>
              <w:left w:val="nil"/>
              <w:bottom w:val="nil"/>
              <w:right w:val="single" w:sz="4" w:space="0" w:color="auto"/>
            </w:tcBorders>
            <w:shd w:val="clear" w:color="000000" w:fill="FFFFFF"/>
            <w:noWrap/>
            <w:vAlign w:val="center"/>
            <w:hideMark/>
          </w:tcPr>
          <w:p w14:paraId="534974C6" w14:textId="08E3493D" w:rsidR="003314AC" w:rsidRPr="003314AC" w:rsidRDefault="003314AC" w:rsidP="003314AC">
            <w:pPr>
              <w:jc w:val="center"/>
              <w:rPr>
                <w:sz w:val="16"/>
                <w:szCs w:val="16"/>
              </w:rPr>
            </w:pPr>
            <w:r w:rsidRPr="003314AC">
              <w:rPr>
                <w:sz w:val="16"/>
                <w:szCs w:val="16"/>
              </w:rPr>
              <w:t>22,956.8</w:t>
            </w:r>
          </w:p>
        </w:tc>
        <w:tc>
          <w:tcPr>
            <w:tcW w:w="1134" w:type="dxa"/>
            <w:tcBorders>
              <w:top w:val="single" w:sz="4" w:space="0" w:color="auto"/>
              <w:left w:val="nil"/>
              <w:bottom w:val="nil"/>
              <w:right w:val="single" w:sz="4" w:space="0" w:color="auto"/>
            </w:tcBorders>
            <w:shd w:val="clear" w:color="000000" w:fill="FFFFFF"/>
            <w:noWrap/>
            <w:vAlign w:val="center"/>
            <w:hideMark/>
          </w:tcPr>
          <w:p w14:paraId="4411B130" w14:textId="6F26A193" w:rsidR="003314AC" w:rsidRPr="003314AC" w:rsidRDefault="003314AC" w:rsidP="003314AC">
            <w:pPr>
              <w:jc w:val="center"/>
              <w:rPr>
                <w:sz w:val="16"/>
                <w:szCs w:val="16"/>
              </w:rPr>
            </w:pPr>
            <w:r w:rsidRPr="003314AC">
              <w:rPr>
                <w:sz w:val="16"/>
                <w:szCs w:val="16"/>
              </w:rPr>
              <w:t>22,765.5</w:t>
            </w:r>
          </w:p>
        </w:tc>
        <w:tc>
          <w:tcPr>
            <w:tcW w:w="992" w:type="dxa"/>
            <w:tcBorders>
              <w:top w:val="single" w:sz="4" w:space="0" w:color="auto"/>
              <w:left w:val="nil"/>
              <w:bottom w:val="nil"/>
              <w:right w:val="single" w:sz="4" w:space="0" w:color="auto"/>
            </w:tcBorders>
            <w:shd w:val="clear" w:color="000000" w:fill="FFFFFF"/>
            <w:noWrap/>
            <w:vAlign w:val="center"/>
            <w:hideMark/>
          </w:tcPr>
          <w:p w14:paraId="75C74F6F" w14:textId="0ECEF176" w:rsidR="003314AC" w:rsidRPr="003314AC" w:rsidRDefault="003314AC" w:rsidP="003314AC">
            <w:pPr>
              <w:jc w:val="center"/>
              <w:rPr>
                <w:sz w:val="16"/>
                <w:szCs w:val="16"/>
              </w:rPr>
            </w:pPr>
            <w:r w:rsidRPr="003314AC">
              <w:rPr>
                <w:sz w:val="16"/>
                <w:szCs w:val="16"/>
              </w:rPr>
              <w:t>23,292.4</w:t>
            </w:r>
          </w:p>
        </w:tc>
        <w:tc>
          <w:tcPr>
            <w:tcW w:w="993" w:type="dxa"/>
            <w:tcBorders>
              <w:top w:val="single" w:sz="4" w:space="0" w:color="auto"/>
              <w:left w:val="nil"/>
              <w:bottom w:val="nil"/>
              <w:right w:val="single" w:sz="4" w:space="0" w:color="auto"/>
            </w:tcBorders>
            <w:shd w:val="clear" w:color="000000" w:fill="FFFFFF"/>
            <w:noWrap/>
            <w:vAlign w:val="center"/>
            <w:hideMark/>
          </w:tcPr>
          <w:p w14:paraId="7A3F3CB9" w14:textId="3045A710" w:rsidR="003314AC" w:rsidRPr="003314AC" w:rsidRDefault="003314AC" w:rsidP="003314AC">
            <w:pPr>
              <w:jc w:val="center"/>
              <w:rPr>
                <w:sz w:val="16"/>
                <w:szCs w:val="16"/>
              </w:rPr>
            </w:pPr>
            <w:r w:rsidRPr="003314AC">
              <w:rPr>
                <w:sz w:val="16"/>
                <w:szCs w:val="16"/>
              </w:rPr>
              <w:t>24,182.4</w:t>
            </w:r>
          </w:p>
        </w:tc>
        <w:tc>
          <w:tcPr>
            <w:tcW w:w="992" w:type="dxa"/>
            <w:tcBorders>
              <w:top w:val="single" w:sz="4" w:space="0" w:color="auto"/>
              <w:left w:val="single" w:sz="4" w:space="0" w:color="auto"/>
              <w:bottom w:val="nil"/>
              <w:right w:val="single" w:sz="8" w:space="0" w:color="auto"/>
            </w:tcBorders>
            <w:shd w:val="clear" w:color="000000" w:fill="FFFFFF"/>
            <w:noWrap/>
            <w:vAlign w:val="center"/>
            <w:hideMark/>
          </w:tcPr>
          <w:p w14:paraId="67097885" w14:textId="1D588D9D" w:rsidR="003314AC" w:rsidRPr="003314AC" w:rsidRDefault="003314AC" w:rsidP="003314AC">
            <w:pPr>
              <w:jc w:val="center"/>
              <w:rPr>
                <w:sz w:val="16"/>
                <w:szCs w:val="16"/>
              </w:rPr>
            </w:pPr>
            <w:r w:rsidRPr="003314AC">
              <w:rPr>
                <w:sz w:val="16"/>
                <w:szCs w:val="16"/>
              </w:rPr>
              <w:t>25,210.4</w:t>
            </w:r>
          </w:p>
        </w:tc>
      </w:tr>
      <w:tr w:rsidR="003314AC" w:rsidRPr="00647FD4" w14:paraId="598B10F8" w14:textId="77777777" w:rsidTr="00827ED5">
        <w:trPr>
          <w:trHeight w:val="66"/>
          <w:jc w:val="center"/>
        </w:trPr>
        <w:tc>
          <w:tcPr>
            <w:tcW w:w="3534" w:type="dxa"/>
            <w:tcBorders>
              <w:top w:val="single" w:sz="4" w:space="0" w:color="auto"/>
              <w:left w:val="single" w:sz="8" w:space="0" w:color="auto"/>
              <w:bottom w:val="nil"/>
              <w:right w:val="single" w:sz="8" w:space="0" w:color="auto"/>
            </w:tcBorders>
            <w:shd w:val="clear" w:color="000000" w:fill="FFFFFF"/>
            <w:noWrap/>
            <w:vAlign w:val="center"/>
            <w:hideMark/>
          </w:tcPr>
          <w:p w14:paraId="42D78BFE" w14:textId="77777777" w:rsidR="003314AC" w:rsidRPr="00647FD4" w:rsidRDefault="003314AC" w:rsidP="003314AC">
            <w:pPr>
              <w:ind w:firstLineChars="300" w:firstLine="480"/>
              <w:rPr>
                <w:sz w:val="16"/>
                <w:szCs w:val="16"/>
              </w:rPr>
            </w:pPr>
            <w:r w:rsidRPr="00647FD4">
              <w:rPr>
                <w:sz w:val="16"/>
                <w:szCs w:val="16"/>
              </w:rPr>
              <w:t>Inversión Real Directa</w:t>
            </w:r>
          </w:p>
        </w:tc>
        <w:tc>
          <w:tcPr>
            <w:tcW w:w="1134" w:type="dxa"/>
            <w:tcBorders>
              <w:top w:val="single" w:sz="4" w:space="0" w:color="auto"/>
              <w:left w:val="nil"/>
              <w:bottom w:val="nil"/>
              <w:right w:val="single" w:sz="4" w:space="0" w:color="auto"/>
            </w:tcBorders>
            <w:shd w:val="clear" w:color="000000" w:fill="FFFFFF"/>
            <w:noWrap/>
            <w:vAlign w:val="center"/>
            <w:hideMark/>
          </w:tcPr>
          <w:p w14:paraId="622265D0" w14:textId="757F7A84" w:rsidR="003314AC" w:rsidRPr="003314AC" w:rsidRDefault="003314AC" w:rsidP="003314AC">
            <w:pPr>
              <w:jc w:val="center"/>
              <w:rPr>
                <w:sz w:val="16"/>
                <w:szCs w:val="16"/>
              </w:rPr>
            </w:pPr>
            <w:r w:rsidRPr="003314AC">
              <w:rPr>
                <w:sz w:val="16"/>
                <w:szCs w:val="16"/>
              </w:rPr>
              <w:t>5,539.1</w:t>
            </w:r>
          </w:p>
        </w:tc>
        <w:tc>
          <w:tcPr>
            <w:tcW w:w="1134" w:type="dxa"/>
            <w:tcBorders>
              <w:top w:val="single" w:sz="4" w:space="0" w:color="auto"/>
              <w:left w:val="nil"/>
              <w:bottom w:val="nil"/>
              <w:right w:val="single" w:sz="4" w:space="0" w:color="auto"/>
            </w:tcBorders>
            <w:shd w:val="clear" w:color="000000" w:fill="FFFFFF"/>
            <w:noWrap/>
            <w:vAlign w:val="center"/>
            <w:hideMark/>
          </w:tcPr>
          <w:p w14:paraId="5CA8D4E5" w14:textId="38FF34D4" w:rsidR="003314AC" w:rsidRPr="003314AC" w:rsidRDefault="003314AC" w:rsidP="003314AC">
            <w:pPr>
              <w:jc w:val="center"/>
              <w:rPr>
                <w:sz w:val="16"/>
                <w:szCs w:val="16"/>
              </w:rPr>
            </w:pPr>
            <w:r w:rsidRPr="003314AC">
              <w:rPr>
                <w:sz w:val="16"/>
                <w:szCs w:val="16"/>
              </w:rPr>
              <w:t>4,581.2</w:t>
            </w:r>
          </w:p>
        </w:tc>
        <w:tc>
          <w:tcPr>
            <w:tcW w:w="992" w:type="dxa"/>
            <w:tcBorders>
              <w:top w:val="single" w:sz="4" w:space="0" w:color="auto"/>
              <w:left w:val="nil"/>
              <w:bottom w:val="nil"/>
              <w:right w:val="single" w:sz="4" w:space="0" w:color="auto"/>
            </w:tcBorders>
            <w:shd w:val="clear" w:color="000000" w:fill="FFFFFF"/>
            <w:noWrap/>
            <w:vAlign w:val="center"/>
            <w:hideMark/>
          </w:tcPr>
          <w:p w14:paraId="53FC4A74" w14:textId="0F97FD5D" w:rsidR="003314AC" w:rsidRPr="003314AC" w:rsidRDefault="003314AC" w:rsidP="003314AC">
            <w:pPr>
              <w:jc w:val="center"/>
              <w:rPr>
                <w:sz w:val="16"/>
                <w:szCs w:val="16"/>
              </w:rPr>
            </w:pPr>
            <w:r w:rsidRPr="003314AC">
              <w:rPr>
                <w:sz w:val="16"/>
                <w:szCs w:val="16"/>
              </w:rPr>
              <w:t>4,527.6</w:t>
            </w:r>
          </w:p>
        </w:tc>
        <w:tc>
          <w:tcPr>
            <w:tcW w:w="993" w:type="dxa"/>
            <w:tcBorders>
              <w:top w:val="single" w:sz="4" w:space="0" w:color="auto"/>
              <w:left w:val="nil"/>
              <w:bottom w:val="nil"/>
              <w:right w:val="single" w:sz="4" w:space="0" w:color="auto"/>
            </w:tcBorders>
            <w:shd w:val="clear" w:color="000000" w:fill="FFFFFF"/>
            <w:noWrap/>
            <w:vAlign w:val="center"/>
            <w:hideMark/>
          </w:tcPr>
          <w:p w14:paraId="10C1283F" w14:textId="1FA191AD" w:rsidR="003314AC" w:rsidRPr="003314AC" w:rsidRDefault="003314AC" w:rsidP="003314AC">
            <w:pPr>
              <w:jc w:val="center"/>
              <w:rPr>
                <w:sz w:val="16"/>
                <w:szCs w:val="16"/>
              </w:rPr>
            </w:pPr>
            <w:r w:rsidRPr="003314AC">
              <w:rPr>
                <w:sz w:val="16"/>
                <w:szCs w:val="16"/>
              </w:rPr>
              <w:t>4,649.3</w:t>
            </w:r>
          </w:p>
        </w:tc>
        <w:tc>
          <w:tcPr>
            <w:tcW w:w="992" w:type="dxa"/>
            <w:tcBorders>
              <w:top w:val="single" w:sz="4" w:space="0" w:color="auto"/>
              <w:left w:val="single" w:sz="4" w:space="0" w:color="auto"/>
              <w:bottom w:val="nil"/>
              <w:right w:val="single" w:sz="8" w:space="0" w:color="auto"/>
            </w:tcBorders>
            <w:shd w:val="clear" w:color="000000" w:fill="FFFFFF"/>
            <w:noWrap/>
            <w:vAlign w:val="center"/>
            <w:hideMark/>
          </w:tcPr>
          <w:p w14:paraId="5D31C623" w14:textId="04F3AAD9" w:rsidR="003314AC" w:rsidRPr="003314AC" w:rsidRDefault="003314AC" w:rsidP="003314AC">
            <w:pPr>
              <w:jc w:val="center"/>
              <w:rPr>
                <w:sz w:val="16"/>
                <w:szCs w:val="16"/>
              </w:rPr>
            </w:pPr>
            <w:r w:rsidRPr="003314AC">
              <w:rPr>
                <w:sz w:val="16"/>
                <w:szCs w:val="16"/>
              </w:rPr>
              <w:t>4,869.0</w:t>
            </w:r>
          </w:p>
        </w:tc>
      </w:tr>
      <w:tr w:rsidR="003314AC" w:rsidRPr="00647FD4" w14:paraId="5FE06D5D" w14:textId="77777777" w:rsidTr="00827ED5">
        <w:trPr>
          <w:trHeight w:val="56"/>
          <w:jc w:val="center"/>
        </w:trPr>
        <w:tc>
          <w:tcPr>
            <w:tcW w:w="3534" w:type="dxa"/>
            <w:tcBorders>
              <w:top w:val="single" w:sz="4" w:space="0" w:color="auto"/>
              <w:left w:val="single" w:sz="8" w:space="0" w:color="auto"/>
              <w:bottom w:val="nil"/>
              <w:right w:val="single" w:sz="8" w:space="0" w:color="auto"/>
            </w:tcBorders>
            <w:shd w:val="clear" w:color="000000" w:fill="FFFFFF"/>
            <w:noWrap/>
            <w:vAlign w:val="center"/>
            <w:hideMark/>
          </w:tcPr>
          <w:p w14:paraId="4716D548" w14:textId="77777777" w:rsidR="003314AC" w:rsidRPr="00647FD4" w:rsidRDefault="003314AC" w:rsidP="003314AC">
            <w:pPr>
              <w:ind w:firstLineChars="300" w:firstLine="480"/>
              <w:rPr>
                <w:sz w:val="16"/>
                <w:szCs w:val="16"/>
              </w:rPr>
            </w:pPr>
            <w:r w:rsidRPr="00647FD4">
              <w:rPr>
                <w:sz w:val="16"/>
                <w:szCs w:val="16"/>
              </w:rPr>
              <w:t>Inversión Financiera</w:t>
            </w:r>
          </w:p>
        </w:tc>
        <w:tc>
          <w:tcPr>
            <w:tcW w:w="1134" w:type="dxa"/>
            <w:tcBorders>
              <w:top w:val="single" w:sz="4" w:space="0" w:color="auto"/>
              <w:left w:val="nil"/>
              <w:bottom w:val="nil"/>
              <w:right w:val="single" w:sz="4" w:space="0" w:color="auto"/>
            </w:tcBorders>
            <w:shd w:val="clear" w:color="000000" w:fill="FFFFFF"/>
            <w:noWrap/>
            <w:vAlign w:val="center"/>
            <w:hideMark/>
          </w:tcPr>
          <w:p w14:paraId="5201072B" w14:textId="4F6ED172" w:rsidR="003314AC" w:rsidRPr="003314AC" w:rsidRDefault="003314AC" w:rsidP="003314AC">
            <w:pPr>
              <w:jc w:val="center"/>
              <w:rPr>
                <w:sz w:val="16"/>
                <w:szCs w:val="16"/>
              </w:rPr>
            </w:pPr>
            <w:r w:rsidRPr="003314AC">
              <w:rPr>
                <w:sz w:val="16"/>
                <w:szCs w:val="16"/>
              </w:rPr>
              <w:t>20.0</w:t>
            </w:r>
          </w:p>
        </w:tc>
        <w:tc>
          <w:tcPr>
            <w:tcW w:w="1134" w:type="dxa"/>
            <w:tcBorders>
              <w:top w:val="single" w:sz="4" w:space="0" w:color="auto"/>
              <w:left w:val="nil"/>
              <w:bottom w:val="nil"/>
              <w:right w:val="single" w:sz="4" w:space="0" w:color="auto"/>
            </w:tcBorders>
            <w:shd w:val="clear" w:color="000000" w:fill="FFFFFF"/>
            <w:noWrap/>
            <w:vAlign w:val="center"/>
            <w:hideMark/>
          </w:tcPr>
          <w:p w14:paraId="0C7CD890" w14:textId="070F7523" w:rsidR="003314AC" w:rsidRPr="003314AC" w:rsidRDefault="003314AC" w:rsidP="003314AC">
            <w:pPr>
              <w:jc w:val="center"/>
              <w:rPr>
                <w:sz w:val="16"/>
                <w:szCs w:val="16"/>
              </w:rPr>
            </w:pPr>
            <w:r w:rsidRPr="003314AC">
              <w:rPr>
                <w:sz w:val="16"/>
                <w:szCs w:val="16"/>
              </w:rPr>
              <w:t>20.0</w:t>
            </w:r>
          </w:p>
        </w:tc>
        <w:tc>
          <w:tcPr>
            <w:tcW w:w="992" w:type="dxa"/>
            <w:tcBorders>
              <w:top w:val="single" w:sz="4" w:space="0" w:color="auto"/>
              <w:left w:val="nil"/>
              <w:bottom w:val="nil"/>
              <w:right w:val="single" w:sz="4" w:space="0" w:color="auto"/>
            </w:tcBorders>
            <w:shd w:val="clear" w:color="000000" w:fill="FFFFFF"/>
            <w:noWrap/>
            <w:vAlign w:val="center"/>
            <w:hideMark/>
          </w:tcPr>
          <w:p w14:paraId="2C8CBAEB" w14:textId="5BC0BCAF" w:rsidR="003314AC" w:rsidRPr="003314AC" w:rsidRDefault="003314AC" w:rsidP="003314AC">
            <w:pPr>
              <w:jc w:val="center"/>
              <w:rPr>
                <w:sz w:val="16"/>
                <w:szCs w:val="16"/>
              </w:rPr>
            </w:pPr>
            <w:r w:rsidRPr="003314AC">
              <w:rPr>
                <w:sz w:val="16"/>
                <w:szCs w:val="16"/>
              </w:rPr>
              <w:t>20.0</w:t>
            </w:r>
          </w:p>
        </w:tc>
        <w:tc>
          <w:tcPr>
            <w:tcW w:w="993" w:type="dxa"/>
            <w:tcBorders>
              <w:top w:val="single" w:sz="4" w:space="0" w:color="auto"/>
              <w:left w:val="nil"/>
              <w:bottom w:val="nil"/>
              <w:right w:val="single" w:sz="4" w:space="0" w:color="auto"/>
            </w:tcBorders>
            <w:shd w:val="clear" w:color="000000" w:fill="FFFFFF"/>
            <w:noWrap/>
            <w:vAlign w:val="center"/>
            <w:hideMark/>
          </w:tcPr>
          <w:p w14:paraId="2DEBA276" w14:textId="61709273" w:rsidR="003314AC" w:rsidRPr="003314AC" w:rsidRDefault="003314AC" w:rsidP="003314AC">
            <w:pPr>
              <w:jc w:val="center"/>
              <w:rPr>
                <w:sz w:val="16"/>
                <w:szCs w:val="16"/>
              </w:rPr>
            </w:pPr>
            <w:r w:rsidRPr="003314AC">
              <w:rPr>
                <w:sz w:val="16"/>
                <w:szCs w:val="16"/>
              </w:rPr>
              <w:t>27.6</w:t>
            </w:r>
          </w:p>
        </w:tc>
        <w:tc>
          <w:tcPr>
            <w:tcW w:w="992" w:type="dxa"/>
            <w:tcBorders>
              <w:top w:val="single" w:sz="4" w:space="0" w:color="auto"/>
              <w:left w:val="single" w:sz="4" w:space="0" w:color="auto"/>
              <w:bottom w:val="nil"/>
              <w:right w:val="single" w:sz="8" w:space="0" w:color="auto"/>
            </w:tcBorders>
            <w:shd w:val="clear" w:color="000000" w:fill="FFFFFF"/>
            <w:noWrap/>
            <w:vAlign w:val="center"/>
            <w:hideMark/>
          </w:tcPr>
          <w:p w14:paraId="43C46195" w14:textId="7A1FE241" w:rsidR="003314AC" w:rsidRPr="003314AC" w:rsidRDefault="003314AC" w:rsidP="003314AC">
            <w:pPr>
              <w:jc w:val="center"/>
              <w:rPr>
                <w:sz w:val="16"/>
                <w:szCs w:val="16"/>
              </w:rPr>
            </w:pPr>
            <w:r w:rsidRPr="003314AC">
              <w:rPr>
                <w:sz w:val="16"/>
                <w:szCs w:val="16"/>
              </w:rPr>
              <w:t>30.0</w:t>
            </w:r>
          </w:p>
        </w:tc>
      </w:tr>
      <w:tr w:rsidR="003314AC" w:rsidRPr="00647FD4" w14:paraId="0E51194B" w14:textId="77777777" w:rsidTr="00827ED5">
        <w:trPr>
          <w:trHeight w:val="56"/>
          <w:jc w:val="center"/>
        </w:trPr>
        <w:tc>
          <w:tcPr>
            <w:tcW w:w="3534" w:type="dxa"/>
            <w:tcBorders>
              <w:top w:val="single" w:sz="4" w:space="0" w:color="auto"/>
              <w:left w:val="single" w:sz="8" w:space="0" w:color="auto"/>
              <w:bottom w:val="nil"/>
              <w:right w:val="single" w:sz="8" w:space="0" w:color="auto"/>
            </w:tcBorders>
            <w:shd w:val="clear" w:color="000000" w:fill="FFFFFF"/>
            <w:noWrap/>
            <w:vAlign w:val="center"/>
            <w:hideMark/>
          </w:tcPr>
          <w:p w14:paraId="3FD079A1" w14:textId="77777777" w:rsidR="003314AC" w:rsidRPr="00647FD4" w:rsidRDefault="003314AC" w:rsidP="003314AC">
            <w:pPr>
              <w:ind w:firstLineChars="300" w:firstLine="480"/>
              <w:rPr>
                <w:sz w:val="16"/>
                <w:szCs w:val="16"/>
              </w:rPr>
            </w:pPr>
            <w:r w:rsidRPr="00647FD4">
              <w:rPr>
                <w:sz w:val="16"/>
                <w:szCs w:val="16"/>
              </w:rPr>
              <w:t>Transferencias de Capital</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3BD6DE18" w14:textId="5ADB5BA4" w:rsidR="003314AC" w:rsidRPr="003314AC" w:rsidRDefault="003314AC" w:rsidP="003314AC">
            <w:pPr>
              <w:jc w:val="center"/>
              <w:rPr>
                <w:sz w:val="16"/>
                <w:szCs w:val="16"/>
              </w:rPr>
            </w:pPr>
            <w:r w:rsidRPr="003314AC">
              <w:rPr>
                <w:sz w:val="16"/>
                <w:szCs w:val="16"/>
              </w:rPr>
              <w:t>17,397.7</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3D1318EF" w14:textId="34A2F727" w:rsidR="003314AC" w:rsidRPr="003314AC" w:rsidRDefault="003314AC" w:rsidP="003314AC">
            <w:pPr>
              <w:jc w:val="center"/>
              <w:rPr>
                <w:sz w:val="16"/>
                <w:szCs w:val="16"/>
              </w:rPr>
            </w:pPr>
            <w:r w:rsidRPr="003314AC">
              <w:rPr>
                <w:sz w:val="16"/>
                <w:szCs w:val="16"/>
              </w:rPr>
              <w:t>18,164.3</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14:paraId="20B056FA" w14:textId="25C089D2" w:rsidR="003314AC" w:rsidRPr="003314AC" w:rsidRDefault="003314AC" w:rsidP="003314AC">
            <w:pPr>
              <w:jc w:val="center"/>
              <w:rPr>
                <w:sz w:val="16"/>
                <w:szCs w:val="16"/>
              </w:rPr>
            </w:pPr>
            <w:r w:rsidRPr="003314AC">
              <w:rPr>
                <w:sz w:val="16"/>
                <w:szCs w:val="16"/>
              </w:rPr>
              <w:t>18,744.8</w:t>
            </w:r>
          </w:p>
        </w:tc>
        <w:tc>
          <w:tcPr>
            <w:tcW w:w="993" w:type="dxa"/>
            <w:tcBorders>
              <w:top w:val="single" w:sz="4" w:space="0" w:color="auto"/>
              <w:left w:val="nil"/>
              <w:bottom w:val="single" w:sz="4" w:space="0" w:color="auto"/>
              <w:right w:val="single" w:sz="4" w:space="0" w:color="auto"/>
            </w:tcBorders>
            <w:shd w:val="clear" w:color="000000" w:fill="FFFFFF"/>
            <w:noWrap/>
            <w:vAlign w:val="center"/>
            <w:hideMark/>
          </w:tcPr>
          <w:p w14:paraId="2805799B" w14:textId="0CFEB1CE" w:rsidR="003314AC" w:rsidRPr="003314AC" w:rsidRDefault="003314AC" w:rsidP="003314AC">
            <w:pPr>
              <w:jc w:val="center"/>
              <w:rPr>
                <w:sz w:val="16"/>
                <w:szCs w:val="16"/>
              </w:rPr>
            </w:pPr>
            <w:r w:rsidRPr="003314AC">
              <w:rPr>
                <w:sz w:val="16"/>
                <w:szCs w:val="16"/>
              </w:rPr>
              <w:t>19,505.4</w:t>
            </w:r>
          </w:p>
        </w:tc>
        <w:tc>
          <w:tcPr>
            <w:tcW w:w="992" w:type="dxa"/>
            <w:tcBorders>
              <w:top w:val="single" w:sz="4" w:space="0" w:color="auto"/>
              <w:left w:val="single" w:sz="4" w:space="0" w:color="auto"/>
              <w:bottom w:val="single" w:sz="4" w:space="0" w:color="auto"/>
              <w:right w:val="single" w:sz="8" w:space="0" w:color="auto"/>
            </w:tcBorders>
            <w:shd w:val="clear" w:color="000000" w:fill="FFFFFF"/>
            <w:noWrap/>
            <w:vAlign w:val="center"/>
            <w:hideMark/>
          </w:tcPr>
          <w:p w14:paraId="7516FF67" w14:textId="3C98193C" w:rsidR="003314AC" w:rsidRPr="003314AC" w:rsidRDefault="003314AC" w:rsidP="003314AC">
            <w:pPr>
              <w:jc w:val="center"/>
              <w:rPr>
                <w:sz w:val="16"/>
                <w:szCs w:val="16"/>
              </w:rPr>
            </w:pPr>
            <w:r w:rsidRPr="003314AC">
              <w:rPr>
                <w:sz w:val="16"/>
                <w:szCs w:val="16"/>
              </w:rPr>
              <w:t>20,311.4</w:t>
            </w:r>
          </w:p>
        </w:tc>
      </w:tr>
      <w:tr w:rsidR="003314AC" w:rsidRPr="00647FD4" w14:paraId="6A48E39A" w14:textId="77777777" w:rsidTr="00827ED5">
        <w:trPr>
          <w:trHeight w:val="188"/>
          <w:jc w:val="center"/>
        </w:trPr>
        <w:tc>
          <w:tcPr>
            <w:tcW w:w="3534" w:type="dxa"/>
            <w:tcBorders>
              <w:top w:val="single" w:sz="4" w:space="0" w:color="auto"/>
              <w:left w:val="single" w:sz="8" w:space="0" w:color="auto"/>
              <w:bottom w:val="single" w:sz="8" w:space="0" w:color="auto"/>
              <w:right w:val="single" w:sz="8" w:space="0" w:color="auto"/>
            </w:tcBorders>
            <w:shd w:val="clear" w:color="000000" w:fill="C5D9F1"/>
            <w:noWrap/>
            <w:vAlign w:val="center"/>
            <w:hideMark/>
          </w:tcPr>
          <w:p w14:paraId="584403EC" w14:textId="77777777" w:rsidR="003314AC" w:rsidRPr="00647FD4" w:rsidRDefault="003314AC" w:rsidP="003314AC">
            <w:pPr>
              <w:rPr>
                <w:b/>
                <w:bCs/>
                <w:sz w:val="16"/>
                <w:szCs w:val="16"/>
              </w:rPr>
            </w:pPr>
            <w:r w:rsidRPr="00647FD4">
              <w:rPr>
                <w:b/>
                <w:bCs/>
                <w:sz w:val="16"/>
                <w:szCs w:val="16"/>
              </w:rPr>
              <w:t>Balance Presupuestal</w:t>
            </w:r>
          </w:p>
        </w:tc>
        <w:tc>
          <w:tcPr>
            <w:tcW w:w="1134" w:type="dxa"/>
            <w:tcBorders>
              <w:top w:val="nil"/>
              <w:left w:val="nil"/>
              <w:bottom w:val="single" w:sz="8" w:space="0" w:color="auto"/>
              <w:right w:val="single" w:sz="4" w:space="0" w:color="auto"/>
            </w:tcBorders>
            <w:shd w:val="clear" w:color="000000" w:fill="C5D9F1"/>
            <w:noWrap/>
            <w:vAlign w:val="center"/>
            <w:hideMark/>
          </w:tcPr>
          <w:p w14:paraId="44575EFC" w14:textId="3620EC67" w:rsidR="003314AC" w:rsidRPr="003314AC" w:rsidRDefault="003314AC" w:rsidP="003314AC">
            <w:pPr>
              <w:jc w:val="center"/>
              <w:rPr>
                <w:b/>
                <w:bCs/>
                <w:sz w:val="16"/>
                <w:szCs w:val="16"/>
              </w:rPr>
            </w:pPr>
            <w:r w:rsidRPr="003314AC">
              <w:rPr>
                <w:b/>
                <w:bCs/>
                <w:sz w:val="16"/>
                <w:szCs w:val="16"/>
              </w:rPr>
              <w:t>-14,681.1</w:t>
            </w:r>
          </w:p>
        </w:tc>
        <w:tc>
          <w:tcPr>
            <w:tcW w:w="1134" w:type="dxa"/>
            <w:tcBorders>
              <w:top w:val="nil"/>
              <w:left w:val="nil"/>
              <w:bottom w:val="single" w:sz="8" w:space="0" w:color="auto"/>
              <w:right w:val="single" w:sz="4" w:space="0" w:color="auto"/>
            </w:tcBorders>
            <w:shd w:val="clear" w:color="000000" w:fill="C5D9F1"/>
            <w:noWrap/>
            <w:vAlign w:val="center"/>
            <w:hideMark/>
          </w:tcPr>
          <w:p w14:paraId="66E3B2C0" w14:textId="0909497F" w:rsidR="003314AC" w:rsidRPr="003314AC" w:rsidRDefault="003314AC" w:rsidP="003314AC">
            <w:pPr>
              <w:jc w:val="center"/>
              <w:rPr>
                <w:b/>
                <w:bCs/>
                <w:sz w:val="16"/>
                <w:szCs w:val="16"/>
              </w:rPr>
            </w:pPr>
            <w:r w:rsidRPr="003314AC">
              <w:rPr>
                <w:b/>
                <w:bCs/>
                <w:sz w:val="16"/>
                <w:szCs w:val="16"/>
              </w:rPr>
              <w:t>-11,419.6</w:t>
            </w:r>
          </w:p>
        </w:tc>
        <w:tc>
          <w:tcPr>
            <w:tcW w:w="992" w:type="dxa"/>
            <w:tcBorders>
              <w:top w:val="nil"/>
              <w:left w:val="nil"/>
              <w:bottom w:val="single" w:sz="8" w:space="0" w:color="auto"/>
              <w:right w:val="single" w:sz="4" w:space="0" w:color="auto"/>
            </w:tcBorders>
            <w:shd w:val="clear" w:color="000000" w:fill="C5D9F1"/>
            <w:noWrap/>
            <w:vAlign w:val="center"/>
            <w:hideMark/>
          </w:tcPr>
          <w:p w14:paraId="484D5B59" w14:textId="17A2016E" w:rsidR="003314AC" w:rsidRPr="003314AC" w:rsidRDefault="003314AC" w:rsidP="003314AC">
            <w:pPr>
              <w:jc w:val="center"/>
              <w:rPr>
                <w:b/>
                <w:bCs/>
                <w:sz w:val="16"/>
                <w:szCs w:val="16"/>
              </w:rPr>
            </w:pPr>
            <w:r w:rsidRPr="003314AC">
              <w:rPr>
                <w:b/>
                <w:bCs/>
                <w:sz w:val="16"/>
                <w:szCs w:val="16"/>
              </w:rPr>
              <w:t>-7,359.1</w:t>
            </w:r>
          </w:p>
        </w:tc>
        <w:tc>
          <w:tcPr>
            <w:tcW w:w="993" w:type="dxa"/>
            <w:tcBorders>
              <w:top w:val="nil"/>
              <w:left w:val="nil"/>
              <w:bottom w:val="single" w:sz="8" w:space="0" w:color="auto"/>
              <w:right w:val="single" w:sz="4" w:space="0" w:color="auto"/>
            </w:tcBorders>
            <w:shd w:val="clear" w:color="000000" w:fill="C5D9F1"/>
            <w:noWrap/>
            <w:vAlign w:val="center"/>
            <w:hideMark/>
          </w:tcPr>
          <w:p w14:paraId="5AB638E0" w14:textId="35618B2A" w:rsidR="003314AC" w:rsidRPr="003314AC" w:rsidRDefault="003314AC" w:rsidP="003314AC">
            <w:pPr>
              <w:jc w:val="center"/>
              <w:rPr>
                <w:b/>
                <w:bCs/>
                <w:sz w:val="16"/>
                <w:szCs w:val="16"/>
              </w:rPr>
            </w:pPr>
            <w:r w:rsidRPr="003314AC">
              <w:rPr>
                <w:b/>
                <w:bCs/>
                <w:sz w:val="16"/>
                <w:szCs w:val="16"/>
              </w:rPr>
              <w:t>-2,818.7</w:t>
            </w:r>
          </w:p>
        </w:tc>
        <w:tc>
          <w:tcPr>
            <w:tcW w:w="992" w:type="dxa"/>
            <w:tcBorders>
              <w:top w:val="nil"/>
              <w:left w:val="nil"/>
              <w:bottom w:val="single" w:sz="8" w:space="0" w:color="auto"/>
              <w:right w:val="single" w:sz="8" w:space="0" w:color="auto"/>
            </w:tcBorders>
            <w:shd w:val="clear" w:color="000000" w:fill="C5D9F1"/>
            <w:noWrap/>
            <w:vAlign w:val="center"/>
            <w:hideMark/>
          </w:tcPr>
          <w:p w14:paraId="1BB0D786" w14:textId="6B591D82" w:rsidR="003314AC" w:rsidRPr="003314AC" w:rsidRDefault="003314AC" w:rsidP="003314AC">
            <w:pPr>
              <w:jc w:val="center"/>
              <w:rPr>
                <w:b/>
                <w:bCs/>
                <w:sz w:val="16"/>
                <w:szCs w:val="16"/>
              </w:rPr>
            </w:pPr>
            <w:r w:rsidRPr="003314AC">
              <w:rPr>
                <w:b/>
                <w:bCs/>
                <w:sz w:val="16"/>
                <w:szCs w:val="16"/>
              </w:rPr>
              <w:t>756.7</w:t>
            </w:r>
          </w:p>
        </w:tc>
      </w:tr>
      <w:tr w:rsidR="003314AC" w:rsidRPr="00647FD4" w14:paraId="54FAD5A1" w14:textId="77777777" w:rsidTr="00827ED5">
        <w:trPr>
          <w:trHeight w:val="46"/>
          <w:jc w:val="center"/>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0950866E" w14:textId="77777777" w:rsidR="003314AC" w:rsidRPr="00647FD4" w:rsidRDefault="003314AC" w:rsidP="003314AC">
            <w:pPr>
              <w:ind w:firstLineChars="100" w:firstLine="160"/>
              <w:rPr>
                <w:sz w:val="16"/>
                <w:szCs w:val="16"/>
              </w:rPr>
            </w:pPr>
            <w:r w:rsidRPr="00647FD4">
              <w:rPr>
                <w:sz w:val="16"/>
                <w:szCs w:val="16"/>
              </w:rPr>
              <w:t>Financiamiento Externo Neto</w:t>
            </w:r>
          </w:p>
        </w:tc>
        <w:tc>
          <w:tcPr>
            <w:tcW w:w="1134" w:type="dxa"/>
            <w:tcBorders>
              <w:top w:val="nil"/>
              <w:left w:val="nil"/>
              <w:bottom w:val="single" w:sz="4" w:space="0" w:color="auto"/>
              <w:right w:val="single" w:sz="4" w:space="0" w:color="auto"/>
            </w:tcBorders>
            <w:shd w:val="clear" w:color="000000" w:fill="FFFFFF"/>
            <w:noWrap/>
            <w:vAlign w:val="center"/>
            <w:hideMark/>
          </w:tcPr>
          <w:p w14:paraId="7141EA9F" w14:textId="7E6A4342" w:rsidR="003314AC" w:rsidRPr="003314AC" w:rsidRDefault="003314AC" w:rsidP="003314AC">
            <w:pPr>
              <w:jc w:val="center"/>
              <w:rPr>
                <w:sz w:val="16"/>
                <w:szCs w:val="16"/>
              </w:rPr>
            </w:pPr>
            <w:r w:rsidRPr="003314AC">
              <w:rPr>
                <w:sz w:val="16"/>
                <w:szCs w:val="16"/>
              </w:rPr>
              <w:t>-1,193.9</w:t>
            </w:r>
          </w:p>
        </w:tc>
        <w:tc>
          <w:tcPr>
            <w:tcW w:w="1134" w:type="dxa"/>
            <w:tcBorders>
              <w:top w:val="nil"/>
              <w:left w:val="nil"/>
              <w:bottom w:val="single" w:sz="4" w:space="0" w:color="auto"/>
              <w:right w:val="single" w:sz="4" w:space="0" w:color="auto"/>
            </w:tcBorders>
            <w:shd w:val="clear" w:color="000000" w:fill="FFFFFF"/>
            <w:noWrap/>
            <w:vAlign w:val="center"/>
            <w:hideMark/>
          </w:tcPr>
          <w:p w14:paraId="08D2CC9A" w14:textId="0705E95C" w:rsidR="003314AC" w:rsidRPr="003314AC" w:rsidRDefault="003314AC" w:rsidP="003314AC">
            <w:pPr>
              <w:jc w:val="center"/>
              <w:rPr>
                <w:sz w:val="16"/>
                <w:szCs w:val="16"/>
              </w:rPr>
            </w:pPr>
            <w:r w:rsidRPr="003314AC">
              <w:rPr>
                <w:sz w:val="16"/>
                <w:szCs w:val="16"/>
              </w:rPr>
              <w:t>-1,517.2</w:t>
            </w:r>
          </w:p>
        </w:tc>
        <w:tc>
          <w:tcPr>
            <w:tcW w:w="992" w:type="dxa"/>
            <w:tcBorders>
              <w:top w:val="nil"/>
              <w:left w:val="nil"/>
              <w:bottom w:val="single" w:sz="4" w:space="0" w:color="auto"/>
              <w:right w:val="single" w:sz="4" w:space="0" w:color="auto"/>
            </w:tcBorders>
            <w:shd w:val="clear" w:color="000000" w:fill="FFFFFF"/>
            <w:noWrap/>
            <w:vAlign w:val="center"/>
            <w:hideMark/>
          </w:tcPr>
          <w:p w14:paraId="19FFE6B8" w14:textId="1A7D5F1E" w:rsidR="003314AC" w:rsidRPr="003314AC" w:rsidRDefault="003314AC" w:rsidP="003314AC">
            <w:pPr>
              <w:jc w:val="center"/>
              <w:rPr>
                <w:sz w:val="16"/>
                <w:szCs w:val="16"/>
              </w:rPr>
            </w:pPr>
            <w:r w:rsidRPr="003314AC">
              <w:rPr>
                <w:sz w:val="16"/>
                <w:szCs w:val="16"/>
              </w:rPr>
              <w:t>-2,526.0</w:t>
            </w:r>
          </w:p>
        </w:tc>
        <w:tc>
          <w:tcPr>
            <w:tcW w:w="993" w:type="dxa"/>
            <w:tcBorders>
              <w:top w:val="nil"/>
              <w:left w:val="nil"/>
              <w:bottom w:val="single" w:sz="4" w:space="0" w:color="auto"/>
              <w:right w:val="single" w:sz="4" w:space="0" w:color="auto"/>
            </w:tcBorders>
            <w:shd w:val="clear" w:color="000000" w:fill="FFFFFF"/>
            <w:noWrap/>
            <w:vAlign w:val="center"/>
            <w:hideMark/>
          </w:tcPr>
          <w:p w14:paraId="0942F238" w14:textId="3ACED03F" w:rsidR="003314AC" w:rsidRPr="003314AC" w:rsidRDefault="003314AC" w:rsidP="003314AC">
            <w:pPr>
              <w:jc w:val="center"/>
              <w:rPr>
                <w:sz w:val="16"/>
                <w:szCs w:val="16"/>
              </w:rPr>
            </w:pPr>
            <w:r w:rsidRPr="003314AC">
              <w:rPr>
                <w:sz w:val="16"/>
                <w:szCs w:val="16"/>
              </w:rPr>
              <w:t>-2,294.1</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68530BDC" w14:textId="4ACA9ECA" w:rsidR="003314AC" w:rsidRPr="003314AC" w:rsidRDefault="003314AC" w:rsidP="003314AC">
            <w:pPr>
              <w:jc w:val="center"/>
              <w:rPr>
                <w:sz w:val="16"/>
                <w:szCs w:val="16"/>
              </w:rPr>
            </w:pPr>
            <w:r w:rsidRPr="003314AC">
              <w:rPr>
                <w:sz w:val="16"/>
                <w:szCs w:val="16"/>
              </w:rPr>
              <w:t>-3,283.3</w:t>
            </w:r>
          </w:p>
        </w:tc>
      </w:tr>
      <w:tr w:rsidR="003314AC" w:rsidRPr="00647FD4" w14:paraId="646A6267" w14:textId="77777777" w:rsidTr="00827ED5">
        <w:trPr>
          <w:trHeight w:val="66"/>
          <w:jc w:val="center"/>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35E2721B" w14:textId="77777777" w:rsidR="003314AC" w:rsidRPr="00647FD4" w:rsidRDefault="003314AC" w:rsidP="003314AC">
            <w:pPr>
              <w:ind w:firstLineChars="200" w:firstLine="320"/>
              <w:rPr>
                <w:sz w:val="16"/>
                <w:szCs w:val="16"/>
              </w:rPr>
            </w:pPr>
            <w:r w:rsidRPr="00647FD4">
              <w:rPr>
                <w:sz w:val="16"/>
                <w:szCs w:val="16"/>
              </w:rPr>
              <w:t>Préstamos Netos</w:t>
            </w:r>
          </w:p>
        </w:tc>
        <w:tc>
          <w:tcPr>
            <w:tcW w:w="1134" w:type="dxa"/>
            <w:tcBorders>
              <w:top w:val="nil"/>
              <w:left w:val="nil"/>
              <w:bottom w:val="single" w:sz="4" w:space="0" w:color="auto"/>
              <w:right w:val="single" w:sz="4" w:space="0" w:color="auto"/>
            </w:tcBorders>
            <w:shd w:val="clear" w:color="000000" w:fill="FFFFFF"/>
            <w:noWrap/>
            <w:vAlign w:val="center"/>
            <w:hideMark/>
          </w:tcPr>
          <w:p w14:paraId="4B404FDF" w14:textId="1155160C" w:rsidR="003314AC" w:rsidRPr="003314AC" w:rsidRDefault="003314AC" w:rsidP="003314AC">
            <w:pPr>
              <w:jc w:val="center"/>
              <w:rPr>
                <w:sz w:val="16"/>
                <w:szCs w:val="16"/>
              </w:rPr>
            </w:pPr>
            <w:r w:rsidRPr="003314AC">
              <w:rPr>
                <w:sz w:val="16"/>
                <w:szCs w:val="16"/>
              </w:rPr>
              <w:t>-1,193.9</w:t>
            </w:r>
          </w:p>
        </w:tc>
        <w:tc>
          <w:tcPr>
            <w:tcW w:w="1134" w:type="dxa"/>
            <w:tcBorders>
              <w:top w:val="nil"/>
              <w:left w:val="nil"/>
              <w:bottom w:val="single" w:sz="4" w:space="0" w:color="auto"/>
              <w:right w:val="single" w:sz="4" w:space="0" w:color="auto"/>
            </w:tcBorders>
            <w:shd w:val="clear" w:color="000000" w:fill="FFFFFF"/>
            <w:noWrap/>
            <w:vAlign w:val="center"/>
            <w:hideMark/>
          </w:tcPr>
          <w:p w14:paraId="7D450496" w14:textId="6E686020" w:rsidR="003314AC" w:rsidRPr="003314AC" w:rsidRDefault="003314AC" w:rsidP="003314AC">
            <w:pPr>
              <w:jc w:val="center"/>
              <w:rPr>
                <w:sz w:val="16"/>
                <w:szCs w:val="16"/>
              </w:rPr>
            </w:pPr>
            <w:r w:rsidRPr="003314AC">
              <w:rPr>
                <w:sz w:val="16"/>
                <w:szCs w:val="16"/>
              </w:rPr>
              <w:t>-1,517.2</w:t>
            </w:r>
          </w:p>
        </w:tc>
        <w:tc>
          <w:tcPr>
            <w:tcW w:w="992" w:type="dxa"/>
            <w:tcBorders>
              <w:top w:val="nil"/>
              <w:left w:val="nil"/>
              <w:bottom w:val="single" w:sz="4" w:space="0" w:color="auto"/>
              <w:right w:val="single" w:sz="4" w:space="0" w:color="auto"/>
            </w:tcBorders>
            <w:shd w:val="clear" w:color="000000" w:fill="FFFFFF"/>
            <w:noWrap/>
            <w:vAlign w:val="center"/>
            <w:hideMark/>
          </w:tcPr>
          <w:p w14:paraId="5BCDE1E1" w14:textId="7259A40A" w:rsidR="003314AC" w:rsidRPr="003314AC" w:rsidRDefault="003314AC" w:rsidP="003314AC">
            <w:pPr>
              <w:jc w:val="center"/>
              <w:rPr>
                <w:sz w:val="16"/>
                <w:szCs w:val="16"/>
              </w:rPr>
            </w:pPr>
            <w:r w:rsidRPr="003314AC">
              <w:rPr>
                <w:sz w:val="16"/>
                <w:szCs w:val="16"/>
              </w:rPr>
              <w:t>-2,526.0</w:t>
            </w:r>
          </w:p>
        </w:tc>
        <w:tc>
          <w:tcPr>
            <w:tcW w:w="993" w:type="dxa"/>
            <w:tcBorders>
              <w:top w:val="nil"/>
              <w:left w:val="nil"/>
              <w:bottom w:val="single" w:sz="4" w:space="0" w:color="auto"/>
              <w:right w:val="single" w:sz="4" w:space="0" w:color="auto"/>
            </w:tcBorders>
            <w:shd w:val="clear" w:color="000000" w:fill="FFFFFF"/>
            <w:noWrap/>
            <w:vAlign w:val="center"/>
            <w:hideMark/>
          </w:tcPr>
          <w:p w14:paraId="045F6A74" w14:textId="683F7062" w:rsidR="003314AC" w:rsidRPr="003314AC" w:rsidRDefault="003314AC" w:rsidP="003314AC">
            <w:pPr>
              <w:jc w:val="center"/>
              <w:rPr>
                <w:sz w:val="16"/>
                <w:szCs w:val="16"/>
              </w:rPr>
            </w:pPr>
            <w:r w:rsidRPr="003314AC">
              <w:rPr>
                <w:sz w:val="16"/>
                <w:szCs w:val="16"/>
              </w:rPr>
              <w:t>-2,294.1</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5B83A554" w14:textId="4B07694F" w:rsidR="003314AC" w:rsidRPr="003314AC" w:rsidRDefault="003314AC" w:rsidP="003314AC">
            <w:pPr>
              <w:jc w:val="center"/>
              <w:rPr>
                <w:sz w:val="16"/>
                <w:szCs w:val="16"/>
              </w:rPr>
            </w:pPr>
            <w:r w:rsidRPr="003314AC">
              <w:rPr>
                <w:sz w:val="16"/>
                <w:szCs w:val="16"/>
              </w:rPr>
              <w:t>-3,283.3</w:t>
            </w:r>
          </w:p>
        </w:tc>
      </w:tr>
      <w:tr w:rsidR="003314AC" w:rsidRPr="00647FD4" w14:paraId="4610B3CB" w14:textId="77777777" w:rsidTr="00827ED5">
        <w:trPr>
          <w:trHeight w:val="56"/>
          <w:jc w:val="center"/>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604DEFEB" w14:textId="77777777" w:rsidR="003314AC" w:rsidRPr="00647FD4" w:rsidRDefault="003314AC" w:rsidP="003314AC">
            <w:pPr>
              <w:ind w:firstLineChars="300" w:firstLine="480"/>
              <w:rPr>
                <w:sz w:val="16"/>
                <w:szCs w:val="16"/>
              </w:rPr>
            </w:pPr>
            <w:r w:rsidRPr="00647FD4">
              <w:rPr>
                <w:sz w:val="16"/>
                <w:szCs w:val="16"/>
              </w:rPr>
              <w:t xml:space="preserve">Desembolsos </w:t>
            </w:r>
          </w:p>
        </w:tc>
        <w:tc>
          <w:tcPr>
            <w:tcW w:w="1134" w:type="dxa"/>
            <w:tcBorders>
              <w:top w:val="nil"/>
              <w:left w:val="nil"/>
              <w:bottom w:val="single" w:sz="4" w:space="0" w:color="auto"/>
              <w:right w:val="single" w:sz="4" w:space="0" w:color="auto"/>
            </w:tcBorders>
            <w:shd w:val="clear" w:color="000000" w:fill="FFFFFF"/>
            <w:noWrap/>
            <w:vAlign w:val="center"/>
            <w:hideMark/>
          </w:tcPr>
          <w:p w14:paraId="28F9F6CB" w14:textId="53B2B646" w:rsidR="003314AC" w:rsidRPr="003314AC" w:rsidRDefault="003314AC" w:rsidP="003314AC">
            <w:pPr>
              <w:jc w:val="center"/>
              <w:rPr>
                <w:sz w:val="16"/>
                <w:szCs w:val="16"/>
              </w:rPr>
            </w:pPr>
            <w:r w:rsidRPr="003314AC">
              <w:rPr>
                <w:sz w:val="16"/>
                <w:szCs w:val="16"/>
              </w:rPr>
              <w:t>3,084.8</w:t>
            </w:r>
          </w:p>
        </w:tc>
        <w:tc>
          <w:tcPr>
            <w:tcW w:w="1134" w:type="dxa"/>
            <w:tcBorders>
              <w:top w:val="nil"/>
              <w:left w:val="nil"/>
              <w:bottom w:val="single" w:sz="4" w:space="0" w:color="auto"/>
              <w:right w:val="single" w:sz="4" w:space="0" w:color="auto"/>
            </w:tcBorders>
            <w:shd w:val="clear" w:color="000000" w:fill="FFFFFF"/>
            <w:noWrap/>
            <w:vAlign w:val="center"/>
            <w:hideMark/>
          </w:tcPr>
          <w:p w14:paraId="187D9D38" w14:textId="5A2235A3" w:rsidR="003314AC" w:rsidRPr="003314AC" w:rsidRDefault="003314AC" w:rsidP="003314AC">
            <w:pPr>
              <w:jc w:val="center"/>
              <w:rPr>
                <w:sz w:val="16"/>
                <w:szCs w:val="16"/>
              </w:rPr>
            </w:pPr>
            <w:r w:rsidRPr="003314AC">
              <w:rPr>
                <w:sz w:val="16"/>
                <w:szCs w:val="16"/>
              </w:rPr>
              <w:t>1,963.5</w:t>
            </w:r>
          </w:p>
        </w:tc>
        <w:tc>
          <w:tcPr>
            <w:tcW w:w="992" w:type="dxa"/>
            <w:tcBorders>
              <w:top w:val="nil"/>
              <w:left w:val="nil"/>
              <w:bottom w:val="single" w:sz="4" w:space="0" w:color="auto"/>
              <w:right w:val="single" w:sz="4" w:space="0" w:color="auto"/>
            </w:tcBorders>
            <w:shd w:val="clear" w:color="000000" w:fill="FFFFFF"/>
            <w:noWrap/>
            <w:vAlign w:val="center"/>
            <w:hideMark/>
          </w:tcPr>
          <w:p w14:paraId="26052E29" w14:textId="10629B4C" w:rsidR="003314AC" w:rsidRPr="003314AC" w:rsidRDefault="003314AC" w:rsidP="003314AC">
            <w:pPr>
              <w:jc w:val="center"/>
              <w:rPr>
                <w:sz w:val="16"/>
                <w:szCs w:val="16"/>
              </w:rPr>
            </w:pPr>
            <w:r w:rsidRPr="003314AC">
              <w:rPr>
                <w:sz w:val="16"/>
                <w:szCs w:val="16"/>
              </w:rPr>
              <w:t>1,247.3</w:t>
            </w:r>
          </w:p>
        </w:tc>
        <w:tc>
          <w:tcPr>
            <w:tcW w:w="993" w:type="dxa"/>
            <w:tcBorders>
              <w:top w:val="nil"/>
              <w:left w:val="nil"/>
              <w:bottom w:val="single" w:sz="4" w:space="0" w:color="auto"/>
              <w:right w:val="single" w:sz="4" w:space="0" w:color="auto"/>
            </w:tcBorders>
            <w:shd w:val="clear" w:color="000000" w:fill="FFFFFF"/>
            <w:noWrap/>
            <w:vAlign w:val="center"/>
            <w:hideMark/>
          </w:tcPr>
          <w:p w14:paraId="2FC892F1" w14:textId="5588267D" w:rsidR="003314AC" w:rsidRPr="003314AC" w:rsidRDefault="003314AC" w:rsidP="003314AC">
            <w:pPr>
              <w:jc w:val="center"/>
              <w:rPr>
                <w:sz w:val="16"/>
                <w:szCs w:val="16"/>
              </w:rPr>
            </w:pPr>
            <w:r w:rsidRPr="003314AC">
              <w:rPr>
                <w:sz w:val="16"/>
                <w:szCs w:val="16"/>
              </w:rPr>
              <w:t>1,188.3</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3CB9FC4C" w14:textId="2F9AF224" w:rsidR="003314AC" w:rsidRPr="003314AC" w:rsidRDefault="003314AC" w:rsidP="003314AC">
            <w:pPr>
              <w:jc w:val="center"/>
              <w:rPr>
                <w:sz w:val="16"/>
                <w:szCs w:val="16"/>
              </w:rPr>
            </w:pPr>
            <w:r w:rsidRPr="003314AC">
              <w:rPr>
                <w:sz w:val="16"/>
                <w:szCs w:val="16"/>
              </w:rPr>
              <w:t>724.8</w:t>
            </w:r>
          </w:p>
        </w:tc>
      </w:tr>
      <w:tr w:rsidR="003314AC" w:rsidRPr="00647FD4" w14:paraId="2F48FA10" w14:textId="77777777" w:rsidTr="00827ED5">
        <w:trPr>
          <w:trHeight w:val="56"/>
          <w:jc w:val="center"/>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09CE57D4" w14:textId="77777777" w:rsidR="003314AC" w:rsidRPr="00647FD4" w:rsidRDefault="003314AC" w:rsidP="003314AC">
            <w:pPr>
              <w:ind w:firstLineChars="300" w:firstLine="480"/>
              <w:rPr>
                <w:sz w:val="16"/>
                <w:szCs w:val="16"/>
              </w:rPr>
            </w:pPr>
            <w:r w:rsidRPr="00647FD4">
              <w:rPr>
                <w:sz w:val="16"/>
                <w:szCs w:val="16"/>
              </w:rPr>
              <w:t>Amortizaciones</w:t>
            </w:r>
          </w:p>
        </w:tc>
        <w:tc>
          <w:tcPr>
            <w:tcW w:w="1134" w:type="dxa"/>
            <w:tcBorders>
              <w:top w:val="nil"/>
              <w:left w:val="nil"/>
              <w:bottom w:val="single" w:sz="4" w:space="0" w:color="auto"/>
              <w:right w:val="single" w:sz="4" w:space="0" w:color="auto"/>
            </w:tcBorders>
            <w:shd w:val="clear" w:color="000000" w:fill="FFFFFF"/>
            <w:noWrap/>
            <w:vAlign w:val="center"/>
            <w:hideMark/>
          </w:tcPr>
          <w:p w14:paraId="4C0C14C4" w14:textId="791D13A0" w:rsidR="003314AC" w:rsidRPr="003314AC" w:rsidRDefault="003314AC" w:rsidP="003314AC">
            <w:pPr>
              <w:jc w:val="center"/>
              <w:rPr>
                <w:sz w:val="16"/>
                <w:szCs w:val="16"/>
              </w:rPr>
            </w:pPr>
            <w:r w:rsidRPr="003314AC">
              <w:rPr>
                <w:sz w:val="16"/>
                <w:szCs w:val="16"/>
              </w:rPr>
              <w:t>4,278.7</w:t>
            </w:r>
          </w:p>
        </w:tc>
        <w:tc>
          <w:tcPr>
            <w:tcW w:w="1134" w:type="dxa"/>
            <w:tcBorders>
              <w:top w:val="nil"/>
              <w:left w:val="nil"/>
              <w:bottom w:val="single" w:sz="4" w:space="0" w:color="auto"/>
              <w:right w:val="single" w:sz="4" w:space="0" w:color="auto"/>
            </w:tcBorders>
            <w:shd w:val="clear" w:color="000000" w:fill="FFFFFF"/>
            <w:noWrap/>
            <w:vAlign w:val="center"/>
            <w:hideMark/>
          </w:tcPr>
          <w:p w14:paraId="06857840" w14:textId="31485C36" w:rsidR="003314AC" w:rsidRPr="003314AC" w:rsidRDefault="003314AC" w:rsidP="003314AC">
            <w:pPr>
              <w:jc w:val="center"/>
              <w:rPr>
                <w:sz w:val="16"/>
                <w:szCs w:val="16"/>
              </w:rPr>
            </w:pPr>
            <w:r w:rsidRPr="003314AC">
              <w:rPr>
                <w:sz w:val="16"/>
                <w:szCs w:val="16"/>
              </w:rPr>
              <w:t>3,480.6</w:t>
            </w:r>
          </w:p>
        </w:tc>
        <w:tc>
          <w:tcPr>
            <w:tcW w:w="992" w:type="dxa"/>
            <w:tcBorders>
              <w:top w:val="nil"/>
              <w:left w:val="nil"/>
              <w:bottom w:val="single" w:sz="4" w:space="0" w:color="auto"/>
              <w:right w:val="single" w:sz="4" w:space="0" w:color="auto"/>
            </w:tcBorders>
            <w:shd w:val="clear" w:color="000000" w:fill="FFFFFF"/>
            <w:noWrap/>
            <w:vAlign w:val="center"/>
            <w:hideMark/>
          </w:tcPr>
          <w:p w14:paraId="4962E8F2" w14:textId="4D3C7A32" w:rsidR="003314AC" w:rsidRPr="003314AC" w:rsidRDefault="003314AC" w:rsidP="003314AC">
            <w:pPr>
              <w:jc w:val="center"/>
              <w:rPr>
                <w:sz w:val="16"/>
                <w:szCs w:val="16"/>
              </w:rPr>
            </w:pPr>
            <w:r w:rsidRPr="003314AC">
              <w:rPr>
                <w:sz w:val="16"/>
                <w:szCs w:val="16"/>
              </w:rPr>
              <w:t>3,773.3</w:t>
            </w:r>
          </w:p>
        </w:tc>
        <w:tc>
          <w:tcPr>
            <w:tcW w:w="993" w:type="dxa"/>
            <w:tcBorders>
              <w:top w:val="nil"/>
              <w:left w:val="nil"/>
              <w:bottom w:val="single" w:sz="4" w:space="0" w:color="auto"/>
              <w:right w:val="single" w:sz="4" w:space="0" w:color="auto"/>
            </w:tcBorders>
            <w:shd w:val="clear" w:color="000000" w:fill="FFFFFF"/>
            <w:noWrap/>
            <w:vAlign w:val="center"/>
            <w:hideMark/>
          </w:tcPr>
          <w:p w14:paraId="728F6081" w14:textId="47AFB2CB" w:rsidR="003314AC" w:rsidRPr="003314AC" w:rsidRDefault="003314AC" w:rsidP="003314AC">
            <w:pPr>
              <w:jc w:val="center"/>
              <w:rPr>
                <w:sz w:val="16"/>
                <w:szCs w:val="16"/>
              </w:rPr>
            </w:pPr>
            <w:r w:rsidRPr="003314AC">
              <w:rPr>
                <w:sz w:val="16"/>
                <w:szCs w:val="16"/>
              </w:rPr>
              <w:t>3,482.4</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017637D8" w14:textId="334DE0FA" w:rsidR="003314AC" w:rsidRPr="003314AC" w:rsidRDefault="003314AC" w:rsidP="003314AC">
            <w:pPr>
              <w:jc w:val="center"/>
              <w:rPr>
                <w:sz w:val="16"/>
                <w:szCs w:val="16"/>
              </w:rPr>
            </w:pPr>
            <w:r w:rsidRPr="003314AC">
              <w:rPr>
                <w:sz w:val="16"/>
                <w:szCs w:val="16"/>
              </w:rPr>
              <w:t>4,008.0</w:t>
            </w:r>
          </w:p>
        </w:tc>
      </w:tr>
      <w:tr w:rsidR="003314AC" w:rsidRPr="00647FD4" w14:paraId="452C889E" w14:textId="77777777" w:rsidTr="00827ED5">
        <w:trPr>
          <w:trHeight w:val="56"/>
          <w:jc w:val="center"/>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1DAE122E" w14:textId="77777777" w:rsidR="003314AC" w:rsidRPr="00647FD4" w:rsidRDefault="003314AC" w:rsidP="003314AC">
            <w:pPr>
              <w:ind w:firstLineChars="200" w:firstLine="320"/>
              <w:rPr>
                <w:sz w:val="16"/>
                <w:szCs w:val="16"/>
              </w:rPr>
            </w:pPr>
            <w:r w:rsidRPr="00647FD4">
              <w:rPr>
                <w:sz w:val="16"/>
                <w:szCs w:val="16"/>
              </w:rPr>
              <w:t>Negociación Neta de Eurobonos</w:t>
            </w:r>
          </w:p>
        </w:tc>
        <w:tc>
          <w:tcPr>
            <w:tcW w:w="1134" w:type="dxa"/>
            <w:tcBorders>
              <w:top w:val="nil"/>
              <w:left w:val="nil"/>
              <w:bottom w:val="single" w:sz="4" w:space="0" w:color="auto"/>
              <w:right w:val="single" w:sz="4" w:space="0" w:color="auto"/>
            </w:tcBorders>
            <w:shd w:val="clear" w:color="000000" w:fill="FFFFFF"/>
            <w:noWrap/>
            <w:vAlign w:val="center"/>
            <w:hideMark/>
          </w:tcPr>
          <w:p w14:paraId="39FC2FF0" w14:textId="57E6B6B1" w:rsidR="003314AC" w:rsidRPr="003314AC" w:rsidRDefault="003314AC" w:rsidP="003314AC">
            <w:pPr>
              <w:jc w:val="center"/>
              <w:rPr>
                <w:sz w:val="16"/>
                <w:szCs w:val="16"/>
              </w:rPr>
            </w:pPr>
            <w:r w:rsidRPr="003314AC">
              <w:rPr>
                <w:sz w:val="16"/>
                <w:szCs w:val="16"/>
              </w:rPr>
              <w:t>0.0</w:t>
            </w:r>
          </w:p>
        </w:tc>
        <w:tc>
          <w:tcPr>
            <w:tcW w:w="1134" w:type="dxa"/>
            <w:tcBorders>
              <w:top w:val="nil"/>
              <w:left w:val="nil"/>
              <w:bottom w:val="single" w:sz="4" w:space="0" w:color="auto"/>
              <w:right w:val="single" w:sz="4" w:space="0" w:color="auto"/>
            </w:tcBorders>
            <w:shd w:val="clear" w:color="000000" w:fill="FFFFFF"/>
            <w:noWrap/>
            <w:vAlign w:val="center"/>
            <w:hideMark/>
          </w:tcPr>
          <w:p w14:paraId="1AC7D561" w14:textId="72AA422E" w:rsidR="003314AC" w:rsidRPr="003314AC" w:rsidRDefault="003314AC" w:rsidP="003314AC">
            <w:pPr>
              <w:jc w:val="center"/>
              <w:rPr>
                <w:sz w:val="16"/>
                <w:szCs w:val="16"/>
              </w:rPr>
            </w:pPr>
            <w:r w:rsidRPr="003314AC">
              <w:rPr>
                <w:sz w:val="16"/>
                <w:szCs w:val="16"/>
              </w:rPr>
              <w:t>0.0</w:t>
            </w:r>
          </w:p>
        </w:tc>
        <w:tc>
          <w:tcPr>
            <w:tcW w:w="992" w:type="dxa"/>
            <w:tcBorders>
              <w:top w:val="nil"/>
              <w:left w:val="nil"/>
              <w:bottom w:val="single" w:sz="4" w:space="0" w:color="auto"/>
              <w:right w:val="single" w:sz="4" w:space="0" w:color="auto"/>
            </w:tcBorders>
            <w:shd w:val="clear" w:color="000000" w:fill="FFFFFF"/>
            <w:noWrap/>
            <w:vAlign w:val="center"/>
            <w:hideMark/>
          </w:tcPr>
          <w:p w14:paraId="7F51BB75" w14:textId="5AC9A9DC" w:rsidR="003314AC" w:rsidRPr="003314AC" w:rsidRDefault="003314AC" w:rsidP="003314AC">
            <w:pPr>
              <w:jc w:val="center"/>
              <w:rPr>
                <w:sz w:val="16"/>
                <w:szCs w:val="16"/>
              </w:rPr>
            </w:pPr>
            <w:r w:rsidRPr="003314AC">
              <w:rPr>
                <w:sz w:val="16"/>
                <w:szCs w:val="16"/>
              </w:rPr>
              <w:t>0.0</w:t>
            </w:r>
          </w:p>
        </w:tc>
        <w:tc>
          <w:tcPr>
            <w:tcW w:w="993" w:type="dxa"/>
            <w:tcBorders>
              <w:top w:val="nil"/>
              <w:left w:val="nil"/>
              <w:bottom w:val="single" w:sz="4" w:space="0" w:color="auto"/>
              <w:right w:val="single" w:sz="4" w:space="0" w:color="auto"/>
            </w:tcBorders>
            <w:shd w:val="clear" w:color="000000" w:fill="FFFFFF"/>
            <w:noWrap/>
            <w:vAlign w:val="center"/>
            <w:hideMark/>
          </w:tcPr>
          <w:p w14:paraId="7D9173CE" w14:textId="0CC99C28" w:rsidR="003314AC" w:rsidRPr="003314AC" w:rsidRDefault="003314AC" w:rsidP="003314AC">
            <w:pPr>
              <w:jc w:val="center"/>
              <w:rPr>
                <w:sz w:val="16"/>
                <w:szCs w:val="16"/>
              </w:rPr>
            </w:pPr>
            <w:r w:rsidRPr="003314AC">
              <w:rPr>
                <w:sz w:val="16"/>
                <w:szCs w:val="16"/>
              </w:rPr>
              <w:t>0.0</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5014B33A" w14:textId="7E8D1AF4" w:rsidR="003314AC" w:rsidRPr="003314AC" w:rsidRDefault="003314AC" w:rsidP="003314AC">
            <w:pPr>
              <w:jc w:val="center"/>
              <w:rPr>
                <w:sz w:val="16"/>
                <w:szCs w:val="16"/>
              </w:rPr>
            </w:pPr>
            <w:r w:rsidRPr="003314AC">
              <w:rPr>
                <w:sz w:val="16"/>
                <w:szCs w:val="16"/>
              </w:rPr>
              <w:t>0.0</w:t>
            </w:r>
          </w:p>
        </w:tc>
      </w:tr>
      <w:tr w:rsidR="003314AC" w:rsidRPr="00647FD4" w14:paraId="31874A0E" w14:textId="77777777" w:rsidTr="00827ED5">
        <w:trPr>
          <w:trHeight w:val="56"/>
          <w:jc w:val="center"/>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5881F95A" w14:textId="77777777" w:rsidR="003314AC" w:rsidRPr="00647FD4" w:rsidRDefault="003314AC" w:rsidP="003314AC">
            <w:pPr>
              <w:ind w:firstLineChars="100" w:firstLine="160"/>
              <w:rPr>
                <w:sz w:val="16"/>
                <w:szCs w:val="16"/>
              </w:rPr>
            </w:pPr>
            <w:r w:rsidRPr="00647FD4">
              <w:rPr>
                <w:sz w:val="16"/>
                <w:szCs w:val="16"/>
              </w:rPr>
              <w:t>Financiamiento Interno Neto</w:t>
            </w:r>
          </w:p>
        </w:tc>
        <w:tc>
          <w:tcPr>
            <w:tcW w:w="1134" w:type="dxa"/>
            <w:tcBorders>
              <w:top w:val="nil"/>
              <w:left w:val="nil"/>
              <w:bottom w:val="single" w:sz="4" w:space="0" w:color="auto"/>
              <w:right w:val="single" w:sz="4" w:space="0" w:color="auto"/>
            </w:tcBorders>
            <w:shd w:val="clear" w:color="000000" w:fill="FFFFFF"/>
            <w:noWrap/>
            <w:vAlign w:val="center"/>
            <w:hideMark/>
          </w:tcPr>
          <w:p w14:paraId="0D47D760" w14:textId="47618097" w:rsidR="003314AC" w:rsidRPr="003314AC" w:rsidRDefault="003314AC" w:rsidP="003314AC">
            <w:pPr>
              <w:jc w:val="center"/>
              <w:rPr>
                <w:sz w:val="16"/>
                <w:szCs w:val="16"/>
              </w:rPr>
            </w:pPr>
            <w:r w:rsidRPr="003314AC">
              <w:rPr>
                <w:sz w:val="16"/>
                <w:szCs w:val="16"/>
              </w:rPr>
              <w:t>15,875.0</w:t>
            </w:r>
          </w:p>
        </w:tc>
        <w:tc>
          <w:tcPr>
            <w:tcW w:w="1134" w:type="dxa"/>
            <w:tcBorders>
              <w:top w:val="nil"/>
              <w:left w:val="nil"/>
              <w:bottom w:val="single" w:sz="4" w:space="0" w:color="auto"/>
              <w:right w:val="single" w:sz="4" w:space="0" w:color="auto"/>
            </w:tcBorders>
            <w:shd w:val="clear" w:color="000000" w:fill="FFFFFF"/>
            <w:noWrap/>
            <w:vAlign w:val="center"/>
            <w:hideMark/>
          </w:tcPr>
          <w:p w14:paraId="181E4403" w14:textId="43E65CCF" w:rsidR="003314AC" w:rsidRPr="003314AC" w:rsidRDefault="003314AC" w:rsidP="003314AC">
            <w:pPr>
              <w:jc w:val="center"/>
              <w:rPr>
                <w:sz w:val="16"/>
                <w:szCs w:val="16"/>
              </w:rPr>
            </w:pPr>
            <w:r w:rsidRPr="003314AC">
              <w:rPr>
                <w:sz w:val="16"/>
                <w:szCs w:val="16"/>
              </w:rPr>
              <w:t>12,936.8</w:t>
            </w:r>
          </w:p>
        </w:tc>
        <w:tc>
          <w:tcPr>
            <w:tcW w:w="992" w:type="dxa"/>
            <w:tcBorders>
              <w:top w:val="nil"/>
              <w:left w:val="nil"/>
              <w:bottom w:val="single" w:sz="4" w:space="0" w:color="auto"/>
              <w:right w:val="single" w:sz="4" w:space="0" w:color="auto"/>
            </w:tcBorders>
            <w:shd w:val="clear" w:color="000000" w:fill="FFFFFF"/>
            <w:noWrap/>
            <w:vAlign w:val="center"/>
            <w:hideMark/>
          </w:tcPr>
          <w:p w14:paraId="5C23DB2A" w14:textId="018C96B4" w:rsidR="003314AC" w:rsidRPr="003314AC" w:rsidRDefault="003314AC" w:rsidP="003314AC">
            <w:pPr>
              <w:jc w:val="center"/>
              <w:rPr>
                <w:sz w:val="16"/>
                <w:szCs w:val="16"/>
              </w:rPr>
            </w:pPr>
            <w:r w:rsidRPr="003314AC">
              <w:rPr>
                <w:sz w:val="16"/>
                <w:szCs w:val="16"/>
              </w:rPr>
              <w:t>9,885.1</w:t>
            </w:r>
          </w:p>
        </w:tc>
        <w:tc>
          <w:tcPr>
            <w:tcW w:w="993" w:type="dxa"/>
            <w:tcBorders>
              <w:top w:val="nil"/>
              <w:left w:val="nil"/>
              <w:bottom w:val="single" w:sz="4" w:space="0" w:color="auto"/>
              <w:right w:val="single" w:sz="4" w:space="0" w:color="auto"/>
            </w:tcBorders>
            <w:shd w:val="clear" w:color="000000" w:fill="FFFFFF"/>
            <w:noWrap/>
            <w:vAlign w:val="center"/>
            <w:hideMark/>
          </w:tcPr>
          <w:p w14:paraId="669BBD50" w14:textId="4598F6D8" w:rsidR="003314AC" w:rsidRPr="003314AC" w:rsidRDefault="003314AC" w:rsidP="003314AC">
            <w:pPr>
              <w:jc w:val="center"/>
              <w:rPr>
                <w:sz w:val="16"/>
                <w:szCs w:val="16"/>
              </w:rPr>
            </w:pPr>
            <w:r w:rsidRPr="003314AC">
              <w:rPr>
                <w:sz w:val="16"/>
                <w:szCs w:val="16"/>
              </w:rPr>
              <w:t>5,112.8</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7FBA84D8" w14:textId="4B7ACE45" w:rsidR="003314AC" w:rsidRPr="003314AC" w:rsidRDefault="003314AC" w:rsidP="003314AC">
            <w:pPr>
              <w:jc w:val="center"/>
              <w:rPr>
                <w:sz w:val="16"/>
                <w:szCs w:val="16"/>
              </w:rPr>
            </w:pPr>
            <w:r w:rsidRPr="003314AC">
              <w:rPr>
                <w:sz w:val="16"/>
                <w:szCs w:val="16"/>
              </w:rPr>
              <w:t>2,526.6</w:t>
            </w:r>
          </w:p>
        </w:tc>
      </w:tr>
      <w:tr w:rsidR="003314AC" w:rsidRPr="00647FD4" w14:paraId="56825B82" w14:textId="77777777" w:rsidTr="00827ED5">
        <w:trPr>
          <w:trHeight w:val="56"/>
          <w:jc w:val="center"/>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2E30D108" w14:textId="2A088EDF" w:rsidR="003314AC" w:rsidRPr="00647FD4" w:rsidRDefault="003314AC" w:rsidP="003314AC">
            <w:pPr>
              <w:ind w:firstLineChars="200" w:firstLine="320"/>
              <w:rPr>
                <w:sz w:val="16"/>
                <w:szCs w:val="16"/>
              </w:rPr>
            </w:pPr>
            <w:r w:rsidRPr="00647FD4">
              <w:rPr>
                <w:sz w:val="16"/>
                <w:szCs w:val="16"/>
              </w:rPr>
              <w:t>Negociación Neta de Bonos</w:t>
            </w:r>
          </w:p>
        </w:tc>
        <w:tc>
          <w:tcPr>
            <w:tcW w:w="1134" w:type="dxa"/>
            <w:tcBorders>
              <w:top w:val="nil"/>
              <w:left w:val="nil"/>
              <w:bottom w:val="single" w:sz="4" w:space="0" w:color="auto"/>
              <w:right w:val="single" w:sz="4" w:space="0" w:color="auto"/>
            </w:tcBorders>
            <w:shd w:val="clear" w:color="000000" w:fill="FFFFFF"/>
            <w:noWrap/>
            <w:vAlign w:val="center"/>
            <w:hideMark/>
          </w:tcPr>
          <w:p w14:paraId="21CFE07F" w14:textId="02A84AAF" w:rsidR="003314AC" w:rsidRPr="003314AC" w:rsidRDefault="003314AC" w:rsidP="003314AC">
            <w:pPr>
              <w:jc w:val="center"/>
              <w:rPr>
                <w:sz w:val="16"/>
                <w:szCs w:val="16"/>
              </w:rPr>
            </w:pPr>
            <w:r w:rsidRPr="003314AC">
              <w:rPr>
                <w:sz w:val="16"/>
                <w:szCs w:val="16"/>
              </w:rPr>
              <w:t>10,587.2</w:t>
            </w:r>
          </w:p>
        </w:tc>
        <w:tc>
          <w:tcPr>
            <w:tcW w:w="1134" w:type="dxa"/>
            <w:tcBorders>
              <w:top w:val="nil"/>
              <w:left w:val="nil"/>
              <w:bottom w:val="single" w:sz="4" w:space="0" w:color="auto"/>
              <w:right w:val="single" w:sz="4" w:space="0" w:color="auto"/>
            </w:tcBorders>
            <w:shd w:val="clear" w:color="000000" w:fill="FFFFFF"/>
            <w:noWrap/>
            <w:vAlign w:val="center"/>
            <w:hideMark/>
          </w:tcPr>
          <w:p w14:paraId="3EE431A4" w14:textId="47B25397" w:rsidR="003314AC" w:rsidRPr="003314AC" w:rsidRDefault="003314AC" w:rsidP="003314AC">
            <w:pPr>
              <w:jc w:val="center"/>
              <w:rPr>
                <w:sz w:val="16"/>
                <w:szCs w:val="16"/>
              </w:rPr>
            </w:pPr>
            <w:r w:rsidRPr="003314AC">
              <w:rPr>
                <w:sz w:val="16"/>
                <w:szCs w:val="16"/>
              </w:rPr>
              <w:t>12,804.2</w:t>
            </w:r>
          </w:p>
        </w:tc>
        <w:tc>
          <w:tcPr>
            <w:tcW w:w="992" w:type="dxa"/>
            <w:tcBorders>
              <w:top w:val="nil"/>
              <w:left w:val="nil"/>
              <w:bottom w:val="single" w:sz="4" w:space="0" w:color="auto"/>
              <w:right w:val="single" w:sz="4" w:space="0" w:color="auto"/>
            </w:tcBorders>
            <w:shd w:val="clear" w:color="000000" w:fill="FFFFFF"/>
            <w:noWrap/>
            <w:vAlign w:val="center"/>
            <w:hideMark/>
          </w:tcPr>
          <w:p w14:paraId="535141AF" w14:textId="1A793EF0" w:rsidR="003314AC" w:rsidRPr="003314AC" w:rsidRDefault="003314AC" w:rsidP="003314AC">
            <w:pPr>
              <w:jc w:val="center"/>
              <w:rPr>
                <w:sz w:val="16"/>
                <w:szCs w:val="16"/>
              </w:rPr>
            </w:pPr>
            <w:r w:rsidRPr="003314AC">
              <w:rPr>
                <w:sz w:val="16"/>
                <w:szCs w:val="16"/>
              </w:rPr>
              <w:t>9,779.4</w:t>
            </w:r>
          </w:p>
        </w:tc>
        <w:tc>
          <w:tcPr>
            <w:tcW w:w="993" w:type="dxa"/>
            <w:tcBorders>
              <w:top w:val="nil"/>
              <w:left w:val="nil"/>
              <w:bottom w:val="single" w:sz="4" w:space="0" w:color="auto"/>
              <w:right w:val="single" w:sz="4" w:space="0" w:color="auto"/>
            </w:tcBorders>
            <w:shd w:val="clear" w:color="000000" w:fill="FFFFFF"/>
            <w:noWrap/>
            <w:vAlign w:val="center"/>
            <w:hideMark/>
          </w:tcPr>
          <w:p w14:paraId="6F51BFFF" w14:textId="468B72F3" w:rsidR="003314AC" w:rsidRPr="003314AC" w:rsidRDefault="003314AC" w:rsidP="003314AC">
            <w:pPr>
              <w:jc w:val="center"/>
              <w:rPr>
                <w:sz w:val="16"/>
                <w:szCs w:val="16"/>
              </w:rPr>
            </w:pPr>
            <w:r w:rsidRPr="003314AC">
              <w:rPr>
                <w:sz w:val="16"/>
                <w:szCs w:val="16"/>
              </w:rPr>
              <w:t>5,057.6</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2E3F8948" w14:textId="32CF0E63" w:rsidR="003314AC" w:rsidRPr="003314AC" w:rsidRDefault="003314AC" w:rsidP="003314AC">
            <w:pPr>
              <w:jc w:val="center"/>
              <w:rPr>
                <w:sz w:val="16"/>
                <w:szCs w:val="16"/>
              </w:rPr>
            </w:pPr>
            <w:r w:rsidRPr="003314AC">
              <w:rPr>
                <w:sz w:val="16"/>
                <w:szCs w:val="16"/>
              </w:rPr>
              <w:t>2,476.0</w:t>
            </w:r>
          </w:p>
        </w:tc>
      </w:tr>
      <w:tr w:rsidR="003314AC" w:rsidRPr="00647FD4" w14:paraId="4083E53E" w14:textId="77777777" w:rsidTr="00827ED5">
        <w:trPr>
          <w:trHeight w:val="56"/>
          <w:jc w:val="center"/>
        </w:trPr>
        <w:tc>
          <w:tcPr>
            <w:tcW w:w="3534" w:type="dxa"/>
            <w:tcBorders>
              <w:top w:val="nil"/>
              <w:left w:val="single" w:sz="8" w:space="0" w:color="auto"/>
              <w:bottom w:val="single" w:sz="4" w:space="0" w:color="auto"/>
              <w:right w:val="single" w:sz="8" w:space="0" w:color="auto"/>
            </w:tcBorders>
            <w:shd w:val="clear" w:color="000000" w:fill="FFFFFF"/>
            <w:noWrap/>
            <w:vAlign w:val="center"/>
            <w:hideMark/>
          </w:tcPr>
          <w:p w14:paraId="61FD6796" w14:textId="77777777" w:rsidR="003314AC" w:rsidRPr="00647FD4" w:rsidRDefault="003314AC" w:rsidP="003314AC">
            <w:pPr>
              <w:rPr>
                <w:sz w:val="16"/>
                <w:szCs w:val="16"/>
              </w:rPr>
            </w:pPr>
            <w:r w:rsidRPr="00647FD4">
              <w:rPr>
                <w:sz w:val="16"/>
                <w:szCs w:val="16"/>
              </w:rPr>
              <w:t>Amortización (costo de la política monetaria)</w:t>
            </w:r>
          </w:p>
        </w:tc>
        <w:tc>
          <w:tcPr>
            <w:tcW w:w="1134" w:type="dxa"/>
            <w:tcBorders>
              <w:top w:val="nil"/>
              <w:left w:val="nil"/>
              <w:bottom w:val="single" w:sz="4" w:space="0" w:color="auto"/>
              <w:right w:val="single" w:sz="4" w:space="0" w:color="auto"/>
            </w:tcBorders>
            <w:shd w:val="clear" w:color="000000" w:fill="FFFFFF"/>
            <w:noWrap/>
            <w:vAlign w:val="center"/>
            <w:hideMark/>
          </w:tcPr>
          <w:p w14:paraId="517BCBC5" w14:textId="438C87F9" w:rsidR="003314AC" w:rsidRPr="003314AC" w:rsidRDefault="003314AC" w:rsidP="003314AC">
            <w:pPr>
              <w:jc w:val="center"/>
              <w:rPr>
                <w:sz w:val="16"/>
                <w:szCs w:val="16"/>
              </w:rPr>
            </w:pPr>
            <w:r w:rsidRPr="003314AC">
              <w:rPr>
                <w:sz w:val="16"/>
                <w:szCs w:val="16"/>
              </w:rPr>
              <w:t>2,474.0</w:t>
            </w:r>
          </w:p>
        </w:tc>
        <w:tc>
          <w:tcPr>
            <w:tcW w:w="1134" w:type="dxa"/>
            <w:tcBorders>
              <w:top w:val="nil"/>
              <w:left w:val="nil"/>
              <w:bottom w:val="single" w:sz="4" w:space="0" w:color="auto"/>
              <w:right w:val="single" w:sz="4" w:space="0" w:color="auto"/>
            </w:tcBorders>
            <w:shd w:val="clear" w:color="000000" w:fill="FFFFFF"/>
            <w:noWrap/>
            <w:vAlign w:val="center"/>
            <w:hideMark/>
          </w:tcPr>
          <w:p w14:paraId="15451C16" w14:textId="729F5E7C" w:rsidR="003314AC" w:rsidRPr="003314AC" w:rsidRDefault="003314AC" w:rsidP="003314AC">
            <w:pPr>
              <w:jc w:val="center"/>
              <w:rPr>
                <w:sz w:val="16"/>
                <w:szCs w:val="16"/>
              </w:rPr>
            </w:pPr>
            <w:r w:rsidRPr="003314AC">
              <w:rPr>
                <w:sz w:val="16"/>
                <w:szCs w:val="16"/>
              </w:rPr>
              <w:t>0.0</w:t>
            </w:r>
          </w:p>
        </w:tc>
        <w:tc>
          <w:tcPr>
            <w:tcW w:w="992" w:type="dxa"/>
            <w:tcBorders>
              <w:top w:val="nil"/>
              <w:left w:val="nil"/>
              <w:bottom w:val="single" w:sz="4" w:space="0" w:color="auto"/>
              <w:right w:val="single" w:sz="4" w:space="0" w:color="auto"/>
            </w:tcBorders>
            <w:shd w:val="clear" w:color="000000" w:fill="FFFFFF"/>
            <w:noWrap/>
            <w:vAlign w:val="center"/>
            <w:hideMark/>
          </w:tcPr>
          <w:p w14:paraId="17533177" w14:textId="6ABC5701" w:rsidR="003314AC" w:rsidRPr="003314AC" w:rsidRDefault="003314AC" w:rsidP="003314AC">
            <w:pPr>
              <w:jc w:val="center"/>
              <w:rPr>
                <w:sz w:val="16"/>
                <w:szCs w:val="16"/>
              </w:rPr>
            </w:pPr>
            <w:r w:rsidRPr="003314AC">
              <w:rPr>
                <w:sz w:val="16"/>
                <w:szCs w:val="16"/>
              </w:rPr>
              <w:t>0.0</w:t>
            </w:r>
          </w:p>
        </w:tc>
        <w:tc>
          <w:tcPr>
            <w:tcW w:w="993" w:type="dxa"/>
            <w:tcBorders>
              <w:top w:val="nil"/>
              <w:left w:val="nil"/>
              <w:bottom w:val="single" w:sz="4" w:space="0" w:color="auto"/>
              <w:right w:val="single" w:sz="4" w:space="0" w:color="auto"/>
            </w:tcBorders>
            <w:shd w:val="clear" w:color="000000" w:fill="FFFFFF"/>
            <w:noWrap/>
            <w:vAlign w:val="center"/>
            <w:hideMark/>
          </w:tcPr>
          <w:p w14:paraId="6D9D61EB" w14:textId="25105034" w:rsidR="003314AC" w:rsidRPr="003314AC" w:rsidRDefault="003314AC" w:rsidP="003314AC">
            <w:pPr>
              <w:jc w:val="center"/>
              <w:rPr>
                <w:sz w:val="16"/>
                <w:szCs w:val="16"/>
              </w:rPr>
            </w:pPr>
            <w:r w:rsidRPr="003314AC">
              <w:rPr>
                <w:sz w:val="16"/>
                <w:szCs w:val="16"/>
              </w:rPr>
              <w:t>0.0</w:t>
            </w:r>
          </w:p>
        </w:tc>
        <w:tc>
          <w:tcPr>
            <w:tcW w:w="992" w:type="dxa"/>
            <w:tcBorders>
              <w:top w:val="nil"/>
              <w:left w:val="single" w:sz="4" w:space="0" w:color="auto"/>
              <w:bottom w:val="single" w:sz="4" w:space="0" w:color="auto"/>
              <w:right w:val="single" w:sz="8" w:space="0" w:color="auto"/>
            </w:tcBorders>
            <w:shd w:val="clear" w:color="000000" w:fill="FFFFFF"/>
            <w:noWrap/>
            <w:vAlign w:val="center"/>
            <w:hideMark/>
          </w:tcPr>
          <w:p w14:paraId="49C25D58" w14:textId="550AB0AF" w:rsidR="003314AC" w:rsidRPr="003314AC" w:rsidRDefault="003314AC" w:rsidP="003314AC">
            <w:pPr>
              <w:jc w:val="center"/>
              <w:rPr>
                <w:sz w:val="16"/>
                <w:szCs w:val="16"/>
              </w:rPr>
            </w:pPr>
            <w:r w:rsidRPr="003314AC">
              <w:rPr>
                <w:sz w:val="16"/>
                <w:szCs w:val="16"/>
              </w:rPr>
              <w:t>0.0</w:t>
            </w:r>
          </w:p>
        </w:tc>
      </w:tr>
      <w:tr w:rsidR="003314AC" w:rsidRPr="00647FD4" w14:paraId="025E8479" w14:textId="77777777" w:rsidTr="00827ED5">
        <w:trPr>
          <w:trHeight w:val="56"/>
          <w:jc w:val="center"/>
        </w:trPr>
        <w:tc>
          <w:tcPr>
            <w:tcW w:w="3534" w:type="dxa"/>
            <w:tcBorders>
              <w:top w:val="nil"/>
              <w:left w:val="single" w:sz="8" w:space="0" w:color="auto"/>
              <w:bottom w:val="single" w:sz="8" w:space="0" w:color="auto"/>
              <w:right w:val="single" w:sz="8" w:space="0" w:color="auto"/>
            </w:tcBorders>
            <w:shd w:val="clear" w:color="000000" w:fill="FFFFFF"/>
            <w:noWrap/>
            <w:vAlign w:val="center"/>
            <w:hideMark/>
          </w:tcPr>
          <w:p w14:paraId="1EFE410F" w14:textId="1C070DB1" w:rsidR="003314AC" w:rsidRPr="00647FD4" w:rsidRDefault="003314AC" w:rsidP="003314AC">
            <w:pPr>
              <w:rPr>
                <w:sz w:val="16"/>
                <w:szCs w:val="16"/>
              </w:rPr>
            </w:pPr>
            <w:r w:rsidRPr="00647FD4">
              <w:rPr>
                <w:sz w:val="16"/>
                <w:szCs w:val="16"/>
              </w:rPr>
              <w:t>Variación de Caja (+) disminución (-) aumento</w:t>
            </w:r>
          </w:p>
        </w:tc>
        <w:tc>
          <w:tcPr>
            <w:tcW w:w="1134" w:type="dxa"/>
            <w:tcBorders>
              <w:top w:val="nil"/>
              <w:left w:val="nil"/>
              <w:bottom w:val="single" w:sz="8" w:space="0" w:color="auto"/>
              <w:right w:val="single" w:sz="4" w:space="0" w:color="auto"/>
            </w:tcBorders>
            <w:shd w:val="clear" w:color="000000" w:fill="FFFFFF"/>
            <w:noWrap/>
            <w:vAlign w:val="center"/>
            <w:hideMark/>
          </w:tcPr>
          <w:p w14:paraId="1B12A582" w14:textId="4154AA13" w:rsidR="003314AC" w:rsidRPr="003314AC" w:rsidRDefault="003314AC" w:rsidP="003314AC">
            <w:pPr>
              <w:jc w:val="center"/>
              <w:rPr>
                <w:sz w:val="16"/>
                <w:szCs w:val="16"/>
              </w:rPr>
            </w:pPr>
            <w:r w:rsidRPr="003314AC">
              <w:rPr>
                <w:sz w:val="16"/>
                <w:szCs w:val="16"/>
              </w:rPr>
              <w:t>7,761.8</w:t>
            </w:r>
          </w:p>
        </w:tc>
        <w:tc>
          <w:tcPr>
            <w:tcW w:w="1134" w:type="dxa"/>
            <w:tcBorders>
              <w:top w:val="nil"/>
              <w:left w:val="nil"/>
              <w:bottom w:val="single" w:sz="8" w:space="0" w:color="auto"/>
              <w:right w:val="single" w:sz="4" w:space="0" w:color="auto"/>
            </w:tcBorders>
            <w:shd w:val="clear" w:color="000000" w:fill="FFFFFF"/>
            <w:noWrap/>
            <w:vAlign w:val="center"/>
            <w:hideMark/>
          </w:tcPr>
          <w:p w14:paraId="35642386" w14:textId="64535094" w:rsidR="003314AC" w:rsidRPr="003314AC" w:rsidRDefault="003314AC" w:rsidP="003314AC">
            <w:pPr>
              <w:jc w:val="center"/>
              <w:rPr>
                <w:sz w:val="16"/>
                <w:szCs w:val="16"/>
              </w:rPr>
            </w:pPr>
            <w:r w:rsidRPr="003314AC">
              <w:rPr>
                <w:sz w:val="16"/>
                <w:szCs w:val="16"/>
              </w:rPr>
              <w:t>132.6</w:t>
            </w:r>
          </w:p>
        </w:tc>
        <w:tc>
          <w:tcPr>
            <w:tcW w:w="992" w:type="dxa"/>
            <w:tcBorders>
              <w:top w:val="nil"/>
              <w:left w:val="nil"/>
              <w:bottom w:val="single" w:sz="8" w:space="0" w:color="auto"/>
              <w:right w:val="single" w:sz="4" w:space="0" w:color="auto"/>
            </w:tcBorders>
            <w:shd w:val="clear" w:color="000000" w:fill="FFFFFF"/>
            <w:noWrap/>
            <w:vAlign w:val="center"/>
            <w:hideMark/>
          </w:tcPr>
          <w:p w14:paraId="5DB3A777" w14:textId="2224DE30" w:rsidR="003314AC" w:rsidRPr="003314AC" w:rsidRDefault="003314AC" w:rsidP="003314AC">
            <w:pPr>
              <w:jc w:val="center"/>
              <w:rPr>
                <w:sz w:val="16"/>
                <w:szCs w:val="16"/>
              </w:rPr>
            </w:pPr>
            <w:r w:rsidRPr="003314AC">
              <w:rPr>
                <w:sz w:val="16"/>
                <w:szCs w:val="16"/>
              </w:rPr>
              <w:t>105.7</w:t>
            </w:r>
          </w:p>
        </w:tc>
        <w:tc>
          <w:tcPr>
            <w:tcW w:w="993" w:type="dxa"/>
            <w:tcBorders>
              <w:top w:val="nil"/>
              <w:left w:val="nil"/>
              <w:bottom w:val="single" w:sz="8" w:space="0" w:color="auto"/>
              <w:right w:val="single" w:sz="4" w:space="0" w:color="auto"/>
            </w:tcBorders>
            <w:shd w:val="clear" w:color="000000" w:fill="FFFFFF"/>
            <w:noWrap/>
            <w:vAlign w:val="center"/>
            <w:hideMark/>
          </w:tcPr>
          <w:p w14:paraId="502C6DA0" w14:textId="120DD729" w:rsidR="003314AC" w:rsidRPr="003314AC" w:rsidRDefault="003314AC" w:rsidP="003314AC">
            <w:pPr>
              <w:jc w:val="center"/>
              <w:rPr>
                <w:sz w:val="16"/>
                <w:szCs w:val="16"/>
              </w:rPr>
            </w:pPr>
            <w:r w:rsidRPr="003314AC">
              <w:rPr>
                <w:sz w:val="16"/>
                <w:szCs w:val="16"/>
              </w:rPr>
              <w:t>55.2</w:t>
            </w:r>
          </w:p>
        </w:tc>
        <w:tc>
          <w:tcPr>
            <w:tcW w:w="992" w:type="dxa"/>
            <w:tcBorders>
              <w:top w:val="nil"/>
              <w:left w:val="nil"/>
              <w:bottom w:val="single" w:sz="8" w:space="0" w:color="auto"/>
              <w:right w:val="single" w:sz="8" w:space="0" w:color="auto"/>
            </w:tcBorders>
            <w:shd w:val="clear" w:color="000000" w:fill="FFFFFF"/>
            <w:noWrap/>
            <w:vAlign w:val="center"/>
            <w:hideMark/>
          </w:tcPr>
          <w:p w14:paraId="53767475" w14:textId="0BA4C94A" w:rsidR="003314AC" w:rsidRPr="003314AC" w:rsidRDefault="003314AC" w:rsidP="003314AC">
            <w:pPr>
              <w:jc w:val="center"/>
              <w:rPr>
                <w:sz w:val="16"/>
                <w:szCs w:val="16"/>
              </w:rPr>
            </w:pPr>
            <w:r w:rsidRPr="003314AC">
              <w:rPr>
                <w:sz w:val="16"/>
                <w:szCs w:val="16"/>
              </w:rPr>
              <w:t>50.5</w:t>
            </w:r>
          </w:p>
        </w:tc>
      </w:tr>
      <w:tr w:rsidR="00647FD4" w:rsidRPr="00647FD4" w14:paraId="20219533" w14:textId="77777777" w:rsidTr="00827ED5">
        <w:trPr>
          <w:trHeight w:val="255"/>
          <w:jc w:val="center"/>
        </w:trPr>
        <w:tc>
          <w:tcPr>
            <w:tcW w:w="3534" w:type="dxa"/>
            <w:tcBorders>
              <w:top w:val="nil"/>
              <w:left w:val="nil"/>
              <w:bottom w:val="nil"/>
              <w:right w:val="nil"/>
            </w:tcBorders>
            <w:shd w:val="clear" w:color="000000" w:fill="FFFFFF"/>
            <w:noWrap/>
            <w:hideMark/>
          </w:tcPr>
          <w:p w14:paraId="7F0CD2DF" w14:textId="77777777" w:rsidR="00647FD4" w:rsidRPr="00647FD4" w:rsidRDefault="00647FD4" w:rsidP="00647FD4">
            <w:pPr>
              <w:rPr>
                <w:b/>
                <w:bCs/>
                <w:sz w:val="16"/>
                <w:szCs w:val="16"/>
              </w:rPr>
            </w:pPr>
            <w:r w:rsidRPr="00647FD4">
              <w:rPr>
                <w:b/>
                <w:bCs/>
                <w:sz w:val="16"/>
                <w:szCs w:val="16"/>
              </w:rPr>
              <w:t>Egresos Totales</w:t>
            </w:r>
          </w:p>
        </w:tc>
        <w:tc>
          <w:tcPr>
            <w:tcW w:w="1134" w:type="dxa"/>
            <w:tcBorders>
              <w:top w:val="nil"/>
              <w:left w:val="nil"/>
              <w:bottom w:val="nil"/>
              <w:right w:val="nil"/>
            </w:tcBorders>
            <w:shd w:val="clear" w:color="000000" w:fill="FFFFFF"/>
            <w:noWrap/>
            <w:hideMark/>
          </w:tcPr>
          <w:p w14:paraId="2A02A8B4" w14:textId="77777777" w:rsidR="00647FD4" w:rsidRPr="00647FD4" w:rsidRDefault="00647FD4" w:rsidP="00647FD4">
            <w:pPr>
              <w:jc w:val="center"/>
              <w:rPr>
                <w:b/>
                <w:bCs/>
                <w:sz w:val="16"/>
                <w:szCs w:val="16"/>
              </w:rPr>
            </w:pPr>
            <w:r w:rsidRPr="00647FD4">
              <w:rPr>
                <w:b/>
                <w:bCs/>
                <w:sz w:val="16"/>
                <w:szCs w:val="16"/>
              </w:rPr>
              <w:t>124,880.0</w:t>
            </w:r>
          </w:p>
        </w:tc>
        <w:tc>
          <w:tcPr>
            <w:tcW w:w="1134" w:type="dxa"/>
            <w:tcBorders>
              <w:top w:val="nil"/>
              <w:left w:val="nil"/>
              <w:bottom w:val="nil"/>
              <w:right w:val="nil"/>
            </w:tcBorders>
            <w:shd w:val="clear" w:color="000000" w:fill="FFFFFF"/>
            <w:noWrap/>
            <w:hideMark/>
          </w:tcPr>
          <w:p w14:paraId="430EDD54" w14:textId="77777777" w:rsidR="00647FD4" w:rsidRPr="00647FD4" w:rsidRDefault="00647FD4" w:rsidP="00647FD4">
            <w:pPr>
              <w:jc w:val="center"/>
              <w:rPr>
                <w:b/>
                <w:bCs/>
                <w:sz w:val="16"/>
                <w:szCs w:val="16"/>
              </w:rPr>
            </w:pPr>
            <w:r w:rsidRPr="00647FD4">
              <w:rPr>
                <w:b/>
                <w:bCs/>
                <w:sz w:val="16"/>
                <w:szCs w:val="16"/>
              </w:rPr>
              <w:t>125,634.5</w:t>
            </w:r>
          </w:p>
        </w:tc>
        <w:tc>
          <w:tcPr>
            <w:tcW w:w="992" w:type="dxa"/>
            <w:tcBorders>
              <w:top w:val="nil"/>
              <w:left w:val="nil"/>
              <w:bottom w:val="nil"/>
              <w:right w:val="nil"/>
            </w:tcBorders>
            <w:shd w:val="clear" w:color="000000" w:fill="FFFFFF"/>
            <w:noWrap/>
            <w:hideMark/>
          </w:tcPr>
          <w:p w14:paraId="2C4DB47C" w14:textId="77777777" w:rsidR="00647FD4" w:rsidRPr="00647FD4" w:rsidRDefault="00647FD4" w:rsidP="00647FD4">
            <w:pPr>
              <w:jc w:val="center"/>
              <w:rPr>
                <w:b/>
                <w:bCs/>
                <w:sz w:val="16"/>
                <w:szCs w:val="16"/>
              </w:rPr>
            </w:pPr>
            <w:r w:rsidRPr="00647FD4">
              <w:rPr>
                <w:b/>
                <w:bCs/>
                <w:sz w:val="16"/>
                <w:szCs w:val="16"/>
              </w:rPr>
              <w:t>129,810.8</w:t>
            </w:r>
          </w:p>
        </w:tc>
        <w:tc>
          <w:tcPr>
            <w:tcW w:w="993" w:type="dxa"/>
            <w:tcBorders>
              <w:top w:val="nil"/>
              <w:left w:val="nil"/>
              <w:bottom w:val="nil"/>
              <w:right w:val="nil"/>
            </w:tcBorders>
            <w:shd w:val="clear" w:color="000000" w:fill="FFFFFF"/>
            <w:noWrap/>
            <w:hideMark/>
          </w:tcPr>
          <w:p w14:paraId="3C11D223" w14:textId="77777777" w:rsidR="00647FD4" w:rsidRPr="00647FD4" w:rsidRDefault="00647FD4" w:rsidP="00647FD4">
            <w:pPr>
              <w:jc w:val="center"/>
              <w:rPr>
                <w:b/>
                <w:bCs/>
                <w:sz w:val="16"/>
                <w:szCs w:val="16"/>
              </w:rPr>
            </w:pPr>
            <w:r w:rsidRPr="00647FD4">
              <w:rPr>
                <w:b/>
                <w:bCs/>
                <w:sz w:val="16"/>
                <w:szCs w:val="16"/>
              </w:rPr>
              <w:t>133,455.7</w:t>
            </w:r>
          </w:p>
        </w:tc>
        <w:tc>
          <w:tcPr>
            <w:tcW w:w="992" w:type="dxa"/>
            <w:tcBorders>
              <w:top w:val="nil"/>
              <w:left w:val="nil"/>
              <w:bottom w:val="nil"/>
              <w:right w:val="nil"/>
            </w:tcBorders>
            <w:shd w:val="clear" w:color="000000" w:fill="FFFFFF"/>
            <w:noWrap/>
            <w:hideMark/>
          </w:tcPr>
          <w:p w14:paraId="12B7616F" w14:textId="77777777" w:rsidR="00647FD4" w:rsidRPr="00647FD4" w:rsidRDefault="00647FD4" w:rsidP="00647FD4">
            <w:pPr>
              <w:jc w:val="center"/>
              <w:rPr>
                <w:b/>
                <w:bCs/>
                <w:sz w:val="16"/>
                <w:szCs w:val="16"/>
              </w:rPr>
            </w:pPr>
            <w:r w:rsidRPr="00647FD4">
              <w:rPr>
                <w:b/>
                <w:bCs/>
                <w:sz w:val="16"/>
                <w:szCs w:val="16"/>
              </w:rPr>
              <w:t>139,453.4</w:t>
            </w:r>
          </w:p>
        </w:tc>
      </w:tr>
    </w:tbl>
    <w:p w14:paraId="617A3819" w14:textId="2B9D7997" w:rsidR="00042B9E" w:rsidRPr="00042B9E" w:rsidRDefault="00564970" w:rsidP="00564970">
      <w:pPr>
        <w:jc w:val="both"/>
      </w:pPr>
      <w:r>
        <w:rPr>
          <w:sz w:val="16"/>
        </w:rPr>
        <w:t xml:space="preserve">*Para 2023 los datos hacen referencia a la estimación de cierre. Para 2024-2028 los datos son de referencia para los techos presupuestarios </w:t>
      </w:r>
      <w:r w:rsidRPr="00564970">
        <w:rPr>
          <w:sz w:val="18"/>
          <w:szCs w:val="28"/>
        </w:rPr>
        <w:t>Fuente: Dirección de Análisis y Política Fiscal</w:t>
      </w:r>
      <w:r>
        <w:rPr>
          <w:sz w:val="18"/>
          <w:szCs w:val="28"/>
        </w:rPr>
        <w:t>.</w:t>
      </w:r>
    </w:p>
    <w:p w14:paraId="54895814" w14:textId="32872693" w:rsidR="00564970" w:rsidRDefault="00564970" w:rsidP="00564970">
      <w:pPr>
        <w:jc w:val="both"/>
      </w:pPr>
      <w:r>
        <w:t xml:space="preserve">Por su parte, el financiamiento de mediano plazo será igualmente cubierto en un alto porcentaje con la Emisión y Colocación de Bonos del Tesoro, se espera que el financiamiento externo neto sea negativo </w:t>
      </w:r>
      <w:r w:rsidR="009E12CA">
        <w:t>de</w:t>
      </w:r>
      <w:r>
        <w:t xml:space="preserve"> 202</w:t>
      </w:r>
      <w:r w:rsidR="009E12CA">
        <w:t>4</w:t>
      </w:r>
      <w:r>
        <w:t xml:space="preserve"> </w:t>
      </w:r>
      <w:r w:rsidR="009E12CA">
        <w:t>a</w:t>
      </w:r>
      <w:r>
        <w:t xml:space="preserve"> 2028, por mayores amortizaciones que desembolsos. Es importante considerar que desde hace algunos años se hace cada vez más difícil que se aprueben nuevas operaciones por préstamos en el Congreso de la República, a excepción de 2020 donde la crisis del COVID-19 posibilitó la aprobación de 7 préstamos. </w:t>
      </w:r>
    </w:p>
    <w:p w14:paraId="6C5CE0A7" w14:textId="77777777" w:rsidR="00253F84" w:rsidRDefault="00253F84" w:rsidP="00564970">
      <w:pPr>
        <w:jc w:val="both"/>
      </w:pPr>
    </w:p>
    <w:p w14:paraId="3404D0E2" w14:textId="0FA10F79" w:rsidR="00564970" w:rsidRDefault="00564970" w:rsidP="00564970">
      <w:pPr>
        <w:jc w:val="both"/>
      </w:pPr>
      <w:r>
        <w:t>No obstante, para el período de 202</w:t>
      </w:r>
      <w:r w:rsidR="00457FB2">
        <w:t>4</w:t>
      </w:r>
      <w:r>
        <w:t>-202</w:t>
      </w:r>
      <w:r w:rsidR="00457FB2">
        <w:t>8</w:t>
      </w:r>
      <w:r>
        <w:t xml:space="preserve"> se considera que los desembolsos de préstamos serán mayores, esto se considera positivo debido a que mantiene la diversificación del portafolio de la deuda, y permite avances en temas que son de interés para la consecución de las metas y objetivos establecidos, así como contar con el acompañamiento de organismos internacionales. </w:t>
      </w:r>
    </w:p>
    <w:p w14:paraId="37CE2ADF" w14:textId="77777777" w:rsidR="00564970" w:rsidRDefault="00564970" w:rsidP="00564970">
      <w:pPr>
        <w:jc w:val="both"/>
      </w:pPr>
    </w:p>
    <w:p w14:paraId="009ECE2E" w14:textId="091CA212" w:rsidR="00564970" w:rsidRDefault="00564970" w:rsidP="00564970">
      <w:pPr>
        <w:jc w:val="both"/>
      </w:pPr>
      <w:r>
        <w:t>En 202</w:t>
      </w:r>
      <w:r w:rsidR="00457FB2">
        <w:t>4</w:t>
      </w:r>
      <w:r>
        <w:t xml:space="preserve"> sería el año que se tiene previsto que se reciban los mayores desembolsos de préstamos, supera</w:t>
      </w:r>
      <w:r w:rsidR="00457FB2">
        <w:t>ndo</w:t>
      </w:r>
      <w:r>
        <w:t xml:space="preserve"> las amortizaciones previstas para ese año. Entre 2024 y 2028 podrían realizarse colocaciones de eurobonos que serán por el equivalente al vencimiento que se espera para esos años, derivado de ello el efecto neto en la colocación es cero.</w:t>
      </w:r>
    </w:p>
    <w:p w14:paraId="2D625CB6" w14:textId="318B7627" w:rsidR="00564970" w:rsidRDefault="00564970" w:rsidP="00564970">
      <w:pPr>
        <w:jc w:val="both"/>
      </w:pPr>
    </w:p>
    <w:p w14:paraId="2CA953ED" w14:textId="2B7D1CBD" w:rsidR="0071370B" w:rsidRDefault="0071370B" w:rsidP="0071370B">
      <w:pPr>
        <w:keepNext/>
        <w:ind w:left="562" w:right="1695"/>
        <w:jc w:val="center"/>
        <w:rPr>
          <w:b/>
          <w:bCs/>
        </w:rPr>
      </w:pPr>
      <w:bookmarkStart w:id="269" w:name="_Toc143870757"/>
      <w:r w:rsidRPr="0071370B">
        <w:rPr>
          <w:b/>
          <w:bCs/>
        </w:rPr>
        <w:t xml:space="preserve">Gráfico </w:t>
      </w:r>
      <w:r w:rsidRPr="0071370B">
        <w:rPr>
          <w:b/>
          <w:bCs/>
        </w:rPr>
        <w:fldChar w:fldCharType="begin"/>
      </w:r>
      <w:r w:rsidRPr="0071370B">
        <w:rPr>
          <w:b/>
          <w:bCs/>
        </w:rPr>
        <w:instrText xml:space="preserve"> SEQ Gráfico \* ARABIC </w:instrText>
      </w:r>
      <w:r w:rsidRPr="0071370B">
        <w:rPr>
          <w:b/>
          <w:bCs/>
        </w:rPr>
        <w:fldChar w:fldCharType="separate"/>
      </w:r>
      <w:r w:rsidR="006622B2">
        <w:rPr>
          <w:b/>
          <w:bCs/>
          <w:noProof/>
        </w:rPr>
        <w:t>90</w:t>
      </w:r>
      <w:r w:rsidRPr="0071370B">
        <w:rPr>
          <w:b/>
          <w:bCs/>
        </w:rPr>
        <w:fldChar w:fldCharType="end"/>
      </w:r>
      <w:r w:rsidRPr="0071370B">
        <w:rPr>
          <w:b/>
          <w:bCs/>
        </w:rPr>
        <w:t>.  Déficit fiscal y su financiamiento</w:t>
      </w:r>
      <w:bookmarkEnd w:id="269"/>
    </w:p>
    <w:tbl>
      <w:tblPr>
        <w:tblStyle w:val="Tablaconcuadrcula"/>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3"/>
        <w:gridCol w:w="3923"/>
      </w:tblGrid>
      <w:tr w:rsidR="005016CC" w14:paraId="0C3C5081" w14:textId="77777777" w:rsidTr="0071370B">
        <w:trPr>
          <w:trHeight w:val="3801"/>
        </w:trPr>
        <w:tc>
          <w:tcPr>
            <w:tcW w:w="4280" w:type="dxa"/>
          </w:tcPr>
          <w:p w14:paraId="3FF35FB0" w14:textId="77777777" w:rsidR="005016CC" w:rsidRPr="004B6A59" w:rsidRDefault="005016CC" w:rsidP="005016CC">
            <w:pPr>
              <w:spacing w:line="276" w:lineRule="auto"/>
              <w:ind w:right="-102"/>
              <w:rPr>
                <w:b/>
                <w:bCs/>
                <w:lang w:val="es-GT"/>
              </w:rPr>
            </w:pPr>
            <w:r w:rsidRPr="004B6A59">
              <w:rPr>
                <w:b/>
                <w:bCs/>
                <w:lang w:val="es-GT"/>
              </w:rPr>
              <w:t>Déficit fiscal de techos de mediano plazo</w:t>
            </w:r>
          </w:p>
          <w:p w14:paraId="76AAA8B1" w14:textId="77777777" w:rsidR="005016CC" w:rsidRPr="004B6A59" w:rsidRDefault="005016CC" w:rsidP="00582CA7">
            <w:pPr>
              <w:spacing w:line="276" w:lineRule="auto"/>
              <w:ind w:right="-102"/>
              <w:jc w:val="center"/>
              <w:rPr>
                <w:lang w:val="es-GT"/>
              </w:rPr>
            </w:pPr>
            <w:r w:rsidRPr="004B6A59">
              <w:rPr>
                <w:sz w:val="20"/>
                <w:szCs w:val="20"/>
                <w:lang w:val="es-GT"/>
              </w:rPr>
              <w:t>2023-2028</w:t>
            </w:r>
          </w:p>
          <w:p w14:paraId="0C1692A1" w14:textId="77777777" w:rsidR="005016CC" w:rsidRPr="004B6A59" w:rsidRDefault="005016CC" w:rsidP="00582CA7">
            <w:pPr>
              <w:spacing w:line="276" w:lineRule="auto"/>
              <w:ind w:right="-102"/>
              <w:jc w:val="center"/>
              <w:rPr>
                <w:lang w:val="es-GT"/>
              </w:rPr>
            </w:pPr>
            <w:r w:rsidRPr="004B6A59">
              <w:rPr>
                <w:noProof/>
                <w:sz w:val="20"/>
                <w:szCs w:val="20"/>
              </w:rPr>
              <w:drawing>
                <wp:anchor distT="0" distB="0" distL="114300" distR="114300" simplePos="0" relativeHeight="251759616" behindDoc="0" locked="0" layoutInCell="1" allowOverlap="1" wp14:anchorId="00E92289" wp14:editId="5789D143">
                  <wp:simplePos x="0" y="0"/>
                  <wp:positionH relativeFrom="column">
                    <wp:posOffset>-66675</wp:posOffset>
                  </wp:positionH>
                  <wp:positionV relativeFrom="paragraph">
                    <wp:posOffset>194310</wp:posOffset>
                  </wp:positionV>
                  <wp:extent cx="2734945" cy="2075180"/>
                  <wp:effectExtent l="0" t="0" r="8255" b="1270"/>
                  <wp:wrapThrough wrapText="bothSides">
                    <wp:wrapPolygon edited="0">
                      <wp:start x="0" y="0"/>
                      <wp:lineTo x="0" y="21415"/>
                      <wp:lineTo x="21515" y="21415"/>
                      <wp:lineTo x="21515" y="0"/>
                      <wp:lineTo x="0" y="0"/>
                    </wp:wrapPolygon>
                  </wp:wrapThrough>
                  <wp:docPr id="1805" name="Gráfico 18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14:sizeRelH relativeFrom="margin">
                    <wp14:pctWidth>0</wp14:pctWidth>
                  </wp14:sizeRelH>
                  <wp14:sizeRelV relativeFrom="margin">
                    <wp14:pctHeight>0</wp14:pctHeight>
                  </wp14:sizeRelV>
                </wp:anchor>
              </w:drawing>
            </w:r>
            <w:r w:rsidRPr="004B6A59">
              <w:rPr>
                <w:sz w:val="20"/>
                <w:szCs w:val="20"/>
                <w:lang w:val="es-GT"/>
              </w:rPr>
              <w:t>Millones de quetzales</w:t>
            </w:r>
          </w:p>
          <w:p w14:paraId="03252CE4" w14:textId="61E1DD59" w:rsidR="005016CC" w:rsidRPr="004B6A59" w:rsidRDefault="005016CC" w:rsidP="00582CA7">
            <w:pPr>
              <w:spacing w:line="276" w:lineRule="auto"/>
              <w:ind w:right="-102"/>
              <w:rPr>
                <w:b/>
                <w:bCs/>
                <w:lang w:val="es-GT"/>
              </w:rPr>
            </w:pPr>
            <w:r w:rsidRPr="004B6A59">
              <w:rPr>
                <w:sz w:val="18"/>
                <w:szCs w:val="18"/>
                <w:lang w:val="es-GT"/>
              </w:rPr>
              <w:t>Fuente: Dirección de Análisis y Política Fiscal.</w:t>
            </w:r>
          </w:p>
        </w:tc>
        <w:tc>
          <w:tcPr>
            <w:tcW w:w="3996" w:type="dxa"/>
          </w:tcPr>
          <w:p w14:paraId="4437DB0E" w14:textId="77777777" w:rsidR="005016CC" w:rsidRPr="004B6A59" w:rsidRDefault="005016CC" w:rsidP="00582CA7">
            <w:pPr>
              <w:spacing w:line="276" w:lineRule="auto"/>
              <w:ind w:right="34"/>
              <w:rPr>
                <w:b/>
                <w:bCs/>
                <w:lang w:val="es-GT"/>
              </w:rPr>
            </w:pPr>
            <w:r w:rsidRPr="005016CC">
              <w:rPr>
                <w:b/>
                <w:bCs/>
                <w:lang w:val="es-GT"/>
              </w:rPr>
              <w:t xml:space="preserve">     </w:t>
            </w:r>
            <w:r w:rsidRPr="004B6A59">
              <w:rPr>
                <w:b/>
                <w:bCs/>
                <w:lang w:val="es-GT"/>
              </w:rPr>
              <w:t>Financiamiento del déficit fiscal</w:t>
            </w:r>
          </w:p>
          <w:p w14:paraId="2DDB72B8" w14:textId="6C76C998" w:rsidR="005016CC" w:rsidRPr="004B6A59" w:rsidRDefault="005016CC" w:rsidP="00582CA7">
            <w:pPr>
              <w:spacing w:line="276" w:lineRule="auto"/>
              <w:ind w:right="34"/>
              <w:rPr>
                <w:sz w:val="20"/>
                <w:szCs w:val="20"/>
                <w:lang w:val="es-GT"/>
              </w:rPr>
            </w:pPr>
            <w:r w:rsidRPr="005016CC">
              <w:rPr>
                <w:lang w:val="es-GT"/>
              </w:rPr>
              <w:t xml:space="preserve">     </w:t>
            </w:r>
            <w:r>
              <w:rPr>
                <w:lang w:val="es-GT"/>
              </w:rPr>
              <w:t xml:space="preserve">                    </w:t>
            </w:r>
            <w:r w:rsidRPr="004B6A59">
              <w:rPr>
                <w:sz w:val="20"/>
                <w:szCs w:val="20"/>
                <w:lang w:val="es-GT"/>
              </w:rPr>
              <w:t>2023-2028</w:t>
            </w:r>
          </w:p>
          <w:p w14:paraId="56CCC406" w14:textId="0EBCFD76" w:rsidR="005016CC" w:rsidRPr="004B6A59" w:rsidRDefault="005016CC" w:rsidP="00582CA7">
            <w:pPr>
              <w:spacing w:line="276" w:lineRule="auto"/>
              <w:ind w:right="34"/>
              <w:rPr>
                <w:lang w:val="es-GT"/>
              </w:rPr>
            </w:pPr>
            <w:r w:rsidRPr="004B6A59">
              <w:rPr>
                <w:b/>
                <w:bCs/>
                <w:noProof/>
              </w:rPr>
              <w:drawing>
                <wp:anchor distT="0" distB="0" distL="114300" distR="114300" simplePos="0" relativeHeight="251758592" behindDoc="0" locked="0" layoutInCell="1" allowOverlap="1" wp14:anchorId="15222551" wp14:editId="02AA869F">
                  <wp:simplePos x="0" y="0"/>
                  <wp:positionH relativeFrom="column">
                    <wp:posOffset>-34539</wp:posOffset>
                  </wp:positionH>
                  <wp:positionV relativeFrom="paragraph">
                    <wp:posOffset>202647</wp:posOffset>
                  </wp:positionV>
                  <wp:extent cx="2456953" cy="1956021"/>
                  <wp:effectExtent l="0" t="0" r="635" b="6350"/>
                  <wp:wrapThrough wrapText="bothSides">
                    <wp:wrapPolygon edited="0">
                      <wp:start x="0" y="0"/>
                      <wp:lineTo x="0" y="21460"/>
                      <wp:lineTo x="21438" y="21460"/>
                      <wp:lineTo x="21438" y="0"/>
                      <wp:lineTo x="0" y="0"/>
                    </wp:wrapPolygon>
                  </wp:wrapThrough>
                  <wp:docPr id="1801" name="Gráfico 18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14:sizeRelH relativeFrom="margin">
                    <wp14:pctWidth>0</wp14:pctWidth>
                  </wp14:sizeRelH>
                  <wp14:sizeRelV relativeFrom="margin">
                    <wp14:pctHeight>0</wp14:pctHeight>
                  </wp14:sizeRelV>
                </wp:anchor>
              </w:drawing>
            </w:r>
            <w:r w:rsidRPr="004B6A59">
              <w:rPr>
                <w:lang w:val="es-GT"/>
              </w:rPr>
              <w:t xml:space="preserve">                 </w:t>
            </w:r>
            <w:r w:rsidRPr="004B6A59">
              <w:rPr>
                <w:sz w:val="20"/>
                <w:szCs w:val="20"/>
                <w:lang w:val="es-GT"/>
              </w:rPr>
              <w:t>Millones de quetzales</w:t>
            </w:r>
          </w:p>
          <w:p w14:paraId="08890974" w14:textId="77777777" w:rsidR="005016CC" w:rsidRPr="005016CC" w:rsidRDefault="005016CC" w:rsidP="00582CA7">
            <w:pPr>
              <w:spacing w:line="276" w:lineRule="auto"/>
              <w:ind w:right="34"/>
              <w:rPr>
                <w:b/>
                <w:bCs/>
                <w:lang w:val="es-GT"/>
              </w:rPr>
            </w:pPr>
          </w:p>
        </w:tc>
      </w:tr>
    </w:tbl>
    <w:p w14:paraId="4E408D4F" w14:textId="1D79F30E" w:rsidR="00564970" w:rsidRDefault="00564970" w:rsidP="00564970">
      <w:pPr>
        <w:jc w:val="both"/>
      </w:pPr>
    </w:p>
    <w:p w14:paraId="0F4E1553" w14:textId="77777777" w:rsidR="00486DFF" w:rsidRDefault="00486DFF" w:rsidP="00486DFF">
      <w:pPr>
        <w:jc w:val="both"/>
      </w:pPr>
      <w:r>
        <w:t>Dado que la emisión y colocación de Bonos del Tesoro será la principal fuente financiamiento del déficit fiscal, se prevé que al menos para el 2024, las condiciones financieras podrían continuar endurecidas derivado de las presiones inflacionarias observadas en 2022 y parte del 2023, la Reserva Federal de los Estados Unidos de América ha aumentado gradualmente la tasa de interés, siendo una estrategia para frenar la inflación con lo cual los bancos del sistema han seguido la misma estrategia, por ello las perspectivas de crecimiento económico están sesgadas a la baja para el presente ejercicio adicionalmente, continúa la incertidumbre mundial en torno a los eventos geopolíticos, principalmente en cuanto a los futuros eventos por la guerra entre Rusia y Ucrania, a más de un año de su inicio.</w:t>
      </w:r>
    </w:p>
    <w:p w14:paraId="4194D171" w14:textId="77777777" w:rsidR="00486DFF" w:rsidRDefault="00486DFF" w:rsidP="00486DFF">
      <w:pPr>
        <w:jc w:val="both"/>
      </w:pPr>
    </w:p>
    <w:p w14:paraId="0533B00D" w14:textId="77777777" w:rsidR="00486DFF" w:rsidRDefault="00486DFF" w:rsidP="00486DFF">
      <w:pPr>
        <w:jc w:val="both"/>
      </w:pPr>
      <w:r>
        <w:t>Por ello las condiciones financieras para el 2023-2024 para acceder a financiamiento podrían ser con mayores tasas de interés y plazos menores. Esta situación se replicaría ante la posibilidad de realizar colocaciones en el mercado internacional de capitales a través de Eurobonos, aunque tomando en consideración la calificación del país y la larga trayectoria de cumplimiento y de estabilidad macroeconómica, los costos financieros de estas operaciones estarían por debajo de las realizadas por otros países de la región.</w:t>
      </w:r>
    </w:p>
    <w:p w14:paraId="7431040A" w14:textId="77777777" w:rsidR="009B2B9B" w:rsidRDefault="009B2B9B" w:rsidP="00486DFF">
      <w:pPr>
        <w:jc w:val="both"/>
      </w:pPr>
      <w:r>
        <w:t>´</w:t>
      </w:r>
    </w:p>
    <w:p w14:paraId="2AF58797" w14:textId="2ABCC27E" w:rsidR="00486DFF" w:rsidRDefault="00486DFF" w:rsidP="00486DFF">
      <w:pPr>
        <w:jc w:val="both"/>
      </w:pPr>
      <w:r>
        <w:t>Durante 2023, con las limitadas colocaciones observadas a</w:t>
      </w:r>
      <w:r w:rsidR="009B2B9B">
        <w:t xml:space="preserve"> junio</w:t>
      </w:r>
      <w:r>
        <w:t xml:space="preserve">, se percibe un aumento importante en relación a la tasa promedio ponderada al ubicarla en 7.2%, mientras que el plazo promedio de colocación ha descendido a 14.1 años. En 2022 la tasa aumento respecto al año anterior y se ubicaba en 6.0%, mientras que el plazo promedio de colocación fue de 17.3 años. </w:t>
      </w:r>
    </w:p>
    <w:p w14:paraId="63BB2458" w14:textId="77777777" w:rsidR="00253F84" w:rsidRDefault="00253F84" w:rsidP="00486DFF">
      <w:pPr>
        <w:jc w:val="both"/>
      </w:pPr>
    </w:p>
    <w:p w14:paraId="285F6D6B" w14:textId="42236A8B" w:rsidR="00486DFF" w:rsidRDefault="00486DFF" w:rsidP="00486DFF">
      <w:pPr>
        <w:jc w:val="both"/>
      </w:pPr>
      <w:r>
        <w:t>Mientras que las condiciones ya no son comparables con las observadas en 2020 y 2021, en las cuales se logró una tasa promedio ponderada de 5.1% y un plazo de 16.3 y 16.8 años, respectivamente. Aunque es importante recordar que durante 2020 se observó una mejora sustancial en la tasa porque se incluye la colocación de Q10,645.0 millones realizada con el Banco de Guatemala en el contexto del COVID-19, por ello se negociaron condiciones más favorables a los intereses del Estado. Mientras que a lo largo de 2021 se logró mantener la tasa en el mismo nivel de 2020 derivado de un exceso de liquidez en el mercado financiero nacional y la necesidad de colocar esos recursos por parte de la banca.</w:t>
      </w:r>
    </w:p>
    <w:p w14:paraId="6FF5793C" w14:textId="77777777" w:rsidR="00486DFF" w:rsidRDefault="00486DFF" w:rsidP="00486DFF">
      <w:pPr>
        <w:jc w:val="both"/>
      </w:pPr>
    </w:p>
    <w:p w14:paraId="16A07DC3" w14:textId="45312307" w:rsidR="00464BB8" w:rsidRDefault="00B81581" w:rsidP="00486DFF">
      <w:pPr>
        <w:jc w:val="both"/>
      </w:pPr>
      <w:r w:rsidRPr="00B81581">
        <w:t xml:space="preserve">En lo que respecta a préstamos externos, para el escenario de mediano plazo es importante su aprobación en el Congreso de la República, para 2024 se tiene </w:t>
      </w:r>
      <w:r w:rsidR="00464BB8">
        <w:t>Q</w:t>
      </w:r>
      <w:r w:rsidRPr="00B81581">
        <w:t>3</w:t>
      </w:r>
      <w:r w:rsidR="00464BB8">
        <w:t>,084</w:t>
      </w:r>
      <w:r w:rsidRPr="00B81581">
        <w:t>.</w:t>
      </w:r>
      <w:r w:rsidR="00464BB8">
        <w:t>8</w:t>
      </w:r>
      <w:r w:rsidRPr="00B81581">
        <w:t xml:space="preserve"> millones de préstamos</w:t>
      </w:r>
      <w:r w:rsidR="00464BB8">
        <w:t>, siendo el Banco Centroamericano de Integración Económica el organismo que concentra la mayor cantidad de préstamos por Q1,466.9 millones, seguidamente se encuentra el Banco Interamericano de Desarrollo (BID)</w:t>
      </w:r>
      <w:r w:rsidR="0089475C">
        <w:t xml:space="preserve"> con Q1,192.7 millones. </w:t>
      </w:r>
    </w:p>
    <w:p w14:paraId="09198B8E" w14:textId="25306D00" w:rsidR="0089475C" w:rsidRDefault="0089475C" w:rsidP="00486DFF">
      <w:pPr>
        <w:jc w:val="both"/>
      </w:pPr>
    </w:p>
    <w:p w14:paraId="4DD2620E" w14:textId="3F37AA61" w:rsidR="0089475C" w:rsidRDefault="0089475C" w:rsidP="00486DFF">
      <w:pPr>
        <w:jc w:val="both"/>
      </w:pPr>
      <w:r>
        <w:t xml:space="preserve">Para 2025, se podrían tener desembolsos de préstamos por Q1,963.5 millones, </w:t>
      </w:r>
      <w:r w:rsidR="00EF1E0E">
        <w:t>siendo el Banco Interamericano de Desarrollo (BID) el organismo con la mayor cantidad de desembolsos con Q1,016.0 millones, para 2026 se podrían tener desembolsos por Q1,247.3 millones, para 2027 los desembolsos podrían ascender a Q1,188.3 millones y para 2028 podrían ser de Q724.8 millones.</w:t>
      </w:r>
    </w:p>
    <w:p w14:paraId="15E4EF9E" w14:textId="259C5BF3" w:rsidR="00827ED5" w:rsidRDefault="00827ED5" w:rsidP="00486DFF">
      <w:pPr>
        <w:jc w:val="both"/>
      </w:pPr>
    </w:p>
    <w:p w14:paraId="7A8050F1" w14:textId="62FB3FE0" w:rsidR="00E01410" w:rsidRDefault="00E01410" w:rsidP="00486DFF">
      <w:pPr>
        <w:jc w:val="both"/>
      </w:pPr>
    </w:p>
    <w:p w14:paraId="5BCE6478" w14:textId="6B9EC354" w:rsidR="00E01410" w:rsidRDefault="00E01410" w:rsidP="00486DFF">
      <w:pPr>
        <w:jc w:val="both"/>
      </w:pPr>
    </w:p>
    <w:p w14:paraId="44B85571" w14:textId="13D8088B" w:rsidR="00E01410" w:rsidRDefault="00E01410" w:rsidP="00486DFF">
      <w:pPr>
        <w:jc w:val="both"/>
      </w:pPr>
    </w:p>
    <w:p w14:paraId="61CC664E" w14:textId="436C894F" w:rsidR="00E01410" w:rsidRDefault="00E01410" w:rsidP="00486DFF">
      <w:pPr>
        <w:jc w:val="both"/>
      </w:pPr>
    </w:p>
    <w:p w14:paraId="35DC6162" w14:textId="00DD10C1" w:rsidR="00E01410" w:rsidRDefault="00E01410" w:rsidP="00486DFF">
      <w:pPr>
        <w:jc w:val="both"/>
      </w:pPr>
    </w:p>
    <w:p w14:paraId="3BD87C1A" w14:textId="4E8A7FB3" w:rsidR="00E01410" w:rsidRDefault="00E01410" w:rsidP="00486DFF">
      <w:pPr>
        <w:jc w:val="both"/>
      </w:pPr>
    </w:p>
    <w:p w14:paraId="3251D1BE" w14:textId="4A999001" w:rsidR="00E01410" w:rsidRDefault="00E01410" w:rsidP="00486DFF">
      <w:pPr>
        <w:jc w:val="both"/>
      </w:pPr>
    </w:p>
    <w:p w14:paraId="00365D3E" w14:textId="0E9FFE49" w:rsidR="00E01410" w:rsidRDefault="00E01410" w:rsidP="00486DFF">
      <w:pPr>
        <w:jc w:val="both"/>
      </w:pPr>
    </w:p>
    <w:p w14:paraId="2AEAFE87" w14:textId="0C6DDD24" w:rsidR="00E01410" w:rsidRDefault="00E01410" w:rsidP="00486DFF">
      <w:pPr>
        <w:jc w:val="both"/>
      </w:pPr>
    </w:p>
    <w:p w14:paraId="6DC973FC" w14:textId="0AB22542" w:rsidR="00E01410" w:rsidRDefault="00E01410" w:rsidP="00486DFF">
      <w:pPr>
        <w:jc w:val="both"/>
      </w:pPr>
    </w:p>
    <w:p w14:paraId="09C14C20" w14:textId="00BA2A5F" w:rsidR="00E01410" w:rsidRDefault="00E01410" w:rsidP="00486DFF">
      <w:pPr>
        <w:jc w:val="both"/>
      </w:pPr>
    </w:p>
    <w:p w14:paraId="00F81F42" w14:textId="77777777" w:rsidR="00E01410" w:rsidRDefault="00E01410" w:rsidP="00486DFF">
      <w:pPr>
        <w:jc w:val="both"/>
      </w:pPr>
    </w:p>
    <w:p w14:paraId="357D85C1" w14:textId="14D1C98D" w:rsidR="00486DFF" w:rsidRPr="004B6A59" w:rsidRDefault="0071370B" w:rsidP="0071370B">
      <w:pPr>
        <w:pStyle w:val="Descripcin"/>
        <w:keepNext/>
        <w:spacing w:after="0"/>
        <w:jc w:val="center"/>
        <w:rPr>
          <w:b/>
          <w:bCs/>
          <w:i w:val="0"/>
          <w:iCs w:val="0"/>
          <w:color w:val="auto"/>
          <w:sz w:val="24"/>
          <w:szCs w:val="24"/>
        </w:rPr>
      </w:pPr>
      <w:bookmarkStart w:id="270" w:name="_Toc143871239"/>
      <w:r w:rsidRPr="004B6A59">
        <w:rPr>
          <w:b/>
          <w:bCs/>
          <w:i w:val="0"/>
          <w:iCs w:val="0"/>
          <w:color w:val="auto"/>
          <w:sz w:val="24"/>
          <w:szCs w:val="24"/>
        </w:rPr>
        <w:t xml:space="preserve">Tabla </w:t>
      </w:r>
      <w:r w:rsidRPr="004B6A59">
        <w:rPr>
          <w:b/>
          <w:bCs/>
          <w:i w:val="0"/>
          <w:iCs w:val="0"/>
          <w:color w:val="auto"/>
          <w:sz w:val="24"/>
          <w:szCs w:val="24"/>
        </w:rPr>
        <w:fldChar w:fldCharType="begin"/>
      </w:r>
      <w:r w:rsidRPr="004B6A59">
        <w:rPr>
          <w:b/>
          <w:bCs/>
          <w:i w:val="0"/>
          <w:iCs w:val="0"/>
          <w:color w:val="auto"/>
          <w:sz w:val="24"/>
          <w:szCs w:val="24"/>
        </w:rPr>
        <w:instrText xml:space="preserve"> SEQ Tabla \* ARABIC </w:instrText>
      </w:r>
      <w:r w:rsidRPr="004B6A59">
        <w:rPr>
          <w:b/>
          <w:bCs/>
          <w:i w:val="0"/>
          <w:iCs w:val="0"/>
          <w:color w:val="auto"/>
          <w:sz w:val="24"/>
          <w:szCs w:val="24"/>
        </w:rPr>
        <w:fldChar w:fldCharType="separate"/>
      </w:r>
      <w:r w:rsidR="006622B2">
        <w:rPr>
          <w:b/>
          <w:bCs/>
          <w:i w:val="0"/>
          <w:iCs w:val="0"/>
          <w:noProof/>
          <w:color w:val="auto"/>
          <w:sz w:val="24"/>
          <w:szCs w:val="24"/>
        </w:rPr>
        <w:t>32</w:t>
      </w:r>
      <w:r w:rsidRPr="004B6A59">
        <w:rPr>
          <w:b/>
          <w:bCs/>
          <w:i w:val="0"/>
          <w:iCs w:val="0"/>
          <w:color w:val="auto"/>
          <w:sz w:val="24"/>
          <w:szCs w:val="24"/>
        </w:rPr>
        <w:fldChar w:fldCharType="end"/>
      </w:r>
      <w:r w:rsidRPr="004B6A59">
        <w:rPr>
          <w:b/>
          <w:bCs/>
          <w:i w:val="0"/>
          <w:iCs w:val="0"/>
          <w:color w:val="auto"/>
          <w:sz w:val="24"/>
          <w:szCs w:val="24"/>
        </w:rPr>
        <w:t xml:space="preserve">. </w:t>
      </w:r>
      <w:r w:rsidR="00486DFF" w:rsidRPr="004B6A59">
        <w:rPr>
          <w:b/>
          <w:bCs/>
          <w:i w:val="0"/>
          <w:iCs w:val="0"/>
          <w:color w:val="auto"/>
          <w:sz w:val="24"/>
          <w:szCs w:val="24"/>
        </w:rPr>
        <w:t xml:space="preserve">Proyección de </w:t>
      </w:r>
      <w:r w:rsidR="00F93305">
        <w:rPr>
          <w:b/>
          <w:bCs/>
          <w:i w:val="0"/>
          <w:iCs w:val="0"/>
          <w:color w:val="auto"/>
          <w:sz w:val="24"/>
          <w:szCs w:val="24"/>
        </w:rPr>
        <w:t>d</w:t>
      </w:r>
      <w:r w:rsidR="00486DFF" w:rsidRPr="004B6A59">
        <w:rPr>
          <w:b/>
          <w:bCs/>
          <w:i w:val="0"/>
          <w:iCs w:val="0"/>
          <w:color w:val="auto"/>
          <w:sz w:val="24"/>
          <w:szCs w:val="24"/>
        </w:rPr>
        <w:t xml:space="preserve">esembolsos de </w:t>
      </w:r>
      <w:r w:rsidR="00F93305">
        <w:rPr>
          <w:b/>
          <w:bCs/>
          <w:i w:val="0"/>
          <w:iCs w:val="0"/>
          <w:color w:val="auto"/>
          <w:sz w:val="24"/>
          <w:szCs w:val="24"/>
        </w:rPr>
        <w:t>p</w:t>
      </w:r>
      <w:r w:rsidR="00486DFF" w:rsidRPr="004B6A59">
        <w:rPr>
          <w:b/>
          <w:bCs/>
          <w:i w:val="0"/>
          <w:iCs w:val="0"/>
          <w:color w:val="auto"/>
          <w:sz w:val="24"/>
          <w:szCs w:val="24"/>
        </w:rPr>
        <w:t>réstamos</w:t>
      </w:r>
      <w:r w:rsidRPr="004B6A59">
        <w:rPr>
          <w:b/>
          <w:bCs/>
          <w:i w:val="0"/>
          <w:iCs w:val="0"/>
          <w:color w:val="auto"/>
          <w:sz w:val="24"/>
          <w:szCs w:val="24"/>
        </w:rPr>
        <w:t xml:space="preserve"> </w:t>
      </w:r>
      <w:r w:rsidR="00F93305">
        <w:rPr>
          <w:b/>
          <w:bCs/>
          <w:i w:val="0"/>
          <w:iCs w:val="0"/>
          <w:color w:val="auto"/>
          <w:sz w:val="24"/>
          <w:szCs w:val="24"/>
        </w:rPr>
        <w:t>e</w:t>
      </w:r>
      <w:r w:rsidR="00486DFF" w:rsidRPr="004B6A59">
        <w:rPr>
          <w:b/>
          <w:bCs/>
          <w:i w:val="0"/>
          <w:iCs w:val="0"/>
          <w:color w:val="auto"/>
          <w:sz w:val="24"/>
          <w:szCs w:val="24"/>
        </w:rPr>
        <w:t>xternos 2024-2028</w:t>
      </w:r>
      <w:bookmarkEnd w:id="270"/>
    </w:p>
    <w:p w14:paraId="444AD4C9" w14:textId="348FA678" w:rsidR="00486DFF" w:rsidRPr="00AF239C" w:rsidRDefault="00486DFF" w:rsidP="00486DFF">
      <w:pPr>
        <w:jc w:val="center"/>
        <w:rPr>
          <w:sz w:val="22"/>
          <w:szCs w:val="22"/>
        </w:rPr>
      </w:pPr>
      <w:r w:rsidRPr="00AF239C">
        <w:rPr>
          <w:sz w:val="22"/>
          <w:szCs w:val="22"/>
        </w:rPr>
        <w:t>Cifras en millones de dólares</w:t>
      </w:r>
    </w:p>
    <w:p w14:paraId="05F216D9" w14:textId="4236F470" w:rsidR="0011182E" w:rsidRDefault="0011182E" w:rsidP="00486DFF">
      <w:pPr>
        <w:jc w:val="center"/>
      </w:pPr>
      <w:r w:rsidRPr="0011182E">
        <w:rPr>
          <w:noProof/>
        </w:rPr>
        <w:drawing>
          <wp:inline distT="0" distB="0" distL="0" distR="0" wp14:anchorId="52D052CA" wp14:editId="38763F89">
            <wp:extent cx="5332475" cy="4301337"/>
            <wp:effectExtent l="0" t="0" r="1905" b="4445"/>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353389" cy="4318207"/>
                    </a:xfrm>
                    <a:prstGeom prst="rect">
                      <a:avLst/>
                    </a:prstGeom>
                    <a:noFill/>
                    <a:ln>
                      <a:noFill/>
                    </a:ln>
                  </pic:spPr>
                </pic:pic>
              </a:graphicData>
            </a:graphic>
          </wp:inline>
        </w:drawing>
      </w:r>
    </w:p>
    <w:p w14:paraId="6FC00AB7" w14:textId="3C58FA2D" w:rsidR="00042B9E" w:rsidRDefault="00486DFF" w:rsidP="00486DFF">
      <w:pPr>
        <w:ind w:firstLine="708"/>
        <w:jc w:val="both"/>
        <w:rPr>
          <w:sz w:val="18"/>
          <w:szCs w:val="28"/>
        </w:rPr>
      </w:pPr>
      <w:r w:rsidRPr="00486DFF">
        <w:rPr>
          <w:sz w:val="18"/>
          <w:szCs w:val="28"/>
        </w:rPr>
        <w:t xml:space="preserve">Fuente: </w:t>
      </w:r>
      <w:r w:rsidR="0011182E">
        <w:rPr>
          <w:sz w:val="18"/>
          <w:szCs w:val="28"/>
        </w:rPr>
        <w:t>SICOIN</w:t>
      </w:r>
    </w:p>
    <w:p w14:paraId="44E2957E" w14:textId="41AD67E7" w:rsidR="00486DFF" w:rsidRDefault="00486DFF" w:rsidP="00486DFF">
      <w:pPr>
        <w:rPr>
          <w:sz w:val="28"/>
          <w:szCs w:val="28"/>
        </w:rPr>
      </w:pPr>
    </w:p>
    <w:p w14:paraId="7AC65079" w14:textId="77777777" w:rsidR="00BA2924" w:rsidRDefault="00BA2924" w:rsidP="0049039C">
      <w:pPr>
        <w:pStyle w:val="Prrafodelista"/>
        <w:numPr>
          <w:ilvl w:val="1"/>
          <w:numId w:val="3"/>
        </w:numPr>
        <w:jc w:val="both"/>
        <w:outlineLvl w:val="1"/>
        <w:rPr>
          <w:b/>
          <w:bCs/>
        </w:rPr>
      </w:pPr>
      <w:bookmarkStart w:id="271" w:name="_Toc143865867"/>
      <w:r w:rsidRPr="00987D1F">
        <w:rPr>
          <w:b/>
          <w:bCs/>
        </w:rPr>
        <w:t xml:space="preserve">Estrategia de </w:t>
      </w:r>
      <w:r>
        <w:rPr>
          <w:b/>
          <w:bCs/>
        </w:rPr>
        <w:t>i</w:t>
      </w:r>
      <w:r w:rsidRPr="00987D1F">
        <w:rPr>
          <w:b/>
          <w:bCs/>
        </w:rPr>
        <w:t xml:space="preserve">nversión de </w:t>
      </w:r>
      <w:r>
        <w:rPr>
          <w:b/>
          <w:bCs/>
        </w:rPr>
        <w:t>m</w:t>
      </w:r>
      <w:r w:rsidRPr="00987D1F">
        <w:rPr>
          <w:b/>
          <w:bCs/>
        </w:rPr>
        <w:t xml:space="preserve">ediano </w:t>
      </w:r>
      <w:r>
        <w:rPr>
          <w:b/>
          <w:bCs/>
        </w:rPr>
        <w:t>p</w:t>
      </w:r>
      <w:r w:rsidRPr="00987D1F">
        <w:rPr>
          <w:b/>
          <w:bCs/>
        </w:rPr>
        <w:t>lazo</w:t>
      </w:r>
      <w:r>
        <w:rPr>
          <w:b/>
          <w:bCs/>
        </w:rPr>
        <w:t xml:space="preserve"> 2024-2028</w:t>
      </w:r>
      <w:bookmarkEnd w:id="271"/>
    </w:p>
    <w:p w14:paraId="250A389B" w14:textId="77777777" w:rsidR="00BA2924" w:rsidRDefault="00BA2924" w:rsidP="00BA2924">
      <w:pPr>
        <w:jc w:val="both"/>
        <w:rPr>
          <w:b/>
          <w:bCs/>
        </w:rPr>
      </w:pPr>
    </w:p>
    <w:p w14:paraId="142A5586" w14:textId="77777777" w:rsidR="00BA2924" w:rsidRDefault="00BA2924" w:rsidP="00BA2924">
      <w:pPr>
        <w:jc w:val="both"/>
      </w:pPr>
      <w:r w:rsidRPr="00987D1F">
        <w:t xml:space="preserve">De acuerdo al Programa de Inversión Pública (PIP) se cuenta con una cartera completa para 2024-2028 e Inversión Social 2024 </w:t>
      </w:r>
      <w:r>
        <w:t xml:space="preserve">el cual se encuentra basado en las orientaciones emanadas por la Secretaría de Planificación y Programación de la Presidencia (Segeplan) y el Ministerio de Finanzas Públicas </w:t>
      </w:r>
      <w:r w:rsidRPr="00C57ECF">
        <w:t>para la formulación, priorización, evaluación y selección de proyectos de inversión y programas a ser ejecutados con recursos internos y cooperación externa</w:t>
      </w:r>
      <w:r>
        <w:t>.</w:t>
      </w:r>
    </w:p>
    <w:p w14:paraId="371FA689" w14:textId="77777777" w:rsidR="00BA2924" w:rsidRDefault="00BA2924" w:rsidP="00BA2924">
      <w:pPr>
        <w:jc w:val="both"/>
      </w:pPr>
    </w:p>
    <w:p w14:paraId="544499BB" w14:textId="77777777" w:rsidR="00BA2924" w:rsidRDefault="00BA2924" w:rsidP="00BA2924">
      <w:pPr>
        <w:jc w:val="both"/>
      </w:pPr>
      <w:r w:rsidRPr="00C57ECF">
        <w:t>Este programa contribuirá a la consecución de la visión estratégica del gobierno, el cual, desde su propuesta en el Plan Nacional de Innovación y Desarrollo, identificó la inversión en infraestructura estratégica como punto clave para impulsar el desarrollo socioeconómico de Guatemala.</w:t>
      </w:r>
      <w:r>
        <w:t xml:space="preserve"> </w:t>
      </w:r>
      <w:r w:rsidRPr="00C57ECF">
        <w:t>Adicionalmente responde también a los puntos resolutivos emanados del Consejo Nacional de Desarrollo Urbano y Rural (CONADUR), con el que se aprueban las diez prioridades nacionales del desarrollo y sus dieciséis metas estratégicas.</w:t>
      </w:r>
    </w:p>
    <w:p w14:paraId="66CA6B1B" w14:textId="77777777" w:rsidR="00BA2924" w:rsidRDefault="00BA2924" w:rsidP="00BA2924">
      <w:pPr>
        <w:jc w:val="both"/>
        <w:rPr>
          <w:b/>
          <w:bCs/>
        </w:rPr>
      </w:pPr>
    </w:p>
    <w:p w14:paraId="7E7BD248" w14:textId="77777777" w:rsidR="00BA2924" w:rsidRDefault="00BA2924" w:rsidP="00BA2924">
      <w:pPr>
        <w:jc w:val="both"/>
      </w:pPr>
      <w:r w:rsidRPr="00C57ECF">
        <w:t xml:space="preserve">El PIP </w:t>
      </w:r>
      <w:r>
        <w:t>e</w:t>
      </w:r>
      <w:r w:rsidRPr="00C57ECF">
        <w:t>stá integrado por un conjunto de proyectos nuevos y de arrastre formulados y evaluados según las normas del SNIP. Asimismo, son priorizados de acuerdo con los lineamientos de la PGG, el Plan Nacional de Desarrollo (PND) y las Prioridades Nacionales de Desarrollo.</w:t>
      </w:r>
    </w:p>
    <w:p w14:paraId="6F3F0E70" w14:textId="77777777" w:rsidR="00BA2924" w:rsidRDefault="00BA2924" w:rsidP="00BA2924">
      <w:pPr>
        <w:jc w:val="both"/>
      </w:pPr>
    </w:p>
    <w:p w14:paraId="6119C94F" w14:textId="77777777" w:rsidR="00BA2924" w:rsidRDefault="00BA2924" w:rsidP="00BA2924">
      <w:pPr>
        <w:jc w:val="both"/>
      </w:pPr>
      <w:r w:rsidRPr="00DF5755">
        <w:t>La importancia de la formulación del PIP se destaca porque coadyuva a los procesos siguientes:</w:t>
      </w:r>
    </w:p>
    <w:p w14:paraId="354CC7D2" w14:textId="77777777" w:rsidR="00BA2924" w:rsidRDefault="00BA2924" w:rsidP="00BA2924">
      <w:pPr>
        <w:jc w:val="both"/>
      </w:pPr>
    </w:p>
    <w:p w14:paraId="5D9AA13F" w14:textId="77777777" w:rsidR="00BA2924" w:rsidRDefault="00BA2924" w:rsidP="00BA2924">
      <w:pPr>
        <w:jc w:val="both"/>
      </w:pPr>
      <w:r>
        <w:rPr>
          <w:noProof/>
        </w:rPr>
        <w:drawing>
          <wp:inline distT="0" distB="0" distL="0" distR="0" wp14:anchorId="0B549614" wp14:editId="09F936AF">
            <wp:extent cx="5618073" cy="4740250"/>
            <wp:effectExtent l="0" t="0" r="1905" b="0"/>
            <wp:docPr id="123" name="Diagrama 1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1" r:lo="rId172" r:qs="rId173" r:cs="rId174"/>
              </a:graphicData>
            </a:graphic>
          </wp:inline>
        </w:drawing>
      </w:r>
    </w:p>
    <w:p w14:paraId="1028E58D" w14:textId="1E203B44" w:rsidR="00BA2924" w:rsidRDefault="00BA2924" w:rsidP="00BA2924">
      <w:pPr>
        <w:jc w:val="both"/>
      </w:pPr>
      <w:r w:rsidRPr="00331212">
        <w:t>A continuación, se presenta de manera consolidada la cartera de proyectos por tipo de entidad, tipo de financiamiento, situación presupuestaria y con opinión técnica aprobado y proyectos con requisitos pendientes de cumplir, correspondiente a entidades de la Administración Central, descentralizadas, autónomas, entre otras, y Consejos Departamentales de Desarrollo</w:t>
      </w:r>
      <w:r w:rsidR="00FF5FD1">
        <w:t>.</w:t>
      </w:r>
    </w:p>
    <w:p w14:paraId="0BFB08C6" w14:textId="77777777" w:rsidR="00BA2924" w:rsidRDefault="00BA2924" w:rsidP="00BA2924">
      <w:pPr>
        <w:jc w:val="both"/>
      </w:pPr>
    </w:p>
    <w:p w14:paraId="388C5066" w14:textId="77777777" w:rsidR="00BA2924" w:rsidRPr="00C57ECF" w:rsidRDefault="00BA2924" w:rsidP="00BA2924">
      <w:pPr>
        <w:jc w:val="both"/>
      </w:pPr>
      <w:r w:rsidRPr="00331212">
        <w:t>A nivel nacional, la distribución de la inversión pública programada para el ejercicio fiscal 2024, destinada para infraestructura física por sector, se presenta de la manera siguiente:</w:t>
      </w:r>
    </w:p>
    <w:p w14:paraId="79F522EE" w14:textId="38B385A8" w:rsidR="00BA2924" w:rsidRDefault="00BA2924" w:rsidP="00BA2924">
      <w:pPr>
        <w:jc w:val="both"/>
        <w:rPr>
          <w:b/>
          <w:bCs/>
        </w:rPr>
      </w:pPr>
    </w:p>
    <w:p w14:paraId="5A1B4CB4" w14:textId="6ABE7CBE" w:rsidR="00827ED5" w:rsidRDefault="00827ED5" w:rsidP="00BA2924">
      <w:pPr>
        <w:jc w:val="both"/>
        <w:rPr>
          <w:b/>
          <w:bCs/>
        </w:rPr>
      </w:pPr>
    </w:p>
    <w:p w14:paraId="28C46AC7" w14:textId="12412CDC" w:rsidR="00827ED5" w:rsidRDefault="00827ED5" w:rsidP="00BA2924">
      <w:pPr>
        <w:jc w:val="both"/>
        <w:rPr>
          <w:b/>
          <w:bCs/>
        </w:rPr>
      </w:pPr>
    </w:p>
    <w:p w14:paraId="6962C238" w14:textId="0CC1D76E" w:rsidR="00827ED5" w:rsidRDefault="00827ED5" w:rsidP="00BA2924">
      <w:pPr>
        <w:jc w:val="both"/>
        <w:rPr>
          <w:b/>
          <w:bCs/>
        </w:rPr>
      </w:pPr>
    </w:p>
    <w:p w14:paraId="03725ED2" w14:textId="55AC592F" w:rsidR="00827ED5" w:rsidRDefault="00827ED5" w:rsidP="00BA2924">
      <w:pPr>
        <w:jc w:val="both"/>
        <w:rPr>
          <w:b/>
          <w:bCs/>
        </w:rPr>
      </w:pPr>
    </w:p>
    <w:p w14:paraId="4FE63112" w14:textId="77777777" w:rsidR="00827ED5" w:rsidRDefault="00827ED5" w:rsidP="00BA2924">
      <w:pPr>
        <w:jc w:val="both"/>
        <w:rPr>
          <w:b/>
          <w:bCs/>
        </w:rPr>
      </w:pPr>
    </w:p>
    <w:p w14:paraId="4C4A0869" w14:textId="08F6F91F" w:rsidR="00BA2924" w:rsidRPr="00F62B40" w:rsidRDefault="00F62B40" w:rsidP="00F62B40">
      <w:pPr>
        <w:pStyle w:val="Descripcin"/>
        <w:keepNext/>
        <w:spacing w:after="0"/>
        <w:jc w:val="center"/>
        <w:rPr>
          <w:b/>
          <w:bCs/>
          <w:i w:val="0"/>
          <w:iCs w:val="0"/>
          <w:sz w:val="24"/>
          <w:szCs w:val="24"/>
        </w:rPr>
      </w:pPr>
      <w:bookmarkStart w:id="272" w:name="_Toc143871240"/>
      <w:r w:rsidRPr="00F62B40">
        <w:rPr>
          <w:b/>
          <w:bCs/>
          <w:i w:val="0"/>
          <w:iCs w:val="0"/>
          <w:color w:val="auto"/>
          <w:sz w:val="24"/>
          <w:szCs w:val="24"/>
        </w:rPr>
        <w:t xml:space="preserve">Tabla </w:t>
      </w:r>
      <w:r w:rsidRPr="00F62B40">
        <w:rPr>
          <w:b/>
          <w:bCs/>
          <w:i w:val="0"/>
          <w:iCs w:val="0"/>
          <w:color w:val="auto"/>
          <w:sz w:val="24"/>
          <w:szCs w:val="24"/>
        </w:rPr>
        <w:fldChar w:fldCharType="begin"/>
      </w:r>
      <w:r w:rsidRPr="00F62B40">
        <w:rPr>
          <w:b/>
          <w:bCs/>
          <w:i w:val="0"/>
          <w:iCs w:val="0"/>
          <w:color w:val="auto"/>
          <w:sz w:val="24"/>
          <w:szCs w:val="24"/>
        </w:rPr>
        <w:instrText xml:space="preserve"> SEQ Tabla \* ARABIC </w:instrText>
      </w:r>
      <w:r w:rsidRPr="00F62B40">
        <w:rPr>
          <w:b/>
          <w:bCs/>
          <w:i w:val="0"/>
          <w:iCs w:val="0"/>
          <w:color w:val="auto"/>
          <w:sz w:val="24"/>
          <w:szCs w:val="24"/>
        </w:rPr>
        <w:fldChar w:fldCharType="separate"/>
      </w:r>
      <w:r w:rsidR="006622B2">
        <w:rPr>
          <w:b/>
          <w:bCs/>
          <w:i w:val="0"/>
          <w:iCs w:val="0"/>
          <w:noProof/>
          <w:color w:val="auto"/>
          <w:sz w:val="24"/>
          <w:szCs w:val="24"/>
        </w:rPr>
        <w:t>33</w:t>
      </w:r>
      <w:r w:rsidRPr="00F62B40">
        <w:rPr>
          <w:b/>
          <w:bCs/>
          <w:i w:val="0"/>
          <w:iCs w:val="0"/>
          <w:color w:val="auto"/>
          <w:sz w:val="24"/>
          <w:szCs w:val="24"/>
        </w:rPr>
        <w:fldChar w:fldCharType="end"/>
      </w:r>
      <w:r w:rsidRPr="00F62B40">
        <w:rPr>
          <w:b/>
          <w:bCs/>
          <w:i w:val="0"/>
          <w:iCs w:val="0"/>
          <w:color w:val="auto"/>
          <w:sz w:val="24"/>
          <w:szCs w:val="24"/>
        </w:rPr>
        <w:t xml:space="preserve">.  </w:t>
      </w:r>
      <w:r w:rsidR="00BA2924" w:rsidRPr="00F62B40">
        <w:rPr>
          <w:b/>
          <w:bCs/>
          <w:i w:val="0"/>
          <w:iCs w:val="0"/>
          <w:color w:val="auto"/>
          <w:sz w:val="24"/>
          <w:szCs w:val="24"/>
        </w:rPr>
        <w:t>Proyectos nuevos y de arrastre para el ejercicio fiscal 2024 por sector</w:t>
      </w:r>
      <w:bookmarkEnd w:id="272"/>
    </w:p>
    <w:p w14:paraId="4F31790A" w14:textId="52875278" w:rsidR="00BA2924" w:rsidRPr="006A453E" w:rsidRDefault="00BA2924" w:rsidP="00BA2924">
      <w:pPr>
        <w:jc w:val="center"/>
        <w:rPr>
          <w:sz w:val="22"/>
          <w:szCs w:val="22"/>
        </w:rPr>
      </w:pPr>
      <w:r w:rsidRPr="006A453E">
        <w:rPr>
          <w:sz w:val="22"/>
          <w:szCs w:val="22"/>
        </w:rPr>
        <w:t>(</w:t>
      </w:r>
      <w:r w:rsidR="00AF239C">
        <w:rPr>
          <w:sz w:val="22"/>
          <w:szCs w:val="22"/>
        </w:rPr>
        <w:t>N</w:t>
      </w:r>
      <w:r w:rsidRPr="006A453E">
        <w:rPr>
          <w:sz w:val="22"/>
          <w:szCs w:val="22"/>
        </w:rPr>
        <w:t>úmero de proyectos</w:t>
      </w:r>
      <w:r w:rsidR="00AF239C">
        <w:rPr>
          <w:sz w:val="22"/>
          <w:szCs w:val="22"/>
        </w:rPr>
        <w:t>,</w:t>
      </w:r>
      <w:r w:rsidRPr="006A453E">
        <w:rPr>
          <w:sz w:val="22"/>
          <w:szCs w:val="22"/>
        </w:rPr>
        <w:t xml:space="preserve"> </w:t>
      </w:r>
      <w:r w:rsidR="00AF239C">
        <w:rPr>
          <w:sz w:val="22"/>
          <w:szCs w:val="22"/>
        </w:rPr>
        <w:t xml:space="preserve">millones de </w:t>
      </w:r>
      <w:r w:rsidR="00AF239C" w:rsidRPr="006A453E">
        <w:rPr>
          <w:sz w:val="22"/>
          <w:szCs w:val="22"/>
        </w:rPr>
        <w:t xml:space="preserve">quetzales </w:t>
      </w:r>
      <w:r w:rsidRPr="006A453E">
        <w:rPr>
          <w:sz w:val="22"/>
          <w:szCs w:val="22"/>
        </w:rPr>
        <w:t>y porcentajes)</w:t>
      </w:r>
    </w:p>
    <w:tbl>
      <w:tblPr>
        <w:tblW w:w="8779" w:type="dxa"/>
        <w:tblCellMar>
          <w:left w:w="70" w:type="dxa"/>
          <w:right w:w="70" w:type="dxa"/>
        </w:tblCellMar>
        <w:tblLook w:val="04A0" w:firstRow="1" w:lastRow="0" w:firstColumn="1" w:lastColumn="0" w:noHBand="0" w:noVBand="1"/>
      </w:tblPr>
      <w:tblGrid>
        <w:gridCol w:w="1975"/>
        <w:gridCol w:w="1417"/>
        <w:gridCol w:w="1418"/>
        <w:gridCol w:w="1326"/>
        <w:gridCol w:w="1225"/>
        <w:gridCol w:w="1418"/>
      </w:tblGrid>
      <w:tr w:rsidR="00BA2924" w:rsidRPr="00331212" w14:paraId="1ED5B23B" w14:textId="77777777" w:rsidTr="00685573">
        <w:trPr>
          <w:trHeight w:val="585"/>
        </w:trPr>
        <w:tc>
          <w:tcPr>
            <w:tcW w:w="1975" w:type="dxa"/>
            <w:tcBorders>
              <w:top w:val="single" w:sz="8" w:space="0" w:color="auto"/>
              <w:left w:val="single" w:sz="8" w:space="0" w:color="auto"/>
              <w:bottom w:val="single" w:sz="8" w:space="0" w:color="auto"/>
              <w:right w:val="single" w:sz="4" w:space="0" w:color="auto"/>
            </w:tcBorders>
            <w:shd w:val="clear" w:color="000000" w:fill="2F75B5"/>
            <w:vAlign w:val="center"/>
            <w:hideMark/>
          </w:tcPr>
          <w:p w14:paraId="37FD46C1" w14:textId="77777777" w:rsidR="00BA2924" w:rsidRPr="00BA2924" w:rsidRDefault="00BA2924" w:rsidP="00685573">
            <w:pPr>
              <w:jc w:val="center"/>
              <w:rPr>
                <w:b/>
                <w:bCs/>
                <w:color w:val="FFFFFF"/>
                <w:sz w:val="18"/>
                <w:szCs w:val="18"/>
              </w:rPr>
            </w:pPr>
            <w:r w:rsidRPr="00BA2924">
              <w:rPr>
                <w:b/>
                <w:bCs/>
                <w:color w:val="FFFFFF"/>
                <w:sz w:val="18"/>
                <w:szCs w:val="18"/>
              </w:rPr>
              <w:t>Sector</w:t>
            </w:r>
          </w:p>
        </w:tc>
        <w:tc>
          <w:tcPr>
            <w:tcW w:w="1417" w:type="dxa"/>
            <w:tcBorders>
              <w:top w:val="single" w:sz="8" w:space="0" w:color="auto"/>
              <w:left w:val="nil"/>
              <w:bottom w:val="single" w:sz="8" w:space="0" w:color="auto"/>
              <w:right w:val="single" w:sz="4" w:space="0" w:color="auto"/>
            </w:tcBorders>
            <w:shd w:val="clear" w:color="000000" w:fill="2F75B5"/>
            <w:vAlign w:val="center"/>
            <w:hideMark/>
          </w:tcPr>
          <w:p w14:paraId="0A9036F4" w14:textId="77777777" w:rsidR="00BA2924" w:rsidRPr="00BA2924" w:rsidRDefault="00BA2924" w:rsidP="00685573">
            <w:pPr>
              <w:jc w:val="center"/>
              <w:rPr>
                <w:b/>
                <w:bCs/>
                <w:color w:val="FFFFFF"/>
                <w:sz w:val="18"/>
                <w:szCs w:val="18"/>
              </w:rPr>
            </w:pPr>
            <w:r w:rsidRPr="00BA2924">
              <w:rPr>
                <w:b/>
                <w:bCs/>
                <w:color w:val="FFFFFF"/>
                <w:sz w:val="18"/>
                <w:szCs w:val="18"/>
              </w:rPr>
              <w:t>Cantidad de Proyectos</w:t>
            </w:r>
          </w:p>
        </w:tc>
        <w:tc>
          <w:tcPr>
            <w:tcW w:w="1418" w:type="dxa"/>
            <w:tcBorders>
              <w:top w:val="single" w:sz="8" w:space="0" w:color="auto"/>
              <w:left w:val="nil"/>
              <w:bottom w:val="single" w:sz="8" w:space="0" w:color="auto"/>
              <w:right w:val="single" w:sz="4" w:space="0" w:color="auto"/>
            </w:tcBorders>
            <w:shd w:val="clear" w:color="000000" w:fill="2F75B5"/>
            <w:vAlign w:val="center"/>
            <w:hideMark/>
          </w:tcPr>
          <w:p w14:paraId="5998E423" w14:textId="77777777" w:rsidR="00BA2924" w:rsidRPr="00BA2924" w:rsidRDefault="00BA2924" w:rsidP="00685573">
            <w:pPr>
              <w:jc w:val="center"/>
              <w:rPr>
                <w:b/>
                <w:bCs/>
                <w:color w:val="FFFFFF"/>
                <w:sz w:val="18"/>
                <w:szCs w:val="18"/>
              </w:rPr>
            </w:pPr>
            <w:r w:rsidRPr="00BA2924">
              <w:rPr>
                <w:b/>
                <w:bCs/>
                <w:color w:val="FFFFFF"/>
                <w:sz w:val="18"/>
                <w:szCs w:val="18"/>
              </w:rPr>
              <w:t xml:space="preserve">Programado Interno </w:t>
            </w:r>
          </w:p>
        </w:tc>
        <w:tc>
          <w:tcPr>
            <w:tcW w:w="1326" w:type="dxa"/>
            <w:tcBorders>
              <w:top w:val="single" w:sz="8" w:space="0" w:color="auto"/>
              <w:left w:val="nil"/>
              <w:bottom w:val="single" w:sz="8" w:space="0" w:color="auto"/>
              <w:right w:val="single" w:sz="4" w:space="0" w:color="auto"/>
            </w:tcBorders>
            <w:shd w:val="clear" w:color="000000" w:fill="2F75B5"/>
            <w:vAlign w:val="center"/>
            <w:hideMark/>
          </w:tcPr>
          <w:p w14:paraId="59750714" w14:textId="77777777" w:rsidR="00BA2924" w:rsidRPr="00BA2924" w:rsidRDefault="00BA2924" w:rsidP="00685573">
            <w:pPr>
              <w:jc w:val="center"/>
              <w:rPr>
                <w:b/>
                <w:bCs/>
                <w:color w:val="FFFFFF"/>
                <w:sz w:val="18"/>
                <w:szCs w:val="18"/>
              </w:rPr>
            </w:pPr>
            <w:r w:rsidRPr="00BA2924">
              <w:rPr>
                <w:b/>
                <w:bCs/>
                <w:color w:val="FFFFFF"/>
                <w:sz w:val="18"/>
                <w:szCs w:val="18"/>
              </w:rPr>
              <w:t>Programado Externo</w:t>
            </w:r>
          </w:p>
        </w:tc>
        <w:tc>
          <w:tcPr>
            <w:tcW w:w="1225" w:type="dxa"/>
            <w:tcBorders>
              <w:top w:val="single" w:sz="8" w:space="0" w:color="auto"/>
              <w:left w:val="nil"/>
              <w:bottom w:val="single" w:sz="8" w:space="0" w:color="auto"/>
              <w:right w:val="single" w:sz="4" w:space="0" w:color="auto"/>
            </w:tcBorders>
            <w:shd w:val="clear" w:color="000000" w:fill="2F75B5"/>
            <w:vAlign w:val="center"/>
            <w:hideMark/>
          </w:tcPr>
          <w:p w14:paraId="799D6779" w14:textId="77777777" w:rsidR="00BA2924" w:rsidRPr="00BA2924" w:rsidRDefault="00BA2924" w:rsidP="00685573">
            <w:pPr>
              <w:jc w:val="center"/>
              <w:rPr>
                <w:b/>
                <w:bCs/>
                <w:color w:val="FFFFFF"/>
                <w:sz w:val="18"/>
                <w:szCs w:val="18"/>
              </w:rPr>
            </w:pPr>
            <w:r w:rsidRPr="00BA2924">
              <w:rPr>
                <w:b/>
                <w:bCs/>
                <w:color w:val="FFFFFF"/>
                <w:sz w:val="18"/>
                <w:szCs w:val="18"/>
              </w:rPr>
              <w:t xml:space="preserve">Total </w:t>
            </w:r>
          </w:p>
        </w:tc>
        <w:tc>
          <w:tcPr>
            <w:tcW w:w="1418" w:type="dxa"/>
            <w:tcBorders>
              <w:top w:val="single" w:sz="8" w:space="0" w:color="auto"/>
              <w:left w:val="nil"/>
              <w:bottom w:val="single" w:sz="8" w:space="0" w:color="auto"/>
              <w:right w:val="single" w:sz="8" w:space="0" w:color="auto"/>
            </w:tcBorders>
            <w:shd w:val="clear" w:color="000000" w:fill="2F75B5"/>
            <w:vAlign w:val="center"/>
            <w:hideMark/>
          </w:tcPr>
          <w:p w14:paraId="26978BAA" w14:textId="77777777" w:rsidR="00BA2924" w:rsidRPr="00BA2924" w:rsidRDefault="00BA2924" w:rsidP="00685573">
            <w:pPr>
              <w:jc w:val="center"/>
              <w:rPr>
                <w:b/>
                <w:bCs/>
                <w:color w:val="FFFFFF"/>
                <w:sz w:val="18"/>
                <w:szCs w:val="18"/>
              </w:rPr>
            </w:pPr>
            <w:r w:rsidRPr="00BA2924">
              <w:rPr>
                <w:b/>
                <w:bCs/>
                <w:color w:val="FFFFFF"/>
                <w:sz w:val="18"/>
                <w:szCs w:val="18"/>
              </w:rPr>
              <w:t>Peso % por Monto</w:t>
            </w:r>
          </w:p>
        </w:tc>
      </w:tr>
      <w:tr w:rsidR="00BA2924" w:rsidRPr="00331212" w14:paraId="0083DC2E" w14:textId="77777777" w:rsidTr="00685573">
        <w:trPr>
          <w:trHeight w:val="300"/>
        </w:trPr>
        <w:tc>
          <w:tcPr>
            <w:tcW w:w="1975" w:type="dxa"/>
            <w:tcBorders>
              <w:top w:val="nil"/>
              <w:left w:val="single" w:sz="8" w:space="0" w:color="auto"/>
              <w:bottom w:val="single" w:sz="4" w:space="0" w:color="auto"/>
              <w:right w:val="single" w:sz="4" w:space="0" w:color="auto"/>
            </w:tcBorders>
            <w:shd w:val="clear" w:color="auto" w:fill="auto"/>
            <w:noWrap/>
            <w:vAlign w:val="center"/>
            <w:hideMark/>
          </w:tcPr>
          <w:p w14:paraId="07234120" w14:textId="77777777" w:rsidR="00BA2924" w:rsidRPr="00BA2924" w:rsidRDefault="00BA2924" w:rsidP="00685573">
            <w:pPr>
              <w:rPr>
                <w:color w:val="000000"/>
                <w:sz w:val="18"/>
                <w:szCs w:val="18"/>
              </w:rPr>
            </w:pPr>
            <w:r w:rsidRPr="00BA2924">
              <w:rPr>
                <w:color w:val="000000"/>
                <w:sz w:val="18"/>
                <w:szCs w:val="18"/>
              </w:rPr>
              <w:t>Administración fiscal</w:t>
            </w:r>
          </w:p>
        </w:tc>
        <w:tc>
          <w:tcPr>
            <w:tcW w:w="1417" w:type="dxa"/>
            <w:tcBorders>
              <w:top w:val="nil"/>
              <w:left w:val="nil"/>
              <w:bottom w:val="single" w:sz="4" w:space="0" w:color="auto"/>
              <w:right w:val="single" w:sz="4" w:space="0" w:color="auto"/>
            </w:tcBorders>
            <w:shd w:val="clear" w:color="auto" w:fill="auto"/>
            <w:noWrap/>
            <w:vAlign w:val="center"/>
            <w:hideMark/>
          </w:tcPr>
          <w:p w14:paraId="6E862B3C" w14:textId="77777777" w:rsidR="00BA2924" w:rsidRPr="00BA2924" w:rsidRDefault="00BA2924" w:rsidP="00685573">
            <w:pPr>
              <w:jc w:val="center"/>
              <w:rPr>
                <w:color w:val="000000"/>
                <w:sz w:val="18"/>
                <w:szCs w:val="18"/>
              </w:rPr>
            </w:pPr>
            <w:r w:rsidRPr="00BA2924">
              <w:rPr>
                <w:color w:val="000000"/>
                <w:sz w:val="18"/>
                <w:szCs w:val="18"/>
              </w:rPr>
              <w:t>6</w:t>
            </w:r>
          </w:p>
        </w:tc>
        <w:tc>
          <w:tcPr>
            <w:tcW w:w="1418" w:type="dxa"/>
            <w:tcBorders>
              <w:top w:val="nil"/>
              <w:left w:val="nil"/>
              <w:bottom w:val="single" w:sz="4" w:space="0" w:color="auto"/>
              <w:right w:val="single" w:sz="4" w:space="0" w:color="auto"/>
            </w:tcBorders>
            <w:shd w:val="clear" w:color="auto" w:fill="auto"/>
            <w:noWrap/>
            <w:vAlign w:val="center"/>
            <w:hideMark/>
          </w:tcPr>
          <w:p w14:paraId="2C3588FF" w14:textId="77777777" w:rsidR="00BA2924" w:rsidRPr="00BA2924" w:rsidRDefault="00BA2924" w:rsidP="00685573">
            <w:pPr>
              <w:jc w:val="center"/>
              <w:rPr>
                <w:color w:val="000000"/>
                <w:sz w:val="18"/>
                <w:szCs w:val="18"/>
              </w:rPr>
            </w:pPr>
            <w:r w:rsidRPr="00BA2924">
              <w:rPr>
                <w:color w:val="000000"/>
                <w:sz w:val="18"/>
                <w:szCs w:val="18"/>
              </w:rPr>
              <w:t>127.1</w:t>
            </w:r>
          </w:p>
        </w:tc>
        <w:tc>
          <w:tcPr>
            <w:tcW w:w="1326" w:type="dxa"/>
            <w:tcBorders>
              <w:top w:val="nil"/>
              <w:left w:val="nil"/>
              <w:bottom w:val="single" w:sz="4" w:space="0" w:color="auto"/>
              <w:right w:val="single" w:sz="4" w:space="0" w:color="auto"/>
            </w:tcBorders>
            <w:shd w:val="clear" w:color="auto" w:fill="auto"/>
            <w:noWrap/>
            <w:vAlign w:val="center"/>
            <w:hideMark/>
          </w:tcPr>
          <w:p w14:paraId="1CD55D34" w14:textId="77777777" w:rsidR="00BA2924" w:rsidRPr="00BA2924" w:rsidRDefault="00BA2924" w:rsidP="00685573">
            <w:pPr>
              <w:jc w:val="center"/>
              <w:rPr>
                <w:color w:val="000000"/>
                <w:sz w:val="18"/>
                <w:szCs w:val="18"/>
              </w:rPr>
            </w:pPr>
            <w:r w:rsidRPr="00BA2924">
              <w:rPr>
                <w:color w:val="000000"/>
                <w:sz w:val="18"/>
                <w:szCs w:val="18"/>
              </w:rPr>
              <w:t> </w:t>
            </w:r>
          </w:p>
        </w:tc>
        <w:tc>
          <w:tcPr>
            <w:tcW w:w="1225" w:type="dxa"/>
            <w:tcBorders>
              <w:top w:val="nil"/>
              <w:left w:val="nil"/>
              <w:bottom w:val="single" w:sz="4" w:space="0" w:color="auto"/>
              <w:right w:val="single" w:sz="4" w:space="0" w:color="auto"/>
            </w:tcBorders>
            <w:shd w:val="clear" w:color="auto" w:fill="auto"/>
            <w:noWrap/>
            <w:vAlign w:val="center"/>
            <w:hideMark/>
          </w:tcPr>
          <w:p w14:paraId="40656111" w14:textId="77777777" w:rsidR="00BA2924" w:rsidRPr="00BA2924" w:rsidRDefault="00BA2924" w:rsidP="00685573">
            <w:pPr>
              <w:jc w:val="center"/>
              <w:rPr>
                <w:color w:val="000000"/>
                <w:sz w:val="18"/>
                <w:szCs w:val="18"/>
              </w:rPr>
            </w:pPr>
            <w:r w:rsidRPr="00BA2924">
              <w:rPr>
                <w:color w:val="000000"/>
                <w:sz w:val="18"/>
                <w:szCs w:val="18"/>
              </w:rPr>
              <w:t>127.1</w:t>
            </w:r>
          </w:p>
        </w:tc>
        <w:tc>
          <w:tcPr>
            <w:tcW w:w="1418" w:type="dxa"/>
            <w:tcBorders>
              <w:top w:val="nil"/>
              <w:left w:val="nil"/>
              <w:bottom w:val="single" w:sz="4" w:space="0" w:color="auto"/>
              <w:right w:val="single" w:sz="8" w:space="0" w:color="auto"/>
            </w:tcBorders>
            <w:shd w:val="clear" w:color="auto" w:fill="auto"/>
            <w:noWrap/>
            <w:vAlign w:val="center"/>
            <w:hideMark/>
          </w:tcPr>
          <w:p w14:paraId="0C49A677" w14:textId="77777777" w:rsidR="00BA2924" w:rsidRPr="00BA2924" w:rsidRDefault="00BA2924" w:rsidP="00685573">
            <w:pPr>
              <w:jc w:val="center"/>
              <w:rPr>
                <w:color w:val="000000"/>
                <w:sz w:val="18"/>
                <w:szCs w:val="18"/>
              </w:rPr>
            </w:pPr>
            <w:r w:rsidRPr="00BA2924">
              <w:rPr>
                <w:color w:val="000000"/>
                <w:sz w:val="18"/>
                <w:szCs w:val="18"/>
              </w:rPr>
              <w:t>0.77%</w:t>
            </w:r>
          </w:p>
        </w:tc>
      </w:tr>
      <w:tr w:rsidR="00BA2924" w:rsidRPr="00331212" w14:paraId="491BAC19" w14:textId="77777777" w:rsidTr="00685573">
        <w:trPr>
          <w:trHeight w:val="300"/>
        </w:trPr>
        <w:tc>
          <w:tcPr>
            <w:tcW w:w="1975" w:type="dxa"/>
            <w:tcBorders>
              <w:top w:val="nil"/>
              <w:left w:val="single" w:sz="8" w:space="0" w:color="auto"/>
              <w:bottom w:val="single" w:sz="4" w:space="0" w:color="auto"/>
              <w:right w:val="single" w:sz="4" w:space="0" w:color="auto"/>
            </w:tcBorders>
            <w:shd w:val="clear" w:color="000000" w:fill="EDEDED"/>
            <w:noWrap/>
            <w:vAlign w:val="center"/>
            <w:hideMark/>
          </w:tcPr>
          <w:p w14:paraId="5DA285FC" w14:textId="77777777" w:rsidR="00BA2924" w:rsidRPr="00BA2924" w:rsidRDefault="00BA2924" w:rsidP="00685573">
            <w:pPr>
              <w:rPr>
                <w:color w:val="000000"/>
                <w:sz w:val="18"/>
                <w:szCs w:val="18"/>
              </w:rPr>
            </w:pPr>
            <w:r w:rsidRPr="00BA2924">
              <w:rPr>
                <w:color w:val="000000"/>
                <w:sz w:val="18"/>
                <w:szCs w:val="18"/>
              </w:rPr>
              <w:t>Agropecuario</w:t>
            </w:r>
          </w:p>
        </w:tc>
        <w:tc>
          <w:tcPr>
            <w:tcW w:w="1417" w:type="dxa"/>
            <w:tcBorders>
              <w:top w:val="nil"/>
              <w:left w:val="nil"/>
              <w:bottom w:val="single" w:sz="4" w:space="0" w:color="auto"/>
              <w:right w:val="single" w:sz="4" w:space="0" w:color="auto"/>
            </w:tcBorders>
            <w:shd w:val="clear" w:color="000000" w:fill="EDEDED"/>
            <w:noWrap/>
            <w:vAlign w:val="center"/>
            <w:hideMark/>
          </w:tcPr>
          <w:p w14:paraId="3EFAF402" w14:textId="77777777" w:rsidR="00BA2924" w:rsidRPr="00BA2924" w:rsidRDefault="00BA2924" w:rsidP="00685573">
            <w:pPr>
              <w:jc w:val="center"/>
              <w:rPr>
                <w:color w:val="000000"/>
                <w:sz w:val="18"/>
                <w:szCs w:val="18"/>
              </w:rPr>
            </w:pPr>
            <w:r w:rsidRPr="00BA2924">
              <w:rPr>
                <w:color w:val="000000"/>
                <w:sz w:val="18"/>
                <w:szCs w:val="18"/>
              </w:rPr>
              <w:t>21</w:t>
            </w:r>
          </w:p>
        </w:tc>
        <w:tc>
          <w:tcPr>
            <w:tcW w:w="1418" w:type="dxa"/>
            <w:tcBorders>
              <w:top w:val="nil"/>
              <w:left w:val="nil"/>
              <w:bottom w:val="single" w:sz="4" w:space="0" w:color="auto"/>
              <w:right w:val="single" w:sz="4" w:space="0" w:color="auto"/>
            </w:tcBorders>
            <w:shd w:val="clear" w:color="000000" w:fill="EDEDED"/>
            <w:noWrap/>
            <w:vAlign w:val="center"/>
            <w:hideMark/>
          </w:tcPr>
          <w:p w14:paraId="3C6FBF67" w14:textId="77777777" w:rsidR="00BA2924" w:rsidRPr="00BA2924" w:rsidRDefault="00BA2924" w:rsidP="00685573">
            <w:pPr>
              <w:jc w:val="center"/>
              <w:rPr>
                <w:color w:val="000000"/>
                <w:sz w:val="18"/>
                <w:szCs w:val="18"/>
              </w:rPr>
            </w:pPr>
            <w:r w:rsidRPr="00BA2924">
              <w:rPr>
                <w:color w:val="000000"/>
                <w:sz w:val="18"/>
                <w:szCs w:val="18"/>
              </w:rPr>
              <w:t>129.5</w:t>
            </w:r>
          </w:p>
        </w:tc>
        <w:tc>
          <w:tcPr>
            <w:tcW w:w="1326" w:type="dxa"/>
            <w:tcBorders>
              <w:top w:val="nil"/>
              <w:left w:val="nil"/>
              <w:bottom w:val="single" w:sz="4" w:space="0" w:color="auto"/>
              <w:right w:val="single" w:sz="4" w:space="0" w:color="auto"/>
            </w:tcBorders>
            <w:shd w:val="clear" w:color="000000" w:fill="EDEDED"/>
            <w:noWrap/>
            <w:vAlign w:val="center"/>
            <w:hideMark/>
          </w:tcPr>
          <w:p w14:paraId="260EA19E" w14:textId="77777777" w:rsidR="00BA2924" w:rsidRPr="00BA2924" w:rsidRDefault="00BA2924" w:rsidP="00685573">
            <w:pPr>
              <w:jc w:val="center"/>
              <w:rPr>
                <w:color w:val="000000"/>
                <w:sz w:val="18"/>
                <w:szCs w:val="18"/>
              </w:rPr>
            </w:pPr>
            <w:r w:rsidRPr="00BA2924">
              <w:rPr>
                <w:color w:val="000000"/>
                <w:sz w:val="18"/>
                <w:szCs w:val="18"/>
              </w:rPr>
              <w:t> </w:t>
            </w:r>
          </w:p>
        </w:tc>
        <w:tc>
          <w:tcPr>
            <w:tcW w:w="1225" w:type="dxa"/>
            <w:tcBorders>
              <w:top w:val="nil"/>
              <w:left w:val="nil"/>
              <w:bottom w:val="single" w:sz="4" w:space="0" w:color="auto"/>
              <w:right w:val="single" w:sz="4" w:space="0" w:color="auto"/>
            </w:tcBorders>
            <w:shd w:val="clear" w:color="000000" w:fill="EDEDED"/>
            <w:noWrap/>
            <w:vAlign w:val="center"/>
            <w:hideMark/>
          </w:tcPr>
          <w:p w14:paraId="1A5B0404" w14:textId="77777777" w:rsidR="00BA2924" w:rsidRPr="00BA2924" w:rsidRDefault="00BA2924" w:rsidP="00685573">
            <w:pPr>
              <w:jc w:val="center"/>
              <w:rPr>
                <w:color w:val="000000"/>
                <w:sz w:val="18"/>
                <w:szCs w:val="18"/>
              </w:rPr>
            </w:pPr>
            <w:r w:rsidRPr="00BA2924">
              <w:rPr>
                <w:color w:val="000000"/>
                <w:sz w:val="18"/>
                <w:szCs w:val="18"/>
              </w:rPr>
              <w:t>129.5</w:t>
            </w:r>
          </w:p>
        </w:tc>
        <w:tc>
          <w:tcPr>
            <w:tcW w:w="1418" w:type="dxa"/>
            <w:tcBorders>
              <w:top w:val="nil"/>
              <w:left w:val="nil"/>
              <w:bottom w:val="single" w:sz="4" w:space="0" w:color="auto"/>
              <w:right w:val="single" w:sz="8" w:space="0" w:color="auto"/>
            </w:tcBorders>
            <w:shd w:val="clear" w:color="000000" w:fill="EDEDED"/>
            <w:noWrap/>
            <w:vAlign w:val="center"/>
            <w:hideMark/>
          </w:tcPr>
          <w:p w14:paraId="30B5CA39" w14:textId="77777777" w:rsidR="00BA2924" w:rsidRPr="00BA2924" w:rsidRDefault="00BA2924" w:rsidP="00685573">
            <w:pPr>
              <w:jc w:val="center"/>
              <w:rPr>
                <w:color w:val="000000"/>
                <w:sz w:val="18"/>
                <w:szCs w:val="18"/>
              </w:rPr>
            </w:pPr>
            <w:r w:rsidRPr="00BA2924">
              <w:rPr>
                <w:color w:val="000000"/>
                <w:sz w:val="18"/>
                <w:szCs w:val="18"/>
              </w:rPr>
              <w:t>0.78%</w:t>
            </w:r>
          </w:p>
        </w:tc>
      </w:tr>
      <w:tr w:rsidR="00BA2924" w:rsidRPr="00331212" w14:paraId="1CDF390A" w14:textId="77777777" w:rsidTr="00685573">
        <w:trPr>
          <w:trHeight w:val="300"/>
        </w:trPr>
        <w:tc>
          <w:tcPr>
            <w:tcW w:w="1975" w:type="dxa"/>
            <w:tcBorders>
              <w:top w:val="nil"/>
              <w:left w:val="single" w:sz="8" w:space="0" w:color="auto"/>
              <w:bottom w:val="single" w:sz="4" w:space="0" w:color="auto"/>
              <w:right w:val="single" w:sz="4" w:space="0" w:color="auto"/>
            </w:tcBorders>
            <w:shd w:val="clear" w:color="auto" w:fill="auto"/>
            <w:noWrap/>
            <w:vAlign w:val="center"/>
            <w:hideMark/>
          </w:tcPr>
          <w:p w14:paraId="45A6082F" w14:textId="77777777" w:rsidR="00BA2924" w:rsidRPr="00BA2924" w:rsidRDefault="00BA2924" w:rsidP="00685573">
            <w:pPr>
              <w:rPr>
                <w:color w:val="000000"/>
                <w:sz w:val="18"/>
                <w:szCs w:val="18"/>
              </w:rPr>
            </w:pPr>
            <w:r w:rsidRPr="00BA2924">
              <w:rPr>
                <w:color w:val="000000"/>
                <w:sz w:val="18"/>
                <w:szCs w:val="18"/>
              </w:rPr>
              <w:t>Agua y saneamiento</w:t>
            </w:r>
          </w:p>
        </w:tc>
        <w:tc>
          <w:tcPr>
            <w:tcW w:w="1417" w:type="dxa"/>
            <w:tcBorders>
              <w:top w:val="nil"/>
              <w:left w:val="nil"/>
              <w:bottom w:val="single" w:sz="4" w:space="0" w:color="auto"/>
              <w:right w:val="single" w:sz="4" w:space="0" w:color="auto"/>
            </w:tcBorders>
            <w:shd w:val="clear" w:color="auto" w:fill="auto"/>
            <w:noWrap/>
            <w:vAlign w:val="center"/>
            <w:hideMark/>
          </w:tcPr>
          <w:p w14:paraId="0D94C965" w14:textId="77777777" w:rsidR="00BA2924" w:rsidRPr="00BA2924" w:rsidRDefault="00BA2924" w:rsidP="00685573">
            <w:pPr>
              <w:jc w:val="center"/>
              <w:rPr>
                <w:color w:val="000000"/>
                <w:sz w:val="18"/>
                <w:szCs w:val="18"/>
              </w:rPr>
            </w:pPr>
            <w:r w:rsidRPr="00BA2924">
              <w:rPr>
                <w:color w:val="000000"/>
                <w:sz w:val="18"/>
                <w:szCs w:val="18"/>
              </w:rPr>
              <w:t>914</w:t>
            </w:r>
          </w:p>
        </w:tc>
        <w:tc>
          <w:tcPr>
            <w:tcW w:w="1418" w:type="dxa"/>
            <w:tcBorders>
              <w:top w:val="nil"/>
              <w:left w:val="nil"/>
              <w:bottom w:val="single" w:sz="4" w:space="0" w:color="auto"/>
              <w:right w:val="single" w:sz="4" w:space="0" w:color="auto"/>
            </w:tcBorders>
            <w:shd w:val="clear" w:color="auto" w:fill="auto"/>
            <w:noWrap/>
            <w:vAlign w:val="center"/>
            <w:hideMark/>
          </w:tcPr>
          <w:p w14:paraId="1FFEE4C3" w14:textId="77777777" w:rsidR="00BA2924" w:rsidRPr="00BA2924" w:rsidRDefault="00BA2924" w:rsidP="00685573">
            <w:pPr>
              <w:jc w:val="center"/>
              <w:rPr>
                <w:color w:val="000000"/>
                <w:sz w:val="18"/>
                <w:szCs w:val="18"/>
              </w:rPr>
            </w:pPr>
            <w:r w:rsidRPr="00BA2924">
              <w:rPr>
                <w:color w:val="000000"/>
                <w:sz w:val="18"/>
                <w:szCs w:val="18"/>
              </w:rPr>
              <w:t>1,996.9</w:t>
            </w:r>
          </w:p>
        </w:tc>
        <w:tc>
          <w:tcPr>
            <w:tcW w:w="1326" w:type="dxa"/>
            <w:tcBorders>
              <w:top w:val="nil"/>
              <w:left w:val="nil"/>
              <w:bottom w:val="single" w:sz="4" w:space="0" w:color="auto"/>
              <w:right w:val="single" w:sz="4" w:space="0" w:color="auto"/>
            </w:tcBorders>
            <w:shd w:val="clear" w:color="auto" w:fill="auto"/>
            <w:noWrap/>
            <w:vAlign w:val="center"/>
            <w:hideMark/>
          </w:tcPr>
          <w:p w14:paraId="109AC1BE" w14:textId="77777777" w:rsidR="00BA2924" w:rsidRPr="00BA2924" w:rsidRDefault="00BA2924" w:rsidP="00685573">
            <w:pPr>
              <w:jc w:val="center"/>
              <w:rPr>
                <w:color w:val="000000"/>
                <w:sz w:val="18"/>
                <w:szCs w:val="18"/>
              </w:rPr>
            </w:pPr>
            <w:r w:rsidRPr="00BA2924">
              <w:rPr>
                <w:color w:val="000000"/>
                <w:sz w:val="18"/>
                <w:szCs w:val="18"/>
              </w:rPr>
              <w:t>0.2</w:t>
            </w:r>
          </w:p>
        </w:tc>
        <w:tc>
          <w:tcPr>
            <w:tcW w:w="1225" w:type="dxa"/>
            <w:tcBorders>
              <w:top w:val="nil"/>
              <w:left w:val="nil"/>
              <w:bottom w:val="single" w:sz="4" w:space="0" w:color="auto"/>
              <w:right w:val="single" w:sz="4" w:space="0" w:color="auto"/>
            </w:tcBorders>
            <w:shd w:val="clear" w:color="auto" w:fill="auto"/>
            <w:noWrap/>
            <w:vAlign w:val="center"/>
            <w:hideMark/>
          </w:tcPr>
          <w:p w14:paraId="1C0752A5" w14:textId="77777777" w:rsidR="00BA2924" w:rsidRPr="00BA2924" w:rsidRDefault="00BA2924" w:rsidP="00685573">
            <w:pPr>
              <w:jc w:val="center"/>
              <w:rPr>
                <w:color w:val="000000"/>
                <w:sz w:val="18"/>
                <w:szCs w:val="18"/>
              </w:rPr>
            </w:pPr>
            <w:r w:rsidRPr="00BA2924">
              <w:rPr>
                <w:color w:val="000000"/>
                <w:sz w:val="18"/>
                <w:szCs w:val="18"/>
              </w:rPr>
              <w:t>1,997.0</w:t>
            </w:r>
          </w:p>
        </w:tc>
        <w:tc>
          <w:tcPr>
            <w:tcW w:w="1418" w:type="dxa"/>
            <w:tcBorders>
              <w:top w:val="nil"/>
              <w:left w:val="nil"/>
              <w:bottom w:val="single" w:sz="4" w:space="0" w:color="auto"/>
              <w:right w:val="single" w:sz="8" w:space="0" w:color="auto"/>
            </w:tcBorders>
            <w:shd w:val="clear" w:color="auto" w:fill="auto"/>
            <w:noWrap/>
            <w:vAlign w:val="center"/>
            <w:hideMark/>
          </w:tcPr>
          <w:p w14:paraId="5FFA3564" w14:textId="77777777" w:rsidR="00BA2924" w:rsidRPr="00BA2924" w:rsidRDefault="00BA2924" w:rsidP="00685573">
            <w:pPr>
              <w:jc w:val="center"/>
              <w:rPr>
                <w:color w:val="000000"/>
                <w:sz w:val="18"/>
                <w:szCs w:val="18"/>
              </w:rPr>
            </w:pPr>
            <w:r w:rsidRPr="00BA2924">
              <w:rPr>
                <w:color w:val="000000"/>
                <w:sz w:val="18"/>
                <w:szCs w:val="18"/>
              </w:rPr>
              <w:t>12.11%</w:t>
            </w:r>
          </w:p>
        </w:tc>
      </w:tr>
      <w:tr w:rsidR="00BA2924" w:rsidRPr="00331212" w14:paraId="1090AA41" w14:textId="77777777" w:rsidTr="00685573">
        <w:trPr>
          <w:trHeight w:val="300"/>
        </w:trPr>
        <w:tc>
          <w:tcPr>
            <w:tcW w:w="1975" w:type="dxa"/>
            <w:tcBorders>
              <w:top w:val="nil"/>
              <w:left w:val="single" w:sz="8" w:space="0" w:color="auto"/>
              <w:bottom w:val="single" w:sz="4" w:space="0" w:color="auto"/>
              <w:right w:val="single" w:sz="4" w:space="0" w:color="auto"/>
            </w:tcBorders>
            <w:shd w:val="clear" w:color="000000" w:fill="EDEDED"/>
            <w:noWrap/>
            <w:vAlign w:val="center"/>
            <w:hideMark/>
          </w:tcPr>
          <w:p w14:paraId="3A9BE3D7" w14:textId="77777777" w:rsidR="00BA2924" w:rsidRPr="00BA2924" w:rsidRDefault="00BA2924" w:rsidP="00685573">
            <w:pPr>
              <w:rPr>
                <w:color w:val="000000"/>
                <w:sz w:val="18"/>
                <w:szCs w:val="18"/>
              </w:rPr>
            </w:pPr>
            <w:r w:rsidRPr="00BA2924">
              <w:rPr>
                <w:color w:val="000000"/>
                <w:sz w:val="18"/>
                <w:szCs w:val="18"/>
              </w:rPr>
              <w:t>Comunicaciones</w:t>
            </w:r>
          </w:p>
        </w:tc>
        <w:tc>
          <w:tcPr>
            <w:tcW w:w="1417" w:type="dxa"/>
            <w:tcBorders>
              <w:top w:val="nil"/>
              <w:left w:val="nil"/>
              <w:bottom w:val="single" w:sz="4" w:space="0" w:color="auto"/>
              <w:right w:val="single" w:sz="4" w:space="0" w:color="auto"/>
            </w:tcBorders>
            <w:shd w:val="clear" w:color="000000" w:fill="EDEDED"/>
            <w:noWrap/>
            <w:vAlign w:val="center"/>
            <w:hideMark/>
          </w:tcPr>
          <w:p w14:paraId="09807338" w14:textId="77777777" w:rsidR="00BA2924" w:rsidRPr="00BA2924" w:rsidRDefault="00BA2924" w:rsidP="00685573">
            <w:pPr>
              <w:jc w:val="center"/>
              <w:rPr>
                <w:color w:val="000000"/>
                <w:sz w:val="18"/>
                <w:szCs w:val="18"/>
              </w:rPr>
            </w:pPr>
            <w:r w:rsidRPr="00BA2924">
              <w:rPr>
                <w:color w:val="000000"/>
                <w:sz w:val="18"/>
                <w:szCs w:val="18"/>
              </w:rPr>
              <w:t>3</w:t>
            </w:r>
          </w:p>
        </w:tc>
        <w:tc>
          <w:tcPr>
            <w:tcW w:w="1418" w:type="dxa"/>
            <w:tcBorders>
              <w:top w:val="nil"/>
              <w:left w:val="nil"/>
              <w:bottom w:val="single" w:sz="4" w:space="0" w:color="auto"/>
              <w:right w:val="single" w:sz="4" w:space="0" w:color="auto"/>
            </w:tcBorders>
            <w:shd w:val="clear" w:color="000000" w:fill="EDEDED"/>
            <w:noWrap/>
            <w:vAlign w:val="center"/>
            <w:hideMark/>
          </w:tcPr>
          <w:p w14:paraId="1FD0E318" w14:textId="77777777" w:rsidR="00BA2924" w:rsidRPr="00BA2924" w:rsidRDefault="00BA2924" w:rsidP="00685573">
            <w:pPr>
              <w:jc w:val="center"/>
              <w:rPr>
                <w:color w:val="000000"/>
                <w:sz w:val="18"/>
                <w:szCs w:val="18"/>
              </w:rPr>
            </w:pPr>
            <w:r w:rsidRPr="00BA2924">
              <w:rPr>
                <w:color w:val="000000"/>
                <w:sz w:val="18"/>
                <w:szCs w:val="18"/>
              </w:rPr>
              <w:t>8.4</w:t>
            </w:r>
          </w:p>
        </w:tc>
        <w:tc>
          <w:tcPr>
            <w:tcW w:w="1326" w:type="dxa"/>
            <w:tcBorders>
              <w:top w:val="nil"/>
              <w:left w:val="nil"/>
              <w:bottom w:val="single" w:sz="4" w:space="0" w:color="auto"/>
              <w:right w:val="single" w:sz="4" w:space="0" w:color="auto"/>
            </w:tcBorders>
            <w:shd w:val="clear" w:color="000000" w:fill="EDEDED"/>
            <w:noWrap/>
            <w:vAlign w:val="center"/>
            <w:hideMark/>
          </w:tcPr>
          <w:p w14:paraId="2BA4C897" w14:textId="77777777" w:rsidR="00BA2924" w:rsidRPr="00BA2924" w:rsidRDefault="00BA2924" w:rsidP="00685573">
            <w:pPr>
              <w:jc w:val="center"/>
              <w:rPr>
                <w:color w:val="000000"/>
                <w:sz w:val="18"/>
                <w:szCs w:val="18"/>
              </w:rPr>
            </w:pPr>
            <w:r w:rsidRPr="00BA2924">
              <w:rPr>
                <w:color w:val="000000"/>
                <w:sz w:val="18"/>
                <w:szCs w:val="18"/>
              </w:rPr>
              <w:t> </w:t>
            </w:r>
          </w:p>
        </w:tc>
        <w:tc>
          <w:tcPr>
            <w:tcW w:w="1225" w:type="dxa"/>
            <w:tcBorders>
              <w:top w:val="nil"/>
              <w:left w:val="nil"/>
              <w:bottom w:val="single" w:sz="4" w:space="0" w:color="auto"/>
              <w:right w:val="single" w:sz="4" w:space="0" w:color="auto"/>
            </w:tcBorders>
            <w:shd w:val="clear" w:color="000000" w:fill="EDEDED"/>
            <w:noWrap/>
            <w:vAlign w:val="center"/>
            <w:hideMark/>
          </w:tcPr>
          <w:p w14:paraId="6BB01D86" w14:textId="77777777" w:rsidR="00BA2924" w:rsidRPr="00BA2924" w:rsidRDefault="00BA2924" w:rsidP="00685573">
            <w:pPr>
              <w:jc w:val="center"/>
              <w:rPr>
                <w:color w:val="000000"/>
                <w:sz w:val="18"/>
                <w:szCs w:val="18"/>
              </w:rPr>
            </w:pPr>
            <w:r w:rsidRPr="00BA2924">
              <w:rPr>
                <w:color w:val="000000"/>
                <w:sz w:val="18"/>
                <w:szCs w:val="18"/>
              </w:rPr>
              <w:t>8.4</w:t>
            </w:r>
          </w:p>
        </w:tc>
        <w:tc>
          <w:tcPr>
            <w:tcW w:w="1418" w:type="dxa"/>
            <w:tcBorders>
              <w:top w:val="nil"/>
              <w:left w:val="nil"/>
              <w:bottom w:val="single" w:sz="4" w:space="0" w:color="auto"/>
              <w:right w:val="single" w:sz="8" w:space="0" w:color="auto"/>
            </w:tcBorders>
            <w:shd w:val="clear" w:color="000000" w:fill="EDEDED"/>
            <w:noWrap/>
            <w:vAlign w:val="center"/>
            <w:hideMark/>
          </w:tcPr>
          <w:p w14:paraId="5E698142" w14:textId="77777777" w:rsidR="00BA2924" w:rsidRPr="00BA2924" w:rsidRDefault="00BA2924" w:rsidP="00685573">
            <w:pPr>
              <w:jc w:val="center"/>
              <w:rPr>
                <w:color w:val="000000"/>
                <w:sz w:val="18"/>
                <w:szCs w:val="18"/>
              </w:rPr>
            </w:pPr>
            <w:r w:rsidRPr="00BA2924">
              <w:rPr>
                <w:color w:val="000000"/>
                <w:sz w:val="18"/>
                <w:szCs w:val="18"/>
              </w:rPr>
              <w:t>0.05%</w:t>
            </w:r>
          </w:p>
        </w:tc>
      </w:tr>
      <w:tr w:rsidR="00BA2924" w:rsidRPr="00331212" w14:paraId="24492631" w14:textId="77777777" w:rsidTr="00685573">
        <w:trPr>
          <w:trHeight w:val="300"/>
        </w:trPr>
        <w:tc>
          <w:tcPr>
            <w:tcW w:w="1975" w:type="dxa"/>
            <w:tcBorders>
              <w:top w:val="nil"/>
              <w:left w:val="single" w:sz="8" w:space="0" w:color="auto"/>
              <w:bottom w:val="single" w:sz="4" w:space="0" w:color="auto"/>
              <w:right w:val="single" w:sz="4" w:space="0" w:color="auto"/>
            </w:tcBorders>
            <w:shd w:val="clear" w:color="auto" w:fill="auto"/>
            <w:noWrap/>
            <w:vAlign w:val="center"/>
            <w:hideMark/>
          </w:tcPr>
          <w:p w14:paraId="18E03AF6" w14:textId="77777777" w:rsidR="00BA2924" w:rsidRPr="00BA2924" w:rsidRDefault="00BA2924" w:rsidP="00685573">
            <w:pPr>
              <w:rPr>
                <w:color w:val="000000"/>
                <w:sz w:val="18"/>
                <w:szCs w:val="18"/>
              </w:rPr>
            </w:pPr>
            <w:r w:rsidRPr="00BA2924">
              <w:rPr>
                <w:color w:val="000000"/>
                <w:sz w:val="18"/>
                <w:szCs w:val="18"/>
              </w:rPr>
              <w:t>Cultura y deportes</w:t>
            </w:r>
          </w:p>
        </w:tc>
        <w:tc>
          <w:tcPr>
            <w:tcW w:w="1417" w:type="dxa"/>
            <w:tcBorders>
              <w:top w:val="nil"/>
              <w:left w:val="nil"/>
              <w:bottom w:val="single" w:sz="4" w:space="0" w:color="auto"/>
              <w:right w:val="single" w:sz="4" w:space="0" w:color="auto"/>
            </w:tcBorders>
            <w:shd w:val="clear" w:color="auto" w:fill="auto"/>
            <w:noWrap/>
            <w:vAlign w:val="center"/>
            <w:hideMark/>
          </w:tcPr>
          <w:p w14:paraId="6D429D72" w14:textId="77777777" w:rsidR="00BA2924" w:rsidRPr="00BA2924" w:rsidRDefault="00BA2924" w:rsidP="00685573">
            <w:pPr>
              <w:jc w:val="center"/>
              <w:rPr>
                <w:color w:val="000000"/>
                <w:sz w:val="18"/>
                <w:szCs w:val="18"/>
              </w:rPr>
            </w:pPr>
            <w:r w:rsidRPr="00BA2924">
              <w:rPr>
                <w:color w:val="000000"/>
                <w:sz w:val="18"/>
                <w:szCs w:val="18"/>
              </w:rPr>
              <w:t>18</w:t>
            </w:r>
          </w:p>
        </w:tc>
        <w:tc>
          <w:tcPr>
            <w:tcW w:w="1418" w:type="dxa"/>
            <w:tcBorders>
              <w:top w:val="nil"/>
              <w:left w:val="nil"/>
              <w:bottom w:val="single" w:sz="4" w:space="0" w:color="auto"/>
              <w:right w:val="single" w:sz="4" w:space="0" w:color="auto"/>
            </w:tcBorders>
            <w:shd w:val="clear" w:color="auto" w:fill="auto"/>
            <w:noWrap/>
            <w:vAlign w:val="center"/>
            <w:hideMark/>
          </w:tcPr>
          <w:p w14:paraId="2F9F1374" w14:textId="77777777" w:rsidR="00BA2924" w:rsidRPr="00BA2924" w:rsidRDefault="00BA2924" w:rsidP="00685573">
            <w:pPr>
              <w:jc w:val="center"/>
              <w:rPr>
                <w:color w:val="000000"/>
                <w:sz w:val="18"/>
                <w:szCs w:val="18"/>
              </w:rPr>
            </w:pPr>
            <w:r w:rsidRPr="00BA2924">
              <w:rPr>
                <w:color w:val="000000"/>
                <w:sz w:val="18"/>
                <w:szCs w:val="18"/>
              </w:rPr>
              <w:t>195.0</w:t>
            </w:r>
          </w:p>
        </w:tc>
        <w:tc>
          <w:tcPr>
            <w:tcW w:w="1326" w:type="dxa"/>
            <w:tcBorders>
              <w:top w:val="nil"/>
              <w:left w:val="nil"/>
              <w:bottom w:val="single" w:sz="4" w:space="0" w:color="auto"/>
              <w:right w:val="single" w:sz="4" w:space="0" w:color="auto"/>
            </w:tcBorders>
            <w:shd w:val="clear" w:color="auto" w:fill="auto"/>
            <w:noWrap/>
            <w:vAlign w:val="center"/>
            <w:hideMark/>
          </w:tcPr>
          <w:p w14:paraId="04BA187E" w14:textId="77777777" w:rsidR="00BA2924" w:rsidRPr="00BA2924" w:rsidRDefault="00BA2924" w:rsidP="00685573">
            <w:pPr>
              <w:jc w:val="center"/>
              <w:rPr>
                <w:color w:val="000000"/>
                <w:sz w:val="18"/>
                <w:szCs w:val="18"/>
              </w:rPr>
            </w:pPr>
            <w:r w:rsidRPr="00BA2924">
              <w:rPr>
                <w:color w:val="000000"/>
                <w:sz w:val="18"/>
                <w:szCs w:val="18"/>
              </w:rPr>
              <w:t> </w:t>
            </w:r>
          </w:p>
        </w:tc>
        <w:tc>
          <w:tcPr>
            <w:tcW w:w="1225" w:type="dxa"/>
            <w:tcBorders>
              <w:top w:val="nil"/>
              <w:left w:val="nil"/>
              <w:bottom w:val="single" w:sz="4" w:space="0" w:color="auto"/>
              <w:right w:val="single" w:sz="4" w:space="0" w:color="auto"/>
            </w:tcBorders>
            <w:shd w:val="clear" w:color="auto" w:fill="auto"/>
            <w:noWrap/>
            <w:vAlign w:val="center"/>
            <w:hideMark/>
          </w:tcPr>
          <w:p w14:paraId="724A5AF5" w14:textId="77777777" w:rsidR="00BA2924" w:rsidRPr="00BA2924" w:rsidRDefault="00BA2924" w:rsidP="00685573">
            <w:pPr>
              <w:jc w:val="center"/>
              <w:rPr>
                <w:color w:val="000000"/>
                <w:sz w:val="18"/>
                <w:szCs w:val="18"/>
              </w:rPr>
            </w:pPr>
            <w:r w:rsidRPr="00BA2924">
              <w:rPr>
                <w:color w:val="000000"/>
                <w:sz w:val="18"/>
                <w:szCs w:val="18"/>
              </w:rPr>
              <w:t>195.0</w:t>
            </w:r>
          </w:p>
        </w:tc>
        <w:tc>
          <w:tcPr>
            <w:tcW w:w="1418" w:type="dxa"/>
            <w:tcBorders>
              <w:top w:val="nil"/>
              <w:left w:val="nil"/>
              <w:bottom w:val="single" w:sz="4" w:space="0" w:color="auto"/>
              <w:right w:val="single" w:sz="8" w:space="0" w:color="auto"/>
            </w:tcBorders>
            <w:shd w:val="clear" w:color="auto" w:fill="auto"/>
            <w:noWrap/>
            <w:vAlign w:val="center"/>
            <w:hideMark/>
          </w:tcPr>
          <w:p w14:paraId="29906A42" w14:textId="77777777" w:rsidR="00BA2924" w:rsidRPr="00BA2924" w:rsidRDefault="00BA2924" w:rsidP="00685573">
            <w:pPr>
              <w:jc w:val="center"/>
              <w:rPr>
                <w:color w:val="000000"/>
                <w:sz w:val="18"/>
                <w:szCs w:val="18"/>
              </w:rPr>
            </w:pPr>
            <w:r w:rsidRPr="00BA2924">
              <w:rPr>
                <w:color w:val="000000"/>
                <w:sz w:val="18"/>
                <w:szCs w:val="18"/>
              </w:rPr>
              <w:t>1.18%</w:t>
            </w:r>
          </w:p>
        </w:tc>
      </w:tr>
      <w:tr w:rsidR="00BA2924" w:rsidRPr="00331212" w14:paraId="0932E4ED" w14:textId="77777777" w:rsidTr="00685573">
        <w:trPr>
          <w:trHeight w:val="300"/>
        </w:trPr>
        <w:tc>
          <w:tcPr>
            <w:tcW w:w="1975" w:type="dxa"/>
            <w:tcBorders>
              <w:top w:val="nil"/>
              <w:left w:val="single" w:sz="8" w:space="0" w:color="auto"/>
              <w:bottom w:val="single" w:sz="4" w:space="0" w:color="auto"/>
              <w:right w:val="single" w:sz="4" w:space="0" w:color="auto"/>
            </w:tcBorders>
            <w:shd w:val="clear" w:color="000000" w:fill="EDEDED"/>
            <w:noWrap/>
            <w:vAlign w:val="center"/>
            <w:hideMark/>
          </w:tcPr>
          <w:p w14:paraId="254AF2D4" w14:textId="77777777" w:rsidR="00BA2924" w:rsidRPr="00BA2924" w:rsidRDefault="00BA2924" w:rsidP="00685573">
            <w:pPr>
              <w:rPr>
                <w:color w:val="000000"/>
                <w:sz w:val="18"/>
                <w:szCs w:val="18"/>
              </w:rPr>
            </w:pPr>
            <w:r w:rsidRPr="00BA2924">
              <w:rPr>
                <w:color w:val="000000"/>
                <w:sz w:val="18"/>
                <w:szCs w:val="18"/>
              </w:rPr>
              <w:t>Defensa</w:t>
            </w:r>
          </w:p>
        </w:tc>
        <w:tc>
          <w:tcPr>
            <w:tcW w:w="1417" w:type="dxa"/>
            <w:tcBorders>
              <w:top w:val="nil"/>
              <w:left w:val="nil"/>
              <w:bottom w:val="single" w:sz="4" w:space="0" w:color="auto"/>
              <w:right w:val="single" w:sz="4" w:space="0" w:color="auto"/>
            </w:tcBorders>
            <w:shd w:val="clear" w:color="000000" w:fill="EDEDED"/>
            <w:noWrap/>
            <w:vAlign w:val="center"/>
            <w:hideMark/>
          </w:tcPr>
          <w:p w14:paraId="47527E5D" w14:textId="77777777" w:rsidR="00BA2924" w:rsidRPr="00BA2924" w:rsidRDefault="00BA2924" w:rsidP="00685573">
            <w:pPr>
              <w:jc w:val="center"/>
              <w:rPr>
                <w:color w:val="000000"/>
                <w:sz w:val="18"/>
                <w:szCs w:val="18"/>
              </w:rPr>
            </w:pPr>
            <w:r w:rsidRPr="00BA2924">
              <w:rPr>
                <w:color w:val="000000"/>
                <w:sz w:val="18"/>
                <w:szCs w:val="18"/>
              </w:rPr>
              <w:t>3</w:t>
            </w:r>
          </w:p>
        </w:tc>
        <w:tc>
          <w:tcPr>
            <w:tcW w:w="1418" w:type="dxa"/>
            <w:tcBorders>
              <w:top w:val="nil"/>
              <w:left w:val="nil"/>
              <w:bottom w:val="single" w:sz="4" w:space="0" w:color="auto"/>
              <w:right w:val="single" w:sz="4" w:space="0" w:color="auto"/>
            </w:tcBorders>
            <w:shd w:val="clear" w:color="000000" w:fill="EDEDED"/>
            <w:noWrap/>
            <w:vAlign w:val="center"/>
            <w:hideMark/>
          </w:tcPr>
          <w:p w14:paraId="42C69D56" w14:textId="77777777" w:rsidR="00BA2924" w:rsidRPr="00BA2924" w:rsidRDefault="00BA2924" w:rsidP="00685573">
            <w:pPr>
              <w:jc w:val="center"/>
              <w:rPr>
                <w:color w:val="000000"/>
                <w:sz w:val="18"/>
                <w:szCs w:val="18"/>
              </w:rPr>
            </w:pPr>
            <w:r w:rsidRPr="00BA2924">
              <w:rPr>
                <w:color w:val="000000"/>
                <w:sz w:val="18"/>
                <w:szCs w:val="18"/>
              </w:rPr>
              <w:t>44.1</w:t>
            </w:r>
          </w:p>
        </w:tc>
        <w:tc>
          <w:tcPr>
            <w:tcW w:w="1326" w:type="dxa"/>
            <w:tcBorders>
              <w:top w:val="nil"/>
              <w:left w:val="nil"/>
              <w:bottom w:val="single" w:sz="4" w:space="0" w:color="auto"/>
              <w:right w:val="single" w:sz="4" w:space="0" w:color="auto"/>
            </w:tcBorders>
            <w:shd w:val="clear" w:color="000000" w:fill="EDEDED"/>
            <w:noWrap/>
            <w:vAlign w:val="center"/>
            <w:hideMark/>
          </w:tcPr>
          <w:p w14:paraId="588EC721" w14:textId="77777777" w:rsidR="00BA2924" w:rsidRPr="00BA2924" w:rsidRDefault="00BA2924" w:rsidP="00685573">
            <w:pPr>
              <w:jc w:val="center"/>
              <w:rPr>
                <w:color w:val="000000"/>
                <w:sz w:val="18"/>
                <w:szCs w:val="18"/>
              </w:rPr>
            </w:pPr>
            <w:r w:rsidRPr="00BA2924">
              <w:rPr>
                <w:color w:val="000000"/>
                <w:sz w:val="18"/>
                <w:szCs w:val="18"/>
              </w:rPr>
              <w:t> </w:t>
            </w:r>
          </w:p>
        </w:tc>
        <w:tc>
          <w:tcPr>
            <w:tcW w:w="1225" w:type="dxa"/>
            <w:tcBorders>
              <w:top w:val="nil"/>
              <w:left w:val="nil"/>
              <w:bottom w:val="single" w:sz="4" w:space="0" w:color="auto"/>
              <w:right w:val="single" w:sz="4" w:space="0" w:color="auto"/>
            </w:tcBorders>
            <w:shd w:val="clear" w:color="000000" w:fill="EDEDED"/>
            <w:noWrap/>
            <w:vAlign w:val="center"/>
            <w:hideMark/>
          </w:tcPr>
          <w:p w14:paraId="787A237D" w14:textId="77777777" w:rsidR="00BA2924" w:rsidRPr="00BA2924" w:rsidRDefault="00BA2924" w:rsidP="00685573">
            <w:pPr>
              <w:jc w:val="center"/>
              <w:rPr>
                <w:color w:val="000000"/>
                <w:sz w:val="18"/>
                <w:szCs w:val="18"/>
              </w:rPr>
            </w:pPr>
            <w:r w:rsidRPr="00BA2924">
              <w:rPr>
                <w:color w:val="000000"/>
                <w:sz w:val="18"/>
                <w:szCs w:val="18"/>
              </w:rPr>
              <w:t>44.1</w:t>
            </w:r>
          </w:p>
        </w:tc>
        <w:tc>
          <w:tcPr>
            <w:tcW w:w="1418" w:type="dxa"/>
            <w:tcBorders>
              <w:top w:val="nil"/>
              <w:left w:val="nil"/>
              <w:bottom w:val="single" w:sz="4" w:space="0" w:color="auto"/>
              <w:right w:val="single" w:sz="8" w:space="0" w:color="auto"/>
            </w:tcBorders>
            <w:shd w:val="clear" w:color="000000" w:fill="EDEDED"/>
            <w:noWrap/>
            <w:vAlign w:val="center"/>
            <w:hideMark/>
          </w:tcPr>
          <w:p w14:paraId="00B05ED6" w14:textId="77777777" w:rsidR="00BA2924" w:rsidRPr="00BA2924" w:rsidRDefault="00BA2924" w:rsidP="00685573">
            <w:pPr>
              <w:jc w:val="center"/>
              <w:rPr>
                <w:color w:val="000000"/>
                <w:sz w:val="18"/>
                <w:szCs w:val="18"/>
              </w:rPr>
            </w:pPr>
            <w:r w:rsidRPr="00BA2924">
              <w:rPr>
                <w:color w:val="000000"/>
                <w:sz w:val="18"/>
                <w:szCs w:val="18"/>
              </w:rPr>
              <w:t>0.27%</w:t>
            </w:r>
          </w:p>
        </w:tc>
      </w:tr>
      <w:tr w:rsidR="00BA2924" w:rsidRPr="00331212" w14:paraId="682238B8" w14:textId="77777777" w:rsidTr="00685573">
        <w:trPr>
          <w:trHeight w:val="300"/>
        </w:trPr>
        <w:tc>
          <w:tcPr>
            <w:tcW w:w="1975" w:type="dxa"/>
            <w:tcBorders>
              <w:top w:val="nil"/>
              <w:left w:val="single" w:sz="8" w:space="0" w:color="auto"/>
              <w:bottom w:val="single" w:sz="4" w:space="0" w:color="auto"/>
              <w:right w:val="single" w:sz="4" w:space="0" w:color="auto"/>
            </w:tcBorders>
            <w:shd w:val="clear" w:color="auto" w:fill="auto"/>
            <w:noWrap/>
            <w:vAlign w:val="center"/>
            <w:hideMark/>
          </w:tcPr>
          <w:p w14:paraId="00851FE2" w14:textId="77777777" w:rsidR="00BA2924" w:rsidRPr="00BA2924" w:rsidRDefault="00BA2924" w:rsidP="00685573">
            <w:pPr>
              <w:rPr>
                <w:color w:val="000000"/>
                <w:sz w:val="18"/>
                <w:szCs w:val="18"/>
              </w:rPr>
            </w:pPr>
            <w:r w:rsidRPr="00BA2924">
              <w:rPr>
                <w:color w:val="000000"/>
                <w:sz w:val="18"/>
                <w:szCs w:val="18"/>
              </w:rPr>
              <w:t>Desarrollo urbano y rural</w:t>
            </w:r>
          </w:p>
        </w:tc>
        <w:tc>
          <w:tcPr>
            <w:tcW w:w="1417" w:type="dxa"/>
            <w:tcBorders>
              <w:top w:val="nil"/>
              <w:left w:val="nil"/>
              <w:bottom w:val="single" w:sz="4" w:space="0" w:color="auto"/>
              <w:right w:val="single" w:sz="4" w:space="0" w:color="auto"/>
            </w:tcBorders>
            <w:shd w:val="clear" w:color="auto" w:fill="auto"/>
            <w:noWrap/>
            <w:vAlign w:val="center"/>
            <w:hideMark/>
          </w:tcPr>
          <w:p w14:paraId="0E24E088" w14:textId="77777777" w:rsidR="00BA2924" w:rsidRPr="00BA2924" w:rsidRDefault="00BA2924" w:rsidP="00685573">
            <w:pPr>
              <w:jc w:val="center"/>
              <w:rPr>
                <w:color w:val="000000"/>
                <w:sz w:val="18"/>
                <w:szCs w:val="18"/>
              </w:rPr>
            </w:pPr>
            <w:r w:rsidRPr="00BA2924">
              <w:rPr>
                <w:color w:val="000000"/>
                <w:sz w:val="18"/>
                <w:szCs w:val="18"/>
              </w:rPr>
              <w:t>13</w:t>
            </w:r>
          </w:p>
        </w:tc>
        <w:tc>
          <w:tcPr>
            <w:tcW w:w="1418" w:type="dxa"/>
            <w:tcBorders>
              <w:top w:val="nil"/>
              <w:left w:val="nil"/>
              <w:bottom w:val="single" w:sz="4" w:space="0" w:color="auto"/>
              <w:right w:val="single" w:sz="4" w:space="0" w:color="auto"/>
            </w:tcBorders>
            <w:shd w:val="clear" w:color="auto" w:fill="auto"/>
            <w:noWrap/>
            <w:vAlign w:val="center"/>
            <w:hideMark/>
          </w:tcPr>
          <w:p w14:paraId="37C67ED0" w14:textId="77777777" w:rsidR="00BA2924" w:rsidRPr="00BA2924" w:rsidRDefault="00BA2924" w:rsidP="00685573">
            <w:pPr>
              <w:jc w:val="center"/>
              <w:rPr>
                <w:color w:val="000000"/>
                <w:sz w:val="18"/>
                <w:szCs w:val="18"/>
              </w:rPr>
            </w:pPr>
            <w:r w:rsidRPr="00BA2924">
              <w:rPr>
                <w:color w:val="000000"/>
                <w:sz w:val="18"/>
                <w:szCs w:val="18"/>
              </w:rPr>
              <w:t>26.3</w:t>
            </w:r>
          </w:p>
        </w:tc>
        <w:tc>
          <w:tcPr>
            <w:tcW w:w="1326" w:type="dxa"/>
            <w:tcBorders>
              <w:top w:val="nil"/>
              <w:left w:val="nil"/>
              <w:bottom w:val="single" w:sz="4" w:space="0" w:color="auto"/>
              <w:right w:val="single" w:sz="4" w:space="0" w:color="auto"/>
            </w:tcBorders>
            <w:shd w:val="clear" w:color="auto" w:fill="auto"/>
            <w:noWrap/>
            <w:vAlign w:val="center"/>
            <w:hideMark/>
          </w:tcPr>
          <w:p w14:paraId="54FBBE23" w14:textId="77777777" w:rsidR="00BA2924" w:rsidRPr="00BA2924" w:rsidRDefault="00BA2924" w:rsidP="00685573">
            <w:pPr>
              <w:jc w:val="center"/>
              <w:rPr>
                <w:color w:val="000000"/>
                <w:sz w:val="18"/>
                <w:szCs w:val="18"/>
              </w:rPr>
            </w:pPr>
            <w:r w:rsidRPr="00BA2924">
              <w:rPr>
                <w:color w:val="000000"/>
                <w:sz w:val="18"/>
                <w:szCs w:val="18"/>
              </w:rPr>
              <w:t> </w:t>
            </w:r>
          </w:p>
        </w:tc>
        <w:tc>
          <w:tcPr>
            <w:tcW w:w="1225" w:type="dxa"/>
            <w:tcBorders>
              <w:top w:val="nil"/>
              <w:left w:val="nil"/>
              <w:bottom w:val="single" w:sz="4" w:space="0" w:color="auto"/>
              <w:right w:val="single" w:sz="4" w:space="0" w:color="auto"/>
            </w:tcBorders>
            <w:shd w:val="clear" w:color="auto" w:fill="auto"/>
            <w:noWrap/>
            <w:vAlign w:val="center"/>
            <w:hideMark/>
          </w:tcPr>
          <w:p w14:paraId="58BA36FB" w14:textId="77777777" w:rsidR="00BA2924" w:rsidRPr="00BA2924" w:rsidRDefault="00BA2924" w:rsidP="00685573">
            <w:pPr>
              <w:jc w:val="center"/>
              <w:rPr>
                <w:color w:val="000000"/>
                <w:sz w:val="18"/>
                <w:szCs w:val="18"/>
              </w:rPr>
            </w:pPr>
            <w:r w:rsidRPr="00BA2924">
              <w:rPr>
                <w:color w:val="000000"/>
                <w:sz w:val="18"/>
                <w:szCs w:val="18"/>
              </w:rPr>
              <w:t>26.3</w:t>
            </w:r>
          </w:p>
        </w:tc>
        <w:tc>
          <w:tcPr>
            <w:tcW w:w="1418" w:type="dxa"/>
            <w:tcBorders>
              <w:top w:val="nil"/>
              <w:left w:val="nil"/>
              <w:bottom w:val="single" w:sz="4" w:space="0" w:color="auto"/>
              <w:right w:val="single" w:sz="8" w:space="0" w:color="auto"/>
            </w:tcBorders>
            <w:shd w:val="clear" w:color="auto" w:fill="auto"/>
            <w:noWrap/>
            <w:vAlign w:val="center"/>
            <w:hideMark/>
          </w:tcPr>
          <w:p w14:paraId="7ADC1518" w14:textId="77777777" w:rsidR="00BA2924" w:rsidRPr="00BA2924" w:rsidRDefault="00BA2924" w:rsidP="00685573">
            <w:pPr>
              <w:jc w:val="center"/>
              <w:rPr>
                <w:color w:val="000000"/>
                <w:sz w:val="18"/>
                <w:szCs w:val="18"/>
              </w:rPr>
            </w:pPr>
            <w:r w:rsidRPr="00BA2924">
              <w:rPr>
                <w:color w:val="000000"/>
                <w:sz w:val="18"/>
                <w:szCs w:val="18"/>
              </w:rPr>
              <w:t>0.16%</w:t>
            </w:r>
          </w:p>
        </w:tc>
      </w:tr>
      <w:tr w:rsidR="00BA2924" w:rsidRPr="00331212" w14:paraId="00B8B327" w14:textId="77777777" w:rsidTr="00685573">
        <w:trPr>
          <w:trHeight w:val="300"/>
        </w:trPr>
        <w:tc>
          <w:tcPr>
            <w:tcW w:w="1975" w:type="dxa"/>
            <w:tcBorders>
              <w:top w:val="nil"/>
              <w:left w:val="single" w:sz="8" w:space="0" w:color="auto"/>
              <w:bottom w:val="single" w:sz="4" w:space="0" w:color="auto"/>
              <w:right w:val="single" w:sz="4" w:space="0" w:color="auto"/>
            </w:tcBorders>
            <w:shd w:val="clear" w:color="000000" w:fill="EDEDED"/>
            <w:noWrap/>
            <w:vAlign w:val="center"/>
            <w:hideMark/>
          </w:tcPr>
          <w:p w14:paraId="03E6E68E" w14:textId="77777777" w:rsidR="00BA2924" w:rsidRPr="00BA2924" w:rsidRDefault="00BA2924" w:rsidP="00685573">
            <w:pPr>
              <w:rPr>
                <w:color w:val="000000"/>
                <w:sz w:val="18"/>
                <w:szCs w:val="18"/>
              </w:rPr>
            </w:pPr>
            <w:r w:rsidRPr="00BA2924">
              <w:rPr>
                <w:color w:val="000000"/>
                <w:sz w:val="18"/>
                <w:szCs w:val="18"/>
              </w:rPr>
              <w:t>Educación</w:t>
            </w:r>
          </w:p>
        </w:tc>
        <w:tc>
          <w:tcPr>
            <w:tcW w:w="1417" w:type="dxa"/>
            <w:tcBorders>
              <w:top w:val="nil"/>
              <w:left w:val="nil"/>
              <w:bottom w:val="single" w:sz="4" w:space="0" w:color="auto"/>
              <w:right w:val="single" w:sz="4" w:space="0" w:color="auto"/>
            </w:tcBorders>
            <w:shd w:val="clear" w:color="000000" w:fill="EDEDED"/>
            <w:noWrap/>
            <w:vAlign w:val="center"/>
            <w:hideMark/>
          </w:tcPr>
          <w:p w14:paraId="4C2784CA" w14:textId="77777777" w:rsidR="00BA2924" w:rsidRPr="00BA2924" w:rsidRDefault="00BA2924" w:rsidP="00685573">
            <w:pPr>
              <w:jc w:val="center"/>
              <w:rPr>
                <w:color w:val="000000"/>
                <w:sz w:val="18"/>
                <w:szCs w:val="18"/>
              </w:rPr>
            </w:pPr>
            <w:r w:rsidRPr="00BA2924">
              <w:rPr>
                <w:color w:val="000000"/>
                <w:sz w:val="18"/>
                <w:szCs w:val="18"/>
              </w:rPr>
              <w:t>848</w:t>
            </w:r>
          </w:p>
        </w:tc>
        <w:tc>
          <w:tcPr>
            <w:tcW w:w="1418" w:type="dxa"/>
            <w:tcBorders>
              <w:top w:val="nil"/>
              <w:left w:val="nil"/>
              <w:bottom w:val="single" w:sz="4" w:space="0" w:color="auto"/>
              <w:right w:val="single" w:sz="4" w:space="0" w:color="auto"/>
            </w:tcBorders>
            <w:shd w:val="clear" w:color="000000" w:fill="EDEDED"/>
            <w:noWrap/>
            <w:vAlign w:val="center"/>
            <w:hideMark/>
          </w:tcPr>
          <w:p w14:paraId="231E23DC" w14:textId="77777777" w:rsidR="00BA2924" w:rsidRPr="00BA2924" w:rsidRDefault="00BA2924" w:rsidP="00685573">
            <w:pPr>
              <w:jc w:val="center"/>
              <w:rPr>
                <w:color w:val="000000"/>
                <w:sz w:val="18"/>
                <w:szCs w:val="18"/>
              </w:rPr>
            </w:pPr>
            <w:r w:rsidRPr="00BA2924">
              <w:rPr>
                <w:color w:val="000000"/>
                <w:sz w:val="18"/>
                <w:szCs w:val="18"/>
              </w:rPr>
              <w:t>1,739.4</w:t>
            </w:r>
          </w:p>
        </w:tc>
        <w:tc>
          <w:tcPr>
            <w:tcW w:w="1326" w:type="dxa"/>
            <w:tcBorders>
              <w:top w:val="nil"/>
              <w:left w:val="nil"/>
              <w:bottom w:val="single" w:sz="4" w:space="0" w:color="auto"/>
              <w:right w:val="single" w:sz="4" w:space="0" w:color="auto"/>
            </w:tcBorders>
            <w:shd w:val="clear" w:color="000000" w:fill="EDEDED"/>
            <w:noWrap/>
            <w:vAlign w:val="center"/>
            <w:hideMark/>
          </w:tcPr>
          <w:p w14:paraId="565266AB" w14:textId="77777777" w:rsidR="00BA2924" w:rsidRPr="00BA2924" w:rsidRDefault="00BA2924" w:rsidP="00685573">
            <w:pPr>
              <w:jc w:val="center"/>
              <w:rPr>
                <w:color w:val="000000"/>
                <w:sz w:val="18"/>
                <w:szCs w:val="18"/>
              </w:rPr>
            </w:pPr>
            <w:r w:rsidRPr="00BA2924">
              <w:rPr>
                <w:color w:val="000000"/>
                <w:sz w:val="18"/>
                <w:szCs w:val="18"/>
              </w:rPr>
              <w:t>39.2</w:t>
            </w:r>
          </w:p>
        </w:tc>
        <w:tc>
          <w:tcPr>
            <w:tcW w:w="1225" w:type="dxa"/>
            <w:tcBorders>
              <w:top w:val="nil"/>
              <w:left w:val="nil"/>
              <w:bottom w:val="single" w:sz="4" w:space="0" w:color="auto"/>
              <w:right w:val="single" w:sz="4" w:space="0" w:color="auto"/>
            </w:tcBorders>
            <w:shd w:val="clear" w:color="000000" w:fill="EDEDED"/>
            <w:noWrap/>
            <w:vAlign w:val="center"/>
            <w:hideMark/>
          </w:tcPr>
          <w:p w14:paraId="32398D5B" w14:textId="77777777" w:rsidR="00BA2924" w:rsidRPr="00BA2924" w:rsidRDefault="00BA2924" w:rsidP="00685573">
            <w:pPr>
              <w:jc w:val="center"/>
              <w:rPr>
                <w:color w:val="000000"/>
                <w:sz w:val="18"/>
                <w:szCs w:val="18"/>
              </w:rPr>
            </w:pPr>
            <w:r w:rsidRPr="00BA2924">
              <w:rPr>
                <w:color w:val="000000"/>
                <w:sz w:val="18"/>
                <w:szCs w:val="18"/>
              </w:rPr>
              <w:t>1,778.6</w:t>
            </w:r>
          </w:p>
        </w:tc>
        <w:tc>
          <w:tcPr>
            <w:tcW w:w="1418" w:type="dxa"/>
            <w:tcBorders>
              <w:top w:val="nil"/>
              <w:left w:val="nil"/>
              <w:bottom w:val="single" w:sz="4" w:space="0" w:color="auto"/>
              <w:right w:val="single" w:sz="8" w:space="0" w:color="auto"/>
            </w:tcBorders>
            <w:shd w:val="clear" w:color="000000" w:fill="EDEDED"/>
            <w:noWrap/>
            <w:vAlign w:val="center"/>
            <w:hideMark/>
          </w:tcPr>
          <w:p w14:paraId="64F0B0BA" w14:textId="77777777" w:rsidR="00BA2924" w:rsidRPr="00BA2924" w:rsidRDefault="00BA2924" w:rsidP="00685573">
            <w:pPr>
              <w:jc w:val="center"/>
              <w:rPr>
                <w:color w:val="000000"/>
                <w:sz w:val="18"/>
                <w:szCs w:val="18"/>
              </w:rPr>
            </w:pPr>
            <w:r w:rsidRPr="00BA2924">
              <w:rPr>
                <w:color w:val="000000"/>
                <w:sz w:val="18"/>
                <w:szCs w:val="18"/>
              </w:rPr>
              <w:t>10.78%</w:t>
            </w:r>
          </w:p>
        </w:tc>
      </w:tr>
      <w:tr w:rsidR="00BA2924" w:rsidRPr="00331212" w14:paraId="7EF4017A" w14:textId="77777777" w:rsidTr="00685573">
        <w:trPr>
          <w:trHeight w:val="300"/>
        </w:trPr>
        <w:tc>
          <w:tcPr>
            <w:tcW w:w="1975" w:type="dxa"/>
            <w:tcBorders>
              <w:top w:val="nil"/>
              <w:left w:val="single" w:sz="8" w:space="0" w:color="auto"/>
              <w:bottom w:val="single" w:sz="4" w:space="0" w:color="auto"/>
              <w:right w:val="single" w:sz="4" w:space="0" w:color="auto"/>
            </w:tcBorders>
            <w:shd w:val="clear" w:color="auto" w:fill="auto"/>
            <w:noWrap/>
            <w:vAlign w:val="center"/>
            <w:hideMark/>
          </w:tcPr>
          <w:p w14:paraId="48BDA201" w14:textId="77777777" w:rsidR="00BA2924" w:rsidRPr="00BA2924" w:rsidRDefault="00BA2924" w:rsidP="00685573">
            <w:pPr>
              <w:rPr>
                <w:color w:val="000000"/>
                <w:sz w:val="18"/>
                <w:szCs w:val="18"/>
              </w:rPr>
            </w:pPr>
            <w:r w:rsidRPr="00BA2924">
              <w:rPr>
                <w:color w:val="000000"/>
                <w:sz w:val="18"/>
                <w:szCs w:val="18"/>
              </w:rPr>
              <w:t>Energía</w:t>
            </w:r>
          </w:p>
        </w:tc>
        <w:tc>
          <w:tcPr>
            <w:tcW w:w="1417" w:type="dxa"/>
            <w:tcBorders>
              <w:top w:val="nil"/>
              <w:left w:val="nil"/>
              <w:bottom w:val="single" w:sz="4" w:space="0" w:color="auto"/>
              <w:right w:val="single" w:sz="4" w:space="0" w:color="auto"/>
            </w:tcBorders>
            <w:shd w:val="clear" w:color="auto" w:fill="auto"/>
            <w:noWrap/>
            <w:vAlign w:val="center"/>
            <w:hideMark/>
          </w:tcPr>
          <w:p w14:paraId="2DFCDB1B" w14:textId="77777777" w:rsidR="00BA2924" w:rsidRPr="00BA2924" w:rsidRDefault="00BA2924" w:rsidP="00685573">
            <w:pPr>
              <w:jc w:val="center"/>
              <w:rPr>
                <w:color w:val="000000"/>
                <w:sz w:val="18"/>
                <w:szCs w:val="18"/>
              </w:rPr>
            </w:pPr>
            <w:r w:rsidRPr="00BA2924">
              <w:rPr>
                <w:color w:val="000000"/>
                <w:sz w:val="18"/>
                <w:szCs w:val="18"/>
              </w:rPr>
              <w:t>6</w:t>
            </w:r>
          </w:p>
        </w:tc>
        <w:tc>
          <w:tcPr>
            <w:tcW w:w="1418" w:type="dxa"/>
            <w:tcBorders>
              <w:top w:val="nil"/>
              <w:left w:val="nil"/>
              <w:bottom w:val="single" w:sz="4" w:space="0" w:color="auto"/>
              <w:right w:val="single" w:sz="4" w:space="0" w:color="auto"/>
            </w:tcBorders>
            <w:shd w:val="clear" w:color="auto" w:fill="auto"/>
            <w:noWrap/>
            <w:vAlign w:val="center"/>
            <w:hideMark/>
          </w:tcPr>
          <w:p w14:paraId="586E5879" w14:textId="77777777" w:rsidR="00BA2924" w:rsidRPr="00BA2924" w:rsidRDefault="00BA2924" w:rsidP="00685573">
            <w:pPr>
              <w:jc w:val="center"/>
              <w:rPr>
                <w:color w:val="000000"/>
                <w:sz w:val="18"/>
                <w:szCs w:val="18"/>
              </w:rPr>
            </w:pPr>
            <w:r w:rsidRPr="00BA2924">
              <w:rPr>
                <w:color w:val="000000"/>
                <w:sz w:val="18"/>
                <w:szCs w:val="18"/>
              </w:rPr>
              <w:t>101.7</w:t>
            </w:r>
          </w:p>
        </w:tc>
        <w:tc>
          <w:tcPr>
            <w:tcW w:w="1326" w:type="dxa"/>
            <w:tcBorders>
              <w:top w:val="nil"/>
              <w:left w:val="nil"/>
              <w:bottom w:val="single" w:sz="4" w:space="0" w:color="auto"/>
              <w:right w:val="single" w:sz="4" w:space="0" w:color="auto"/>
            </w:tcBorders>
            <w:shd w:val="clear" w:color="auto" w:fill="auto"/>
            <w:noWrap/>
            <w:vAlign w:val="center"/>
            <w:hideMark/>
          </w:tcPr>
          <w:p w14:paraId="1C45069B" w14:textId="77777777" w:rsidR="00BA2924" w:rsidRPr="00BA2924" w:rsidRDefault="00BA2924" w:rsidP="00685573">
            <w:pPr>
              <w:jc w:val="center"/>
              <w:rPr>
                <w:color w:val="000000"/>
                <w:sz w:val="18"/>
                <w:szCs w:val="18"/>
              </w:rPr>
            </w:pPr>
            <w:r w:rsidRPr="00BA2924">
              <w:rPr>
                <w:color w:val="000000"/>
                <w:sz w:val="18"/>
                <w:szCs w:val="18"/>
              </w:rPr>
              <w:t> </w:t>
            </w:r>
          </w:p>
        </w:tc>
        <w:tc>
          <w:tcPr>
            <w:tcW w:w="1225" w:type="dxa"/>
            <w:tcBorders>
              <w:top w:val="nil"/>
              <w:left w:val="nil"/>
              <w:bottom w:val="single" w:sz="4" w:space="0" w:color="auto"/>
              <w:right w:val="single" w:sz="4" w:space="0" w:color="auto"/>
            </w:tcBorders>
            <w:shd w:val="clear" w:color="auto" w:fill="auto"/>
            <w:noWrap/>
            <w:vAlign w:val="center"/>
            <w:hideMark/>
          </w:tcPr>
          <w:p w14:paraId="1F1B2A53" w14:textId="77777777" w:rsidR="00BA2924" w:rsidRPr="00BA2924" w:rsidRDefault="00BA2924" w:rsidP="00685573">
            <w:pPr>
              <w:jc w:val="center"/>
              <w:rPr>
                <w:color w:val="000000"/>
                <w:sz w:val="18"/>
                <w:szCs w:val="18"/>
              </w:rPr>
            </w:pPr>
            <w:r w:rsidRPr="00BA2924">
              <w:rPr>
                <w:color w:val="000000"/>
                <w:sz w:val="18"/>
                <w:szCs w:val="18"/>
              </w:rPr>
              <w:t>101.7</w:t>
            </w:r>
          </w:p>
        </w:tc>
        <w:tc>
          <w:tcPr>
            <w:tcW w:w="1418" w:type="dxa"/>
            <w:tcBorders>
              <w:top w:val="nil"/>
              <w:left w:val="nil"/>
              <w:bottom w:val="single" w:sz="4" w:space="0" w:color="auto"/>
              <w:right w:val="single" w:sz="8" w:space="0" w:color="auto"/>
            </w:tcBorders>
            <w:shd w:val="clear" w:color="auto" w:fill="auto"/>
            <w:noWrap/>
            <w:vAlign w:val="center"/>
            <w:hideMark/>
          </w:tcPr>
          <w:p w14:paraId="70336699" w14:textId="77777777" w:rsidR="00BA2924" w:rsidRPr="00BA2924" w:rsidRDefault="00BA2924" w:rsidP="00685573">
            <w:pPr>
              <w:jc w:val="center"/>
              <w:rPr>
                <w:color w:val="000000"/>
                <w:sz w:val="18"/>
                <w:szCs w:val="18"/>
              </w:rPr>
            </w:pPr>
            <w:r w:rsidRPr="00BA2924">
              <w:rPr>
                <w:color w:val="000000"/>
                <w:sz w:val="18"/>
                <w:szCs w:val="18"/>
              </w:rPr>
              <w:t>0.62%</w:t>
            </w:r>
          </w:p>
        </w:tc>
      </w:tr>
      <w:tr w:rsidR="00BA2924" w:rsidRPr="00331212" w14:paraId="36EA0C7B" w14:textId="77777777" w:rsidTr="00685573">
        <w:trPr>
          <w:trHeight w:val="300"/>
        </w:trPr>
        <w:tc>
          <w:tcPr>
            <w:tcW w:w="1975" w:type="dxa"/>
            <w:tcBorders>
              <w:top w:val="nil"/>
              <w:left w:val="single" w:sz="8" w:space="0" w:color="auto"/>
              <w:bottom w:val="single" w:sz="4" w:space="0" w:color="auto"/>
              <w:right w:val="single" w:sz="4" w:space="0" w:color="auto"/>
            </w:tcBorders>
            <w:shd w:val="clear" w:color="000000" w:fill="EDEDED"/>
            <w:noWrap/>
            <w:vAlign w:val="center"/>
            <w:hideMark/>
          </w:tcPr>
          <w:p w14:paraId="71E995EF" w14:textId="77777777" w:rsidR="00BA2924" w:rsidRPr="00BA2924" w:rsidRDefault="00BA2924" w:rsidP="00685573">
            <w:pPr>
              <w:rPr>
                <w:color w:val="000000"/>
                <w:sz w:val="18"/>
                <w:szCs w:val="18"/>
              </w:rPr>
            </w:pPr>
            <w:r w:rsidRPr="00BA2924">
              <w:rPr>
                <w:color w:val="000000"/>
                <w:sz w:val="18"/>
                <w:szCs w:val="18"/>
              </w:rPr>
              <w:t>Industria y comercio</w:t>
            </w:r>
          </w:p>
        </w:tc>
        <w:tc>
          <w:tcPr>
            <w:tcW w:w="1417" w:type="dxa"/>
            <w:tcBorders>
              <w:top w:val="nil"/>
              <w:left w:val="nil"/>
              <w:bottom w:val="single" w:sz="4" w:space="0" w:color="auto"/>
              <w:right w:val="single" w:sz="4" w:space="0" w:color="auto"/>
            </w:tcBorders>
            <w:shd w:val="clear" w:color="000000" w:fill="EDEDED"/>
            <w:noWrap/>
            <w:vAlign w:val="center"/>
            <w:hideMark/>
          </w:tcPr>
          <w:p w14:paraId="2929F254" w14:textId="77777777" w:rsidR="00BA2924" w:rsidRPr="00BA2924" w:rsidRDefault="00BA2924" w:rsidP="00685573">
            <w:pPr>
              <w:jc w:val="center"/>
              <w:rPr>
                <w:color w:val="000000"/>
                <w:sz w:val="18"/>
                <w:szCs w:val="18"/>
              </w:rPr>
            </w:pPr>
            <w:r w:rsidRPr="00BA2924">
              <w:rPr>
                <w:color w:val="000000"/>
                <w:sz w:val="18"/>
                <w:szCs w:val="18"/>
              </w:rPr>
              <w:t>1</w:t>
            </w:r>
          </w:p>
        </w:tc>
        <w:tc>
          <w:tcPr>
            <w:tcW w:w="1418" w:type="dxa"/>
            <w:tcBorders>
              <w:top w:val="nil"/>
              <w:left w:val="nil"/>
              <w:bottom w:val="single" w:sz="4" w:space="0" w:color="auto"/>
              <w:right w:val="single" w:sz="4" w:space="0" w:color="auto"/>
            </w:tcBorders>
            <w:shd w:val="clear" w:color="000000" w:fill="EDEDED"/>
            <w:noWrap/>
            <w:vAlign w:val="center"/>
            <w:hideMark/>
          </w:tcPr>
          <w:p w14:paraId="494247C6" w14:textId="77777777" w:rsidR="00BA2924" w:rsidRPr="00BA2924" w:rsidRDefault="00BA2924" w:rsidP="00685573">
            <w:pPr>
              <w:jc w:val="center"/>
              <w:rPr>
                <w:color w:val="000000"/>
                <w:sz w:val="18"/>
                <w:szCs w:val="18"/>
              </w:rPr>
            </w:pPr>
            <w:r w:rsidRPr="00BA2924">
              <w:rPr>
                <w:color w:val="000000"/>
                <w:sz w:val="18"/>
                <w:szCs w:val="18"/>
              </w:rPr>
              <w:t>0.9</w:t>
            </w:r>
          </w:p>
        </w:tc>
        <w:tc>
          <w:tcPr>
            <w:tcW w:w="1326" w:type="dxa"/>
            <w:tcBorders>
              <w:top w:val="nil"/>
              <w:left w:val="nil"/>
              <w:bottom w:val="single" w:sz="4" w:space="0" w:color="auto"/>
              <w:right w:val="single" w:sz="4" w:space="0" w:color="auto"/>
            </w:tcBorders>
            <w:shd w:val="clear" w:color="000000" w:fill="EDEDED"/>
            <w:noWrap/>
            <w:vAlign w:val="center"/>
            <w:hideMark/>
          </w:tcPr>
          <w:p w14:paraId="0EC846CE" w14:textId="77777777" w:rsidR="00BA2924" w:rsidRPr="00BA2924" w:rsidRDefault="00BA2924" w:rsidP="00685573">
            <w:pPr>
              <w:jc w:val="center"/>
              <w:rPr>
                <w:color w:val="000000"/>
                <w:sz w:val="18"/>
                <w:szCs w:val="18"/>
              </w:rPr>
            </w:pPr>
            <w:r w:rsidRPr="00BA2924">
              <w:rPr>
                <w:color w:val="000000"/>
                <w:sz w:val="18"/>
                <w:szCs w:val="18"/>
              </w:rPr>
              <w:t> </w:t>
            </w:r>
          </w:p>
        </w:tc>
        <w:tc>
          <w:tcPr>
            <w:tcW w:w="1225" w:type="dxa"/>
            <w:tcBorders>
              <w:top w:val="nil"/>
              <w:left w:val="nil"/>
              <w:bottom w:val="single" w:sz="4" w:space="0" w:color="auto"/>
              <w:right w:val="single" w:sz="4" w:space="0" w:color="auto"/>
            </w:tcBorders>
            <w:shd w:val="clear" w:color="000000" w:fill="EDEDED"/>
            <w:noWrap/>
            <w:vAlign w:val="center"/>
            <w:hideMark/>
          </w:tcPr>
          <w:p w14:paraId="34511871" w14:textId="77777777" w:rsidR="00BA2924" w:rsidRPr="00BA2924" w:rsidRDefault="00BA2924" w:rsidP="00685573">
            <w:pPr>
              <w:jc w:val="center"/>
              <w:rPr>
                <w:color w:val="000000"/>
                <w:sz w:val="18"/>
                <w:szCs w:val="18"/>
              </w:rPr>
            </w:pPr>
            <w:r w:rsidRPr="00BA2924">
              <w:rPr>
                <w:color w:val="000000"/>
                <w:sz w:val="18"/>
                <w:szCs w:val="18"/>
              </w:rPr>
              <w:t>0.9</w:t>
            </w:r>
          </w:p>
        </w:tc>
        <w:tc>
          <w:tcPr>
            <w:tcW w:w="1418" w:type="dxa"/>
            <w:tcBorders>
              <w:top w:val="nil"/>
              <w:left w:val="nil"/>
              <w:bottom w:val="single" w:sz="4" w:space="0" w:color="auto"/>
              <w:right w:val="single" w:sz="8" w:space="0" w:color="auto"/>
            </w:tcBorders>
            <w:shd w:val="clear" w:color="000000" w:fill="EDEDED"/>
            <w:noWrap/>
            <w:vAlign w:val="center"/>
            <w:hideMark/>
          </w:tcPr>
          <w:p w14:paraId="26236518" w14:textId="77777777" w:rsidR="00BA2924" w:rsidRPr="00BA2924" w:rsidRDefault="00BA2924" w:rsidP="00685573">
            <w:pPr>
              <w:jc w:val="center"/>
              <w:rPr>
                <w:color w:val="000000"/>
                <w:sz w:val="18"/>
                <w:szCs w:val="18"/>
              </w:rPr>
            </w:pPr>
            <w:r w:rsidRPr="00BA2924">
              <w:rPr>
                <w:color w:val="000000"/>
                <w:sz w:val="18"/>
                <w:szCs w:val="18"/>
              </w:rPr>
              <w:t>0.01%</w:t>
            </w:r>
          </w:p>
        </w:tc>
      </w:tr>
      <w:tr w:rsidR="00BA2924" w:rsidRPr="00331212" w14:paraId="7BC22CD1" w14:textId="77777777" w:rsidTr="00685573">
        <w:trPr>
          <w:trHeight w:val="300"/>
        </w:trPr>
        <w:tc>
          <w:tcPr>
            <w:tcW w:w="1975" w:type="dxa"/>
            <w:tcBorders>
              <w:top w:val="nil"/>
              <w:left w:val="single" w:sz="8" w:space="0" w:color="auto"/>
              <w:bottom w:val="single" w:sz="4" w:space="0" w:color="auto"/>
              <w:right w:val="single" w:sz="4" w:space="0" w:color="auto"/>
            </w:tcBorders>
            <w:shd w:val="clear" w:color="auto" w:fill="auto"/>
            <w:noWrap/>
            <w:vAlign w:val="center"/>
            <w:hideMark/>
          </w:tcPr>
          <w:p w14:paraId="4BED9E74" w14:textId="77777777" w:rsidR="00BA2924" w:rsidRPr="00BA2924" w:rsidRDefault="00BA2924" w:rsidP="00685573">
            <w:pPr>
              <w:rPr>
                <w:color w:val="000000"/>
                <w:sz w:val="18"/>
                <w:szCs w:val="18"/>
              </w:rPr>
            </w:pPr>
            <w:r w:rsidRPr="00BA2924">
              <w:rPr>
                <w:color w:val="000000"/>
                <w:sz w:val="18"/>
                <w:szCs w:val="18"/>
              </w:rPr>
              <w:t>Judicial</w:t>
            </w:r>
          </w:p>
        </w:tc>
        <w:tc>
          <w:tcPr>
            <w:tcW w:w="1417" w:type="dxa"/>
            <w:tcBorders>
              <w:top w:val="nil"/>
              <w:left w:val="nil"/>
              <w:bottom w:val="single" w:sz="4" w:space="0" w:color="auto"/>
              <w:right w:val="single" w:sz="4" w:space="0" w:color="auto"/>
            </w:tcBorders>
            <w:shd w:val="clear" w:color="auto" w:fill="auto"/>
            <w:noWrap/>
            <w:vAlign w:val="center"/>
            <w:hideMark/>
          </w:tcPr>
          <w:p w14:paraId="75E4A4D3" w14:textId="77777777" w:rsidR="00BA2924" w:rsidRPr="00BA2924" w:rsidRDefault="00BA2924" w:rsidP="00685573">
            <w:pPr>
              <w:jc w:val="center"/>
              <w:rPr>
                <w:color w:val="000000"/>
                <w:sz w:val="18"/>
                <w:szCs w:val="18"/>
              </w:rPr>
            </w:pPr>
            <w:r w:rsidRPr="00BA2924">
              <w:rPr>
                <w:color w:val="000000"/>
                <w:sz w:val="18"/>
                <w:szCs w:val="18"/>
              </w:rPr>
              <w:t>16</w:t>
            </w:r>
          </w:p>
        </w:tc>
        <w:tc>
          <w:tcPr>
            <w:tcW w:w="1418" w:type="dxa"/>
            <w:tcBorders>
              <w:top w:val="nil"/>
              <w:left w:val="nil"/>
              <w:bottom w:val="single" w:sz="4" w:space="0" w:color="auto"/>
              <w:right w:val="single" w:sz="4" w:space="0" w:color="auto"/>
            </w:tcBorders>
            <w:shd w:val="clear" w:color="auto" w:fill="auto"/>
            <w:noWrap/>
            <w:vAlign w:val="center"/>
            <w:hideMark/>
          </w:tcPr>
          <w:p w14:paraId="5F9426F0" w14:textId="77777777" w:rsidR="00BA2924" w:rsidRPr="00BA2924" w:rsidRDefault="00BA2924" w:rsidP="00685573">
            <w:pPr>
              <w:jc w:val="center"/>
              <w:rPr>
                <w:color w:val="000000"/>
                <w:sz w:val="18"/>
                <w:szCs w:val="18"/>
              </w:rPr>
            </w:pPr>
            <w:r w:rsidRPr="00BA2924">
              <w:rPr>
                <w:color w:val="000000"/>
                <w:sz w:val="18"/>
                <w:szCs w:val="18"/>
              </w:rPr>
              <w:t>2.7</w:t>
            </w:r>
          </w:p>
        </w:tc>
        <w:tc>
          <w:tcPr>
            <w:tcW w:w="1326" w:type="dxa"/>
            <w:tcBorders>
              <w:top w:val="nil"/>
              <w:left w:val="nil"/>
              <w:bottom w:val="single" w:sz="4" w:space="0" w:color="auto"/>
              <w:right w:val="single" w:sz="4" w:space="0" w:color="auto"/>
            </w:tcBorders>
            <w:shd w:val="clear" w:color="auto" w:fill="auto"/>
            <w:noWrap/>
            <w:vAlign w:val="center"/>
            <w:hideMark/>
          </w:tcPr>
          <w:p w14:paraId="51A6C1CB" w14:textId="77777777" w:rsidR="00BA2924" w:rsidRPr="00BA2924" w:rsidRDefault="00BA2924" w:rsidP="00685573">
            <w:pPr>
              <w:jc w:val="center"/>
              <w:rPr>
                <w:color w:val="000000"/>
                <w:sz w:val="18"/>
                <w:szCs w:val="18"/>
              </w:rPr>
            </w:pPr>
            <w:r w:rsidRPr="00BA2924">
              <w:rPr>
                <w:color w:val="000000"/>
                <w:sz w:val="18"/>
                <w:szCs w:val="18"/>
              </w:rPr>
              <w:t>406.2</w:t>
            </w:r>
          </w:p>
        </w:tc>
        <w:tc>
          <w:tcPr>
            <w:tcW w:w="1225" w:type="dxa"/>
            <w:tcBorders>
              <w:top w:val="nil"/>
              <w:left w:val="nil"/>
              <w:bottom w:val="single" w:sz="4" w:space="0" w:color="auto"/>
              <w:right w:val="single" w:sz="4" w:space="0" w:color="auto"/>
            </w:tcBorders>
            <w:shd w:val="clear" w:color="auto" w:fill="auto"/>
            <w:noWrap/>
            <w:vAlign w:val="center"/>
            <w:hideMark/>
          </w:tcPr>
          <w:p w14:paraId="05656536" w14:textId="77777777" w:rsidR="00BA2924" w:rsidRPr="00BA2924" w:rsidRDefault="00BA2924" w:rsidP="00685573">
            <w:pPr>
              <w:jc w:val="center"/>
              <w:rPr>
                <w:color w:val="000000"/>
                <w:sz w:val="18"/>
                <w:szCs w:val="18"/>
              </w:rPr>
            </w:pPr>
            <w:r w:rsidRPr="00BA2924">
              <w:rPr>
                <w:color w:val="000000"/>
                <w:sz w:val="18"/>
                <w:szCs w:val="18"/>
              </w:rPr>
              <w:t>408.9</w:t>
            </w:r>
          </w:p>
        </w:tc>
        <w:tc>
          <w:tcPr>
            <w:tcW w:w="1418" w:type="dxa"/>
            <w:tcBorders>
              <w:top w:val="nil"/>
              <w:left w:val="nil"/>
              <w:bottom w:val="single" w:sz="4" w:space="0" w:color="auto"/>
              <w:right w:val="single" w:sz="8" w:space="0" w:color="auto"/>
            </w:tcBorders>
            <w:shd w:val="clear" w:color="auto" w:fill="auto"/>
            <w:noWrap/>
            <w:vAlign w:val="center"/>
            <w:hideMark/>
          </w:tcPr>
          <w:p w14:paraId="1DE881A4" w14:textId="77777777" w:rsidR="00BA2924" w:rsidRPr="00BA2924" w:rsidRDefault="00BA2924" w:rsidP="00685573">
            <w:pPr>
              <w:jc w:val="center"/>
              <w:rPr>
                <w:color w:val="000000"/>
                <w:sz w:val="18"/>
                <w:szCs w:val="18"/>
              </w:rPr>
            </w:pPr>
            <w:r w:rsidRPr="00BA2924">
              <w:rPr>
                <w:color w:val="000000"/>
                <w:sz w:val="18"/>
                <w:szCs w:val="18"/>
              </w:rPr>
              <w:t>2.48%</w:t>
            </w:r>
          </w:p>
        </w:tc>
      </w:tr>
      <w:tr w:rsidR="00BA2924" w:rsidRPr="00331212" w14:paraId="458DBF77" w14:textId="77777777" w:rsidTr="00685573">
        <w:trPr>
          <w:trHeight w:val="300"/>
        </w:trPr>
        <w:tc>
          <w:tcPr>
            <w:tcW w:w="1975" w:type="dxa"/>
            <w:tcBorders>
              <w:top w:val="nil"/>
              <w:left w:val="single" w:sz="8" w:space="0" w:color="auto"/>
              <w:bottom w:val="single" w:sz="4" w:space="0" w:color="auto"/>
              <w:right w:val="single" w:sz="4" w:space="0" w:color="auto"/>
            </w:tcBorders>
            <w:shd w:val="clear" w:color="000000" w:fill="EDEDED"/>
            <w:noWrap/>
            <w:vAlign w:val="center"/>
            <w:hideMark/>
          </w:tcPr>
          <w:p w14:paraId="633E4FA0" w14:textId="77777777" w:rsidR="00BA2924" w:rsidRPr="00BA2924" w:rsidRDefault="00BA2924" w:rsidP="00685573">
            <w:pPr>
              <w:rPr>
                <w:color w:val="000000"/>
                <w:sz w:val="18"/>
                <w:szCs w:val="18"/>
              </w:rPr>
            </w:pPr>
            <w:r w:rsidRPr="00BA2924">
              <w:rPr>
                <w:color w:val="000000"/>
                <w:sz w:val="18"/>
                <w:szCs w:val="18"/>
              </w:rPr>
              <w:t>Medio ambiente</w:t>
            </w:r>
          </w:p>
        </w:tc>
        <w:tc>
          <w:tcPr>
            <w:tcW w:w="1417" w:type="dxa"/>
            <w:tcBorders>
              <w:top w:val="nil"/>
              <w:left w:val="nil"/>
              <w:bottom w:val="single" w:sz="4" w:space="0" w:color="auto"/>
              <w:right w:val="single" w:sz="4" w:space="0" w:color="auto"/>
            </w:tcBorders>
            <w:shd w:val="clear" w:color="000000" w:fill="EDEDED"/>
            <w:noWrap/>
            <w:vAlign w:val="center"/>
            <w:hideMark/>
          </w:tcPr>
          <w:p w14:paraId="68819725" w14:textId="77777777" w:rsidR="00BA2924" w:rsidRPr="00BA2924" w:rsidRDefault="00BA2924" w:rsidP="00685573">
            <w:pPr>
              <w:jc w:val="center"/>
              <w:rPr>
                <w:color w:val="000000"/>
                <w:sz w:val="18"/>
                <w:szCs w:val="18"/>
              </w:rPr>
            </w:pPr>
            <w:r w:rsidRPr="00BA2924">
              <w:rPr>
                <w:color w:val="000000"/>
                <w:sz w:val="18"/>
                <w:szCs w:val="18"/>
              </w:rPr>
              <w:t>12</w:t>
            </w:r>
          </w:p>
        </w:tc>
        <w:tc>
          <w:tcPr>
            <w:tcW w:w="1418" w:type="dxa"/>
            <w:tcBorders>
              <w:top w:val="nil"/>
              <w:left w:val="nil"/>
              <w:bottom w:val="single" w:sz="4" w:space="0" w:color="auto"/>
              <w:right w:val="single" w:sz="4" w:space="0" w:color="auto"/>
            </w:tcBorders>
            <w:shd w:val="clear" w:color="000000" w:fill="EDEDED"/>
            <w:noWrap/>
            <w:vAlign w:val="center"/>
            <w:hideMark/>
          </w:tcPr>
          <w:p w14:paraId="4E906778" w14:textId="77777777" w:rsidR="00BA2924" w:rsidRPr="00BA2924" w:rsidRDefault="00BA2924" w:rsidP="00685573">
            <w:pPr>
              <w:jc w:val="center"/>
              <w:rPr>
                <w:color w:val="000000"/>
                <w:sz w:val="18"/>
                <w:szCs w:val="18"/>
              </w:rPr>
            </w:pPr>
            <w:r w:rsidRPr="00BA2924">
              <w:rPr>
                <w:color w:val="000000"/>
                <w:sz w:val="18"/>
                <w:szCs w:val="18"/>
              </w:rPr>
              <w:t>39.7</w:t>
            </w:r>
          </w:p>
        </w:tc>
        <w:tc>
          <w:tcPr>
            <w:tcW w:w="1326" w:type="dxa"/>
            <w:tcBorders>
              <w:top w:val="nil"/>
              <w:left w:val="nil"/>
              <w:bottom w:val="single" w:sz="4" w:space="0" w:color="auto"/>
              <w:right w:val="single" w:sz="4" w:space="0" w:color="auto"/>
            </w:tcBorders>
            <w:shd w:val="clear" w:color="000000" w:fill="EDEDED"/>
            <w:noWrap/>
            <w:vAlign w:val="center"/>
            <w:hideMark/>
          </w:tcPr>
          <w:p w14:paraId="14DE3832" w14:textId="77777777" w:rsidR="00BA2924" w:rsidRPr="00BA2924" w:rsidRDefault="00BA2924" w:rsidP="00685573">
            <w:pPr>
              <w:jc w:val="center"/>
              <w:rPr>
                <w:color w:val="000000"/>
                <w:sz w:val="18"/>
                <w:szCs w:val="18"/>
              </w:rPr>
            </w:pPr>
            <w:r w:rsidRPr="00BA2924">
              <w:rPr>
                <w:color w:val="000000"/>
                <w:sz w:val="18"/>
                <w:szCs w:val="18"/>
              </w:rPr>
              <w:t> </w:t>
            </w:r>
          </w:p>
        </w:tc>
        <w:tc>
          <w:tcPr>
            <w:tcW w:w="1225" w:type="dxa"/>
            <w:tcBorders>
              <w:top w:val="nil"/>
              <w:left w:val="nil"/>
              <w:bottom w:val="single" w:sz="4" w:space="0" w:color="auto"/>
              <w:right w:val="single" w:sz="4" w:space="0" w:color="auto"/>
            </w:tcBorders>
            <w:shd w:val="clear" w:color="000000" w:fill="EDEDED"/>
            <w:noWrap/>
            <w:vAlign w:val="center"/>
            <w:hideMark/>
          </w:tcPr>
          <w:p w14:paraId="2C1E8239" w14:textId="77777777" w:rsidR="00BA2924" w:rsidRPr="00BA2924" w:rsidRDefault="00BA2924" w:rsidP="00685573">
            <w:pPr>
              <w:jc w:val="center"/>
              <w:rPr>
                <w:color w:val="000000"/>
                <w:sz w:val="18"/>
                <w:szCs w:val="18"/>
              </w:rPr>
            </w:pPr>
            <w:r w:rsidRPr="00BA2924">
              <w:rPr>
                <w:color w:val="000000"/>
                <w:sz w:val="18"/>
                <w:szCs w:val="18"/>
              </w:rPr>
              <w:t>39.7</w:t>
            </w:r>
          </w:p>
        </w:tc>
        <w:tc>
          <w:tcPr>
            <w:tcW w:w="1418" w:type="dxa"/>
            <w:tcBorders>
              <w:top w:val="nil"/>
              <w:left w:val="nil"/>
              <w:bottom w:val="single" w:sz="4" w:space="0" w:color="auto"/>
              <w:right w:val="single" w:sz="8" w:space="0" w:color="auto"/>
            </w:tcBorders>
            <w:shd w:val="clear" w:color="000000" w:fill="EDEDED"/>
            <w:noWrap/>
            <w:vAlign w:val="center"/>
            <w:hideMark/>
          </w:tcPr>
          <w:p w14:paraId="2976970E" w14:textId="77777777" w:rsidR="00BA2924" w:rsidRPr="00BA2924" w:rsidRDefault="00BA2924" w:rsidP="00685573">
            <w:pPr>
              <w:jc w:val="center"/>
              <w:rPr>
                <w:color w:val="000000"/>
                <w:sz w:val="18"/>
                <w:szCs w:val="18"/>
              </w:rPr>
            </w:pPr>
            <w:r w:rsidRPr="00BA2924">
              <w:rPr>
                <w:color w:val="000000"/>
                <w:sz w:val="18"/>
                <w:szCs w:val="18"/>
              </w:rPr>
              <w:t>0.24%</w:t>
            </w:r>
          </w:p>
        </w:tc>
      </w:tr>
      <w:tr w:rsidR="00BA2924" w:rsidRPr="00331212" w14:paraId="25CCD6B1" w14:textId="77777777" w:rsidTr="00685573">
        <w:trPr>
          <w:trHeight w:val="600"/>
        </w:trPr>
        <w:tc>
          <w:tcPr>
            <w:tcW w:w="1975" w:type="dxa"/>
            <w:tcBorders>
              <w:top w:val="nil"/>
              <w:left w:val="single" w:sz="8" w:space="0" w:color="auto"/>
              <w:bottom w:val="single" w:sz="4" w:space="0" w:color="auto"/>
              <w:right w:val="single" w:sz="4" w:space="0" w:color="auto"/>
            </w:tcBorders>
            <w:shd w:val="clear" w:color="auto" w:fill="auto"/>
            <w:vAlign w:val="center"/>
            <w:hideMark/>
          </w:tcPr>
          <w:p w14:paraId="69F707BA" w14:textId="77777777" w:rsidR="00BA2924" w:rsidRPr="00BA2924" w:rsidRDefault="00BA2924" w:rsidP="00685573">
            <w:pPr>
              <w:rPr>
                <w:color w:val="000000"/>
                <w:sz w:val="18"/>
                <w:szCs w:val="18"/>
              </w:rPr>
            </w:pPr>
            <w:r w:rsidRPr="00BA2924">
              <w:rPr>
                <w:color w:val="000000"/>
                <w:sz w:val="18"/>
                <w:szCs w:val="18"/>
              </w:rPr>
              <w:t>Otras actividades de Administración</w:t>
            </w:r>
          </w:p>
        </w:tc>
        <w:tc>
          <w:tcPr>
            <w:tcW w:w="1417" w:type="dxa"/>
            <w:tcBorders>
              <w:top w:val="nil"/>
              <w:left w:val="nil"/>
              <w:bottom w:val="single" w:sz="4" w:space="0" w:color="auto"/>
              <w:right w:val="single" w:sz="4" w:space="0" w:color="auto"/>
            </w:tcBorders>
            <w:shd w:val="clear" w:color="auto" w:fill="auto"/>
            <w:noWrap/>
            <w:vAlign w:val="center"/>
            <w:hideMark/>
          </w:tcPr>
          <w:p w14:paraId="44F0600F" w14:textId="77777777" w:rsidR="00BA2924" w:rsidRPr="00BA2924" w:rsidRDefault="00BA2924" w:rsidP="00685573">
            <w:pPr>
              <w:jc w:val="center"/>
              <w:rPr>
                <w:color w:val="000000"/>
                <w:sz w:val="18"/>
                <w:szCs w:val="18"/>
              </w:rPr>
            </w:pPr>
            <w:r w:rsidRPr="00BA2924">
              <w:rPr>
                <w:color w:val="000000"/>
                <w:sz w:val="18"/>
                <w:szCs w:val="18"/>
              </w:rPr>
              <w:t>3</w:t>
            </w:r>
          </w:p>
        </w:tc>
        <w:tc>
          <w:tcPr>
            <w:tcW w:w="1418" w:type="dxa"/>
            <w:tcBorders>
              <w:top w:val="nil"/>
              <w:left w:val="nil"/>
              <w:bottom w:val="single" w:sz="4" w:space="0" w:color="auto"/>
              <w:right w:val="single" w:sz="4" w:space="0" w:color="auto"/>
            </w:tcBorders>
            <w:shd w:val="clear" w:color="auto" w:fill="auto"/>
            <w:noWrap/>
            <w:vAlign w:val="center"/>
            <w:hideMark/>
          </w:tcPr>
          <w:p w14:paraId="54A1F218" w14:textId="77777777" w:rsidR="00BA2924" w:rsidRPr="00BA2924" w:rsidRDefault="00BA2924" w:rsidP="00685573">
            <w:pPr>
              <w:jc w:val="center"/>
              <w:rPr>
                <w:color w:val="000000"/>
                <w:sz w:val="18"/>
                <w:szCs w:val="18"/>
              </w:rPr>
            </w:pPr>
            <w:r w:rsidRPr="00BA2924">
              <w:rPr>
                <w:color w:val="000000"/>
                <w:sz w:val="18"/>
                <w:szCs w:val="18"/>
              </w:rPr>
              <w:t>9.4</w:t>
            </w:r>
          </w:p>
        </w:tc>
        <w:tc>
          <w:tcPr>
            <w:tcW w:w="1326" w:type="dxa"/>
            <w:tcBorders>
              <w:top w:val="nil"/>
              <w:left w:val="nil"/>
              <w:bottom w:val="single" w:sz="4" w:space="0" w:color="auto"/>
              <w:right w:val="single" w:sz="4" w:space="0" w:color="auto"/>
            </w:tcBorders>
            <w:shd w:val="clear" w:color="auto" w:fill="auto"/>
            <w:noWrap/>
            <w:vAlign w:val="center"/>
            <w:hideMark/>
          </w:tcPr>
          <w:p w14:paraId="63D169F8" w14:textId="77777777" w:rsidR="00BA2924" w:rsidRPr="00BA2924" w:rsidRDefault="00BA2924" w:rsidP="00685573">
            <w:pPr>
              <w:jc w:val="center"/>
              <w:rPr>
                <w:color w:val="000000"/>
                <w:sz w:val="18"/>
                <w:szCs w:val="18"/>
              </w:rPr>
            </w:pPr>
            <w:r w:rsidRPr="00BA2924">
              <w:rPr>
                <w:color w:val="000000"/>
                <w:sz w:val="18"/>
                <w:szCs w:val="18"/>
              </w:rPr>
              <w:t> </w:t>
            </w:r>
          </w:p>
        </w:tc>
        <w:tc>
          <w:tcPr>
            <w:tcW w:w="1225" w:type="dxa"/>
            <w:tcBorders>
              <w:top w:val="nil"/>
              <w:left w:val="nil"/>
              <w:bottom w:val="single" w:sz="4" w:space="0" w:color="auto"/>
              <w:right w:val="single" w:sz="4" w:space="0" w:color="auto"/>
            </w:tcBorders>
            <w:shd w:val="clear" w:color="auto" w:fill="auto"/>
            <w:noWrap/>
            <w:vAlign w:val="center"/>
            <w:hideMark/>
          </w:tcPr>
          <w:p w14:paraId="73DB3478" w14:textId="77777777" w:rsidR="00BA2924" w:rsidRPr="00BA2924" w:rsidRDefault="00BA2924" w:rsidP="00685573">
            <w:pPr>
              <w:jc w:val="center"/>
              <w:rPr>
                <w:color w:val="000000"/>
                <w:sz w:val="18"/>
                <w:szCs w:val="18"/>
              </w:rPr>
            </w:pPr>
            <w:r w:rsidRPr="00BA2924">
              <w:rPr>
                <w:color w:val="000000"/>
                <w:sz w:val="18"/>
                <w:szCs w:val="18"/>
              </w:rPr>
              <w:t>9.4</w:t>
            </w:r>
          </w:p>
        </w:tc>
        <w:tc>
          <w:tcPr>
            <w:tcW w:w="1418" w:type="dxa"/>
            <w:tcBorders>
              <w:top w:val="nil"/>
              <w:left w:val="nil"/>
              <w:bottom w:val="single" w:sz="4" w:space="0" w:color="auto"/>
              <w:right w:val="single" w:sz="8" w:space="0" w:color="auto"/>
            </w:tcBorders>
            <w:shd w:val="clear" w:color="auto" w:fill="auto"/>
            <w:noWrap/>
            <w:vAlign w:val="center"/>
            <w:hideMark/>
          </w:tcPr>
          <w:p w14:paraId="3B78D695" w14:textId="77777777" w:rsidR="00BA2924" w:rsidRPr="00BA2924" w:rsidRDefault="00BA2924" w:rsidP="00685573">
            <w:pPr>
              <w:jc w:val="center"/>
              <w:rPr>
                <w:color w:val="000000"/>
                <w:sz w:val="18"/>
                <w:szCs w:val="18"/>
              </w:rPr>
            </w:pPr>
            <w:r w:rsidRPr="00BA2924">
              <w:rPr>
                <w:color w:val="000000"/>
                <w:sz w:val="18"/>
                <w:szCs w:val="18"/>
              </w:rPr>
              <w:t>0.06%</w:t>
            </w:r>
          </w:p>
        </w:tc>
      </w:tr>
      <w:tr w:rsidR="00BA2924" w:rsidRPr="00331212" w14:paraId="1F2D3A97" w14:textId="77777777" w:rsidTr="00685573">
        <w:trPr>
          <w:trHeight w:val="300"/>
        </w:trPr>
        <w:tc>
          <w:tcPr>
            <w:tcW w:w="1975" w:type="dxa"/>
            <w:tcBorders>
              <w:top w:val="nil"/>
              <w:left w:val="single" w:sz="8" w:space="0" w:color="auto"/>
              <w:bottom w:val="single" w:sz="4" w:space="0" w:color="auto"/>
              <w:right w:val="single" w:sz="4" w:space="0" w:color="auto"/>
            </w:tcBorders>
            <w:shd w:val="clear" w:color="000000" w:fill="EDEDED"/>
            <w:noWrap/>
            <w:vAlign w:val="center"/>
            <w:hideMark/>
          </w:tcPr>
          <w:p w14:paraId="3E54FF7F" w14:textId="77777777" w:rsidR="00BA2924" w:rsidRPr="00BA2924" w:rsidRDefault="00BA2924" w:rsidP="00685573">
            <w:pPr>
              <w:rPr>
                <w:color w:val="000000"/>
                <w:sz w:val="18"/>
                <w:szCs w:val="18"/>
              </w:rPr>
            </w:pPr>
            <w:r w:rsidRPr="00BA2924">
              <w:rPr>
                <w:color w:val="000000"/>
                <w:sz w:val="18"/>
                <w:szCs w:val="18"/>
              </w:rPr>
              <w:t>Salud y asistencia social</w:t>
            </w:r>
          </w:p>
        </w:tc>
        <w:tc>
          <w:tcPr>
            <w:tcW w:w="1417" w:type="dxa"/>
            <w:tcBorders>
              <w:top w:val="nil"/>
              <w:left w:val="nil"/>
              <w:bottom w:val="single" w:sz="4" w:space="0" w:color="auto"/>
              <w:right w:val="single" w:sz="4" w:space="0" w:color="auto"/>
            </w:tcBorders>
            <w:shd w:val="clear" w:color="000000" w:fill="EDEDED"/>
            <w:noWrap/>
            <w:vAlign w:val="center"/>
            <w:hideMark/>
          </w:tcPr>
          <w:p w14:paraId="5DDA71A5" w14:textId="77777777" w:rsidR="00BA2924" w:rsidRPr="00BA2924" w:rsidRDefault="00BA2924" w:rsidP="00685573">
            <w:pPr>
              <w:jc w:val="center"/>
              <w:rPr>
                <w:color w:val="000000"/>
                <w:sz w:val="18"/>
                <w:szCs w:val="18"/>
              </w:rPr>
            </w:pPr>
            <w:r w:rsidRPr="00BA2924">
              <w:rPr>
                <w:color w:val="000000"/>
                <w:sz w:val="18"/>
                <w:szCs w:val="18"/>
              </w:rPr>
              <w:t>224</w:t>
            </w:r>
          </w:p>
        </w:tc>
        <w:tc>
          <w:tcPr>
            <w:tcW w:w="1418" w:type="dxa"/>
            <w:tcBorders>
              <w:top w:val="nil"/>
              <w:left w:val="nil"/>
              <w:bottom w:val="single" w:sz="4" w:space="0" w:color="auto"/>
              <w:right w:val="single" w:sz="4" w:space="0" w:color="auto"/>
            </w:tcBorders>
            <w:shd w:val="clear" w:color="000000" w:fill="EDEDED"/>
            <w:noWrap/>
            <w:vAlign w:val="center"/>
            <w:hideMark/>
          </w:tcPr>
          <w:p w14:paraId="20469DDC" w14:textId="77777777" w:rsidR="00BA2924" w:rsidRPr="00BA2924" w:rsidRDefault="00BA2924" w:rsidP="00685573">
            <w:pPr>
              <w:jc w:val="center"/>
              <w:rPr>
                <w:color w:val="000000"/>
                <w:sz w:val="18"/>
                <w:szCs w:val="18"/>
              </w:rPr>
            </w:pPr>
            <w:r w:rsidRPr="00BA2924">
              <w:rPr>
                <w:color w:val="000000"/>
                <w:sz w:val="18"/>
                <w:szCs w:val="18"/>
              </w:rPr>
              <w:t>1,125.0</w:t>
            </w:r>
          </w:p>
        </w:tc>
        <w:tc>
          <w:tcPr>
            <w:tcW w:w="1326" w:type="dxa"/>
            <w:tcBorders>
              <w:top w:val="nil"/>
              <w:left w:val="nil"/>
              <w:bottom w:val="single" w:sz="4" w:space="0" w:color="auto"/>
              <w:right w:val="single" w:sz="4" w:space="0" w:color="auto"/>
            </w:tcBorders>
            <w:shd w:val="clear" w:color="000000" w:fill="EDEDED"/>
            <w:noWrap/>
            <w:vAlign w:val="center"/>
            <w:hideMark/>
          </w:tcPr>
          <w:p w14:paraId="5022CF5F" w14:textId="77777777" w:rsidR="00BA2924" w:rsidRPr="00BA2924" w:rsidRDefault="00BA2924" w:rsidP="00685573">
            <w:pPr>
              <w:jc w:val="center"/>
              <w:rPr>
                <w:color w:val="000000"/>
                <w:sz w:val="18"/>
                <w:szCs w:val="18"/>
              </w:rPr>
            </w:pPr>
            <w:r w:rsidRPr="00BA2924">
              <w:rPr>
                <w:color w:val="000000"/>
                <w:sz w:val="18"/>
                <w:szCs w:val="18"/>
              </w:rPr>
              <w:t>1,729.0</w:t>
            </w:r>
          </w:p>
        </w:tc>
        <w:tc>
          <w:tcPr>
            <w:tcW w:w="1225" w:type="dxa"/>
            <w:tcBorders>
              <w:top w:val="nil"/>
              <w:left w:val="nil"/>
              <w:bottom w:val="single" w:sz="4" w:space="0" w:color="auto"/>
              <w:right w:val="single" w:sz="4" w:space="0" w:color="auto"/>
            </w:tcBorders>
            <w:shd w:val="clear" w:color="000000" w:fill="EDEDED"/>
            <w:noWrap/>
            <w:vAlign w:val="center"/>
            <w:hideMark/>
          </w:tcPr>
          <w:p w14:paraId="627A502B" w14:textId="77777777" w:rsidR="00BA2924" w:rsidRPr="00BA2924" w:rsidRDefault="00BA2924" w:rsidP="00685573">
            <w:pPr>
              <w:jc w:val="center"/>
              <w:rPr>
                <w:color w:val="000000"/>
                <w:sz w:val="18"/>
                <w:szCs w:val="18"/>
              </w:rPr>
            </w:pPr>
            <w:r w:rsidRPr="00BA2924">
              <w:rPr>
                <w:color w:val="000000"/>
                <w:sz w:val="18"/>
                <w:szCs w:val="18"/>
              </w:rPr>
              <w:t>2,854.0</w:t>
            </w:r>
          </w:p>
        </w:tc>
        <w:tc>
          <w:tcPr>
            <w:tcW w:w="1418" w:type="dxa"/>
            <w:tcBorders>
              <w:top w:val="nil"/>
              <w:left w:val="nil"/>
              <w:bottom w:val="single" w:sz="4" w:space="0" w:color="auto"/>
              <w:right w:val="single" w:sz="8" w:space="0" w:color="auto"/>
            </w:tcBorders>
            <w:shd w:val="clear" w:color="000000" w:fill="EDEDED"/>
            <w:noWrap/>
            <w:vAlign w:val="center"/>
            <w:hideMark/>
          </w:tcPr>
          <w:p w14:paraId="0962679A" w14:textId="77777777" w:rsidR="00BA2924" w:rsidRPr="00BA2924" w:rsidRDefault="00BA2924" w:rsidP="00685573">
            <w:pPr>
              <w:jc w:val="center"/>
              <w:rPr>
                <w:color w:val="000000"/>
                <w:sz w:val="18"/>
                <w:szCs w:val="18"/>
              </w:rPr>
            </w:pPr>
            <w:r w:rsidRPr="00BA2924">
              <w:rPr>
                <w:color w:val="000000"/>
                <w:sz w:val="18"/>
                <w:szCs w:val="18"/>
              </w:rPr>
              <w:t>17.30%</w:t>
            </w:r>
          </w:p>
        </w:tc>
      </w:tr>
      <w:tr w:rsidR="00BA2924" w:rsidRPr="00331212" w14:paraId="52E14508" w14:textId="77777777" w:rsidTr="00685573">
        <w:trPr>
          <w:trHeight w:val="300"/>
        </w:trPr>
        <w:tc>
          <w:tcPr>
            <w:tcW w:w="1975" w:type="dxa"/>
            <w:tcBorders>
              <w:top w:val="nil"/>
              <w:left w:val="single" w:sz="8" w:space="0" w:color="auto"/>
              <w:bottom w:val="single" w:sz="4" w:space="0" w:color="auto"/>
              <w:right w:val="single" w:sz="4" w:space="0" w:color="auto"/>
            </w:tcBorders>
            <w:shd w:val="clear" w:color="auto" w:fill="auto"/>
            <w:noWrap/>
            <w:vAlign w:val="center"/>
            <w:hideMark/>
          </w:tcPr>
          <w:p w14:paraId="252D7CD0" w14:textId="77777777" w:rsidR="00BA2924" w:rsidRPr="00BA2924" w:rsidRDefault="00BA2924" w:rsidP="00685573">
            <w:pPr>
              <w:rPr>
                <w:color w:val="000000"/>
                <w:sz w:val="18"/>
                <w:szCs w:val="18"/>
              </w:rPr>
            </w:pPr>
            <w:r w:rsidRPr="00BA2924">
              <w:rPr>
                <w:color w:val="000000"/>
                <w:sz w:val="18"/>
                <w:szCs w:val="18"/>
              </w:rPr>
              <w:t>Seguridad interna</w:t>
            </w:r>
          </w:p>
        </w:tc>
        <w:tc>
          <w:tcPr>
            <w:tcW w:w="1417" w:type="dxa"/>
            <w:tcBorders>
              <w:top w:val="nil"/>
              <w:left w:val="nil"/>
              <w:bottom w:val="single" w:sz="4" w:space="0" w:color="auto"/>
              <w:right w:val="single" w:sz="4" w:space="0" w:color="auto"/>
            </w:tcBorders>
            <w:shd w:val="clear" w:color="auto" w:fill="auto"/>
            <w:noWrap/>
            <w:vAlign w:val="center"/>
            <w:hideMark/>
          </w:tcPr>
          <w:p w14:paraId="5D19F5C0" w14:textId="77777777" w:rsidR="00BA2924" w:rsidRPr="00BA2924" w:rsidRDefault="00BA2924" w:rsidP="00685573">
            <w:pPr>
              <w:jc w:val="center"/>
              <w:rPr>
                <w:color w:val="000000"/>
                <w:sz w:val="18"/>
                <w:szCs w:val="18"/>
              </w:rPr>
            </w:pPr>
            <w:r w:rsidRPr="00BA2924">
              <w:rPr>
                <w:color w:val="000000"/>
                <w:sz w:val="18"/>
                <w:szCs w:val="18"/>
              </w:rPr>
              <w:t>7</w:t>
            </w:r>
          </w:p>
        </w:tc>
        <w:tc>
          <w:tcPr>
            <w:tcW w:w="1418" w:type="dxa"/>
            <w:tcBorders>
              <w:top w:val="nil"/>
              <w:left w:val="nil"/>
              <w:bottom w:val="single" w:sz="4" w:space="0" w:color="auto"/>
              <w:right w:val="single" w:sz="4" w:space="0" w:color="auto"/>
            </w:tcBorders>
            <w:shd w:val="clear" w:color="auto" w:fill="auto"/>
            <w:noWrap/>
            <w:vAlign w:val="center"/>
            <w:hideMark/>
          </w:tcPr>
          <w:p w14:paraId="47F5BDD0" w14:textId="77777777" w:rsidR="00BA2924" w:rsidRPr="00BA2924" w:rsidRDefault="00BA2924" w:rsidP="00685573">
            <w:pPr>
              <w:jc w:val="center"/>
              <w:rPr>
                <w:color w:val="000000"/>
                <w:sz w:val="18"/>
                <w:szCs w:val="18"/>
              </w:rPr>
            </w:pPr>
            <w:r w:rsidRPr="00BA2924">
              <w:rPr>
                <w:color w:val="000000"/>
                <w:sz w:val="18"/>
                <w:szCs w:val="18"/>
              </w:rPr>
              <w:t>74.4</w:t>
            </w:r>
          </w:p>
        </w:tc>
        <w:tc>
          <w:tcPr>
            <w:tcW w:w="1326" w:type="dxa"/>
            <w:tcBorders>
              <w:top w:val="nil"/>
              <w:left w:val="nil"/>
              <w:bottom w:val="single" w:sz="4" w:space="0" w:color="auto"/>
              <w:right w:val="single" w:sz="4" w:space="0" w:color="auto"/>
            </w:tcBorders>
            <w:shd w:val="clear" w:color="auto" w:fill="auto"/>
            <w:noWrap/>
            <w:vAlign w:val="center"/>
            <w:hideMark/>
          </w:tcPr>
          <w:p w14:paraId="397FA017" w14:textId="77777777" w:rsidR="00BA2924" w:rsidRPr="00BA2924" w:rsidRDefault="00BA2924" w:rsidP="00685573">
            <w:pPr>
              <w:jc w:val="center"/>
              <w:rPr>
                <w:color w:val="000000"/>
                <w:sz w:val="18"/>
                <w:szCs w:val="18"/>
              </w:rPr>
            </w:pPr>
            <w:r w:rsidRPr="00BA2924">
              <w:rPr>
                <w:color w:val="000000"/>
                <w:sz w:val="18"/>
                <w:szCs w:val="18"/>
              </w:rPr>
              <w:t>176.1</w:t>
            </w:r>
          </w:p>
        </w:tc>
        <w:tc>
          <w:tcPr>
            <w:tcW w:w="1225" w:type="dxa"/>
            <w:tcBorders>
              <w:top w:val="nil"/>
              <w:left w:val="nil"/>
              <w:bottom w:val="single" w:sz="4" w:space="0" w:color="auto"/>
              <w:right w:val="single" w:sz="4" w:space="0" w:color="auto"/>
            </w:tcBorders>
            <w:shd w:val="clear" w:color="auto" w:fill="auto"/>
            <w:noWrap/>
            <w:vAlign w:val="center"/>
            <w:hideMark/>
          </w:tcPr>
          <w:p w14:paraId="702D6FCA" w14:textId="77777777" w:rsidR="00BA2924" w:rsidRPr="00BA2924" w:rsidRDefault="00BA2924" w:rsidP="00685573">
            <w:pPr>
              <w:jc w:val="center"/>
              <w:rPr>
                <w:color w:val="000000"/>
                <w:sz w:val="18"/>
                <w:szCs w:val="18"/>
              </w:rPr>
            </w:pPr>
            <w:r w:rsidRPr="00BA2924">
              <w:rPr>
                <w:color w:val="000000"/>
                <w:sz w:val="18"/>
                <w:szCs w:val="18"/>
              </w:rPr>
              <w:t>250.5</w:t>
            </w:r>
          </w:p>
        </w:tc>
        <w:tc>
          <w:tcPr>
            <w:tcW w:w="1418" w:type="dxa"/>
            <w:tcBorders>
              <w:top w:val="nil"/>
              <w:left w:val="nil"/>
              <w:bottom w:val="single" w:sz="4" w:space="0" w:color="auto"/>
              <w:right w:val="single" w:sz="8" w:space="0" w:color="auto"/>
            </w:tcBorders>
            <w:shd w:val="clear" w:color="auto" w:fill="auto"/>
            <w:noWrap/>
            <w:vAlign w:val="center"/>
            <w:hideMark/>
          </w:tcPr>
          <w:p w14:paraId="1A2685A2" w14:textId="77777777" w:rsidR="00BA2924" w:rsidRPr="00BA2924" w:rsidRDefault="00BA2924" w:rsidP="00685573">
            <w:pPr>
              <w:jc w:val="center"/>
              <w:rPr>
                <w:color w:val="000000"/>
                <w:sz w:val="18"/>
                <w:szCs w:val="18"/>
              </w:rPr>
            </w:pPr>
            <w:r w:rsidRPr="00BA2924">
              <w:rPr>
                <w:color w:val="000000"/>
                <w:sz w:val="18"/>
                <w:szCs w:val="18"/>
              </w:rPr>
              <w:t>1.52%</w:t>
            </w:r>
          </w:p>
        </w:tc>
      </w:tr>
      <w:tr w:rsidR="00BA2924" w:rsidRPr="00331212" w14:paraId="298589C2" w14:textId="77777777" w:rsidTr="00685573">
        <w:trPr>
          <w:trHeight w:val="300"/>
        </w:trPr>
        <w:tc>
          <w:tcPr>
            <w:tcW w:w="1975" w:type="dxa"/>
            <w:tcBorders>
              <w:top w:val="nil"/>
              <w:left w:val="single" w:sz="8" w:space="0" w:color="auto"/>
              <w:bottom w:val="single" w:sz="4" w:space="0" w:color="auto"/>
              <w:right w:val="single" w:sz="4" w:space="0" w:color="auto"/>
            </w:tcBorders>
            <w:shd w:val="clear" w:color="000000" w:fill="EDEDED"/>
            <w:noWrap/>
            <w:vAlign w:val="center"/>
            <w:hideMark/>
          </w:tcPr>
          <w:p w14:paraId="2722320D" w14:textId="77777777" w:rsidR="00BA2924" w:rsidRPr="00BA2924" w:rsidRDefault="00BA2924" w:rsidP="00685573">
            <w:pPr>
              <w:rPr>
                <w:color w:val="000000"/>
                <w:sz w:val="18"/>
                <w:szCs w:val="18"/>
              </w:rPr>
            </w:pPr>
            <w:r w:rsidRPr="00BA2924">
              <w:rPr>
                <w:color w:val="000000"/>
                <w:sz w:val="18"/>
                <w:szCs w:val="18"/>
              </w:rPr>
              <w:t>Servicios generales</w:t>
            </w:r>
          </w:p>
        </w:tc>
        <w:tc>
          <w:tcPr>
            <w:tcW w:w="1417" w:type="dxa"/>
            <w:tcBorders>
              <w:top w:val="nil"/>
              <w:left w:val="nil"/>
              <w:bottom w:val="single" w:sz="4" w:space="0" w:color="auto"/>
              <w:right w:val="single" w:sz="4" w:space="0" w:color="auto"/>
            </w:tcBorders>
            <w:shd w:val="clear" w:color="000000" w:fill="EDEDED"/>
            <w:noWrap/>
            <w:vAlign w:val="center"/>
            <w:hideMark/>
          </w:tcPr>
          <w:p w14:paraId="65E6F702" w14:textId="77777777" w:rsidR="00BA2924" w:rsidRPr="00BA2924" w:rsidRDefault="00BA2924" w:rsidP="00685573">
            <w:pPr>
              <w:jc w:val="center"/>
              <w:rPr>
                <w:color w:val="000000"/>
                <w:sz w:val="18"/>
                <w:szCs w:val="18"/>
              </w:rPr>
            </w:pPr>
            <w:r w:rsidRPr="00BA2924">
              <w:rPr>
                <w:color w:val="000000"/>
                <w:sz w:val="18"/>
                <w:szCs w:val="18"/>
              </w:rPr>
              <w:t>5</w:t>
            </w:r>
          </w:p>
        </w:tc>
        <w:tc>
          <w:tcPr>
            <w:tcW w:w="1418" w:type="dxa"/>
            <w:tcBorders>
              <w:top w:val="nil"/>
              <w:left w:val="nil"/>
              <w:bottom w:val="single" w:sz="4" w:space="0" w:color="auto"/>
              <w:right w:val="single" w:sz="4" w:space="0" w:color="auto"/>
            </w:tcBorders>
            <w:shd w:val="clear" w:color="000000" w:fill="EDEDED"/>
            <w:noWrap/>
            <w:vAlign w:val="center"/>
            <w:hideMark/>
          </w:tcPr>
          <w:p w14:paraId="689F0335" w14:textId="77777777" w:rsidR="00BA2924" w:rsidRPr="00BA2924" w:rsidRDefault="00BA2924" w:rsidP="00685573">
            <w:pPr>
              <w:jc w:val="center"/>
              <w:rPr>
                <w:color w:val="000000"/>
                <w:sz w:val="18"/>
                <w:szCs w:val="18"/>
              </w:rPr>
            </w:pPr>
            <w:r w:rsidRPr="00BA2924">
              <w:rPr>
                <w:color w:val="000000"/>
                <w:sz w:val="18"/>
                <w:szCs w:val="18"/>
              </w:rPr>
              <w:t>29.7</w:t>
            </w:r>
          </w:p>
        </w:tc>
        <w:tc>
          <w:tcPr>
            <w:tcW w:w="1326" w:type="dxa"/>
            <w:tcBorders>
              <w:top w:val="nil"/>
              <w:left w:val="nil"/>
              <w:bottom w:val="single" w:sz="4" w:space="0" w:color="auto"/>
              <w:right w:val="single" w:sz="4" w:space="0" w:color="auto"/>
            </w:tcBorders>
            <w:shd w:val="clear" w:color="000000" w:fill="EDEDED"/>
            <w:noWrap/>
            <w:vAlign w:val="center"/>
            <w:hideMark/>
          </w:tcPr>
          <w:p w14:paraId="374AEF48" w14:textId="77777777" w:rsidR="00BA2924" w:rsidRPr="00BA2924" w:rsidRDefault="00BA2924" w:rsidP="00685573">
            <w:pPr>
              <w:jc w:val="center"/>
              <w:rPr>
                <w:color w:val="000000"/>
                <w:sz w:val="18"/>
                <w:szCs w:val="18"/>
              </w:rPr>
            </w:pPr>
            <w:r w:rsidRPr="00BA2924">
              <w:rPr>
                <w:color w:val="000000"/>
                <w:sz w:val="18"/>
                <w:szCs w:val="18"/>
              </w:rPr>
              <w:t> </w:t>
            </w:r>
          </w:p>
        </w:tc>
        <w:tc>
          <w:tcPr>
            <w:tcW w:w="1225" w:type="dxa"/>
            <w:tcBorders>
              <w:top w:val="nil"/>
              <w:left w:val="nil"/>
              <w:bottom w:val="single" w:sz="4" w:space="0" w:color="auto"/>
              <w:right w:val="single" w:sz="4" w:space="0" w:color="auto"/>
            </w:tcBorders>
            <w:shd w:val="clear" w:color="000000" w:fill="EDEDED"/>
            <w:noWrap/>
            <w:vAlign w:val="center"/>
            <w:hideMark/>
          </w:tcPr>
          <w:p w14:paraId="50CA6DA1" w14:textId="77777777" w:rsidR="00BA2924" w:rsidRPr="00BA2924" w:rsidRDefault="00BA2924" w:rsidP="00685573">
            <w:pPr>
              <w:jc w:val="center"/>
              <w:rPr>
                <w:color w:val="000000"/>
                <w:sz w:val="18"/>
                <w:szCs w:val="18"/>
              </w:rPr>
            </w:pPr>
            <w:r w:rsidRPr="00BA2924">
              <w:rPr>
                <w:color w:val="000000"/>
                <w:sz w:val="18"/>
                <w:szCs w:val="18"/>
              </w:rPr>
              <w:t>29.7</w:t>
            </w:r>
          </w:p>
        </w:tc>
        <w:tc>
          <w:tcPr>
            <w:tcW w:w="1418" w:type="dxa"/>
            <w:tcBorders>
              <w:top w:val="nil"/>
              <w:left w:val="nil"/>
              <w:bottom w:val="single" w:sz="4" w:space="0" w:color="auto"/>
              <w:right w:val="single" w:sz="8" w:space="0" w:color="auto"/>
            </w:tcBorders>
            <w:shd w:val="clear" w:color="000000" w:fill="EDEDED"/>
            <w:noWrap/>
            <w:vAlign w:val="center"/>
            <w:hideMark/>
          </w:tcPr>
          <w:p w14:paraId="00DC967A" w14:textId="77777777" w:rsidR="00BA2924" w:rsidRPr="00BA2924" w:rsidRDefault="00BA2924" w:rsidP="00685573">
            <w:pPr>
              <w:jc w:val="center"/>
              <w:rPr>
                <w:color w:val="000000"/>
                <w:sz w:val="18"/>
                <w:szCs w:val="18"/>
              </w:rPr>
            </w:pPr>
            <w:r w:rsidRPr="00BA2924">
              <w:rPr>
                <w:color w:val="000000"/>
                <w:sz w:val="18"/>
                <w:szCs w:val="18"/>
              </w:rPr>
              <w:t>0.18%</w:t>
            </w:r>
          </w:p>
        </w:tc>
      </w:tr>
      <w:tr w:rsidR="00BA2924" w:rsidRPr="00331212" w14:paraId="56594C30" w14:textId="77777777" w:rsidTr="00685573">
        <w:trPr>
          <w:trHeight w:val="300"/>
        </w:trPr>
        <w:tc>
          <w:tcPr>
            <w:tcW w:w="1975" w:type="dxa"/>
            <w:tcBorders>
              <w:top w:val="nil"/>
              <w:left w:val="single" w:sz="8" w:space="0" w:color="auto"/>
              <w:bottom w:val="single" w:sz="4" w:space="0" w:color="auto"/>
              <w:right w:val="single" w:sz="4" w:space="0" w:color="auto"/>
            </w:tcBorders>
            <w:shd w:val="clear" w:color="auto" w:fill="auto"/>
            <w:noWrap/>
            <w:vAlign w:val="center"/>
            <w:hideMark/>
          </w:tcPr>
          <w:p w14:paraId="03029D3D" w14:textId="77777777" w:rsidR="00BA2924" w:rsidRPr="00BA2924" w:rsidRDefault="00BA2924" w:rsidP="00685573">
            <w:pPr>
              <w:rPr>
                <w:color w:val="000000"/>
                <w:sz w:val="18"/>
                <w:szCs w:val="18"/>
              </w:rPr>
            </w:pPr>
            <w:r w:rsidRPr="00BA2924">
              <w:rPr>
                <w:color w:val="000000"/>
                <w:sz w:val="18"/>
                <w:szCs w:val="18"/>
              </w:rPr>
              <w:t>Trabajo y Previsión Social</w:t>
            </w:r>
          </w:p>
        </w:tc>
        <w:tc>
          <w:tcPr>
            <w:tcW w:w="1417" w:type="dxa"/>
            <w:tcBorders>
              <w:top w:val="nil"/>
              <w:left w:val="nil"/>
              <w:bottom w:val="single" w:sz="4" w:space="0" w:color="auto"/>
              <w:right w:val="single" w:sz="4" w:space="0" w:color="auto"/>
            </w:tcBorders>
            <w:shd w:val="clear" w:color="auto" w:fill="auto"/>
            <w:noWrap/>
            <w:vAlign w:val="center"/>
            <w:hideMark/>
          </w:tcPr>
          <w:p w14:paraId="1656F043" w14:textId="77777777" w:rsidR="00BA2924" w:rsidRPr="00BA2924" w:rsidRDefault="00BA2924" w:rsidP="00685573">
            <w:pPr>
              <w:jc w:val="center"/>
              <w:rPr>
                <w:color w:val="000000"/>
                <w:sz w:val="18"/>
                <w:szCs w:val="18"/>
              </w:rPr>
            </w:pPr>
            <w:r w:rsidRPr="00BA2924">
              <w:rPr>
                <w:color w:val="000000"/>
                <w:sz w:val="18"/>
                <w:szCs w:val="18"/>
              </w:rPr>
              <w:t>2</w:t>
            </w:r>
          </w:p>
        </w:tc>
        <w:tc>
          <w:tcPr>
            <w:tcW w:w="1418" w:type="dxa"/>
            <w:tcBorders>
              <w:top w:val="nil"/>
              <w:left w:val="nil"/>
              <w:bottom w:val="single" w:sz="4" w:space="0" w:color="auto"/>
              <w:right w:val="single" w:sz="4" w:space="0" w:color="auto"/>
            </w:tcBorders>
            <w:shd w:val="clear" w:color="auto" w:fill="auto"/>
            <w:noWrap/>
            <w:vAlign w:val="center"/>
            <w:hideMark/>
          </w:tcPr>
          <w:p w14:paraId="204BF3ED" w14:textId="77777777" w:rsidR="00BA2924" w:rsidRPr="00BA2924" w:rsidRDefault="00BA2924" w:rsidP="00685573">
            <w:pPr>
              <w:jc w:val="center"/>
              <w:rPr>
                <w:color w:val="000000"/>
                <w:sz w:val="18"/>
                <w:szCs w:val="18"/>
              </w:rPr>
            </w:pPr>
            <w:r w:rsidRPr="00BA2924">
              <w:rPr>
                <w:color w:val="000000"/>
                <w:sz w:val="18"/>
                <w:szCs w:val="18"/>
              </w:rPr>
              <w:t>168.0</w:t>
            </w:r>
          </w:p>
        </w:tc>
        <w:tc>
          <w:tcPr>
            <w:tcW w:w="1326" w:type="dxa"/>
            <w:tcBorders>
              <w:top w:val="nil"/>
              <w:left w:val="nil"/>
              <w:bottom w:val="single" w:sz="4" w:space="0" w:color="auto"/>
              <w:right w:val="single" w:sz="4" w:space="0" w:color="auto"/>
            </w:tcBorders>
            <w:shd w:val="clear" w:color="auto" w:fill="auto"/>
            <w:noWrap/>
            <w:vAlign w:val="center"/>
            <w:hideMark/>
          </w:tcPr>
          <w:p w14:paraId="1CD99910" w14:textId="77777777" w:rsidR="00BA2924" w:rsidRPr="00BA2924" w:rsidRDefault="00BA2924" w:rsidP="00685573">
            <w:pPr>
              <w:jc w:val="center"/>
              <w:rPr>
                <w:color w:val="000000"/>
                <w:sz w:val="18"/>
                <w:szCs w:val="18"/>
              </w:rPr>
            </w:pPr>
            <w:r w:rsidRPr="00BA2924">
              <w:rPr>
                <w:color w:val="000000"/>
                <w:sz w:val="18"/>
                <w:szCs w:val="18"/>
              </w:rPr>
              <w:t> </w:t>
            </w:r>
          </w:p>
        </w:tc>
        <w:tc>
          <w:tcPr>
            <w:tcW w:w="1225" w:type="dxa"/>
            <w:tcBorders>
              <w:top w:val="nil"/>
              <w:left w:val="nil"/>
              <w:bottom w:val="single" w:sz="4" w:space="0" w:color="auto"/>
              <w:right w:val="single" w:sz="4" w:space="0" w:color="auto"/>
            </w:tcBorders>
            <w:shd w:val="clear" w:color="auto" w:fill="auto"/>
            <w:noWrap/>
            <w:vAlign w:val="center"/>
            <w:hideMark/>
          </w:tcPr>
          <w:p w14:paraId="62D1C15B" w14:textId="77777777" w:rsidR="00BA2924" w:rsidRPr="00BA2924" w:rsidRDefault="00BA2924" w:rsidP="00685573">
            <w:pPr>
              <w:jc w:val="center"/>
              <w:rPr>
                <w:color w:val="000000"/>
                <w:sz w:val="18"/>
                <w:szCs w:val="18"/>
              </w:rPr>
            </w:pPr>
            <w:r w:rsidRPr="00BA2924">
              <w:rPr>
                <w:color w:val="000000"/>
                <w:sz w:val="18"/>
                <w:szCs w:val="18"/>
              </w:rPr>
              <w:t>168.0</w:t>
            </w:r>
          </w:p>
        </w:tc>
        <w:tc>
          <w:tcPr>
            <w:tcW w:w="1418" w:type="dxa"/>
            <w:tcBorders>
              <w:top w:val="nil"/>
              <w:left w:val="nil"/>
              <w:bottom w:val="single" w:sz="4" w:space="0" w:color="auto"/>
              <w:right w:val="single" w:sz="8" w:space="0" w:color="auto"/>
            </w:tcBorders>
            <w:shd w:val="clear" w:color="auto" w:fill="auto"/>
            <w:noWrap/>
            <w:vAlign w:val="center"/>
            <w:hideMark/>
          </w:tcPr>
          <w:p w14:paraId="23F3ADA5" w14:textId="77777777" w:rsidR="00BA2924" w:rsidRPr="00BA2924" w:rsidRDefault="00BA2924" w:rsidP="00685573">
            <w:pPr>
              <w:jc w:val="center"/>
              <w:rPr>
                <w:color w:val="000000"/>
                <w:sz w:val="18"/>
                <w:szCs w:val="18"/>
              </w:rPr>
            </w:pPr>
            <w:r w:rsidRPr="00BA2924">
              <w:rPr>
                <w:color w:val="000000"/>
                <w:sz w:val="18"/>
                <w:szCs w:val="18"/>
              </w:rPr>
              <w:t>1.02%</w:t>
            </w:r>
          </w:p>
        </w:tc>
      </w:tr>
      <w:tr w:rsidR="00BA2924" w:rsidRPr="00331212" w14:paraId="6834FC43" w14:textId="77777777" w:rsidTr="00685573">
        <w:trPr>
          <w:trHeight w:val="315"/>
        </w:trPr>
        <w:tc>
          <w:tcPr>
            <w:tcW w:w="1975" w:type="dxa"/>
            <w:tcBorders>
              <w:top w:val="nil"/>
              <w:left w:val="single" w:sz="8" w:space="0" w:color="auto"/>
              <w:bottom w:val="nil"/>
              <w:right w:val="single" w:sz="4" w:space="0" w:color="auto"/>
            </w:tcBorders>
            <w:shd w:val="clear" w:color="000000" w:fill="EDEDED"/>
            <w:noWrap/>
            <w:vAlign w:val="center"/>
            <w:hideMark/>
          </w:tcPr>
          <w:p w14:paraId="3ACC9E96" w14:textId="77777777" w:rsidR="00BA2924" w:rsidRPr="00BA2924" w:rsidRDefault="00BA2924" w:rsidP="00685573">
            <w:pPr>
              <w:rPr>
                <w:color w:val="000000"/>
                <w:sz w:val="18"/>
                <w:szCs w:val="18"/>
              </w:rPr>
            </w:pPr>
            <w:r w:rsidRPr="00BA2924">
              <w:rPr>
                <w:color w:val="000000"/>
                <w:sz w:val="18"/>
                <w:szCs w:val="18"/>
              </w:rPr>
              <w:t>Transporte</w:t>
            </w:r>
          </w:p>
        </w:tc>
        <w:tc>
          <w:tcPr>
            <w:tcW w:w="1417" w:type="dxa"/>
            <w:tcBorders>
              <w:top w:val="nil"/>
              <w:left w:val="nil"/>
              <w:bottom w:val="nil"/>
              <w:right w:val="single" w:sz="4" w:space="0" w:color="auto"/>
            </w:tcBorders>
            <w:shd w:val="clear" w:color="000000" w:fill="EDEDED"/>
            <w:noWrap/>
            <w:vAlign w:val="center"/>
            <w:hideMark/>
          </w:tcPr>
          <w:p w14:paraId="56ECAF77" w14:textId="77777777" w:rsidR="00BA2924" w:rsidRPr="00BA2924" w:rsidRDefault="00BA2924" w:rsidP="00685573">
            <w:pPr>
              <w:jc w:val="center"/>
              <w:rPr>
                <w:color w:val="000000"/>
                <w:sz w:val="18"/>
                <w:szCs w:val="18"/>
              </w:rPr>
            </w:pPr>
            <w:r w:rsidRPr="00BA2924">
              <w:rPr>
                <w:color w:val="000000"/>
                <w:sz w:val="18"/>
                <w:szCs w:val="18"/>
              </w:rPr>
              <w:t>969</w:t>
            </w:r>
          </w:p>
        </w:tc>
        <w:tc>
          <w:tcPr>
            <w:tcW w:w="1418" w:type="dxa"/>
            <w:tcBorders>
              <w:top w:val="nil"/>
              <w:left w:val="nil"/>
              <w:bottom w:val="nil"/>
              <w:right w:val="single" w:sz="4" w:space="0" w:color="auto"/>
            </w:tcBorders>
            <w:shd w:val="clear" w:color="000000" w:fill="EDEDED"/>
            <w:noWrap/>
            <w:vAlign w:val="center"/>
            <w:hideMark/>
          </w:tcPr>
          <w:p w14:paraId="5114534D" w14:textId="77777777" w:rsidR="00BA2924" w:rsidRPr="00BA2924" w:rsidRDefault="00BA2924" w:rsidP="00685573">
            <w:pPr>
              <w:jc w:val="center"/>
              <w:rPr>
                <w:color w:val="000000"/>
                <w:sz w:val="18"/>
                <w:szCs w:val="18"/>
              </w:rPr>
            </w:pPr>
            <w:r w:rsidRPr="00BA2924">
              <w:rPr>
                <w:color w:val="000000"/>
                <w:sz w:val="18"/>
                <w:szCs w:val="18"/>
              </w:rPr>
              <w:t>8,245.5</w:t>
            </w:r>
          </w:p>
        </w:tc>
        <w:tc>
          <w:tcPr>
            <w:tcW w:w="1326" w:type="dxa"/>
            <w:tcBorders>
              <w:top w:val="nil"/>
              <w:left w:val="nil"/>
              <w:bottom w:val="nil"/>
              <w:right w:val="single" w:sz="4" w:space="0" w:color="auto"/>
            </w:tcBorders>
            <w:shd w:val="clear" w:color="000000" w:fill="EDEDED"/>
            <w:noWrap/>
            <w:vAlign w:val="center"/>
            <w:hideMark/>
          </w:tcPr>
          <w:p w14:paraId="13CCA078" w14:textId="77777777" w:rsidR="00BA2924" w:rsidRPr="00BA2924" w:rsidRDefault="00BA2924" w:rsidP="00685573">
            <w:pPr>
              <w:jc w:val="center"/>
              <w:rPr>
                <w:color w:val="000000"/>
                <w:sz w:val="18"/>
                <w:szCs w:val="18"/>
              </w:rPr>
            </w:pPr>
            <w:r w:rsidRPr="00BA2924">
              <w:rPr>
                <w:color w:val="000000"/>
                <w:sz w:val="18"/>
                <w:szCs w:val="18"/>
              </w:rPr>
              <w:t>81.0</w:t>
            </w:r>
          </w:p>
        </w:tc>
        <w:tc>
          <w:tcPr>
            <w:tcW w:w="1225" w:type="dxa"/>
            <w:tcBorders>
              <w:top w:val="nil"/>
              <w:left w:val="nil"/>
              <w:bottom w:val="nil"/>
              <w:right w:val="single" w:sz="4" w:space="0" w:color="auto"/>
            </w:tcBorders>
            <w:shd w:val="clear" w:color="000000" w:fill="EDEDED"/>
            <w:noWrap/>
            <w:vAlign w:val="center"/>
            <w:hideMark/>
          </w:tcPr>
          <w:p w14:paraId="2C34D9DC" w14:textId="77777777" w:rsidR="00BA2924" w:rsidRPr="00BA2924" w:rsidRDefault="00BA2924" w:rsidP="00685573">
            <w:pPr>
              <w:jc w:val="center"/>
              <w:rPr>
                <w:color w:val="000000"/>
                <w:sz w:val="18"/>
                <w:szCs w:val="18"/>
              </w:rPr>
            </w:pPr>
            <w:r w:rsidRPr="00BA2924">
              <w:rPr>
                <w:color w:val="000000"/>
                <w:sz w:val="18"/>
                <w:szCs w:val="18"/>
              </w:rPr>
              <w:t>8,326.5</w:t>
            </w:r>
          </w:p>
        </w:tc>
        <w:tc>
          <w:tcPr>
            <w:tcW w:w="1418" w:type="dxa"/>
            <w:tcBorders>
              <w:top w:val="nil"/>
              <w:left w:val="nil"/>
              <w:bottom w:val="nil"/>
              <w:right w:val="single" w:sz="8" w:space="0" w:color="auto"/>
            </w:tcBorders>
            <w:shd w:val="clear" w:color="000000" w:fill="EDEDED"/>
            <w:noWrap/>
            <w:vAlign w:val="center"/>
            <w:hideMark/>
          </w:tcPr>
          <w:p w14:paraId="0296A498" w14:textId="77777777" w:rsidR="00BA2924" w:rsidRPr="00BA2924" w:rsidRDefault="00BA2924" w:rsidP="00685573">
            <w:pPr>
              <w:jc w:val="center"/>
              <w:rPr>
                <w:color w:val="000000"/>
                <w:sz w:val="18"/>
                <w:szCs w:val="18"/>
              </w:rPr>
            </w:pPr>
            <w:r w:rsidRPr="00BA2924">
              <w:rPr>
                <w:color w:val="000000"/>
                <w:sz w:val="18"/>
                <w:szCs w:val="18"/>
              </w:rPr>
              <w:t>50.48%</w:t>
            </w:r>
          </w:p>
        </w:tc>
      </w:tr>
      <w:tr w:rsidR="00BA2924" w:rsidRPr="00331212" w14:paraId="52656133" w14:textId="77777777" w:rsidTr="00685573">
        <w:trPr>
          <w:trHeight w:val="315"/>
        </w:trPr>
        <w:tc>
          <w:tcPr>
            <w:tcW w:w="1975" w:type="dxa"/>
            <w:tcBorders>
              <w:top w:val="single" w:sz="8" w:space="0" w:color="auto"/>
              <w:left w:val="single" w:sz="8" w:space="0" w:color="auto"/>
              <w:bottom w:val="single" w:sz="8" w:space="0" w:color="auto"/>
              <w:right w:val="single" w:sz="4" w:space="0" w:color="auto"/>
            </w:tcBorders>
            <w:shd w:val="clear" w:color="000000" w:fill="2F75B5"/>
            <w:noWrap/>
            <w:vAlign w:val="center"/>
            <w:hideMark/>
          </w:tcPr>
          <w:p w14:paraId="53BE7427" w14:textId="77777777" w:rsidR="00BA2924" w:rsidRPr="00BA2924" w:rsidRDefault="00BA2924" w:rsidP="00685573">
            <w:pPr>
              <w:jc w:val="center"/>
              <w:rPr>
                <w:b/>
                <w:bCs/>
                <w:color w:val="FFFFFF"/>
                <w:sz w:val="18"/>
                <w:szCs w:val="18"/>
              </w:rPr>
            </w:pPr>
            <w:r w:rsidRPr="00BA2924">
              <w:rPr>
                <w:b/>
                <w:bCs/>
                <w:color w:val="FFFFFF"/>
                <w:sz w:val="18"/>
                <w:szCs w:val="18"/>
              </w:rPr>
              <w:t>Total</w:t>
            </w:r>
          </w:p>
        </w:tc>
        <w:tc>
          <w:tcPr>
            <w:tcW w:w="1417" w:type="dxa"/>
            <w:tcBorders>
              <w:top w:val="single" w:sz="8" w:space="0" w:color="auto"/>
              <w:left w:val="nil"/>
              <w:bottom w:val="single" w:sz="8" w:space="0" w:color="auto"/>
              <w:right w:val="single" w:sz="4" w:space="0" w:color="auto"/>
            </w:tcBorders>
            <w:shd w:val="clear" w:color="000000" w:fill="2F75B5"/>
            <w:noWrap/>
            <w:vAlign w:val="center"/>
            <w:hideMark/>
          </w:tcPr>
          <w:p w14:paraId="4C7AD688" w14:textId="77777777" w:rsidR="00BA2924" w:rsidRPr="00BA2924" w:rsidRDefault="00BA2924" w:rsidP="00685573">
            <w:pPr>
              <w:jc w:val="center"/>
              <w:rPr>
                <w:b/>
                <w:bCs/>
                <w:color w:val="FFFFFF"/>
                <w:sz w:val="18"/>
                <w:szCs w:val="18"/>
              </w:rPr>
            </w:pPr>
            <w:r w:rsidRPr="00BA2924">
              <w:rPr>
                <w:b/>
                <w:bCs/>
                <w:color w:val="FFFFFF"/>
                <w:sz w:val="18"/>
                <w:szCs w:val="18"/>
              </w:rPr>
              <w:t>3,071</w:t>
            </w:r>
          </w:p>
        </w:tc>
        <w:tc>
          <w:tcPr>
            <w:tcW w:w="1418" w:type="dxa"/>
            <w:tcBorders>
              <w:top w:val="single" w:sz="8" w:space="0" w:color="auto"/>
              <w:left w:val="nil"/>
              <w:bottom w:val="single" w:sz="8" w:space="0" w:color="auto"/>
              <w:right w:val="single" w:sz="4" w:space="0" w:color="auto"/>
            </w:tcBorders>
            <w:shd w:val="clear" w:color="000000" w:fill="2F75B5"/>
            <w:noWrap/>
            <w:vAlign w:val="center"/>
            <w:hideMark/>
          </w:tcPr>
          <w:p w14:paraId="1F84FB7F" w14:textId="77777777" w:rsidR="00BA2924" w:rsidRPr="00BA2924" w:rsidRDefault="00BA2924" w:rsidP="00685573">
            <w:pPr>
              <w:jc w:val="center"/>
              <w:rPr>
                <w:b/>
                <w:bCs/>
                <w:color w:val="FFFFFF"/>
                <w:sz w:val="18"/>
                <w:szCs w:val="18"/>
              </w:rPr>
            </w:pPr>
            <w:r w:rsidRPr="00BA2924">
              <w:rPr>
                <w:b/>
                <w:bCs/>
                <w:color w:val="FFFFFF"/>
                <w:sz w:val="18"/>
                <w:szCs w:val="18"/>
              </w:rPr>
              <w:t>14,063.7</w:t>
            </w:r>
          </w:p>
        </w:tc>
        <w:tc>
          <w:tcPr>
            <w:tcW w:w="1326" w:type="dxa"/>
            <w:tcBorders>
              <w:top w:val="single" w:sz="8" w:space="0" w:color="auto"/>
              <w:left w:val="nil"/>
              <w:bottom w:val="single" w:sz="8" w:space="0" w:color="auto"/>
              <w:right w:val="single" w:sz="4" w:space="0" w:color="auto"/>
            </w:tcBorders>
            <w:shd w:val="clear" w:color="000000" w:fill="2F75B5"/>
            <w:noWrap/>
            <w:vAlign w:val="center"/>
            <w:hideMark/>
          </w:tcPr>
          <w:p w14:paraId="4BB0F3AE" w14:textId="77777777" w:rsidR="00BA2924" w:rsidRPr="00BA2924" w:rsidRDefault="00BA2924" w:rsidP="00685573">
            <w:pPr>
              <w:jc w:val="center"/>
              <w:rPr>
                <w:b/>
                <w:bCs/>
                <w:color w:val="FFFFFF"/>
                <w:sz w:val="18"/>
                <w:szCs w:val="18"/>
              </w:rPr>
            </w:pPr>
            <w:r w:rsidRPr="00BA2924">
              <w:rPr>
                <w:b/>
                <w:bCs/>
                <w:color w:val="FFFFFF"/>
                <w:sz w:val="18"/>
                <w:szCs w:val="18"/>
              </w:rPr>
              <w:t>2,431.7</w:t>
            </w:r>
          </w:p>
        </w:tc>
        <w:tc>
          <w:tcPr>
            <w:tcW w:w="1225" w:type="dxa"/>
            <w:tcBorders>
              <w:top w:val="single" w:sz="8" w:space="0" w:color="auto"/>
              <w:left w:val="nil"/>
              <w:bottom w:val="single" w:sz="8" w:space="0" w:color="auto"/>
              <w:right w:val="single" w:sz="4" w:space="0" w:color="auto"/>
            </w:tcBorders>
            <w:shd w:val="clear" w:color="000000" w:fill="2F75B5"/>
            <w:noWrap/>
            <w:vAlign w:val="center"/>
            <w:hideMark/>
          </w:tcPr>
          <w:p w14:paraId="5E812B0F" w14:textId="77777777" w:rsidR="00BA2924" w:rsidRPr="00BA2924" w:rsidRDefault="00BA2924" w:rsidP="00685573">
            <w:pPr>
              <w:jc w:val="center"/>
              <w:rPr>
                <w:b/>
                <w:bCs/>
                <w:color w:val="FFFFFF"/>
                <w:sz w:val="18"/>
                <w:szCs w:val="18"/>
              </w:rPr>
            </w:pPr>
            <w:r w:rsidRPr="00BA2924">
              <w:rPr>
                <w:b/>
                <w:bCs/>
                <w:color w:val="FFFFFF"/>
                <w:sz w:val="18"/>
                <w:szCs w:val="18"/>
              </w:rPr>
              <w:t>16,495.3</w:t>
            </w:r>
          </w:p>
        </w:tc>
        <w:tc>
          <w:tcPr>
            <w:tcW w:w="1418" w:type="dxa"/>
            <w:tcBorders>
              <w:top w:val="single" w:sz="8" w:space="0" w:color="auto"/>
              <w:left w:val="nil"/>
              <w:bottom w:val="single" w:sz="8" w:space="0" w:color="auto"/>
              <w:right w:val="single" w:sz="8" w:space="0" w:color="auto"/>
            </w:tcBorders>
            <w:shd w:val="clear" w:color="000000" w:fill="2F75B5"/>
            <w:noWrap/>
            <w:vAlign w:val="center"/>
            <w:hideMark/>
          </w:tcPr>
          <w:p w14:paraId="1C5DB7EB" w14:textId="77777777" w:rsidR="00BA2924" w:rsidRPr="00BA2924" w:rsidRDefault="00BA2924" w:rsidP="00685573">
            <w:pPr>
              <w:jc w:val="center"/>
              <w:rPr>
                <w:b/>
                <w:bCs/>
                <w:color w:val="FFFFFF"/>
                <w:sz w:val="18"/>
                <w:szCs w:val="18"/>
              </w:rPr>
            </w:pPr>
            <w:r w:rsidRPr="00BA2924">
              <w:rPr>
                <w:b/>
                <w:bCs/>
                <w:color w:val="FFFFFF"/>
                <w:sz w:val="18"/>
                <w:szCs w:val="18"/>
              </w:rPr>
              <w:t>100.00%</w:t>
            </w:r>
          </w:p>
        </w:tc>
      </w:tr>
    </w:tbl>
    <w:p w14:paraId="164ECF86" w14:textId="77777777" w:rsidR="00BA2924" w:rsidRPr="006A453E" w:rsidRDefault="00BA2924" w:rsidP="00BA2924">
      <w:pPr>
        <w:jc w:val="both"/>
      </w:pPr>
      <w:r w:rsidRPr="006A453E">
        <w:rPr>
          <w:sz w:val="16"/>
          <w:szCs w:val="16"/>
        </w:rPr>
        <w:t xml:space="preserve">Fuente: SEGEPLAN con información del </w:t>
      </w:r>
      <w:r>
        <w:rPr>
          <w:sz w:val="16"/>
          <w:szCs w:val="16"/>
        </w:rPr>
        <w:t xml:space="preserve">SNIP a julio </w:t>
      </w:r>
      <w:r w:rsidRPr="006A453E">
        <w:rPr>
          <w:sz w:val="16"/>
          <w:szCs w:val="16"/>
        </w:rPr>
        <w:t>2023</w:t>
      </w:r>
    </w:p>
    <w:p w14:paraId="687C1408" w14:textId="77777777" w:rsidR="00BA2924" w:rsidRDefault="00BA2924" w:rsidP="00BA2924">
      <w:pPr>
        <w:jc w:val="both"/>
        <w:rPr>
          <w:b/>
          <w:bCs/>
        </w:rPr>
      </w:pPr>
    </w:p>
    <w:p w14:paraId="7B195443" w14:textId="77777777" w:rsidR="00BA2924" w:rsidRPr="006A453E" w:rsidRDefault="00BA2924" w:rsidP="00BA2924">
      <w:pPr>
        <w:jc w:val="both"/>
      </w:pPr>
      <w:r w:rsidRPr="006A453E">
        <w:t>Las cuatro funciones programadas con los mayores montos de inversión son: transporte 50.45%, salud y asistencia social 17.30%, agua y saneamiento 12.11% y educación 10.78%, estos sectores concentran el 90.67% del total.</w:t>
      </w:r>
    </w:p>
    <w:p w14:paraId="15C29AFC" w14:textId="77777777" w:rsidR="00BA2924" w:rsidRDefault="00BA2924" w:rsidP="00BA2924">
      <w:pPr>
        <w:jc w:val="both"/>
        <w:rPr>
          <w:b/>
          <w:bCs/>
        </w:rPr>
      </w:pPr>
    </w:p>
    <w:p w14:paraId="65C066C6" w14:textId="77777777" w:rsidR="00BA2924" w:rsidRDefault="00BA2924" w:rsidP="00BA2924">
      <w:pPr>
        <w:jc w:val="both"/>
      </w:pPr>
      <w:r w:rsidRPr="004D0076">
        <w:t xml:space="preserve">El 65.8% de los proyectos nuevos y de arrastre para 2024 se encuentran en la Administración Central, el 23.8% en los Consejos Departamentales de Desarrollo, el 4.7% en Empresas Públicas Nacionales y el restante 5.7% en Entidades descentralizadas no empresariales, Instituciones de Seguridad Social y Órganos de control jurídico administrativos. </w:t>
      </w:r>
    </w:p>
    <w:p w14:paraId="2133A0BC" w14:textId="77777777" w:rsidR="00BA2924" w:rsidRDefault="00BA2924" w:rsidP="00BA2924">
      <w:pPr>
        <w:jc w:val="both"/>
      </w:pPr>
    </w:p>
    <w:p w14:paraId="54AA07DD" w14:textId="77777777" w:rsidR="00BA2924" w:rsidRDefault="00BA2924" w:rsidP="00BA2924">
      <w:pPr>
        <w:jc w:val="both"/>
      </w:pPr>
      <w:r>
        <w:t>De la cartera de proyectos por situación presupuestaria se tiene que el 80.5% corresponde a proyectos nuevos y el 19.5% a proyectos de arrastre.</w:t>
      </w:r>
    </w:p>
    <w:p w14:paraId="19FC92A3" w14:textId="77777777" w:rsidR="00BA2924" w:rsidRDefault="00BA2924" w:rsidP="00BA2924">
      <w:pPr>
        <w:jc w:val="both"/>
      </w:pPr>
    </w:p>
    <w:p w14:paraId="09923988" w14:textId="77777777" w:rsidR="00BA2924" w:rsidRDefault="00BA2924" w:rsidP="00BA2924">
      <w:pPr>
        <w:jc w:val="both"/>
      </w:pPr>
      <w:r>
        <w:t>Los proyectos de arrastre más relevantes en cuanto a monto programado se encuentran en el Ministerio de Comunicaciones, Infraestructura y Vivienda siendo algunos de ellos:</w:t>
      </w:r>
    </w:p>
    <w:p w14:paraId="49B5C05E" w14:textId="77777777" w:rsidR="00BA2924" w:rsidRDefault="00BA2924" w:rsidP="00BA2924">
      <w:pPr>
        <w:jc w:val="both"/>
      </w:pPr>
    </w:p>
    <w:p w14:paraId="5CA1A532" w14:textId="77777777" w:rsidR="00BA2924" w:rsidRDefault="00BA2924" w:rsidP="00354A9C">
      <w:pPr>
        <w:pStyle w:val="Prrafodelista"/>
        <w:numPr>
          <w:ilvl w:val="0"/>
          <w:numId w:val="45"/>
        </w:numPr>
        <w:jc w:val="both"/>
      </w:pPr>
      <w:r>
        <w:t>Mejoramiento carretera RN 12 sur, tramo: San Marcos- Guativil-El Quetzal-Sintaná con una programación de Q100 millones</w:t>
      </w:r>
    </w:p>
    <w:p w14:paraId="404B6135" w14:textId="77777777" w:rsidR="00BA2924" w:rsidRDefault="00BA2924" w:rsidP="00354A9C">
      <w:pPr>
        <w:pStyle w:val="Prrafodelista"/>
        <w:numPr>
          <w:ilvl w:val="0"/>
          <w:numId w:val="45"/>
        </w:numPr>
        <w:jc w:val="both"/>
      </w:pPr>
      <w:r>
        <w:t>La construcción del puente vehicular Chitomax, caserío, municipio de Cubulco con una programación de Q63 millones</w:t>
      </w:r>
    </w:p>
    <w:p w14:paraId="26DCF344" w14:textId="77777777" w:rsidR="00BA2924" w:rsidRPr="004D0076" w:rsidRDefault="00BA2924" w:rsidP="00354A9C">
      <w:pPr>
        <w:pStyle w:val="Prrafodelista"/>
        <w:numPr>
          <w:ilvl w:val="0"/>
          <w:numId w:val="45"/>
        </w:numPr>
        <w:jc w:val="both"/>
      </w:pPr>
      <w:r w:rsidRPr="004D0076">
        <w:t xml:space="preserve">Mejoramiento carretero, tramo: </w:t>
      </w:r>
      <w:r>
        <w:t>Todos Santos Cuchumatán-Aldea San Martín-Concepción Huista, Huehuetenango</w:t>
      </w:r>
      <w:r w:rsidRPr="004D0076">
        <w:t xml:space="preserve"> con una programación de Q</w:t>
      </w:r>
      <w:r>
        <w:t>96.3</w:t>
      </w:r>
      <w:r w:rsidRPr="004D0076">
        <w:t xml:space="preserve"> millones</w:t>
      </w:r>
    </w:p>
    <w:p w14:paraId="056D3659" w14:textId="77777777" w:rsidR="00BA2924" w:rsidRPr="00724F5F" w:rsidRDefault="00BA2924" w:rsidP="00354A9C">
      <w:pPr>
        <w:pStyle w:val="Prrafodelista"/>
        <w:numPr>
          <w:ilvl w:val="0"/>
          <w:numId w:val="45"/>
        </w:numPr>
        <w:jc w:val="both"/>
      </w:pPr>
      <w:r w:rsidRPr="00724F5F">
        <w:t xml:space="preserve">Mejoramiento carretera </w:t>
      </w:r>
      <w:r>
        <w:t>ruta RD-BVE-18</w:t>
      </w:r>
      <w:r w:rsidRPr="00724F5F">
        <w:t xml:space="preserve">, tramo: </w:t>
      </w:r>
      <w:r>
        <w:t xml:space="preserve">Chitomax- Pacani, Cubulco, Baja Verapaz </w:t>
      </w:r>
      <w:r w:rsidRPr="00724F5F">
        <w:t>con una programación de Q</w:t>
      </w:r>
      <w:r>
        <w:t>81.0</w:t>
      </w:r>
      <w:r w:rsidRPr="00724F5F">
        <w:t xml:space="preserve"> millones</w:t>
      </w:r>
    </w:p>
    <w:p w14:paraId="49CAA21D" w14:textId="77777777" w:rsidR="00BA2924" w:rsidRPr="00724F5F" w:rsidRDefault="00BA2924" w:rsidP="00354A9C">
      <w:pPr>
        <w:pStyle w:val="Prrafodelista"/>
        <w:numPr>
          <w:ilvl w:val="0"/>
          <w:numId w:val="45"/>
        </w:numPr>
        <w:jc w:val="both"/>
      </w:pPr>
      <w:r>
        <w:t xml:space="preserve">Ampliación carretera a cuatro carriles rutas RD-Esc-09 y CA-2 OR, Anillo C-50 Tramo VIII: Guanagazapa-Escuintla, Escuintla </w:t>
      </w:r>
      <w:r w:rsidRPr="00724F5F">
        <w:t>con una programación de Q1</w:t>
      </w:r>
      <w:r>
        <w:t>49</w:t>
      </w:r>
      <w:r w:rsidRPr="00724F5F">
        <w:t>.</w:t>
      </w:r>
      <w:r>
        <w:t>9</w:t>
      </w:r>
      <w:r w:rsidRPr="00724F5F">
        <w:t xml:space="preserve"> millones</w:t>
      </w:r>
    </w:p>
    <w:p w14:paraId="7DBA0BB2" w14:textId="77777777" w:rsidR="00BA2924" w:rsidRPr="00724F5F" w:rsidRDefault="00BA2924" w:rsidP="00354A9C">
      <w:pPr>
        <w:pStyle w:val="Prrafodelista"/>
        <w:numPr>
          <w:ilvl w:val="0"/>
          <w:numId w:val="45"/>
        </w:numPr>
        <w:jc w:val="both"/>
      </w:pPr>
      <w:r>
        <w:t xml:space="preserve">Construcción Puente Vehicular Corozal Ruta CA-9 Norte, Estación 29 725 San Antonio La Paz, El Progreso </w:t>
      </w:r>
      <w:r w:rsidRPr="00724F5F">
        <w:t>con una programación de Q</w:t>
      </w:r>
      <w:r>
        <w:t>241</w:t>
      </w:r>
      <w:r w:rsidRPr="00724F5F">
        <w:t>.</w:t>
      </w:r>
      <w:r>
        <w:t>7</w:t>
      </w:r>
      <w:r w:rsidRPr="00724F5F">
        <w:t xml:space="preserve"> millones</w:t>
      </w:r>
    </w:p>
    <w:p w14:paraId="655FB1B5" w14:textId="77777777" w:rsidR="00BA2924" w:rsidRPr="00724F5F" w:rsidRDefault="00BA2924" w:rsidP="00354A9C">
      <w:pPr>
        <w:pStyle w:val="Prrafodelista"/>
        <w:numPr>
          <w:ilvl w:val="0"/>
          <w:numId w:val="45"/>
        </w:numPr>
        <w:jc w:val="both"/>
      </w:pPr>
      <w:r>
        <w:t xml:space="preserve">Construcción Puente Vehicular Belice II y aproximaciones Guatemala, Guatemala </w:t>
      </w:r>
      <w:r w:rsidRPr="00724F5F">
        <w:t>con una programación de Q</w:t>
      </w:r>
      <w:r>
        <w:t>329</w:t>
      </w:r>
      <w:r w:rsidRPr="00724F5F">
        <w:t>.</w:t>
      </w:r>
      <w:r>
        <w:t>6</w:t>
      </w:r>
      <w:r w:rsidRPr="00724F5F">
        <w:t xml:space="preserve"> millones</w:t>
      </w:r>
    </w:p>
    <w:p w14:paraId="23316B4F" w14:textId="77777777" w:rsidR="00BA2924" w:rsidRPr="00724F5F" w:rsidRDefault="00BA2924" w:rsidP="00354A9C">
      <w:pPr>
        <w:pStyle w:val="Prrafodelista"/>
        <w:numPr>
          <w:ilvl w:val="0"/>
          <w:numId w:val="45"/>
        </w:numPr>
        <w:jc w:val="both"/>
      </w:pPr>
      <w:r>
        <w:t xml:space="preserve">Construcción Puente Vehicular Ruta RD-SM-02 a Bifurcación RN-08 (hacia Ocos)- Bifurcación RD-SM-02 (hacia Tilapa), Ocos, San Marcos </w:t>
      </w:r>
      <w:r w:rsidRPr="00724F5F">
        <w:t>con una programación de Q</w:t>
      </w:r>
      <w:r>
        <w:t>11</w:t>
      </w:r>
      <w:r w:rsidRPr="00724F5F">
        <w:t>1.</w:t>
      </w:r>
      <w:r>
        <w:t>5</w:t>
      </w:r>
      <w:r w:rsidRPr="00724F5F">
        <w:t xml:space="preserve"> millones</w:t>
      </w:r>
    </w:p>
    <w:p w14:paraId="39EE8786" w14:textId="77777777" w:rsidR="00BA2924" w:rsidRPr="00724F5F" w:rsidRDefault="00BA2924" w:rsidP="00354A9C">
      <w:pPr>
        <w:pStyle w:val="Prrafodelista"/>
        <w:numPr>
          <w:ilvl w:val="0"/>
          <w:numId w:val="45"/>
        </w:numPr>
        <w:jc w:val="both"/>
      </w:pPr>
      <w:r>
        <w:t>Construcción carretera Franja Transversal del Norte (Frontera con México- Modesto Méndez, Izabal)</w:t>
      </w:r>
      <w:r w:rsidRPr="00724F5F">
        <w:t xml:space="preserve"> con una programación de Q81.</w:t>
      </w:r>
      <w:r>
        <w:t>1</w:t>
      </w:r>
      <w:r w:rsidRPr="00724F5F">
        <w:t xml:space="preserve"> millones</w:t>
      </w:r>
    </w:p>
    <w:p w14:paraId="0ED1E0A5" w14:textId="77777777" w:rsidR="00BA2924" w:rsidRDefault="00BA2924" w:rsidP="00BA2924">
      <w:pPr>
        <w:jc w:val="both"/>
      </w:pPr>
    </w:p>
    <w:p w14:paraId="24A3DFED" w14:textId="77777777" w:rsidR="00BA2924" w:rsidRDefault="00BA2924" w:rsidP="00BA2924">
      <w:pPr>
        <w:jc w:val="both"/>
      </w:pPr>
      <w:r>
        <w:t xml:space="preserve">En cuanto a los proyectos nuevos que cuentan con opinión favorable, se tiene que el monto más significativo se concentra nuevamente en el Ministerio </w:t>
      </w:r>
      <w:r w:rsidRPr="005B7D51">
        <w:t>de Comunicaciones, Infraestructura y Vivienda siendo algunos de ellos:</w:t>
      </w:r>
    </w:p>
    <w:p w14:paraId="3DD2539A" w14:textId="77777777" w:rsidR="00BA2924" w:rsidRDefault="00BA2924" w:rsidP="00BA2924">
      <w:pPr>
        <w:jc w:val="both"/>
      </w:pPr>
    </w:p>
    <w:p w14:paraId="48DDFFE1" w14:textId="77777777" w:rsidR="00BA2924" w:rsidRDefault="00BA2924" w:rsidP="00354A9C">
      <w:pPr>
        <w:pStyle w:val="Prrafodelista"/>
        <w:numPr>
          <w:ilvl w:val="0"/>
          <w:numId w:val="45"/>
        </w:numPr>
        <w:jc w:val="both"/>
      </w:pPr>
      <w:r>
        <w:t xml:space="preserve">Ampliación carretera a cuatro carriles rutas RD-CA-09 Norte, Tramo: Mayuelas, Zacapa – Puerto Barrios, Izabal </w:t>
      </w:r>
      <w:r w:rsidRPr="00724F5F">
        <w:t>con una programación de Q1</w:t>
      </w:r>
      <w:r>
        <w:t>00</w:t>
      </w:r>
      <w:r w:rsidRPr="00724F5F">
        <w:t>.</w:t>
      </w:r>
      <w:r>
        <w:t>0</w:t>
      </w:r>
      <w:r w:rsidRPr="00724F5F">
        <w:t xml:space="preserve"> millones</w:t>
      </w:r>
    </w:p>
    <w:p w14:paraId="07AE38C7" w14:textId="77777777" w:rsidR="00BA2924" w:rsidRDefault="00BA2924" w:rsidP="00354A9C">
      <w:pPr>
        <w:pStyle w:val="Prrafodelista"/>
        <w:numPr>
          <w:ilvl w:val="0"/>
          <w:numId w:val="45"/>
        </w:numPr>
        <w:jc w:val="both"/>
      </w:pPr>
      <w:r>
        <w:t xml:space="preserve">Mejoramiento carretera RD-SRO-02, Tramo: Casillas-Ayarza, Casillas, Santa Rosa </w:t>
      </w:r>
      <w:r w:rsidRPr="005B7D51">
        <w:t>con una programación de Q1</w:t>
      </w:r>
      <w:r>
        <w:t>12</w:t>
      </w:r>
      <w:r w:rsidRPr="005B7D51">
        <w:t>.0 millones</w:t>
      </w:r>
    </w:p>
    <w:p w14:paraId="41C4DC32" w14:textId="77777777" w:rsidR="00BA2924" w:rsidRDefault="00BA2924" w:rsidP="00354A9C">
      <w:pPr>
        <w:pStyle w:val="Prrafodelista"/>
        <w:numPr>
          <w:ilvl w:val="0"/>
          <w:numId w:val="45"/>
        </w:numPr>
        <w:jc w:val="both"/>
      </w:pPr>
      <w:r>
        <w:t xml:space="preserve">Ampliación carretera a cuatro carriles Ruta RN-19, Anillo C-50 Tramo I: CA-9-Norte-Sansare, El Progreso </w:t>
      </w:r>
      <w:r w:rsidRPr="005B7D51">
        <w:t>con una programación de Q</w:t>
      </w:r>
      <w:r>
        <w:t>322</w:t>
      </w:r>
      <w:r w:rsidRPr="005B7D51">
        <w:t>.</w:t>
      </w:r>
      <w:r>
        <w:t>3</w:t>
      </w:r>
      <w:r w:rsidRPr="005B7D51">
        <w:t xml:space="preserve"> millones</w:t>
      </w:r>
    </w:p>
    <w:p w14:paraId="384042F4" w14:textId="77777777" w:rsidR="00BA2924" w:rsidRPr="005B7D51" w:rsidRDefault="00BA2924" w:rsidP="00354A9C">
      <w:pPr>
        <w:pStyle w:val="Prrafodelista"/>
        <w:numPr>
          <w:ilvl w:val="0"/>
          <w:numId w:val="45"/>
        </w:numPr>
        <w:jc w:val="both"/>
      </w:pPr>
      <w:r w:rsidRPr="005B7D51">
        <w:t>Ampliación carretera a cuatro carriles Ruta R</w:t>
      </w:r>
      <w:r>
        <w:t>D</w:t>
      </w:r>
      <w:r w:rsidRPr="005B7D51">
        <w:t>-</w:t>
      </w:r>
      <w:r>
        <w:t>GUA-09M,</w:t>
      </w:r>
      <w:r w:rsidRPr="005B7D51">
        <w:t xml:space="preserve"> Anillo C-50 Tramo </w:t>
      </w:r>
      <w:r>
        <w:t>V</w:t>
      </w:r>
      <w:r w:rsidRPr="005B7D51">
        <w:t>I: CA-</w:t>
      </w:r>
      <w:r>
        <w:t>1</w:t>
      </w:r>
      <w:r w:rsidRPr="005B7D51">
        <w:t>-</w:t>
      </w:r>
      <w:r>
        <w:t xml:space="preserve">OR- El Obrajuelo, Villa Canales, Guatemala </w:t>
      </w:r>
      <w:r w:rsidRPr="005B7D51">
        <w:t>con una programación de</w:t>
      </w:r>
      <w:r>
        <w:t xml:space="preserve"> </w:t>
      </w:r>
      <w:r w:rsidRPr="005B7D51">
        <w:t>Q322.3 millones</w:t>
      </w:r>
    </w:p>
    <w:p w14:paraId="14556DD9" w14:textId="77777777" w:rsidR="00BA2924" w:rsidRPr="005B7D51" w:rsidRDefault="00BA2924" w:rsidP="00354A9C">
      <w:pPr>
        <w:pStyle w:val="Prrafodelista"/>
        <w:numPr>
          <w:ilvl w:val="0"/>
          <w:numId w:val="45"/>
        </w:numPr>
        <w:jc w:val="both"/>
      </w:pPr>
      <w:r>
        <w:t xml:space="preserve">Construcción carretera a cuatro carriles Ruta CA-14, tramo: Santa Cruz Verapaz- Cobán, Alta Verapaz </w:t>
      </w:r>
      <w:r w:rsidRPr="005B7D51">
        <w:t>con una programación de Q</w:t>
      </w:r>
      <w:r>
        <w:t>190</w:t>
      </w:r>
      <w:r w:rsidRPr="005B7D51">
        <w:t>.</w:t>
      </w:r>
      <w:r>
        <w:t>3</w:t>
      </w:r>
      <w:r w:rsidRPr="005B7D51">
        <w:t xml:space="preserve"> millones</w:t>
      </w:r>
    </w:p>
    <w:p w14:paraId="2C63E431" w14:textId="77777777" w:rsidR="00BA2924" w:rsidRPr="003B53F5" w:rsidRDefault="00BA2924" w:rsidP="00354A9C">
      <w:pPr>
        <w:pStyle w:val="Prrafodelista"/>
        <w:numPr>
          <w:ilvl w:val="0"/>
          <w:numId w:val="45"/>
        </w:numPr>
        <w:jc w:val="both"/>
      </w:pPr>
      <w:r>
        <w:t xml:space="preserve">Mejoramiento carretera RD-Zac-03 tramo: aldea San Pablo, Zacapa-Gualan Zacapa </w:t>
      </w:r>
      <w:r w:rsidRPr="003B53F5">
        <w:t>con una programación de Q10</w:t>
      </w:r>
      <w:r>
        <w:t>8</w:t>
      </w:r>
      <w:r w:rsidRPr="003B53F5">
        <w:t>.</w:t>
      </w:r>
      <w:r>
        <w:t>5</w:t>
      </w:r>
      <w:r w:rsidRPr="003B53F5">
        <w:t xml:space="preserve"> millones</w:t>
      </w:r>
    </w:p>
    <w:p w14:paraId="0F35F4C9" w14:textId="77777777" w:rsidR="00BA2924" w:rsidRPr="003B53F5" w:rsidRDefault="00BA2924" w:rsidP="00354A9C">
      <w:pPr>
        <w:pStyle w:val="Prrafodelista"/>
        <w:numPr>
          <w:ilvl w:val="0"/>
          <w:numId w:val="45"/>
        </w:numPr>
        <w:jc w:val="both"/>
      </w:pPr>
      <w:r>
        <w:t xml:space="preserve">Mejoramiento carretera ruta RD-SMA-52, Tramo: Concepción Tutuapa, San Marcos- Bifurcación RN-7W, aldea Islam, Cuilco, Huehuetenango </w:t>
      </w:r>
      <w:r w:rsidRPr="003B53F5">
        <w:t>con una programación de Q1</w:t>
      </w:r>
      <w:r>
        <w:t>65</w:t>
      </w:r>
      <w:r w:rsidRPr="003B53F5">
        <w:t>.</w:t>
      </w:r>
      <w:r>
        <w:t>0</w:t>
      </w:r>
      <w:r w:rsidRPr="003B53F5">
        <w:t xml:space="preserve"> millones</w:t>
      </w:r>
    </w:p>
    <w:p w14:paraId="23FC735A" w14:textId="77777777" w:rsidR="00BA2924" w:rsidRPr="003B53F5" w:rsidRDefault="00BA2924" w:rsidP="00354A9C">
      <w:pPr>
        <w:pStyle w:val="Prrafodelista"/>
        <w:numPr>
          <w:ilvl w:val="0"/>
          <w:numId w:val="45"/>
        </w:numPr>
        <w:jc w:val="both"/>
      </w:pPr>
      <w:r w:rsidRPr="003B53F5">
        <w:t>Mejoramiento carretera ruta RD-</w:t>
      </w:r>
      <w:r>
        <w:t>HUE-37</w:t>
      </w:r>
      <w:r w:rsidRPr="003B53F5">
        <w:t xml:space="preserve">, Tramo: </w:t>
      </w:r>
      <w:r>
        <w:t>San Mateo Ixtatan, Yalambojoch</w:t>
      </w:r>
      <w:r w:rsidRPr="003B53F5">
        <w:t>,</w:t>
      </w:r>
      <w:r>
        <w:t xml:space="preserve"> Nenton,</w:t>
      </w:r>
      <w:r w:rsidRPr="003B53F5">
        <w:t xml:space="preserve"> Huehuetenango con una programación de Q165.0 millones</w:t>
      </w:r>
    </w:p>
    <w:p w14:paraId="26E1FD3E" w14:textId="77777777" w:rsidR="00BA2924" w:rsidRDefault="00BA2924" w:rsidP="00354A9C">
      <w:pPr>
        <w:pStyle w:val="Prrafodelista"/>
        <w:numPr>
          <w:ilvl w:val="0"/>
          <w:numId w:val="45"/>
        </w:numPr>
      </w:pPr>
      <w:r w:rsidRPr="003B53F5">
        <w:t>Mejoramiento carretera ruta RD-</w:t>
      </w:r>
      <w:r>
        <w:t>PET</w:t>
      </w:r>
      <w:r w:rsidRPr="003B53F5">
        <w:t>-</w:t>
      </w:r>
      <w:r>
        <w:t>06</w:t>
      </w:r>
      <w:r w:rsidRPr="003B53F5">
        <w:t xml:space="preserve">, Tramo: </w:t>
      </w:r>
      <w:r>
        <w:t xml:space="preserve">BIF. CA-13 EST 416.670, caserío Sabaneta – Est 449.900, caserío Calabazal; Dolores, Peten </w:t>
      </w:r>
      <w:r w:rsidRPr="003B53F5">
        <w:t>con una programación de Q</w:t>
      </w:r>
      <w:r>
        <w:t>222</w:t>
      </w:r>
      <w:r w:rsidRPr="003B53F5">
        <w:t>.</w:t>
      </w:r>
      <w:r>
        <w:t>1</w:t>
      </w:r>
      <w:r w:rsidRPr="003B53F5">
        <w:t xml:space="preserve"> millones</w:t>
      </w:r>
      <w:r>
        <w:t>.</w:t>
      </w:r>
    </w:p>
    <w:p w14:paraId="46BCFA2E" w14:textId="4CF566F1" w:rsidR="00BA2924" w:rsidRDefault="00BA2924" w:rsidP="00BA2924"/>
    <w:p w14:paraId="7D7AF880" w14:textId="77777777" w:rsidR="00827ED5" w:rsidRDefault="00827ED5" w:rsidP="00BA2924"/>
    <w:p w14:paraId="5AD69B90" w14:textId="77777777" w:rsidR="00BA2924" w:rsidRPr="00AD5C65" w:rsidRDefault="00BA2924" w:rsidP="0049039C">
      <w:pPr>
        <w:pStyle w:val="Prrafodelista"/>
        <w:numPr>
          <w:ilvl w:val="2"/>
          <w:numId w:val="3"/>
        </w:numPr>
        <w:jc w:val="both"/>
        <w:outlineLvl w:val="1"/>
        <w:rPr>
          <w:b/>
          <w:bCs/>
        </w:rPr>
      </w:pPr>
      <w:bookmarkStart w:id="273" w:name="_Toc143865868"/>
      <w:r w:rsidRPr="00AD5C65">
        <w:rPr>
          <w:b/>
          <w:bCs/>
        </w:rPr>
        <w:t xml:space="preserve">Inversión </w:t>
      </w:r>
      <w:r>
        <w:rPr>
          <w:b/>
          <w:bCs/>
        </w:rPr>
        <w:t>s</w:t>
      </w:r>
      <w:r w:rsidRPr="00AD5C65">
        <w:rPr>
          <w:b/>
          <w:bCs/>
        </w:rPr>
        <w:t>ocial ejercicio fiscal 2024</w:t>
      </w:r>
      <w:bookmarkEnd w:id="273"/>
    </w:p>
    <w:p w14:paraId="761ACFE1" w14:textId="77777777" w:rsidR="00BA2924" w:rsidRDefault="00BA2924" w:rsidP="00BA2924">
      <w:pPr>
        <w:jc w:val="both"/>
      </w:pPr>
    </w:p>
    <w:p w14:paraId="7DA5F281" w14:textId="77777777" w:rsidR="00BA2924" w:rsidRDefault="00BA2924" w:rsidP="00BA2924">
      <w:pPr>
        <w:jc w:val="both"/>
      </w:pPr>
      <w:r w:rsidRPr="00083378">
        <w:t>La planificación del desarrollo en Guatemala, entendida como estrategias de desarrollo que respondan al futuro deseado en la visión de largo plazo, necesita tener claridad sobre conceptos como la inversión física, la inversión social y el impacto en mejorar las condiciones de vida de la población.</w:t>
      </w:r>
    </w:p>
    <w:p w14:paraId="62554429" w14:textId="77777777" w:rsidR="00BA2924" w:rsidRDefault="00BA2924" w:rsidP="00BA2924">
      <w:pPr>
        <w:jc w:val="both"/>
      </w:pPr>
    </w:p>
    <w:p w14:paraId="7C24B820" w14:textId="77777777" w:rsidR="00BA2924" w:rsidRDefault="00BA2924" w:rsidP="00BA2924">
      <w:pPr>
        <w:jc w:val="both"/>
      </w:pPr>
      <w:r w:rsidRPr="00083378">
        <w:t>En este sentido, la inversión social “mejora las capacidades de las personas, apoya su participación en la sociedad y en el mercado laboral, y con ello, reinvierte en la prosperidad individual e impulsa la economía”.</w:t>
      </w:r>
    </w:p>
    <w:p w14:paraId="27B89EA9" w14:textId="77777777" w:rsidR="00BA2924" w:rsidRDefault="00BA2924" w:rsidP="00BA2924">
      <w:pPr>
        <w:jc w:val="both"/>
      </w:pPr>
    </w:p>
    <w:p w14:paraId="70AB76C2" w14:textId="77777777" w:rsidR="00BA2924" w:rsidRDefault="00BA2924" w:rsidP="00BA2924">
      <w:pPr>
        <w:jc w:val="both"/>
      </w:pPr>
      <w:r>
        <w:t>Para Segeplan, la inversión social se</w:t>
      </w:r>
      <w:r w:rsidRPr="002C55AC">
        <w:t xml:space="preserve"> refiere a los recursos económicos dirigidos a la población, según tres criterios</w:t>
      </w:r>
      <w:r>
        <w:t>:</w:t>
      </w:r>
    </w:p>
    <w:p w14:paraId="7CF7E79C" w14:textId="77777777" w:rsidR="00BA2924" w:rsidRDefault="00BA2924" w:rsidP="00BA2924">
      <w:pPr>
        <w:jc w:val="both"/>
      </w:pPr>
    </w:p>
    <w:p w14:paraId="4D7D44AE" w14:textId="77777777" w:rsidR="00BA2924" w:rsidRDefault="00BA2924" w:rsidP="00354A9C">
      <w:pPr>
        <w:pStyle w:val="Prrafodelista"/>
        <w:numPr>
          <w:ilvl w:val="0"/>
          <w:numId w:val="46"/>
        </w:numPr>
        <w:jc w:val="both"/>
      </w:pPr>
      <w:r>
        <w:t>Cubrir necesidades básicas de la población, según ciclo de vida y enfatizando en la población más vulnerable.</w:t>
      </w:r>
    </w:p>
    <w:p w14:paraId="59C0AE89" w14:textId="77777777" w:rsidR="00BA2924" w:rsidRDefault="00BA2924" w:rsidP="00354A9C">
      <w:pPr>
        <w:pStyle w:val="Prrafodelista"/>
        <w:numPr>
          <w:ilvl w:val="0"/>
          <w:numId w:val="46"/>
        </w:numPr>
        <w:jc w:val="both"/>
      </w:pPr>
      <w:r>
        <w:t>Establecer mecanismos de protección social en prevención o atención; y</w:t>
      </w:r>
    </w:p>
    <w:p w14:paraId="4FF4AA1D" w14:textId="77777777" w:rsidR="00BA2924" w:rsidRDefault="00BA2924" w:rsidP="00354A9C">
      <w:pPr>
        <w:pStyle w:val="Prrafodelista"/>
        <w:numPr>
          <w:ilvl w:val="0"/>
          <w:numId w:val="46"/>
        </w:numPr>
        <w:jc w:val="both"/>
      </w:pPr>
      <w:r>
        <w:t>Generar capacidades productivas en la población para promover su inclusión social, política y económica.</w:t>
      </w:r>
    </w:p>
    <w:p w14:paraId="782F0D66" w14:textId="77777777" w:rsidR="00BA2924" w:rsidRDefault="00BA2924" w:rsidP="00BA2924">
      <w:pPr>
        <w:jc w:val="both"/>
      </w:pPr>
    </w:p>
    <w:p w14:paraId="4021ED5A" w14:textId="77777777" w:rsidR="00BA2924" w:rsidRDefault="00BA2924" w:rsidP="00BA2924">
      <w:pPr>
        <w:jc w:val="both"/>
      </w:pPr>
      <w:r w:rsidRPr="002C55AC">
        <w:t>De esta cuenta</w:t>
      </w:r>
      <w:r>
        <w:t>,</w:t>
      </w:r>
      <w:r w:rsidRPr="002C55AC">
        <w:t xml:space="preserve"> se identifica que Q62,655.</w:t>
      </w:r>
      <w:r>
        <w:t>4</w:t>
      </w:r>
      <w:r w:rsidRPr="002C55AC">
        <w:t xml:space="preserve"> millones</w:t>
      </w:r>
      <w:r>
        <w:t>,</w:t>
      </w:r>
      <w:r w:rsidRPr="002C55AC">
        <w:t xml:space="preserve"> se encuentran destinados a inversión social para el 2024. De </w:t>
      </w:r>
      <w:r>
        <w:t>los cuales</w:t>
      </w:r>
      <w:r w:rsidRPr="002C55AC">
        <w:t>, Q49,626.5 millones corresponden a los ministerios rectores sectoriales, los cuales equivalen al 79% del total del presupuesto destinado a inversión social.</w:t>
      </w:r>
    </w:p>
    <w:p w14:paraId="709B73BA" w14:textId="77777777" w:rsidR="00BA2924" w:rsidRDefault="00BA2924" w:rsidP="00BA2924">
      <w:pPr>
        <w:jc w:val="both"/>
      </w:pPr>
    </w:p>
    <w:p w14:paraId="16B3A534" w14:textId="77777777" w:rsidR="00BA2924" w:rsidRDefault="00BA2924" w:rsidP="00BA2924">
      <w:pPr>
        <w:jc w:val="both"/>
      </w:pPr>
      <w:r>
        <w:t>S</w:t>
      </w:r>
      <w:r w:rsidRPr="002C55AC">
        <w:t>e detallan las siguientes categorías de inversión social, basadas en producción de las instituciones públicas:</w:t>
      </w:r>
    </w:p>
    <w:p w14:paraId="04D56E79" w14:textId="77777777" w:rsidR="00BA2924" w:rsidRDefault="00BA2924" w:rsidP="00BA2924">
      <w:pPr>
        <w:jc w:val="both"/>
      </w:pPr>
    </w:p>
    <w:p w14:paraId="0AFBBC60" w14:textId="77777777" w:rsidR="00BA2924" w:rsidRPr="00490943" w:rsidRDefault="00BA2924" w:rsidP="00BA2924">
      <w:pPr>
        <w:jc w:val="both"/>
        <w:rPr>
          <w:b/>
          <w:bCs/>
          <w:u w:val="single"/>
        </w:rPr>
      </w:pPr>
      <w:r w:rsidRPr="00490943">
        <w:rPr>
          <w:b/>
          <w:bCs/>
          <w:u w:val="single"/>
        </w:rPr>
        <w:t>Salud</w:t>
      </w:r>
    </w:p>
    <w:p w14:paraId="38401601" w14:textId="77777777" w:rsidR="00BA2924" w:rsidRDefault="00BA2924" w:rsidP="00BA2924">
      <w:pPr>
        <w:jc w:val="both"/>
      </w:pPr>
      <w:r w:rsidRPr="00D65CE9">
        <w:t xml:space="preserve">La temática de Salud cuenta con 21 programas presupuestarios y 83 productos vinculados, dentro de las instituciones con productos más relevantes se encuentran: el IGSS, con los productos: “Pensionado que recibe pagos oportunos y otras prestaciones por </w:t>
      </w:r>
      <w:r>
        <w:t>v</w:t>
      </w:r>
      <w:r w:rsidRPr="00D65CE9">
        <w:t>ejez en el programa IVS, gestionado por personal administrativo”, que representa el 17% de la inversión social solicita en esta categoría. Así como el MIDES con el producto “Hospitales, centros y puestos de salud con dotación de materiales, mobiliario y equipo médico”</w:t>
      </w:r>
      <w:r>
        <w:t xml:space="preserve">. </w:t>
      </w:r>
    </w:p>
    <w:p w14:paraId="0D98F404" w14:textId="77777777" w:rsidR="00BA2924" w:rsidRDefault="00BA2924" w:rsidP="00BA2924">
      <w:pPr>
        <w:jc w:val="both"/>
      </w:pPr>
    </w:p>
    <w:p w14:paraId="3FD5F427" w14:textId="77777777" w:rsidR="00BA2924" w:rsidRDefault="00BA2924" w:rsidP="00BA2924">
      <w:pPr>
        <w:jc w:val="both"/>
      </w:pPr>
      <w:r>
        <w:t>En total, el área de salud concentra recursos por Q23,498.8 millones.</w:t>
      </w:r>
    </w:p>
    <w:p w14:paraId="0E044693" w14:textId="77777777" w:rsidR="00BA2924" w:rsidRPr="00D65CE9" w:rsidRDefault="00BA2924" w:rsidP="00BA2924">
      <w:pPr>
        <w:jc w:val="both"/>
      </w:pPr>
    </w:p>
    <w:p w14:paraId="039058F9" w14:textId="363E349E" w:rsidR="00BA2924" w:rsidRPr="00490943" w:rsidRDefault="00BA2924" w:rsidP="00BA2924">
      <w:pPr>
        <w:jc w:val="both"/>
        <w:rPr>
          <w:b/>
          <w:bCs/>
          <w:u w:val="single"/>
        </w:rPr>
      </w:pPr>
      <w:r w:rsidRPr="00490943">
        <w:rPr>
          <w:b/>
          <w:bCs/>
          <w:u w:val="single"/>
        </w:rPr>
        <w:t xml:space="preserve">Educación </w:t>
      </w:r>
    </w:p>
    <w:p w14:paraId="53B1EFDE" w14:textId="77777777" w:rsidR="00BA2924" w:rsidRDefault="00BA2924" w:rsidP="00BA2924">
      <w:pPr>
        <w:jc w:val="both"/>
      </w:pPr>
      <w:r w:rsidRPr="00733DDB">
        <w:t>Esta temática la conforman 11 programas presupuestarios y 129 productos: la institución con productos más relevantes es el MINEDUC: “Estudiantes de primaria monolingüe rural atendidos en sistema escolar” este producto representa el 34% de la inversión social solicitada en esta categoría. Siguiendo con “Estudiantes de nivel primaria bilingüe atendidos en sistema escolar”, “Estudiantes de primaria monolingüe urbana atendidos en el sistema escolar. “Estudiantes del ciclo básico atendidos en el sistema escolar”.</w:t>
      </w:r>
    </w:p>
    <w:p w14:paraId="6C4C0651" w14:textId="77777777" w:rsidR="00BA2924" w:rsidRDefault="00BA2924" w:rsidP="00BA2924">
      <w:pPr>
        <w:jc w:val="both"/>
      </w:pPr>
    </w:p>
    <w:p w14:paraId="3B9B3621" w14:textId="77777777" w:rsidR="00BA2924" w:rsidRPr="00733DDB" w:rsidRDefault="00BA2924" w:rsidP="00BA2924">
      <w:pPr>
        <w:jc w:val="both"/>
      </w:pPr>
      <w:r w:rsidRPr="00733DDB">
        <w:t>En total, el área de salud concentra recursos por Q</w:t>
      </w:r>
      <w:r>
        <w:t>17</w:t>
      </w:r>
      <w:r w:rsidRPr="00733DDB">
        <w:t>,</w:t>
      </w:r>
      <w:r>
        <w:t>003</w:t>
      </w:r>
      <w:r w:rsidRPr="00733DDB">
        <w:t>.</w:t>
      </w:r>
      <w:r>
        <w:t>8</w:t>
      </w:r>
      <w:r w:rsidRPr="00733DDB">
        <w:t xml:space="preserve"> millones.</w:t>
      </w:r>
    </w:p>
    <w:p w14:paraId="4C786E9F" w14:textId="77777777" w:rsidR="00BA2924" w:rsidRPr="002C55AC" w:rsidRDefault="00BA2924" w:rsidP="00BA2924">
      <w:pPr>
        <w:jc w:val="both"/>
        <w:rPr>
          <w:b/>
          <w:bCs/>
        </w:rPr>
      </w:pPr>
    </w:p>
    <w:p w14:paraId="4338B369" w14:textId="77777777" w:rsidR="00BA2924" w:rsidRPr="00490943" w:rsidRDefault="00BA2924" w:rsidP="00BA2924">
      <w:pPr>
        <w:jc w:val="both"/>
        <w:rPr>
          <w:b/>
          <w:bCs/>
          <w:u w:val="single"/>
        </w:rPr>
      </w:pPr>
      <w:r w:rsidRPr="00490943">
        <w:rPr>
          <w:b/>
          <w:bCs/>
          <w:u w:val="single"/>
        </w:rPr>
        <w:t>Seguridad ciudadana y defensa</w:t>
      </w:r>
    </w:p>
    <w:p w14:paraId="6404F9B7" w14:textId="77777777" w:rsidR="00BA2924" w:rsidRDefault="00BA2924" w:rsidP="00BA2924">
      <w:pPr>
        <w:jc w:val="both"/>
      </w:pPr>
      <w:r w:rsidRPr="00733DDB">
        <w:t>Esta temática se conforma por 29 programas presupuestarios y 96 productos dentro de los más relevantes están: De MINGOB Seguridad policial, que representa el 48% de la inversión social solicitada en esta categoría. De OJ, “Servicios de atención en Juzgados de Primera Instancia”, “Servicios de atención en Juzgados de Paz”.</w:t>
      </w:r>
      <w:r>
        <w:t xml:space="preserve"> </w:t>
      </w:r>
    </w:p>
    <w:p w14:paraId="2DECD865" w14:textId="77777777" w:rsidR="00BA2924" w:rsidRDefault="00BA2924" w:rsidP="00BA2924">
      <w:pPr>
        <w:jc w:val="both"/>
      </w:pPr>
    </w:p>
    <w:p w14:paraId="72365848" w14:textId="77777777" w:rsidR="00BA2924" w:rsidRDefault="00BA2924" w:rsidP="00BA2924">
      <w:pPr>
        <w:jc w:val="both"/>
      </w:pPr>
      <w:r w:rsidRPr="00300BE5">
        <w:t xml:space="preserve">En total, el área de </w:t>
      </w:r>
      <w:r>
        <w:t xml:space="preserve">seguridad ciudadana y defensa </w:t>
      </w:r>
      <w:r w:rsidRPr="00300BE5">
        <w:t>concentra recursos por Q</w:t>
      </w:r>
      <w:r>
        <w:t>8</w:t>
      </w:r>
      <w:r w:rsidRPr="00300BE5">
        <w:t>,</w:t>
      </w:r>
      <w:r>
        <w:t>444</w:t>
      </w:r>
      <w:r w:rsidRPr="00300BE5">
        <w:t>.</w:t>
      </w:r>
      <w:r>
        <w:t>9</w:t>
      </w:r>
      <w:r w:rsidRPr="00300BE5">
        <w:t xml:space="preserve"> millones.</w:t>
      </w:r>
    </w:p>
    <w:p w14:paraId="29E5A7D6" w14:textId="77777777" w:rsidR="00BA2924" w:rsidRDefault="00BA2924" w:rsidP="00BA2924">
      <w:pPr>
        <w:jc w:val="both"/>
      </w:pPr>
    </w:p>
    <w:p w14:paraId="6A6482F3" w14:textId="77777777" w:rsidR="00BA2924" w:rsidRPr="00490943" w:rsidRDefault="00BA2924" w:rsidP="00BA2924">
      <w:pPr>
        <w:jc w:val="both"/>
        <w:rPr>
          <w:b/>
          <w:bCs/>
          <w:u w:val="single"/>
        </w:rPr>
      </w:pPr>
      <w:r w:rsidRPr="00490943">
        <w:rPr>
          <w:b/>
          <w:bCs/>
          <w:u w:val="single"/>
        </w:rPr>
        <w:t>Seguridad alimentaria</w:t>
      </w:r>
    </w:p>
    <w:p w14:paraId="08156983" w14:textId="77777777" w:rsidR="00BA2924" w:rsidRDefault="00BA2924" w:rsidP="00BA2924">
      <w:pPr>
        <w:jc w:val="both"/>
      </w:pPr>
      <w:r w:rsidRPr="00300BE5">
        <w:t>Esta temática se conforma por 10 programas presupuestarios y 43 productos los más relevantes quedan de la de la siguiente manera: para el MINEDUC los productos: Estudiantes de primaria atendidos con alimentación, que representa el 50% de la inversión social solicitada en esta categoría, “Estudiantes del nivel preprimario atendidos con alimentación escolar.”,</w:t>
      </w:r>
      <w:r>
        <w:t xml:space="preserve"> </w:t>
      </w:r>
      <w:r w:rsidRPr="00300BE5">
        <w:t>“Estudiantes del nivel medio atendidos con alimentación escolar, para el MAGA “Asistencia y dotación alimentaria a familias vulnerables en riesgo de inseguridad alimentaria por pérdida de cosechas, urgencia o gravedad”. Para el MIDES, “Raciones de alimentos preparados entregados a personas que viven en condiciones de vulnerabilidad o crisis”.</w:t>
      </w:r>
    </w:p>
    <w:p w14:paraId="387D7F63" w14:textId="77777777" w:rsidR="00BA2924" w:rsidRDefault="00BA2924" w:rsidP="00BA2924">
      <w:pPr>
        <w:jc w:val="both"/>
      </w:pPr>
    </w:p>
    <w:p w14:paraId="418CC6AA" w14:textId="77777777" w:rsidR="00BA2924" w:rsidRDefault="00BA2924" w:rsidP="00BA2924">
      <w:pPr>
        <w:jc w:val="both"/>
      </w:pPr>
      <w:r w:rsidRPr="00300BE5">
        <w:t>En total, el área de s</w:t>
      </w:r>
      <w:r>
        <w:t>eguridad alimentaria c</w:t>
      </w:r>
      <w:r w:rsidRPr="00300BE5">
        <w:t>oncentra recursos por Q</w:t>
      </w:r>
      <w:r>
        <w:t>4</w:t>
      </w:r>
      <w:r w:rsidRPr="00300BE5">
        <w:t>,</w:t>
      </w:r>
      <w:r>
        <w:t>684</w:t>
      </w:r>
      <w:r w:rsidRPr="00300BE5">
        <w:t>.</w:t>
      </w:r>
      <w:r>
        <w:t>6</w:t>
      </w:r>
      <w:r w:rsidRPr="00300BE5">
        <w:t xml:space="preserve"> millones.</w:t>
      </w:r>
    </w:p>
    <w:p w14:paraId="50AE4F75" w14:textId="77777777" w:rsidR="00BA2924" w:rsidRDefault="00BA2924" w:rsidP="00BA2924">
      <w:pPr>
        <w:jc w:val="both"/>
      </w:pPr>
    </w:p>
    <w:p w14:paraId="4A2B2454" w14:textId="77777777" w:rsidR="00BA2924" w:rsidRPr="00490943" w:rsidRDefault="00BA2924" w:rsidP="00BA2924">
      <w:pPr>
        <w:jc w:val="both"/>
        <w:rPr>
          <w:b/>
          <w:bCs/>
          <w:u w:val="single"/>
        </w:rPr>
      </w:pPr>
      <w:r w:rsidRPr="00490943">
        <w:rPr>
          <w:b/>
          <w:bCs/>
          <w:u w:val="single"/>
        </w:rPr>
        <w:t>Urbanización y ordenamiento territorial</w:t>
      </w:r>
    </w:p>
    <w:p w14:paraId="2C15011A" w14:textId="77777777" w:rsidR="00BA2924" w:rsidRDefault="00BA2924" w:rsidP="00BA2924">
      <w:pPr>
        <w:jc w:val="both"/>
      </w:pPr>
      <w:r w:rsidRPr="00300BE5">
        <w:t>Esta temática cuenta con 5 programas presupuestarios y 18 productos vinculados, la producción más relevante es: Por el MICIV “Red vial de rutas con mantenimiento, que representa 45% de la inversión social solicitada en esta categoría”, Red vial pavimentada con mantenimiento (ejecución normal) y Red vial terciaria con mantenimiento (ejecución normal). Por el MAGA con el producto “Productores (as) beneficiados con capacitación, asistencia técnica e insumos para el manejo y conservación de los recursos naturales”</w:t>
      </w:r>
      <w:r>
        <w:t>.</w:t>
      </w:r>
    </w:p>
    <w:p w14:paraId="3CD80EF3" w14:textId="77777777" w:rsidR="00BA2924" w:rsidRPr="00300BE5" w:rsidRDefault="00BA2924" w:rsidP="00BA2924">
      <w:pPr>
        <w:jc w:val="both"/>
      </w:pPr>
    </w:p>
    <w:p w14:paraId="47C24536" w14:textId="77777777" w:rsidR="00BA2924" w:rsidRDefault="00BA2924" w:rsidP="00BA2924">
      <w:pPr>
        <w:jc w:val="both"/>
      </w:pPr>
      <w:r w:rsidRPr="00707C97">
        <w:t xml:space="preserve">En total, el área de </w:t>
      </w:r>
      <w:r>
        <w:t xml:space="preserve">urbanización y ordenamiento territorial </w:t>
      </w:r>
      <w:r w:rsidRPr="00707C97">
        <w:t>concentra recursos por Q</w:t>
      </w:r>
      <w:r>
        <w:t>3</w:t>
      </w:r>
      <w:r w:rsidRPr="00707C97">
        <w:t>,</w:t>
      </w:r>
      <w:r>
        <w:t>55</w:t>
      </w:r>
      <w:r w:rsidRPr="00707C97">
        <w:t>4</w:t>
      </w:r>
      <w:r>
        <w:t>.1</w:t>
      </w:r>
      <w:r w:rsidRPr="00707C97">
        <w:t xml:space="preserve"> millones.</w:t>
      </w:r>
    </w:p>
    <w:p w14:paraId="02E606A8" w14:textId="77777777" w:rsidR="00BA2924" w:rsidRDefault="00BA2924" w:rsidP="00BA2924">
      <w:pPr>
        <w:jc w:val="both"/>
      </w:pPr>
    </w:p>
    <w:p w14:paraId="4D9A0CEF" w14:textId="77777777" w:rsidR="00BA2924" w:rsidRPr="00490943" w:rsidRDefault="00BA2924" w:rsidP="00BA2924">
      <w:pPr>
        <w:jc w:val="both"/>
        <w:rPr>
          <w:b/>
          <w:bCs/>
          <w:u w:val="single"/>
        </w:rPr>
      </w:pPr>
      <w:r w:rsidRPr="00490943">
        <w:rPr>
          <w:b/>
          <w:bCs/>
          <w:u w:val="single"/>
        </w:rPr>
        <w:t>Población en condiciones de vulnerabilidad</w:t>
      </w:r>
    </w:p>
    <w:p w14:paraId="51B7523E" w14:textId="77777777" w:rsidR="00BA2924" w:rsidRDefault="00BA2924" w:rsidP="00BA2924">
      <w:pPr>
        <w:jc w:val="both"/>
      </w:pPr>
      <w:r w:rsidRPr="00097A21">
        <w:t>Dentro de la temática de población en condiciones de vulnerabilidad se encuentran 7 programas presupuestarios y 9 productos, los productos más relevantes para el MINTRAB, “Aporte al adulto mayor, que representa el 62% de la inversión social solicitada en esta categoría</w:t>
      </w:r>
      <w:r>
        <w:t>”</w:t>
      </w:r>
      <w:r w:rsidRPr="00097A21">
        <w:t>. Para el MINEX, “Población guatemalteca que recibe servicios de documentación asistencia atención y protección consular migratoria en el exterior. Para la SOSEP, Niños y niñas de 6 meses a 7 años de edad en situación de pobreza y pobreza extrema, beneficiados con atención integral y Niños y niñas de 6 meses a 7 años de edad en situación de pobreza y pobreza extrema, beneficiados con atención integral. Para el MINEX, el producto “guatemaltecos beneficiados con la prestación de servicios consulares y migratorios gestión y representación en la protección de sus intereses en temas de carácter migratorio</w:t>
      </w:r>
      <w:r>
        <w:t>”</w:t>
      </w:r>
      <w:r w:rsidRPr="00097A21">
        <w:t>.</w:t>
      </w:r>
    </w:p>
    <w:p w14:paraId="00DAF82F" w14:textId="77777777" w:rsidR="00BA2924" w:rsidRPr="00097A21" w:rsidRDefault="00BA2924" w:rsidP="00BA2924">
      <w:pPr>
        <w:jc w:val="both"/>
      </w:pPr>
    </w:p>
    <w:p w14:paraId="6B6FC683" w14:textId="77777777" w:rsidR="00BA2924" w:rsidRDefault="00BA2924" w:rsidP="00BA2924">
      <w:pPr>
        <w:jc w:val="both"/>
      </w:pPr>
      <w:r w:rsidRPr="00097A21">
        <w:t>En total, el área de urbanización y ordenamiento territorial concentra recursos por Q</w:t>
      </w:r>
      <w:r>
        <w:t>1</w:t>
      </w:r>
      <w:r w:rsidRPr="00097A21">
        <w:t>,</w:t>
      </w:r>
      <w:r>
        <w:t>926</w:t>
      </w:r>
      <w:r w:rsidRPr="00097A21">
        <w:t>.</w:t>
      </w:r>
      <w:r>
        <w:t>6</w:t>
      </w:r>
      <w:r w:rsidRPr="00097A21">
        <w:t xml:space="preserve"> millones.</w:t>
      </w:r>
    </w:p>
    <w:p w14:paraId="6760A184" w14:textId="77777777" w:rsidR="00BA2924" w:rsidRPr="00490943" w:rsidRDefault="00BA2924" w:rsidP="00BA2924">
      <w:pPr>
        <w:jc w:val="both"/>
        <w:rPr>
          <w:b/>
          <w:bCs/>
          <w:u w:val="single"/>
        </w:rPr>
      </w:pPr>
      <w:r w:rsidRPr="00490943">
        <w:rPr>
          <w:b/>
          <w:bCs/>
          <w:u w:val="single"/>
        </w:rPr>
        <w:t>Desarrollo económico</w:t>
      </w:r>
    </w:p>
    <w:p w14:paraId="71FCDD01" w14:textId="77777777" w:rsidR="00BA2924" w:rsidRPr="00097A21" w:rsidRDefault="00BA2924" w:rsidP="00BA2924">
      <w:pPr>
        <w:jc w:val="both"/>
      </w:pPr>
      <w:r w:rsidRPr="00097A21">
        <w:t>Para la temática de desarrollo económico cuentan con 13 programas presupuestarios y 30 productos más relevantes. Para el INE: Servicio de comercialización de energía eléctrica en Mercado y Empresas Municipales, representa el 46% de la inversión social solicitada en esta categoría. Asimismo, El MEN con el producto “Empresario de Micro, pequeña y mediana empresa beneficiados con servicios financieros “el INE con los productos: Servicio de Generación de Energía Hidroeléctrica Gestión administrativa financiera de la generación de energía eléctrica Inspecciones para la Verificación del Cumplimiento de la Legislación Laboral en Beneficio de Trabajadores y Empleadores Operación y Mantenimiento de Plantas de Generación de Energía Eléctrica.</w:t>
      </w:r>
    </w:p>
    <w:p w14:paraId="0CB772CB" w14:textId="77777777" w:rsidR="00BA2924" w:rsidRDefault="00BA2924" w:rsidP="00BA2924">
      <w:pPr>
        <w:jc w:val="both"/>
        <w:rPr>
          <w:b/>
          <w:bCs/>
        </w:rPr>
      </w:pPr>
    </w:p>
    <w:p w14:paraId="74BB8553" w14:textId="77777777" w:rsidR="00BA2924" w:rsidRDefault="00BA2924" w:rsidP="00BA2924">
      <w:pPr>
        <w:jc w:val="both"/>
      </w:pPr>
      <w:r w:rsidRPr="00097A21">
        <w:t xml:space="preserve">En total, el área de </w:t>
      </w:r>
      <w:r>
        <w:t>desarrollo económico</w:t>
      </w:r>
      <w:r w:rsidRPr="00097A21">
        <w:t xml:space="preserve"> concentra recursos por Q1,</w:t>
      </w:r>
      <w:r>
        <w:t>253</w:t>
      </w:r>
      <w:r w:rsidRPr="00097A21">
        <w:t>.</w:t>
      </w:r>
      <w:r>
        <w:t>3</w:t>
      </w:r>
      <w:r w:rsidRPr="00097A21">
        <w:t xml:space="preserve"> millones.</w:t>
      </w:r>
    </w:p>
    <w:p w14:paraId="58F6A81A" w14:textId="77777777" w:rsidR="00BA2924" w:rsidRDefault="00BA2924" w:rsidP="00BA2924">
      <w:pPr>
        <w:jc w:val="both"/>
      </w:pPr>
    </w:p>
    <w:p w14:paraId="099BDD77" w14:textId="77777777" w:rsidR="00BA2924" w:rsidRPr="00490943" w:rsidRDefault="00BA2924" w:rsidP="00BA2924">
      <w:pPr>
        <w:jc w:val="both"/>
        <w:rPr>
          <w:b/>
          <w:bCs/>
          <w:u w:val="single"/>
        </w:rPr>
      </w:pPr>
      <w:r w:rsidRPr="00490943">
        <w:rPr>
          <w:b/>
          <w:bCs/>
          <w:u w:val="single"/>
        </w:rPr>
        <w:t>Vivienda</w:t>
      </w:r>
    </w:p>
    <w:p w14:paraId="012659D5" w14:textId="77777777" w:rsidR="00BA2924" w:rsidRDefault="00BA2924" w:rsidP="00BA2924">
      <w:pPr>
        <w:jc w:val="both"/>
      </w:pPr>
      <w:r w:rsidRPr="002873B3">
        <w:t>Para esta temática encontramos 2 programas presupuestarios y 3 productos más relevantes. Para el MICIV el producto “Personas Familias beneficiadas con subsidios para la vivienda, que representa el 95% de la inversión solicitada en esta categoría. El MIDES, con los productos “Personas beneficiadas con dotación de materiales de construcción para mejorar su vivienda. Personas en situación de riesgo y vulnerabilidad social beneficiadas con materiales de construcción, enseres y equipo”.</w:t>
      </w:r>
    </w:p>
    <w:p w14:paraId="3750E40C" w14:textId="77777777" w:rsidR="00BA2924" w:rsidRDefault="00BA2924" w:rsidP="00BA2924">
      <w:pPr>
        <w:jc w:val="both"/>
      </w:pPr>
    </w:p>
    <w:p w14:paraId="35496585" w14:textId="77777777" w:rsidR="00BA2924" w:rsidRDefault="00BA2924" w:rsidP="00BA2924">
      <w:r w:rsidRPr="002873B3">
        <w:t xml:space="preserve">En total, el área de </w:t>
      </w:r>
      <w:r>
        <w:t>vivienda</w:t>
      </w:r>
      <w:r w:rsidRPr="002873B3">
        <w:t xml:space="preserve"> concentra recursos por Q1,</w:t>
      </w:r>
      <w:r>
        <w:t>017</w:t>
      </w:r>
      <w:r w:rsidRPr="002873B3">
        <w:t>.</w:t>
      </w:r>
      <w:r>
        <w:t>8</w:t>
      </w:r>
      <w:r w:rsidRPr="002873B3">
        <w:t xml:space="preserve"> millones.</w:t>
      </w:r>
    </w:p>
    <w:p w14:paraId="5BC8775B" w14:textId="77777777" w:rsidR="00BA2924" w:rsidRDefault="00BA2924" w:rsidP="00BA2924"/>
    <w:p w14:paraId="3497C84F" w14:textId="77777777" w:rsidR="00BA2924" w:rsidRPr="00490943" w:rsidRDefault="00BA2924" w:rsidP="00BA2924">
      <w:pPr>
        <w:rPr>
          <w:b/>
          <w:bCs/>
          <w:u w:val="single"/>
        </w:rPr>
      </w:pPr>
      <w:r w:rsidRPr="00490943">
        <w:rPr>
          <w:b/>
          <w:bCs/>
          <w:u w:val="single"/>
        </w:rPr>
        <w:t>Protección Ambiental</w:t>
      </w:r>
    </w:p>
    <w:p w14:paraId="2C8F5484" w14:textId="77777777" w:rsidR="00BA2924" w:rsidRDefault="00BA2924" w:rsidP="00BA2924">
      <w:pPr>
        <w:jc w:val="both"/>
      </w:pPr>
      <w:r w:rsidRPr="002873B3">
        <w:t xml:space="preserve">Esta temática cuenta con 2 programas presupuestarios y 6 productos vinculados, la producción más relevante la tienen las instituciones: MINDEF, con: “Operaciones de protección ambiental en áreas vulnerables, que representa el 41% de la inversión social solicitada en esta categoría.” El INAB con los productos </w:t>
      </w:r>
      <w:r>
        <w:t>a</w:t>
      </w:r>
      <w:r w:rsidRPr="002873B3">
        <w:t>utoridades, organizaciones, líderes locales, informados y sensibilizados sobre el uso sostenible del bosque, para mejorar la Gobernanza y promover una cultura forestal tendiente a incrementar la legalidad y reducir la conflictividad en torno al uso del bosque, “Bosques naturales, plantaciones y sistemas agroforestales bajo manejo forestal, proveen bienes y servicios ambientales a la población guatemalteca”, “Productos maderables provenientes de plantaciones forestales incentivadas y bajo manejo silvicultural, incrementan el aporte de materia prima para abastecer la demanda de la industria forestal nacional”.</w:t>
      </w:r>
    </w:p>
    <w:p w14:paraId="11AA1F80" w14:textId="77777777" w:rsidR="00BA2924" w:rsidRDefault="00BA2924" w:rsidP="00BA2924">
      <w:pPr>
        <w:jc w:val="both"/>
      </w:pPr>
    </w:p>
    <w:p w14:paraId="46873948" w14:textId="77777777" w:rsidR="00BA2924" w:rsidRDefault="00BA2924" w:rsidP="00BA2924">
      <w:pPr>
        <w:jc w:val="both"/>
      </w:pPr>
      <w:r w:rsidRPr="002873B3">
        <w:t xml:space="preserve">En total, el área de </w:t>
      </w:r>
      <w:r>
        <w:t>protección ambiental</w:t>
      </w:r>
      <w:r w:rsidRPr="002873B3">
        <w:t xml:space="preserve"> concentra recursos por Q</w:t>
      </w:r>
      <w:r>
        <w:t>400</w:t>
      </w:r>
      <w:r w:rsidRPr="002873B3">
        <w:t>.</w:t>
      </w:r>
      <w:r>
        <w:t>0</w:t>
      </w:r>
      <w:r w:rsidRPr="002873B3">
        <w:t xml:space="preserve"> millones.</w:t>
      </w:r>
    </w:p>
    <w:p w14:paraId="4CAD5972" w14:textId="77777777" w:rsidR="00BA2924" w:rsidRDefault="00BA2924" w:rsidP="00BA2924">
      <w:pPr>
        <w:jc w:val="both"/>
      </w:pPr>
    </w:p>
    <w:p w14:paraId="314D3F89" w14:textId="77777777" w:rsidR="00BA2924" w:rsidRPr="00490943" w:rsidRDefault="00BA2924" w:rsidP="00BA2924">
      <w:pPr>
        <w:jc w:val="both"/>
        <w:rPr>
          <w:b/>
          <w:bCs/>
          <w:u w:val="single"/>
        </w:rPr>
      </w:pPr>
      <w:r w:rsidRPr="00490943">
        <w:rPr>
          <w:b/>
          <w:bCs/>
          <w:u w:val="single"/>
        </w:rPr>
        <w:t>Actividades de deporte, recreación y cultura</w:t>
      </w:r>
    </w:p>
    <w:p w14:paraId="250E11CD" w14:textId="77777777" w:rsidR="00BA2924" w:rsidRDefault="00BA2924" w:rsidP="00BA2924">
      <w:pPr>
        <w:jc w:val="both"/>
      </w:pPr>
      <w:r w:rsidRPr="002873B3">
        <w:t>Esta temática lo conforman 3 programas presupuestarios y 13 productos más relevantes: por lo tanto, el MCD con el producto Personas formadas en las diferentes disciplinas del arte, que representa el 20% de la inversión social solicitada en esta categoría. Y los productos Personas beneficiadas con acceso a espacios para la práctica del deporte y la recreación física, Personas beneficiadas con actividades deportivas no escolares no federadas y de recreación, Conciertos y presentaciones de instituciones artísticas en beneficio de personas y Personas beneficiadas con difusión culturas artística y literaria.</w:t>
      </w:r>
    </w:p>
    <w:p w14:paraId="27CD9C3F" w14:textId="77777777" w:rsidR="00BA2924" w:rsidRDefault="00BA2924" w:rsidP="00BA2924">
      <w:pPr>
        <w:jc w:val="both"/>
      </w:pPr>
    </w:p>
    <w:p w14:paraId="15EFEE43" w14:textId="77777777" w:rsidR="00BA2924" w:rsidRDefault="00BA2924" w:rsidP="00BA2924">
      <w:pPr>
        <w:jc w:val="both"/>
      </w:pPr>
      <w:r w:rsidRPr="002873B3">
        <w:t xml:space="preserve">En total, el área </w:t>
      </w:r>
      <w:r>
        <w:t>las actividades de deporte, recreación y cultura</w:t>
      </w:r>
      <w:r w:rsidRPr="002873B3">
        <w:t xml:space="preserve"> concentra recursos por Q</w:t>
      </w:r>
      <w:r>
        <w:t>367</w:t>
      </w:r>
      <w:r w:rsidRPr="002873B3">
        <w:t>.</w:t>
      </w:r>
      <w:r>
        <w:t>1</w:t>
      </w:r>
      <w:r w:rsidRPr="002873B3">
        <w:t xml:space="preserve"> millones.</w:t>
      </w:r>
    </w:p>
    <w:p w14:paraId="30943DDB" w14:textId="77777777" w:rsidR="00BA2924" w:rsidRDefault="00BA2924" w:rsidP="00BA2924">
      <w:pPr>
        <w:jc w:val="both"/>
      </w:pPr>
    </w:p>
    <w:p w14:paraId="4215D945" w14:textId="77777777" w:rsidR="00BA2924" w:rsidRPr="00490943" w:rsidRDefault="00BA2924" w:rsidP="00BA2924">
      <w:pPr>
        <w:jc w:val="both"/>
        <w:rPr>
          <w:b/>
          <w:bCs/>
          <w:u w:val="single"/>
        </w:rPr>
      </w:pPr>
      <w:r w:rsidRPr="00490943">
        <w:rPr>
          <w:b/>
          <w:bCs/>
          <w:u w:val="single"/>
        </w:rPr>
        <w:t>Atención a desastres y gestión de riesgo</w:t>
      </w:r>
    </w:p>
    <w:p w14:paraId="4CC281DA" w14:textId="79EB78D0" w:rsidR="00BA2924" w:rsidRPr="00EE3CFB" w:rsidRDefault="00BA2924" w:rsidP="00BA2924">
      <w:pPr>
        <w:jc w:val="both"/>
      </w:pPr>
      <w:r w:rsidRPr="00EE3CFB">
        <w:t>Esta temática cuenta con 3 programa</w:t>
      </w:r>
      <w:r>
        <w:t>s</w:t>
      </w:r>
      <w:r w:rsidRPr="00EE3CFB">
        <w:t xml:space="preserve"> presupuestario</w:t>
      </w:r>
      <w:r>
        <w:t>s</w:t>
      </w:r>
      <w:r w:rsidRPr="00EE3CFB">
        <w:t xml:space="preserve"> y 11 productos vinculados, de los cuales el producto más relevante corresponde al MINDEF con: “Operaciones para la prevención, mitigación, preparación y respuesta ante desastres y emergencias”, que representa el 31% de la inversión social solicitada en esta categoría. Asimismo, los productos: Intervenciones realizadas para la atención de la emergencia por época lluviosa, Temporada Ciclónica y Sistema de Baja Presión, Intervenciones realizadas para la atención de daños provocados por Depresión Tropical ETA. Y CONRED con: Capacitar y actualizar a personas pertenecientes a los diferentes niveles sectoriales y territoriales, responsables de la atención en situaciones de riesgo, emergencia o desastre RED, así como coordinar las acciones de respuesta táctica al momento de sobrepasar la capacidad de respuesta departamental.</w:t>
      </w:r>
    </w:p>
    <w:p w14:paraId="5CFC6EC5" w14:textId="77777777" w:rsidR="00BA2924" w:rsidRDefault="00BA2924" w:rsidP="00BA2924">
      <w:pPr>
        <w:jc w:val="both"/>
        <w:rPr>
          <w:b/>
          <w:bCs/>
        </w:rPr>
      </w:pPr>
    </w:p>
    <w:p w14:paraId="5B326EF4" w14:textId="77777777" w:rsidR="00BA2924" w:rsidRDefault="00BA2924" w:rsidP="00BA2924">
      <w:pPr>
        <w:jc w:val="both"/>
      </w:pPr>
      <w:r w:rsidRPr="00EE3CFB">
        <w:t xml:space="preserve">En total, el área </w:t>
      </w:r>
      <w:r>
        <w:t>de atención a desastres y gestión de riesgo</w:t>
      </w:r>
      <w:r w:rsidRPr="00EE3CFB">
        <w:t xml:space="preserve"> concentra recursos por Q</w:t>
      </w:r>
      <w:r>
        <w:t>1</w:t>
      </w:r>
      <w:r w:rsidRPr="00EE3CFB">
        <w:t>7</w:t>
      </w:r>
      <w:r>
        <w:t>6</w:t>
      </w:r>
      <w:r w:rsidRPr="00EE3CFB">
        <w:t>.</w:t>
      </w:r>
      <w:r>
        <w:t>2</w:t>
      </w:r>
      <w:r w:rsidRPr="00EE3CFB">
        <w:t xml:space="preserve"> millones.</w:t>
      </w:r>
    </w:p>
    <w:p w14:paraId="38D77C5B" w14:textId="77777777" w:rsidR="00BA2924" w:rsidRDefault="00BA2924" w:rsidP="00BA2924">
      <w:pPr>
        <w:jc w:val="both"/>
      </w:pPr>
    </w:p>
    <w:p w14:paraId="3DCA703F" w14:textId="77777777" w:rsidR="00BA2924" w:rsidRPr="00490943" w:rsidRDefault="00BA2924" w:rsidP="00BA2924">
      <w:pPr>
        <w:jc w:val="both"/>
        <w:rPr>
          <w:b/>
          <w:bCs/>
          <w:u w:val="single"/>
        </w:rPr>
      </w:pPr>
      <w:r w:rsidRPr="00490943">
        <w:rPr>
          <w:b/>
          <w:bCs/>
          <w:u w:val="single"/>
        </w:rPr>
        <w:t>Protección y conservación de la biodiversidad</w:t>
      </w:r>
    </w:p>
    <w:p w14:paraId="4A07C16E" w14:textId="77777777" w:rsidR="00BA2924" w:rsidRPr="00EE3CFB" w:rsidRDefault="00BA2924" w:rsidP="00BA2924">
      <w:pPr>
        <w:jc w:val="both"/>
      </w:pPr>
      <w:r w:rsidRPr="00EE3CFB">
        <w:t>Para la temática de Protección y Conservación de la Biodiversidad, se conforma por 2 programas presupuestarios y 6 productos en la cual destaca el producto más relevante del CONAP con: “Ecosistemas protegidos y conservados restaurados del SIGAP, que representa el 92% de la inversión social solicitada en esta categoría.” Y Personas capacitadas, sensibilizadas e informadas sobre las áreas protegidas y la diversidad biológica. Y MARN con los productos: Personas capacitadas y sensibilizadas en temas de responsabilidad socio ambiental y Personas sensibilizadas y con concientización ambiental con énfasis de género y multiculturalidad.</w:t>
      </w:r>
    </w:p>
    <w:p w14:paraId="26948562" w14:textId="77777777" w:rsidR="00BA2924" w:rsidRDefault="00BA2924" w:rsidP="00BA2924">
      <w:pPr>
        <w:jc w:val="both"/>
        <w:rPr>
          <w:b/>
          <w:bCs/>
        </w:rPr>
      </w:pPr>
    </w:p>
    <w:p w14:paraId="2ACDD413" w14:textId="77777777" w:rsidR="00BA2924" w:rsidRDefault="00BA2924" w:rsidP="00BA2924">
      <w:pPr>
        <w:jc w:val="both"/>
      </w:pPr>
      <w:r w:rsidRPr="00EE3CFB">
        <w:t xml:space="preserve">En total, el área de </w:t>
      </w:r>
      <w:r>
        <w:t>protección y conservación de la biodiversidad</w:t>
      </w:r>
      <w:r w:rsidRPr="00EE3CFB">
        <w:t xml:space="preserve"> concentra recursos por Q1</w:t>
      </w:r>
      <w:r>
        <w:t>44</w:t>
      </w:r>
      <w:r w:rsidRPr="00EE3CFB">
        <w:t>.</w:t>
      </w:r>
      <w:r>
        <w:t>4</w:t>
      </w:r>
      <w:r w:rsidRPr="00EE3CFB">
        <w:t xml:space="preserve"> millones.</w:t>
      </w:r>
    </w:p>
    <w:p w14:paraId="354D9DB7" w14:textId="77777777" w:rsidR="00BA2924" w:rsidRDefault="00BA2924" w:rsidP="00BA2924">
      <w:pPr>
        <w:jc w:val="both"/>
      </w:pPr>
    </w:p>
    <w:p w14:paraId="7DA853E3" w14:textId="77777777" w:rsidR="00BA2924" w:rsidRPr="00490943" w:rsidRDefault="00BA2924" w:rsidP="00BA2924">
      <w:pPr>
        <w:jc w:val="both"/>
        <w:rPr>
          <w:b/>
          <w:bCs/>
          <w:u w:val="single"/>
        </w:rPr>
      </w:pPr>
      <w:r w:rsidRPr="00490943">
        <w:rPr>
          <w:b/>
          <w:bCs/>
          <w:u w:val="single"/>
        </w:rPr>
        <w:t>Agua y saneamiento</w:t>
      </w:r>
    </w:p>
    <w:p w14:paraId="507F99A9" w14:textId="77777777" w:rsidR="00BA2924" w:rsidRPr="00EE3CFB" w:rsidRDefault="00BA2924" w:rsidP="00BA2924">
      <w:pPr>
        <w:jc w:val="both"/>
      </w:pPr>
      <w:r w:rsidRPr="00EE3CFB">
        <w:t>Esta temática se compone de 4 programas presupuestarios y 7 productos: de los cuales el producto más relevante que corresponde a AMSA “Control y monitoreo de la calidad del agua, representa el 29% de la inversión social solicitada en esta categoría”. El MIDES con el producto “Personas beneficiadas con la dotación de materiales de construcción y equipo para sistemas de agua potable</w:t>
      </w:r>
      <w:r>
        <w:t>”</w:t>
      </w:r>
      <w:r w:rsidRPr="00EE3CFB">
        <w:t xml:space="preserve">. El MARN: con los productos: </w:t>
      </w:r>
      <w:r>
        <w:t>“</w:t>
      </w:r>
      <w:r w:rsidRPr="00EE3CFB">
        <w:t>Eventos de control sobre contaminación hídrica para la prevención de la contaminación de ecosistemas</w:t>
      </w:r>
      <w:r>
        <w:t>”</w:t>
      </w:r>
      <w:r w:rsidRPr="00EE3CFB">
        <w:t xml:space="preserve"> y Entidades asesoradas para la recolección clasificación manejo tratamiento y disposición final de residuos y desechos sólidos.</w:t>
      </w:r>
    </w:p>
    <w:p w14:paraId="4A36D471" w14:textId="77777777" w:rsidR="00BA2924" w:rsidRDefault="00BA2924" w:rsidP="00BA2924">
      <w:pPr>
        <w:jc w:val="both"/>
        <w:rPr>
          <w:b/>
          <w:bCs/>
        </w:rPr>
      </w:pPr>
    </w:p>
    <w:p w14:paraId="3480CA0B" w14:textId="77777777" w:rsidR="00BA2924" w:rsidRDefault="00BA2924" w:rsidP="00BA2924">
      <w:pPr>
        <w:jc w:val="both"/>
      </w:pPr>
      <w:r w:rsidRPr="00CA07B1">
        <w:t xml:space="preserve">En total, el área de </w:t>
      </w:r>
      <w:r>
        <w:t xml:space="preserve">agua y saneamiento </w:t>
      </w:r>
      <w:r w:rsidRPr="00CA07B1">
        <w:t>concentra recursos por Q</w:t>
      </w:r>
      <w:r>
        <w:t>99</w:t>
      </w:r>
      <w:r w:rsidRPr="00CA07B1">
        <w:t>.</w:t>
      </w:r>
      <w:r>
        <w:t>7</w:t>
      </w:r>
      <w:r w:rsidRPr="00CA07B1">
        <w:t xml:space="preserve"> millones.</w:t>
      </w:r>
    </w:p>
    <w:p w14:paraId="4BD3DD6A" w14:textId="77777777" w:rsidR="00BA2924" w:rsidRPr="00CA07B1" w:rsidRDefault="00BA2924" w:rsidP="00BA2924">
      <w:pPr>
        <w:jc w:val="both"/>
        <w:rPr>
          <w:b/>
          <w:bCs/>
        </w:rPr>
      </w:pPr>
    </w:p>
    <w:p w14:paraId="19E2080C" w14:textId="77777777" w:rsidR="00BA2924" w:rsidRPr="00490943" w:rsidRDefault="00BA2924" w:rsidP="00BA2924">
      <w:pPr>
        <w:jc w:val="both"/>
        <w:rPr>
          <w:b/>
          <w:bCs/>
          <w:u w:val="single"/>
        </w:rPr>
      </w:pPr>
      <w:r w:rsidRPr="00490943">
        <w:rPr>
          <w:b/>
          <w:bCs/>
          <w:u w:val="single"/>
        </w:rPr>
        <w:t>Gestión del cambio climático</w:t>
      </w:r>
    </w:p>
    <w:p w14:paraId="428B58D1" w14:textId="77777777" w:rsidR="00BA2924" w:rsidRPr="00CA07B1" w:rsidRDefault="00BA2924" w:rsidP="00BA2924">
      <w:pPr>
        <w:jc w:val="both"/>
      </w:pPr>
      <w:r w:rsidRPr="00CA07B1">
        <w:t>Esta temática lo conforman 2 programas presupuestarios y 5 productos: de los cuales el MARN presenta el producto: “Personas beneficiadas con la emisión de resolución ambientales, que representa el 53% de la inversión solicitada en esta categoría”. Asimismo, se desglosan: Informes sobre las medidas de adaptación y mitigación al Cambio Climático en Guatemala, Opiniones técnicas e informes en temas ambientales y gestión de productos químicos y desechos peligrosos otorgados a personas y Personas beneficiadas con acciones para la Adaptación al Cambio Climático en Guatemala.</w:t>
      </w:r>
    </w:p>
    <w:p w14:paraId="76DB25A3" w14:textId="77777777" w:rsidR="00BA2924" w:rsidRDefault="00BA2924" w:rsidP="00BA2924">
      <w:pPr>
        <w:jc w:val="both"/>
        <w:rPr>
          <w:b/>
          <w:bCs/>
        </w:rPr>
      </w:pPr>
    </w:p>
    <w:p w14:paraId="503FC4A4" w14:textId="77777777" w:rsidR="00BA2924" w:rsidRPr="00CA07B1" w:rsidRDefault="00BA2924" w:rsidP="00BA2924">
      <w:pPr>
        <w:jc w:val="both"/>
      </w:pPr>
      <w:r w:rsidRPr="00CA07B1">
        <w:t xml:space="preserve">En total, el área de </w:t>
      </w:r>
      <w:r>
        <w:t>gestión del cambio climático</w:t>
      </w:r>
      <w:r w:rsidRPr="00CA07B1">
        <w:t xml:space="preserve"> concentra recursos por Q</w:t>
      </w:r>
      <w:r>
        <w:t>83</w:t>
      </w:r>
      <w:r w:rsidRPr="00CA07B1">
        <w:t>.</w:t>
      </w:r>
      <w:r>
        <w:t>9</w:t>
      </w:r>
      <w:r w:rsidRPr="00CA07B1">
        <w:t xml:space="preserve"> millones.</w:t>
      </w:r>
    </w:p>
    <w:p w14:paraId="3967AD1B" w14:textId="77777777" w:rsidR="00BA2924" w:rsidRDefault="00BA2924" w:rsidP="00BA2924">
      <w:pPr>
        <w:jc w:val="both"/>
        <w:rPr>
          <w:b/>
          <w:bCs/>
        </w:rPr>
      </w:pPr>
    </w:p>
    <w:p w14:paraId="5968C35E" w14:textId="77777777" w:rsidR="00BA2924" w:rsidRPr="00525F86" w:rsidRDefault="00BA2924" w:rsidP="0049039C">
      <w:pPr>
        <w:pStyle w:val="Prrafodelista"/>
        <w:numPr>
          <w:ilvl w:val="2"/>
          <w:numId w:val="3"/>
        </w:numPr>
        <w:jc w:val="both"/>
        <w:outlineLvl w:val="1"/>
        <w:rPr>
          <w:b/>
          <w:bCs/>
        </w:rPr>
      </w:pPr>
      <w:bookmarkStart w:id="274" w:name="_Toc143865869"/>
      <w:r>
        <w:rPr>
          <w:b/>
          <w:bCs/>
        </w:rPr>
        <w:t>P</w:t>
      </w:r>
      <w:r w:rsidRPr="00AD5C65">
        <w:rPr>
          <w:b/>
          <w:bCs/>
        </w:rPr>
        <w:t xml:space="preserve">rogramación multianual de </w:t>
      </w:r>
      <w:r>
        <w:rPr>
          <w:b/>
          <w:bCs/>
        </w:rPr>
        <w:t>i</w:t>
      </w:r>
      <w:r w:rsidRPr="00AD5C65">
        <w:rPr>
          <w:b/>
          <w:bCs/>
        </w:rPr>
        <w:t xml:space="preserve">nversión </w:t>
      </w:r>
      <w:r>
        <w:rPr>
          <w:b/>
          <w:bCs/>
        </w:rPr>
        <w:t>p</w:t>
      </w:r>
      <w:r w:rsidRPr="00AD5C65">
        <w:rPr>
          <w:b/>
          <w:bCs/>
        </w:rPr>
        <w:t xml:space="preserve">ública por </w:t>
      </w:r>
      <w:r>
        <w:rPr>
          <w:b/>
          <w:bCs/>
        </w:rPr>
        <w:t>e</w:t>
      </w:r>
      <w:r w:rsidRPr="00AD5C65">
        <w:rPr>
          <w:b/>
          <w:bCs/>
        </w:rPr>
        <w:t>ntidad</w:t>
      </w:r>
      <w:bookmarkEnd w:id="274"/>
    </w:p>
    <w:p w14:paraId="231BCFD5" w14:textId="77777777" w:rsidR="00BA2924" w:rsidRDefault="00BA2924" w:rsidP="00BA2924">
      <w:pPr>
        <w:jc w:val="both"/>
      </w:pPr>
    </w:p>
    <w:p w14:paraId="7D00DA51" w14:textId="77777777" w:rsidR="00BA2924" w:rsidRPr="003B53F5" w:rsidRDefault="00BA2924" w:rsidP="00BA2924">
      <w:pPr>
        <w:jc w:val="both"/>
      </w:pPr>
      <w:r w:rsidRPr="00AD5C65">
        <w:t>A continuación, de manera resumida se presenta la programación de la inversión pública en el periodo 2024-2028 por entidad acuerdo a los lineamientos de la PGG y a las prioridades sectoriales correspondiente. De los proyectos registrados por las diferentes entidades de inversión pública, 325 proyectos tienen registrada programación multianual, que se desglosa a partir del 2025, los cuales se presentan por entidad de la manera siguientes</w:t>
      </w:r>
      <w:r>
        <w:t>:</w:t>
      </w:r>
    </w:p>
    <w:p w14:paraId="24C4619E" w14:textId="77777777" w:rsidR="00BA2924" w:rsidRDefault="00BA2924" w:rsidP="00BA2924">
      <w:pPr>
        <w:pStyle w:val="Prrafodelista"/>
        <w:jc w:val="both"/>
      </w:pPr>
    </w:p>
    <w:p w14:paraId="1CE1BE8C" w14:textId="5BBC3719" w:rsidR="00BA2924" w:rsidRPr="00F62B40" w:rsidRDefault="00F62B40" w:rsidP="00F62B40">
      <w:pPr>
        <w:pStyle w:val="Descripcin"/>
        <w:keepNext/>
        <w:spacing w:after="0"/>
        <w:jc w:val="center"/>
        <w:rPr>
          <w:b/>
          <w:bCs/>
          <w:i w:val="0"/>
          <w:iCs w:val="0"/>
          <w:sz w:val="24"/>
          <w:szCs w:val="24"/>
        </w:rPr>
      </w:pPr>
      <w:bookmarkStart w:id="275" w:name="_Toc143871241"/>
      <w:r w:rsidRPr="00F62B40">
        <w:rPr>
          <w:b/>
          <w:bCs/>
          <w:i w:val="0"/>
          <w:iCs w:val="0"/>
          <w:color w:val="auto"/>
          <w:sz w:val="24"/>
          <w:szCs w:val="24"/>
        </w:rPr>
        <w:t xml:space="preserve">Tabla </w:t>
      </w:r>
      <w:r w:rsidRPr="00F62B40">
        <w:rPr>
          <w:b/>
          <w:bCs/>
          <w:i w:val="0"/>
          <w:iCs w:val="0"/>
          <w:color w:val="auto"/>
          <w:sz w:val="24"/>
          <w:szCs w:val="24"/>
        </w:rPr>
        <w:fldChar w:fldCharType="begin"/>
      </w:r>
      <w:r w:rsidRPr="00F62B40">
        <w:rPr>
          <w:b/>
          <w:bCs/>
          <w:i w:val="0"/>
          <w:iCs w:val="0"/>
          <w:color w:val="auto"/>
          <w:sz w:val="24"/>
          <w:szCs w:val="24"/>
        </w:rPr>
        <w:instrText xml:space="preserve"> SEQ Tabla \* ARABIC </w:instrText>
      </w:r>
      <w:r w:rsidRPr="00F62B40">
        <w:rPr>
          <w:b/>
          <w:bCs/>
          <w:i w:val="0"/>
          <w:iCs w:val="0"/>
          <w:color w:val="auto"/>
          <w:sz w:val="24"/>
          <w:szCs w:val="24"/>
        </w:rPr>
        <w:fldChar w:fldCharType="separate"/>
      </w:r>
      <w:r w:rsidR="006622B2">
        <w:rPr>
          <w:b/>
          <w:bCs/>
          <w:i w:val="0"/>
          <w:iCs w:val="0"/>
          <w:noProof/>
          <w:color w:val="auto"/>
          <w:sz w:val="24"/>
          <w:szCs w:val="24"/>
        </w:rPr>
        <w:t>34</w:t>
      </w:r>
      <w:r w:rsidRPr="00F62B40">
        <w:rPr>
          <w:b/>
          <w:bCs/>
          <w:i w:val="0"/>
          <w:iCs w:val="0"/>
          <w:color w:val="auto"/>
          <w:sz w:val="24"/>
          <w:szCs w:val="24"/>
        </w:rPr>
        <w:fldChar w:fldCharType="end"/>
      </w:r>
      <w:r w:rsidRPr="00F62B40">
        <w:rPr>
          <w:b/>
          <w:bCs/>
          <w:i w:val="0"/>
          <w:iCs w:val="0"/>
          <w:color w:val="auto"/>
          <w:sz w:val="24"/>
          <w:szCs w:val="24"/>
        </w:rPr>
        <w:t xml:space="preserve">.  </w:t>
      </w:r>
      <w:r w:rsidR="00BA2924" w:rsidRPr="00F62B40">
        <w:rPr>
          <w:b/>
          <w:bCs/>
          <w:i w:val="0"/>
          <w:iCs w:val="0"/>
          <w:color w:val="auto"/>
          <w:sz w:val="24"/>
          <w:szCs w:val="24"/>
        </w:rPr>
        <w:t>Proyectos con programación multianual de Inversión Pública por Entidad</w:t>
      </w:r>
      <w:bookmarkEnd w:id="275"/>
    </w:p>
    <w:p w14:paraId="1B57B3AA" w14:textId="37AE10EB" w:rsidR="00BA2924" w:rsidRPr="006A453E" w:rsidRDefault="00BA2924" w:rsidP="00BA2924">
      <w:pPr>
        <w:jc w:val="center"/>
        <w:rPr>
          <w:sz w:val="22"/>
          <w:szCs w:val="22"/>
        </w:rPr>
      </w:pPr>
      <w:r w:rsidRPr="006A453E">
        <w:rPr>
          <w:sz w:val="22"/>
          <w:szCs w:val="22"/>
        </w:rPr>
        <w:t xml:space="preserve">(En </w:t>
      </w:r>
      <w:r>
        <w:rPr>
          <w:sz w:val="22"/>
          <w:szCs w:val="22"/>
        </w:rPr>
        <w:t xml:space="preserve">millones de </w:t>
      </w:r>
      <w:r w:rsidRPr="006A453E">
        <w:rPr>
          <w:sz w:val="22"/>
          <w:szCs w:val="22"/>
        </w:rPr>
        <w:t>quetzales</w:t>
      </w:r>
      <w:r w:rsidR="00490943">
        <w:rPr>
          <w:sz w:val="22"/>
          <w:szCs w:val="22"/>
        </w:rPr>
        <w:t xml:space="preserve"> y</w:t>
      </w:r>
      <w:r w:rsidRPr="006A453E">
        <w:rPr>
          <w:sz w:val="22"/>
          <w:szCs w:val="22"/>
        </w:rPr>
        <w:t xml:space="preserve"> número de proyectos)</w:t>
      </w:r>
    </w:p>
    <w:tbl>
      <w:tblPr>
        <w:tblW w:w="9204" w:type="dxa"/>
        <w:jc w:val="center"/>
        <w:tblCellMar>
          <w:left w:w="70" w:type="dxa"/>
          <w:right w:w="70" w:type="dxa"/>
        </w:tblCellMar>
        <w:tblLook w:val="04A0" w:firstRow="1" w:lastRow="0" w:firstColumn="1" w:lastColumn="0" w:noHBand="0" w:noVBand="1"/>
      </w:tblPr>
      <w:tblGrid>
        <w:gridCol w:w="3676"/>
        <w:gridCol w:w="1134"/>
        <w:gridCol w:w="895"/>
        <w:gridCol w:w="993"/>
        <w:gridCol w:w="971"/>
        <w:gridCol w:w="730"/>
        <w:gridCol w:w="895"/>
      </w:tblGrid>
      <w:tr w:rsidR="00BA2924" w:rsidRPr="00EA023B" w14:paraId="52C84215" w14:textId="77777777" w:rsidTr="00E77A24">
        <w:trPr>
          <w:trHeight w:val="300"/>
          <w:jc w:val="center"/>
        </w:trPr>
        <w:tc>
          <w:tcPr>
            <w:tcW w:w="3676" w:type="dxa"/>
            <w:vMerge w:val="restart"/>
            <w:tcBorders>
              <w:top w:val="single" w:sz="8" w:space="0" w:color="auto"/>
              <w:left w:val="single" w:sz="8" w:space="0" w:color="auto"/>
              <w:bottom w:val="single" w:sz="8" w:space="0" w:color="000000"/>
              <w:right w:val="single" w:sz="4" w:space="0" w:color="auto"/>
            </w:tcBorders>
            <w:shd w:val="clear" w:color="000000" w:fill="2F75B5"/>
            <w:vAlign w:val="center"/>
            <w:hideMark/>
          </w:tcPr>
          <w:p w14:paraId="0E943A15" w14:textId="77777777" w:rsidR="00BA2924" w:rsidRPr="00BA2924" w:rsidRDefault="00BA2924" w:rsidP="00685573">
            <w:pPr>
              <w:jc w:val="center"/>
              <w:rPr>
                <w:b/>
                <w:bCs/>
                <w:color w:val="FFFFFF"/>
                <w:sz w:val="18"/>
                <w:szCs w:val="18"/>
              </w:rPr>
            </w:pPr>
            <w:r w:rsidRPr="00BA2924">
              <w:rPr>
                <w:b/>
                <w:bCs/>
                <w:color w:val="FFFFFF"/>
                <w:sz w:val="18"/>
                <w:szCs w:val="18"/>
              </w:rPr>
              <w:t>Sector</w:t>
            </w:r>
          </w:p>
        </w:tc>
        <w:tc>
          <w:tcPr>
            <w:tcW w:w="1134" w:type="dxa"/>
            <w:tcBorders>
              <w:top w:val="single" w:sz="8" w:space="0" w:color="auto"/>
              <w:left w:val="nil"/>
              <w:bottom w:val="nil"/>
              <w:right w:val="single" w:sz="4" w:space="0" w:color="auto"/>
            </w:tcBorders>
            <w:shd w:val="clear" w:color="000000" w:fill="2F75B5"/>
            <w:vAlign w:val="center"/>
            <w:hideMark/>
          </w:tcPr>
          <w:p w14:paraId="6784E961" w14:textId="77777777" w:rsidR="00BA2924" w:rsidRPr="00BA2924" w:rsidRDefault="00BA2924" w:rsidP="00685573">
            <w:pPr>
              <w:jc w:val="center"/>
              <w:rPr>
                <w:b/>
                <w:bCs/>
                <w:color w:val="FFFFFF"/>
                <w:sz w:val="18"/>
                <w:szCs w:val="18"/>
              </w:rPr>
            </w:pPr>
            <w:r w:rsidRPr="00BA2924">
              <w:rPr>
                <w:b/>
                <w:bCs/>
                <w:color w:val="FFFFFF"/>
                <w:sz w:val="18"/>
                <w:szCs w:val="18"/>
              </w:rPr>
              <w:t>2025</w:t>
            </w:r>
          </w:p>
        </w:tc>
        <w:tc>
          <w:tcPr>
            <w:tcW w:w="895" w:type="dxa"/>
            <w:tcBorders>
              <w:top w:val="single" w:sz="8" w:space="0" w:color="auto"/>
              <w:left w:val="nil"/>
              <w:bottom w:val="nil"/>
              <w:right w:val="single" w:sz="4" w:space="0" w:color="auto"/>
            </w:tcBorders>
            <w:shd w:val="clear" w:color="000000" w:fill="2F75B5"/>
            <w:vAlign w:val="center"/>
            <w:hideMark/>
          </w:tcPr>
          <w:p w14:paraId="70FA1F74" w14:textId="77777777" w:rsidR="00BA2924" w:rsidRPr="00BA2924" w:rsidRDefault="00BA2924" w:rsidP="00685573">
            <w:pPr>
              <w:jc w:val="center"/>
              <w:rPr>
                <w:b/>
                <w:bCs/>
                <w:color w:val="FFFFFF"/>
                <w:sz w:val="18"/>
                <w:szCs w:val="18"/>
              </w:rPr>
            </w:pPr>
            <w:r w:rsidRPr="00BA2924">
              <w:rPr>
                <w:b/>
                <w:bCs/>
                <w:color w:val="FFFFFF"/>
                <w:sz w:val="18"/>
                <w:szCs w:val="18"/>
              </w:rPr>
              <w:t>2026</w:t>
            </w:r>
          </w:p>
        </w:tc>
        <w:tc>
          <w:tcPr>
            <w:tcW w:w="993" w:type="dxa"/>
            <w:tcBorders>
              <w:top w:val="single" w:sz="8" w:space="0" w:color="auto"/>
              <w:left w:val="nil"/>
              <w:bottom w:val="nil"/>
              <w:right w:val="nil"/>
            </w:tcBorders>
            <w:shd w:val="clear" w:color="000000" w:fill="2F75B5"/>
            <w:vAlign w:val="center"/>
            <w:hideMark/>
          </w:tcPr>
          <w:p w14:paraId="46959096" w14:textId="77777777" w:rsidR="00BA2924" w:rsidRPr="00BA2924" w:rsidRDefault="00BA2924" w:rsidP="00685573">
            <w:pPr>
              <w:jc w:val="center"/>
              <w:rPr>
                <w:b/>
                <w:bCs/>
                <w:color w:val="FFFFFF"/>
                <w:sz w:val="18"/>
                <w:szCs w:val="18"/>
              </w:rPr>
            </w:pPr>
            <w:r w:rsidRPr="00BA2924">
              <w:rPr>
                <w:b/>
                <w:bCs/>
                <w:color w:val="FFFFFF"/>
                <w:sz w:val="18"/>
                <w:szCs w:val="18"/>
              </w:rPr>
              <w:t>2027</w:t>
            </w:r>
          </w:p>
        </w:tc>
        <w:tc>
          <w:tcPr>
            <w:tcW w:w="971" w:type="dxa"/>
            <w:tcBorders>
              <w:top w:val="single" w:sz="8" w:space="0" w:color="auto"/>
              <w:left w:val="nil"/>
              <w:bottom w:val="nil"/>
              <w:right w:val="single" w:sz="8" w:space="0" w:color="auto"/>
            </w:tcBorders>
            <w:shd w:val="clear" w:color="000000" w:fill="2F75B5"/>
            <w:vAlign w:val="center"/>
            <w:hideMark/>
          </w:tcPr>
          <w:p w14:paraId="72D8B69C" w14:textId="77777777" w:rsidR="00BA2924" w:rsidRPr="00BA2924" w:rsidRDefault="00BA2924" w:rsidP="00685573">
            <w:pPr>
              <w:jc w:val="center"/>
              <w:rPr>
                <w:b/>
                <w:bCs/>
                <w:color w:val="FFFFFF"/>
                <w:sz w:val="18"/>
                <w:szCs w:val="18"/>
              </w:rPr>
            </w:pPr>
            <w:r w:rsidRPr="00BA2924">
              <w:rPr>
                <w:b/>
                <w:bCs/>
                <w:color w:val="FFFFFF"/>
                <w:sz w:val="18"/>
                <w:szCs w:val="18"/>
              </w:rPr>
              <w:t>2028</w:t>
            </w:r>
          </w:p>
        </w:tc>
        <w:tc>
          <w:tcPr>
            <w:tcW w:w="1535" w:type="dxa"/>
            <w:gridSpan w:val="2"/>
            <w:tcBorders>
              <w:top w:val="single" w:sz="8" w:space="0" w:color="auto"/>
              <w:left w:val="nil"/>
              <w:bottom w:val="nil"/>
              <w:right w:val="single" w:sz="8" w:space="0" w:color="000000"/>
            </w:tcBorders>
            <w:shd w:val="clear" w:color="000000" w:fill="2F75B5"/>
            <w:vAlign w:val="center"/>
            <w:hideMark/>
          </w:tcPr>
          <w:p w14:paraId="7EE282FE" w14:textId="77777777" w:rsidR="00BA2924" w:rsidRPr="00BA2924" w:rsidRDefault="00BA2924" w:rsidP="00685573">
            <w:pPr>
              <w:jc w:val="center"/>
              <w:rPr>
                <w:b/>
                <w:bCs/>
                <w:color w:val="FFFFFF"/>
                <w:sz w:val="18"/>
                <w:szCs w:val="18"/>
              </w:rPr>
            </w:pPr>
            <w:r w:rsidRPr="00BA2924">
              <w:rPr>
                <w:b/>
                <w:bCs/>
                <w:color w:val="FFFFFF"/>
                <w:sz w:val="18"/>
                <w:szCs w:val="18"/>
              </w:rPr>
              <w:t>Total</w:t>
            </w:r>
          </w:p>
        </w:tc>
      </w:tr>
      <w:tr w:rsidR="00BA2924" w:rsidRPr="00EA023B" w14:paraId="49ADAEB8" w14:textId="77777777" w:rsidTr="00E77A24">
        <w:trPr>
          <w:trHeight w:val="315"/>
          <w:jc w:val="center"/>
        </w:trPr>
        <w:tc>
          <w:tcPr>
            <w:tcW w:w="3676" w:type="dxa"/>
            <w:vMerge/>
            <w:tcBorders>
              <w:top w:val="single" w:sz="8" w:space="0" w:color="auto"/>
              <w:left w:val="single" w:sz="8" w:space="0" w:color="auto"/>
              <w:bottom w:val="single" w:sz="8" w:space="0" w:color="000000"/>
              <w:right w:val="single" w:sz="4" w:space="0" w:color="auto"/>
            </w:tcBorders>
            <w:vAlign w:val="center"/>
            <w:hideMark/>
          </w:tcPr>
          <w:p w14:paraId="679C0A8D" w14:textId="77777777" w:rsidR="00BA2924" w:rsidRPr="00BA2924" w:rsidRDefault="00BA2924" w:rsidP="00685573">
            <w:pPr>
              <w:rPr>
                <w:b/>
                <w:bCs/>
                <w:color w:val="FFFFFF"/>
                <w:sz w:val="18"/>
                <w:szCs w:val="18"/>
              </w:rPr>
            </w:pPr>
          </w:p>
        </w:tc>
        <w:tc>
          <w:tcPr>
            <w:tcW w:w="1134" w:type="dxa"/>
            <w:tcBorders>
              <w:top w:val="nil"/>
              <w:left w:val="nil"/>
              <w:bottom w:val="single" w:sz="8" w:space="0" w:color="auto"/>
              <w:right w:val="single" w:sz="4" w:space="0" w:color="auto"/>
            </w:tcBorders>
            <w:shd w:val="clear" w:color="000000" w:fill="2F75B5"/>
            <w:vAlign w:val="center"/>
            <w:hideMark/>
          </w:tcPr>
          <w:p w14:paraId="684DA4C7" w14:textId="77777777" w:rsidR="00BA2924" w:rsidRPr="00E77A24" w:rsidRDefault="00BA2924" w:rsidP="00685573">
            <w:pPr>
              <w:jc w:val="center"/>
              <w:rPr>
                <w:b/>
                <w:bCs/>
                <w:color w:val="FFFFFF"/>
                <w:sz w:val="14"/>
                <w:szCs w:val="14"/>
              </w:rPr>
            </w:pPr>
            <w:r w:rsidRPr="00E77A24">
              <w:rPr>
                <w:b/>
                <w:bCs/>
                <w:color w:val="FFFFFF"/>
                <w:sz w:val="14"/>
                <w:szCs w:val="14"/>
              </w:rPr>
              <w:t>Programado</w:t>
            </w:r>
          </w:p>
        </w:tc>
        <w:tc>
          <w:tcPr>
            <w:tcW w:w="895" w:type="dxa"/>
            <w:tcBorders>
              <w:top w:val="nil"/>
              <w:left w:val="nil"/>
              <w:bottom w:val="single" w:sz="8" w:space="0" w:color="auto"/>
              <w:right w:val="single" w:sz="4" w:space="0" w:color="auto"/>
            </w:tcBorders>
            <w:shd w:val="clear" w:color="000000" w:fill="2F75B5"/>
            <w:vAlign w:val="center"/>
            <w:hideMark/>
          </w:tcPr>
          <w:p w14:paraId="05B7532B" w14:textId="77777777" w:rsidR="00BA2924" w:rsidRPr="00E77A24" w:rsidRDefault="00BA2924" w:rsidP="00685573">
            <w:pPr>
              <w:jc w:val="center"/>
              <w:rPr>
                <w:b/>
                <w:bCs/>
                <w:color w:val="FFFFFF"/>
                <w:sz w:val="14"/>
                <w:szCs w:val="14"/>
              </w:rPr>
            </w:pPr>
            <w:r w:rsidRPr="00E77A24">
              <w:rPr>
                <w:b/>
                <w:bCs/>
                <w:color w:val="FFFFFF"/>
                <w:sz w:val="14"/>
                <w:szCs w:val="14"/>
              </w:rPr>
              <w:t xml:space="preserve">Programado </w:t>
            </w:r>
          </w:p>
        </w:tc>
        <w:tc>
          <w:tcPr>
            <w:tcW w:w="993" w:type="dxa"/>
            <w:tcBorders>
              <w:top w:val="nil"/>
              <w:left w:val="nil"/>
              <w:bottom w:val="single" w:sz="8" w:space="0" w:color="auto"/>
              <w:right w:val="nil"/>
            </w:tcBorders>
            <w:shd w:val="clear" w:color="000000" w:fill="2F75B5"/>
            <w:vAlign w:val="center"/>
            <w:hideMark/>
          </w:tcPr>
          <w:p w14:paraId="64FE492C" w14:textId="77777777" w:rsidR="00BA2924" w:rsidRPr="00E77A24" w:rsidRDefault="00BA2924" w:rsidP="00685573">
            <w:pPr>
              <w:jc w:val="center"/>
              <w:rPr>
                <w:b/>
                <w:bCs/>
                <w:color w:val="FFFFFF"/>
                <w:sz w:val="14"/>
                <w:szCs w:val="14"/>
              </w:rPr>
            </w:pPr>
            <w:r w:rsidRPr="00E77A24">
              <w:rPr>
                <w:b/>
                <w:bCs/>
                <w:color w:val="FFFFFF"/>
                <w:sz w:val="14"/>
                <w:szCs w:val="14"/>
              </w:rPr>
              <w:t>Programado</w:t>
            </w:r>
          </w:p>
        </w:tc>
        <w:tc>
          <w:tcPr>
            <w:tcW w:w="971" w:type="dxa"/>
            <w:tcBorders>
              <w:top w:val="nil"/>
              <w:left w:val="nil"/>
              <w:bottom w:val="single" w:sz="8" w:space="0" w:color="auto"/>
              <w:right w:val="single" w:sz="8" w:space="0" w:color="auto"/>
            </w:tcBorders>
            <w:shd w:val="clear" w:color="000000" w:fill="2F75B5"/>
            <w:vAlign w:val="center"/>
            <w:hideMark/>
          </w:tcPr>
          <w:p w14:paraId="0A4A11CD" w14:textId="77777777" w:rsidR="00BA2924" w:rsidRPr="00E77A24" w:rsidRDefault="00BA2924" w:rsidP="00685573">
            <w:pPr>
              <w:jc w:val="center"/>
              <w:rPr>
                <w:b/>
                <w:bCs/>
                <w:color w:val="FFFFFF"/>
                <w:sz w:val="14"/>
                <w:szCs w:val="14"/>
              </w:rPr>
            </w:pPr>
            <w:r w:rsidRPr="00E77A24">
              <w:rPr>
                <w:b/>
                <w:bCs/>
                <w:color w:val="FFFFFF"/>
                <w:sz w:val="14"/>
                <w:szCs w:val="14"/>
              </w:rPr>
              <w:t>Programado</w:t>
            </w:r>
          </w:p>
        </w:tc>
        <w:tc>
          <w:tcPr>
            <w:tcW w:w="730" w:type="dxa"/>
            <w:tcBorders>
              <w:top w:val="nil"/>
              <w:left w:val="nil"/>
              <w:bottom w:val="single" w:sz="8" w:space="0" w:color="auto"/>
              <w:right w:val="nil"/>
            </w:tcBorders>
            <w:shd w:val="clear" w:color="000000" w:fill="2F75B5"/>
            <w:vAlign w:val="center"/>
            <w:hideMark/>
          </w:tcPr>
          <w:p w14:paraId="56999FC4" w14:textId="77777777" w:rsidR="00BA2924" w:rsidRPr="00E77A24" w:rsidRDefault="00BA2924" w:rsidP="00685573">
            <w:pPr>
              <w:jc w:val="center"/>
              <w:rPr>
                <w:b/>
                <w:bCs/>
                <w:color w:val="FFFFFF"/>
                <w:sz w:val="14"/>
                <w:szCs w:val="14"/>
              </w:rPr>
            </w:pPr>
            <w:r w:rsidRPr="00E77A24">
              <w:rPr>
                <w:b/>
                <w:bCs/>
                <w:color w:val="FFFFFF"/>
                <w:sz w:val="14"/>
                <w:szCs w:val="14"/>
              </w:rPr>
              <w:t>Proyectos</w:t>
            </w:r>
          </w:p>
        </w:tc>
        <w:tc>
          <w:tcPr>
            <w:tcW w:w="805" w:type="dxa"/>
            <w:tcBorders>
              <w:top w:val="nil"/>
              <w:left w:val="nil"/>
              <w:bottom w:val="single" w:sz="8" w:space="0" w:color="auto"/>
              <w:right w:val="single" w:sz="8" w:space="0" w:color="auto"/>
            </w:tcBorders>
            <w:shd w:val="clear" w:color="000000" w:fill="2F75B5"/>
            <w:vAlign w:val="center"/>
            <w:hideMark/>
          </w:tcPr>
          <w:p w14:paraId="5E93082E" w14:textId="77777777" w:rsidR="00BA2924" w:rsidRPr="00E77A24" w:rsidRDefault="00BA2924" w:rsidP="00685573">
            <w:pPr>
              <w:jc w:val="center"/>
              <w:rPr>
                <w:b/>
                <w:bCs/>
                <w:color w:val="FFFFFF"/>
                <w:sz w:val="14"/>
                <w:szCs w:val="14"/>
              </w:rPr>
            </w:pPr>
            <w:r w:rsidRPr="00E77A24">
              <w:rPr>
                <w:b/>
                <w:bCs/>
                <w:color w:val="FFFFFF"/>
                <w:sz w:val="14"/>
                <w:szCs w:val="14"/>
              </w:rPr>
              <w:t>Programado</w:t>
            </w:r>
          </w:p>
        </w:tc>
      </w:tr>
      <w:tr w:rsidR="007F2934" w:rsidRPr="00EA023B" w14:paraId="226012CF" w14:textId="77777777" w:rsidTr="00E77A24">
        <w:trPr>
          <w:trHeight w:val="300"/>
          <w:jc w:val="center"/>
        </w:trPr>
        <w:tc>
          <w:tcPr>
            <w:tcW w:w="3676" w:type="dxa"/>
            <w:tcBorders>
              <w:top w:val="nil"/>
              <w:left w:val="single" w:sz="8" w:space="0" w:color="auto"/>
              <w:bottom w:val="single" w:sz="4" w:space="0" w:color="auto"/>
              <w:right w:val="single" w:sz="4" w:space="0" w:color="auto"/>
            </w:tcBorders>
            <w:shd w:val="clear" w:color="000000" w:fill="C9C9C9"/>
            <w:noWrap/>
            <w:vAlign w:val="center"/>
            <w:hideMark/>
          </w:tcPr>
          <w:p w14:paraId="271492CD" w14:textId="77777777" w:rsidR="00BA2924" w:rsidRPr="00BA2924" w:rsidRDefault="00BA2924" w:rsidP="00685573">
            <w:pPr>
              <w:rPr>
                <w:b/>
                <w:bCs/>
                <w:color w:val="000000"/>
                <w:sz w:val="18"/>
                <w:szCs w:val="18"/>
              </w:rPr>
            </w:pPr>
            <w:r w:rsidRPr="00BA2924">
              <w:rPr>
                <w:b/>
                <w:bCs/>
                <w:color w:val="000000"/>
                <w:sz w:val="18"/>
                <w:szCs w:val="18"/>
              </w:rPr>
              <w:t>Administración Central</w:t>
            </w:r>
          </w:p>
        </w:tc>
        <w:tc>
          <w:tcPr>
            <w:tcW w:w="1134" w:type="dxa"/>
            <w:tcBorders>
              <w:top w:val="nil"/>
              <w:left w:val="nil"/>
              <w:bottom w:val="single" w:sz="4" w:space="0" w:color="auto"/>
              <w:right w:val="single" w:sz="4" w:space="0" w:color="auto"/>
            </w:tcBorders>
            <w:shd w:val="clear" w:color="000000" w:fill="C9C9C9"/>
            <w:noWrap/>
            <w:vAlign w:val="center"/>
            <w:hideMark/>
          </w:tcPr>
          <w:p w14:paraId="5B5080A9" w14:textId="77777777" w:rsidR="00BA2924" w:rsidRPr="00BA2924" w:rsidRDefault="00BA2924" w:rsidP="00685573">
            <w:pPr>
              <w:jc w:val="center"/>
              <w:rPr>
                <w:b/>
                <w:bCs/>
                <w:color w:val="000000"/>
                <w:sz w:val="18"/>
                <w:szCs w:val="18"/>
              </w:rPr>
            </w:pPr>
            <w:r w:rsidRPr="00BA2924">
              <w:rPr>
                <w:b/>
                <w:bCs/>
                <w:color w:val="000000"/>
                <w:sz w:val="18"/>
                <w:szCs w:val="18"/>
              </w:rPr>
              <w:t>2,621.7</w:t>
            </w:r>
          </w:p>
        </w:tc>
        <w:tc>
          <w:tcPr>
            <w:tcW w:w="895" w:type="dxa"/>
            <w:tcBorders>
              <w:top w:val="nil"/>
              <w:left w:val="nil"/>
              <w:bottom w:val="single" w:sz="4" w:space="0" w:color="auto"/>
              <w:right w:val="single" w:sz="4" w:space="0" w:color="auto"/>
            </w:tcBorders>
            <w:shd w:val="clear" w:color="000000" w:fill="C9C9C9"/>
            <w:noWrap/>
            <w:vAlign w:val="center"/>
            <w:hideMark/>
          </w:tcPr>
          <w:p w14:paraId="3A64CA75" w14:textId="77777777" w:rsidR="00BA2924" w:rsidRPr="00BA2924" w:rsidRDefault="00BA2924" w:rsidP="00685573">
            <w:pPr>
              <w:jc w:val="center"/>
              <w:rPr>
                <w:b/>
                <w:bCs/>
                <w:color w:val="000000"/>
                <w:sz w:val="18"/>
                <w:szCs w:val="18"/>
              </w:rPr>
            </w:pPr>
            <w:r w:rsidRPr="00BA2924">
              <w:rPr>
                <w:b/>
                <w:bCs/>
                <w:color w:val="000000"/>
                <w:sz w:val="18"/>
                <w:szCs w:val="18"/>
              </w:rPr>
              <w:t>245.0</w:t>
            </w:r>
          </w:p>
        </w:tc>
        <w:tc>
          <w:tcPr>
            <w:tcW w:w="993" w:type="dxa"/>
            <w:tcBorders>
              <w:top w:val="nil"/>
              <w:left w:val="nil"/>
              <w:bottom w:val="single" w:sz="4" w:space="0" w:color="auto"/>
              <w:right w:val="single" w:sz="4" w:space="0" w:color="auto"/>
            </w:tcBorders>
            <w:shd w:val="clear" w:color="000000" w:fill="C9C9C9"/>
            <w:noWrap/>
            <w:vAlign w:val="center"/>
            <w:hideMark/>
          </w:tcPr>
          <w:p w14:paraId="47B7B608" w14:textId="77777777" w:rsidR="00BA2924" w:rsidRPr="00BA2924" w:rsidRDefault="00BA2924" w:rsidP="00685573">
            <w:pPr>
              <w:jc w:val="center"/>
              <w:rPr>
                <w:b/>
                <w:bCs/>
                <w:color w:val="000000"/>
                <w:sz w:val="18"/>
                <w:szCs w:val="18"/>
              </w:rPr>
            </w:pPr>
            <w:r w:rsidRPr="00BA2924">
              <w:rPr>
                <w:b/>
                <w:bCs/>
                <w:color w:val="000000"/>
                <w:sz w:val="18"/>
                <w:szCs w:val="18"/>
              </w:rPr>
              <w:t> </w:t>
            </w:r>
          </w:p>
        </w:tc>
        <w:tc>
          <w:tcPr>
            <w:tcW w:w="971" w:type="dxa"/>
            <w:tcBorders>
              <w:top w:val="nil"/>
              <w:left w:val="nil"/>
              <w:bottom w:val="single" w:sz="4" w:space="0" w:color="auto"/>
              <w:right w:val="single" w:sz="8" w:space="0" w:color="auto"/>
            </w:tcBorders>
            <w:shd w:val="clear" w:color="000000" w:fill="C9C9C9"/>
            <w:noWrap/>
            <w:vAlign w:val="center"/>
            <w:hideMark/>
          </w:tcPr>
          <w:p w14:paraId="6DCF2E57" w14:textId="77777777" w:rsidR="00BA2924" w:rsidRPr="00BA2924" w:rsidRDefault="00BA2924" w:rsidP="00685573">
            <w:pPr>
              <w:jc w:val="center"/>
              <w:rPr>
                <w:b/>
                <w:bCs/>
                <w:color w:val="000000"/>
                <w:sz w:val="18"/>
                <w:szCs w:val="18"/>
              </w:rPr>
            </w:pPr>
            <w:r w:rsidRPr="00BA2924">
              <w:rPr>
                <w:b/>
                <w:bCs/>
                <w:color w:val="000000"/>
                <w:sz w:val="18"/>
                <w:szCs w:val="18"/>
              </w:rPr>
              <w:t> </w:t>
            </w:r>
          </w:p>
        </w:tc>
        <w:tc>
          <w:tcPr>
            <w:tcW w:w="730" w:type="dxa"/>
            <w:tcBorders>
              <w:top w:val="nil"/>
              <w:left w:val="nil"/>
              <w:bottom w:val="single" w:sz="4" w:space="0" w:color="auto"/>
              <w:right w:val="nil"/>
            </w:tcBorders>
            <w:shd w:val="clear" w:color="000000" w:fill="C9C9C9"/>
            <w:noWrap/>
            <w:vAlign w:val="center"/>
            <w:hideMark/>
          </w:tcPr>
          <w:p w14:paraId="4031ACDA" w14:textId="77777777" w:rsidR="00BA2924" w:rsidRPr="00BA2924" w:rsidRDefault="00BA2924" w:rsidP="00685573">
            <w:pPr>
              <w:jc w:val="center"/>
              <w:rPr>
                <w:b/>
                <w:bCs/>
                <w:color w:val="000000"/>
                <w:sz w:val="18"/>
                <w:szCs w:val="18"/>
              </w:rPr>
            </w:pPr>
            <w:r w:rsidRPr="00BA2924">
              <w:rPr>
                <w:b/>
                <w:bCs/>
                <w:color w:val="000000"/>
                <w:sz w:val="18"/>
                <w:szCs w:val="18"/>
              </w:rPr>
              <w:t>59</w:t>
            </w:r>
          </w:p>
        </w:tc>
        <w:tc>
          <w:tcPr>
            <w:tcW w:w="805" w:type="dxa"/>
            <w:tcBorders>
              <w:top w:val="nil"/>
              <w:left w:val="single" w:sz="4" w:space="0" w:color="auto"/>
              <w:bottom w:val="single" w:sz="4" w:space="0" w:color="auto"/>
              <w:right w:val="single" w:sz="8" w:space="0" w:color="auto"/>
            </w:tcBorders>
            <w:shd w:val="clear" w:color="000000" w:fill="C9C9C9"/>
            <w:noWrap/>
            <w:vAlign w:val="center"/>
            <w:hideMark/>
          </w:tcPr>
          <w:p w14:paraId="4CC0FABD" w14:textId="77777777" w:rsidR="00BA2924" w:rsidRPr="00BA2924" w:rsidRDefault="00BA2924" w:rsidP="00685573">
            <w:pPr>
              <w:jc w:val="center"/>
              <w:rPr>
                <w:b/>
                <w:bCs/>
                <w:color w:val="000000"/>
                <w:sz w:val="18"/>
                <w:szCs w:val="18"/>
              </w:rPr>
            </w:pPr>
            <w:r w:rsidRPr="00BA2924">
              <w:rPr>
                <w:b/>
                <w:bCs/>
                <w:color w:val="000000"/>
                <w:sz w:val="18"/>
                <w:szCs w:val="18"/>
              </w:rPr>
              <w:t>2,866.8</w:t>
            </w:r>
          </w:p>
        </w:tc>
      </w:tr>
      <w:tr w:rsidR="00BA2924" w:rsidRPr="00EA023B" w14:paraId="4FFD1623" w14:textId="77777777" w:rsidTr="00E77A24">
        <w:trPr>
          <w:trHeight w:val="451"/>
          <w:jc w:val="center"/>
        </w:trPr>
        <w:tc>
          <w:tcPr>
            <w:tcW w:w="3676" w:type="dxa"/>
            <w:tcBorders>
              <w:top w:val="nil"/>
              <w:left w:val="single" w:sz="8" w:space="0" w:color="auto"/>
              <w:bottom w:val="single" w:sz="4" w:space="0" w:color="auto"/>
              <w:right w:val="single" w:sz="4" w:space="0" w:color="auto"/>
            </w:tcBorders>
            <w:shd w:val="clear" w:color="auto" w:fill="auto"/>
            <w:vAlign w:val="center"/>
            <w:hideMark/>
          </w:tcPr>
          <w:p w14:paraId="5ABE4320" w14:textId="77777777" w:rsidR="00BA2924" w:rsidRPr="00BA2924" w:rsidRDefault="00BA2924" w:rsidP="00685573">
            <w:pPr>
              <w:rPr>
                <w:color w:val="000000"/>
                <w:sz w:val="18"/>
                <w:szCs w:val="18"/>
              </w:rPr>
            </w:pPr>
            <w:r w:rsidRPr="00BA2924">
              <w:rPr>
                <w:color w:val="000000"/>
                <w:sz w:val="18"/>
                <w:szCs w:val="18"/>
              </w:rPr>
              <w:t>Ministerio de Agricultura, Ganadería y Alimentación</w:t>
            </w:r>
          </w:p>
        </w:tc>
        <w:tc>
          <w:tcPr>
            <w:tcW w:w="1134" w:type="dxa"/>
            <w:tcBorders>
              <w:top w:val="nil"/>
              <w:left w:val="nil"/>
              <w:bottom w:val="single" w:sz="4" w:space="0" w:color="auto"/>
              <w:right w:val="single" w:sz="4" w:space="0" w:color="auto"/>
            </w:tcBorders>
            <w:shd w:val="clear" w:color="auto" w:fill="auto"/>
            <w:noWrap/>
            <w:vAlign w:val="center"/>
            <w:hideMark/>
          </w:tcPr>
          <w:p w14:paraId="5021F7BE" w14:textId="77777777" w:rsidR="00BA2924" w:rsidRPr="00BA2924" w:rsidRDefault="00BA2924" w:rsidP="00685573">
            <w:pPr>
              <w:jc w:val="center"/>
              <w:rPr>
                <w:color w:val="000000"/>
                <w:sz w:val="18"/>
                <w:szCs w:val="18"/>
              </w:rPr>
            </w:pPr>
            <w:r w:rsidRPr="00BA2924">
              <w:rPr>
                <w:color w:val="000000"/>
                <w:sz w:val="18"/>
                <w:szCs w:val="18"/>
              </w:rPr>
              <w:t>42.8</w:t>
            </w:r>
          </w:p>
        </w:tc>
        <w:tc>
          <w:tcPr>
            <w:tcW w:w="895" w:type="dxa"/>
            <w:tcBorders>
              <w:top w:val="nil"/>
              <w:left w:val="nil"/>
              <w:bottom w:val="single" w:sz="4" w:space="0" w:color="auto"/>
              <w:right w:val="single" w:sz="4" w:space="0" w:color="auto"/>
            </w:tcBorders>
            <w:shd w:val="clear" w:color="auto" w:fill="auto"/>
            <w:noWrap/>
            <w:vAlign w:val="center"/>
            <w:hideMark/>
          </w:tcPr>
          <w:p w14:paraId="422A1B0D" w14:textId="77777777" w:rsidR="00BA2924" w:rsidRPr="00BA2924" w:rsidRDefault="00BA2924" w:rsidP="00685573">
            <w:pPr>
              <w:jc w:val="center"/>
              <w:rPr>
                <w:color w:val="000000"/>
                <w:sz w:val="18"/>
                <w:szCs w:val="18"/>
              </w:rPr>
            </w:pPr>
            <w:r w:rsidRPr="00BA2924">
              <w:rPr>
                <w:color w:val="000000"/>
                <w:sz w:val="18"/>
                <w:szCs w:val="18"/>
              </w:rPr>
              <w:t> </w:t>
            </w:r>
          </w:p>
        </w:tc>
        <w:tc>
          <w:tcPr>
            <w:tcW w:w="993" w:type="dxa"/>
            <w:tcBorders>
              <w:top w:val="nil"/>
              <w:left w:val="nil"/>
              <w:bottom w:val="single" w:sz="4" w:space="0" w:color="auto"/>
              <w:right w:val="single" w:sz="4" w:space="0" w:color="auto"/>
            </w:tcBorders>
            <w:shd w:val="clear" w:color="auto" w:fill="auto"/>
            <w:noWrap/>
            <w:vAlign w:val="center"/>
            <w:hideMark/>
          </w:tcPr>
          <w:p w14:paraId="645C9232" w14:textId="77777777" w:rsidR="00BA2924" w:rsidRPr="00BA2924" w:rsidRDefault="00BA2924" w:rsidP="00685573">
            <w:pPr>
              <w:jc w:val="center"/>
              <w:rPr>
                <w:color w:val="000000"/>
                <w:sz w:val="18"/>
                <w:szCs w:val="18"/>
              </w:rPr>
            </w:pPr>
            <w:r w:rsidRPr="00BA2924">
              <w:rPr>
                <w:color w:val="000000"/>
                <w:sz w:val="18"/>
                <w:szCs w:val="18"/>
              </w:rPr>
              <w:t> </w:t>
            </w:r>
          </w:p>
        </w:tc>
        <w:tc>
          <w:tcPr>
            <w:tcW w:w="971" w:type="dxa"/>
            <w:tcBorders>
              <w:top w:val="nil"/>
              <w:left w:val="nil"/>
              <w:bottom w:val="single" w:sz="4" w:space="0" w:color="auto"/>
              <w:right w:val="single" w:sz="8" w:space="0" w:color="auto"/>
            </w:tcBorders>
            <w:shd w:val="clear" w:color="auto" w:fill="auto"/>
            <w:noWrap/>
            <w:vAlign w:val="center"/>
            <w:hideMark/>
          </w:tcPr>
          <w:p w14:paraId="4E616526" w14:textId="77777777" w:rsidR="00BA2924" w:rsidRPr="00BA2924" w:rsidRDefault="00BA2924" w:rsidP="00685573">
            <w:pPr>
              <w:jc w:val="center"/>
              <w:rPr>
                <w:color w:val="000000"/>
                <w:sz w:val="18"/>
                <w:szCs w:val="18"/>
              </w:rPr>
            </w:pPr>
            <w:r w:rsidRPr="00BA2924">
              <w:rPr>
                <w:color w:val="000000"/>
                <w:sz w:val="18"/>
                <w:szCs w:val="18"/>
              </w:rPr>
              <w:t> </w:t>
            </w:r>
          </w:p>
        </w:tc>
        <w:tc>
          <w:tcPr>
            <w:tcW w:w="730" w:type="dxa"/>
            <w:tcBorders>
              <w:top w:val="nil"/>
              <w:left w:val="nil"/>
              <w:bottom w:val="single" w:sz="4" w:space="0" w:color="auto"/>
              <w:right w:val="nil"/>
            </w:tcBorders>
            <w:shd w:val="clear" w:color="auto" w:fill="auto"/>
            <w:noWrap/>
            <w:vAlign w:val="center"/>
            <w:hideMark/>
          </w:tcPr>
          <w:p w14:paraId="09724C9B" w14:textId="77777777" w:rsidR="00BA2924" w:rsidRPr="00BA2924" w:rsidRDefault="00BA2924" w:rsidP="00685573">
            <w:pPr>
              <w:jc w:val="center"/>
              <w:rPr>
                <w:color w:val="000000"/>
                <w:sz w:val="18"/>
                <w:szCs w:val="18"/>
              </w:rPr>
            </w:pPr>
            <w:r w:rsidRPr="00BA2924">
              <w:rPr>
                <w:color w:val="000000"/>
                <w:sz w:val="18"/>
                <w:szCs w:val="18"/>
              </w:rPr>
              <w:t>4</w:t>
            </w:r>
          </w:p>
        </w:tc>
        <w:tc>
          <w:tcPr>
            <w:tcW w:w="805" w:type="dxa"/>
            <w:tcBorders>
              <w:top w:val="nil"/>
              <w:left w:val="single" w:sz="4" w:space="0" w:color="auto"/>
              <w:bottom w:val="single" w:sz="4" w:space="0" w:color="auto"/>
              <w:right w:val="single" w:sz="8" w:space="0" w:color="auto"/>
            </w:tcBorders>
            <w:shd w:val="clear" w:color="auto" w:fill="auto"/>
            <w:noWrap/>
            <w:vAlign w:val="center"/>
            <w:hideMark/>
          </w:tcPr>
          <w:p w14:paraId="00F19C12" w14:textId="77777777" w:rsidR="00BA2924" w:rsidRPr="00BA2924" w:rsidRDefault="00BA2924" w:rsidP="00685573">
            <w:pPr>
              <w:jc w:val="center"/>
              <w:rPr>
                <w:color w:val="000000"/>
                <w:sz w:val="18"/>
                <w:szCs w:val="18"/>
              </w:rPr>
            </w:pPr>
            <w:r w:rsidRPr="00BA2924">
              <w:rPr>
                <w:color w:val="000000"/>
                <w:sz w:val="18"/>
                <w:szCs w:val="18"/>
              </w:rPr>
              <w:t>42.8</w:t>
            </w:r>
          </w:p>
        </w:tc>
      </w:tr>
      <w:tr w:rsidR="00BA2924" w:rsidRPr="00EA023B" w14:paraId="4E26AF74" w14:textId="77777777" w:rsidTr="00E77A24">
        <w:trPr>
          <w:trHeight w:val="132"/>
          <w:jc w:val="center"/>
        </w:trPr>
        <w:tc>
          <w:tcPr>
            <w:tcW w:w="3676" w:type="dxa"/>
            <w:tcBorders>
              <w:top w:val="nil"/>
              <w:left w:val="single" w:sz="8" w:space="0" w:color="auto"/>
              <w:bottom w:val="single" w:sz="4" w:space="0" w:color="auto"/>
              <w:right w:val="single" w:sz="4" w:space="0" w:color="auto"/>
            </w:tcBorders>
            <w:shd w:val="clear" w:color="auto" w:fill="auto"/>
            <w:vAlign w:val="center"/>
            <w:hideMark/>
          </w:tcPr>
          <w:p w14:paraId="3B470E04" w14:textId="77777777" w:rsidR="00BA2924" w:rsidRPr="00BA2924" w:rsidRDefault="00BA2924" w:rsidP="00685573">
            <w:pPr>
              <w:rPr>
                <w:color w:val="000000"/>
                <w:sz w:val="18"/>
                <w:szCs w:val="18"/>
              </w:rPr>
            </w:pPr>
            <w:r w:rsidRPr="00BA2924">
              <w:rPr>
                <w:color w:val="000000"/>
                <w:sz w:val="18"/>
                <w:szCs w:val="18"/>
              </w:rPr>
              <w:t>Ministerio de Comunicaciones, Infraestructura y Vivienda</w:t>
            </w:r>
          </w:p>
        </w:tc>
        <w:tc>
          <w:tcPr>
            <w:tcW w:w="1134" w:type="dxa"/>
            <w:tcBorders>
              <w:top w:val="nil"/>
              <w:left w:val="nil"/>
              <w:bottom w:val="single" w:sz="4" w:space="0" w:color="auto"/>
              <w:right w:val="single" w:sz="4" w:space="0" w:color="auto"/>
            </w:tcBorders>
            <w:shd w:val="clear" w:color="auto" w:fill="auto"/>
            <w:noWrap/>
            <w:vAlign w:val="center"/>
            <w:hideMark/>
          </w:tcPr>
          <w:p w14:paraId="2FF17177" w14:textId="77777777" w:rsidR="00BA2924" w:rsidRPr="00BA2924" w:rsidRDefault="00BA2924" w:rsidP="00685573">
            <w:pPr>
              <w:jc w:val="center"/>
              <w:rPr>
                <w:color w:val="000000"/>
                <w:sz w:val="18"/>
                <w:szCs w:val="18"/>
              </w:rPr>
            </w:pPr>
            <w:r w:rsidRPr="00BA2924">
              <w:rPr>
                <w:color w:val="000000"/>
                <w:sz w:val="18"/>
                <w:szCs w:val="18"/>
              </w:rPr>
              <w:t>1,900.0</w:t>
            </w:r>
          </w:p>
        </w:tc>
        <w:tc>
          <w:tcPr>
            <w:tcW w:w="895" w:type="dxa"/>
            <w:tcBorders>
              <w:top w:val="nil"/>
              <w:left w:val="nil"/>
              <w:bottom w:val="single" w:sz="4" w:space="0" w:color="auto"/>
              <w:right w:val="single" w:sz="4" w:space="0" w:color="auto"/>
            </w:tcBorders>
            <w:shd w:val="clear" w:color="auto" w:fill="auto"/>
            <w:noWrap/>
            <w:vAlign w:val="center"/>
            <w:hideMark/>
          </w:tcPr>
          <w:p w14:paraId="5C9ABD0B" w14:textId="77777777" w:rsidR="00BA2924" w:rsidRPr="00BA2924" w:rsidRDefault="00BA2924" w:rsidP="00685573">
            <w:pPr>
              <w:jc w:val="center"/>
              <w:rPr>
                <w:color w:val="000000"/>
                <w:sz w:val="18"/>
                <w:szCs w:val="18"/>
              </w:rPr>
            </w:pPr>
            <w:r w:rsidRPr="00BA2924">
              <w:rPr>
                <w:color w:val="000000"/>
                <w:sz w:val="18"/>
                <w:szCs w:val="18"/>
              </w:rPr>
              <w:t>115.6</w:t>
            </w:r>
          </w:p>
        </w:tc>
        <w:tc>
          <w:tcPr>
            <w:tcW w:w="993" w:type="dxa"/>
            <w:tcBorders>
              <w:top w:val="nil"/>
              <w:left w:val="nil"/>
              <w:bottom w:val="single" w:sz="4" w:space="0" w:color="auto"/>
              <w:right w:val="single" w:sz="4" w:space="0" w:color="auto"/>
            </w:tcBorders>
            <w:shd w:val="clear" w:color="auto" w:fill="auto"/>
            <w:noWrap/>
            <w:vAlign w:val="center"/>
            <w:hideMark/>
          </w:tcPr>
          <w:p w14:paraId="37532E88" w14:textId="77777777" w:rsidR="00BA2924" w:rsidRPr="00BA2924" w:rsidRDefault="00BA2924" w:rsidP="00685573">
            <w:pPr>
              <w:jc w:val="center"/>
              <w:rPr>
                <w:color w:val="000000"/>
                <w:sz w:val="18"/>
                <w:szCs w:val="18"/>
              </w:rPr>
            </w:pPr>
            <w:r w:rsidRPr="00BA2924">
              <w:rPr>
                <w:color w:val="000000"/>
                <w:sz w:val="18"/>
                <w:szCs w:val="18"/>
              </w:rPr>
              <w:t> </w:t>
            </w:r>
          </w:p>
        </w:tc>
        <w:tc>
          <w:tcPr>
            <w:tcW w:w="971" w:type="dxa"/>
            <w:tcBorders>
              <w:top w:val="nil"/>
              <w:left w:val="nil"/>
              <w:bottom w:val="single" w:sz="4" w:space="0" w:color="auto"/>
              <w:right w:val="single" w:sz="8" w:space="0" w:color="auto"/>
            </w:tcBorders>
            <w:shd w:val="clear" w:color="auto" w:fill="auto"/>
            <w:noWrap/>
            <w:vAlign w:val="center"/>
            <w:hideMark/>
          </w:tcPr>
          <w:p w14:paraId="0D2CE197" w14:textId="77777777" w:rsidR="00BA2924" w:rsidRPr="00BA2924" w:rsidRDefault="00BA2924" w:rsidP="00685573">
            <w:pPr>
              <w:jc w:val="center"/>
              <w:rPr>
                <w:color w:val="000000"/>
                <w:sz w:val="18"/>
                <w:szCs w:val="18"/>
              </w:rPr>
            </w:pPr>
            <w:r w:rsidRPr="00BA2924">
              <w:rPr>
                <w:color w:val="000000"/>
                <w:sz w:val="18"/>
                <w:szCs w:val="18"/>
              </w:rPr>
              <w:t> </w:t>
            </w:r>
          </w:p>
        </w:tc>
        <w:tc>
          <w:tcPr>
            <w:tcW w:w="730" w:type="dxa"/>
            <w:tcBorders>
              <w:top w:val="nil"/>
              <w:left w:val="nil"/>
              <w:bottom w:val="single" w:sz="4" w:space="0" w:color="auto"/>
              <w:right w:val="nil"/>
            </w:tcBorders>
            <w:shd w:val="clear" w:color="auto" w:fill="auto"/>
            <w:noWrap/>
            <w:vAlign w:val="center"/>
            <w:hideMark/>
          </w:tcPr>
          <w:p w14:paraId="0DD70A97" w14:textId="77777777" w:rsidR="00BA2924" w:rsidRPr="00BA2924" w:rsidRDefault="00BA2924" w:rsidP="00685573">
            <w:pPr>
              <w:jc w:val="center"/>
              <w:rPr>
                <w:color w:val="000000"/>
                <w:sz w:val="18"/>
                <w:szCs w:val="18"/>
              </w:rPr>
            </w:pPr>
            <w:r w:rsidRPr="00BA2924">
              <w:rPr>
                <w:color w:val="000000"/>
                <w:sz w:val="18"/>
                <w:szCs w:val="18"/>
              </w:rPr>
              <w:t>37</w:t>
            </w:r>
          </w:p>
        </w:tc>
        <w:tc>
          <w:tcPr>
            <w:tcW w:w="805" w:type="dxa"/>
            <w:tcBorders>
              <w:top w:val="nil"/>
              <w:left w:val="single" w:sz="4" w:space="0" w:color="auto"/>
              <w:bottom w:val="single" w:sz="4" w:space="0" w:color="auto"/>
              <w:right w:val="single" w:sz="8" w:space="0" w:color="auto"/>
            </w:tcBorders>
            <w:shd w:val="clear" w:color="auto" w:fill="auto"/>
            <w:noWrap/>
            <w:vAlign w:val="center"/>
            <w:hideMark/>
          </w:tcPr>
          <w:p w14:paraId="0DBE0732" w14:textId="77777777" w:rsidR="00BA2924" w:rsidRPr="00BA2924" w:rsidRDefault="00BA2924" w:rsidP="00685573">
            <w:pPr>
              <w:jc w:val="center"/>
              <w:rPr>
                <w:color w:val="000000"/>
                <w:sz w:val="18"/>
                <w:szCs w:val="18"/>
              </w:rPr>
            </w:pPr>
            <w:r w:rsidRPr="00BA2924">
              <w:rPr>
                <w:color w:val="000000"/>
                <w:sz w:val="18"/>
                <w:szCs w:val="18"/>
              </w:rPr>
              <w:t>2,015.6</w:t>
            </w:r>
          </w:p>
        </w:tc>
      </w:tr>
      <w:tr w:rsidR="00BA2924" w:rsidRPr="00EA023B" w14:paraId="74B7CB25" w14:textId="77777777" w:rsidTr="00E77A24">
        <w:trPr>
          <w:trHeight w:val="138"/>
          <w:jc w:val="center"/>
        </w:trPr>
        <w:tc>
          <w:tcPr>
            <w:tcW w:w="3676" w:type="dxa"/>
            <w:tcBorders>
              <w:top w:val="nil"/>
              <w:left w:val="single" w:sz="8" w:space="0" w:color="auto"/>
              <w:bottom w:val="single" w:sz="4" w:space="0" w:color="auto"/>
              <w:right w:val="single" w:sz="4" w:space="0" w:color="auto"/>
            </w:tcBorders>
            <w:shd w:val="clear" w:color="auto" w:fill="auto"/>
            <w:vAlign w:val="center"/>
            <w:hideMark/>
          </w:tcPr>
          <w:p w14:paraId="3D25C803" w14:textId="77777777" w:rsidR="00BA2924" w:rsidRPr="00BA2924" w:rsidRDefault="00BA2924" w:rsidP="00685573">
            <w:pPr>
              <w:rPr>
                <w:color w:val="000000"/>
                <w:sz w:val="18"/>
                <w:szCs w:val="18"/>
              </w:rPr>
            </w:pPr>
            <w:r w:rsidRPr="00BA2924">
              <w:rPr>
                <w:color w:val="000000"/>
                <w:sz w:val="18"/>
                <w:szCs w:val="18"/>
              </w:rPr>
              <w:t>Ministerio de Cultura y Deportes</w:t>
            </w:r>
          </w:p>
        </w:tc>
        <w:tc>
          <w:tcPr>
            <w:tcW w:w="1134" w:type="dxa"/>
            <w:tcBorders>
              <w:top w:val="nil"/>
              <w:left w:val="nil"/>
              <w:bottom w:val="single" w:sz="4" w:space="0" w:color="auto"/>
              <w:right w:val="single" w:sz="4" w:space="0" w:color="auto"/>
            </w:tcBorders>
            <w:shd w:val="clear" w:color="auto" w:fill="auto"/>
            <w:noWrap/>
            <w:vAlign w:val="center"/>
            <w:hideMark/>
          </w:tcPr>
          <w:p w14:paraId="6D76F0E1" w14:textId="77777777" w:rsidR="00BA2924" w:rsidRPr="00BA2924" w:rsidRDefault="00BA2924" w:rsidP="00685573">
            <w:pPr>
              <w:jc w:val="center"/>
              <w:rPr>
                <w:color w:val="000000"/>
                <w:sz w:val="18"/>
                <w:szCs w:val="18"/>
              </w:rPr>
            </w:pPr>
            <w:r w:rsidRPr="00BA2924">
              <w:rPr>
                <w:color w:val="000000"/>
                <w:sz w:val="18"/>
                <w:szCs w:val="18"/>
              </w:rPr>
              <w:t>0.3</w:t>
            </w:r>
          </w:p>
        </w:tc>
        <w:tc>
          <w:tcPr>
            <w:tcW w:w="895" w:type="dxa"/>
            <w:tcBorders>
              <w:top w:val="nil"/>
              <w:left w:val="nil"/>
              <w:bottom w:val="single" w:sz="4" w:space="0" w:color="auto"/>
              <w:right w:val="single" w:sz="4" w:space="0" w:color="auto"/>
            </w:tcBorders>
            <w:shd w:val="clear" w:color="auto" w:fill="auto"/>
            <w:noWrap/>
            <w:vAlign w:val="center"/>
            <w:hideMark/>
          </w:tcPr>
          <w:p w14:paraId="0703E71F" w14:textId="77777777" w:rsidR="00BA2924" w:rsidRPr="00BA2924" w:rsidRDefault="00BA2924" w:rsidP="00685573">
            <w:pPr>
              <w:jc w:val="center"/>
              <w:rPr>
                <w:color w:val="000000"/>
                <w:sz w:val="18"/>
                <w:szCs w:val="18"/>
              </w:rPr>
            </w:pPr>
            <w:r w:rsidRPr="00BA2924">
              <w:rPr>
                <w:color w:val="000000"/>
                <w:sz w:val="18"/>
                <w:szCs w:val="18"/>
              </w:rPr>
              <w:t> </w:t>
            </w:r>
          </w:p>
        </w:tc>
        <w:tc>
          <w:tcPr>
            <w:tcW w:w="993" w:type="dxa"/>
            <w:tcBorders>
              <w:top w:val="nil"/>
              <w:left w:val="nil"/>
              <w:bottom w:val="single" w:sz="4" w:space="0" w:color="auto"/>
              <w:right w:val="single" w:sz="4" w:space="0" w:color="auto"/>
            </w:tcBorders>
            <w:shd w:val="clear" w:color="auto" w:fill="auto"/>
            <w:noWrap/>
            <w:vAlign w:val="center"/>
            <w:hideMark/>
          </w:tcPr>
          <w:p w14:paraId="3BC63BA5" w14:textId="77777777" w:rsidR="00BA2924" w:rsidRPr="00BA2924" w:rsidRDefault="00BA2924" w:rsidP="00685573">
            <w:pPr>
              <w:jc w:val="center"/>
              <w:rPr>
                <w:color w:val="000000"/>
                <w:sz w:val="18"/>
                <w:szCs w:val="18"/>
              </w:rPr>
            </w:pPr>
            <w:r w:rsidRPr="00BA2924">
              <w:rPr>
                <w:color w:val="000000"/>
                <w:sz w:val="18"/>
                <w:szCs w:val="18"/>
              </w:rPr>
              <w:t> </w:t>
            </w:r>
          </w:p>
        </w:tc>
        <w:tc>
          <w:tcPr>
            <w:tcW w:w="971" w:type="dxa"/>
            <w:tcBorders>
              <w:top w:val="nil"/>
              <w:left w:val="nil"/>
              <w:bottom w:val="single" w:sz="4" w:space="0" w:color="auto"/>
              <w:right w:val="single" w:sz="8" w:space="0" w:color="auto"/>
            </w:tcBorders>
            <w:shd w:val="clear" w:color="auto" w:fill="auto"/>
            <w:noWrap/>
            <w:vAlign w:val="center"/>
            <w:hideMark/>
          </w:tcPr>
          <w:p w14:paraId="3EEB094D" w14:textId="77777777" w:rsidR="00BA2924" w:rsidRPr="00BA2924" w:rsidRDefault="00BA2924" w:rsidP="00685573">
            <w:pPr>
              <w:jc w:val="center"/>
              <w:rPr>
                <w:color w:val="000000"/>
                <w:sz w:val="18"/>
                <w:szCs w:val="18"/>
              </w:rPr>
            </w:pPr>
            <w:r w:rsidRPr="00BA2924">
              <w:rPr>
                <w:color w:val="000000"/>
                <w:sz w:val="18"/>
                <w:szCs w:val="18"/>
              </w:rPr>
              <w:t> </w:t>
            </w:r>
          </w:p>
        </w:tc>
        <w:tc>
          <w:tcPr>
            <w:tcW w:w="730" w:type="dxa"/>
            <w:tcBorders>
              <w:top w:val="nil"/>
              <w:left w:val="nil"/>
              <w:bottom w:val="single" w:sz="4" w:space="0" w:color="auto"/>
              <w:right w:val="nil"/>
            </w:tcBorders>
            <w:shd w:val="clear" w:color="auto" w:fill="auto"/>
            <w:noWrap/>
            <w:vAlign w:val="center"/>
            <w:hideMark/>
          </w:tcPr>
          <w:p w14:paraId="59D09913" w14:textId="77777777" w:rsidR="00BA2924" w:rsidRPr="00BA2924" w:rsidRDefault="00BA2924" w:rsidP="00685573">
            <w:pPr>
              <w:jc w:val="center"/>
              <w:rPr>
                <w:color w:val="000000"/>
                <w:sz w:val="18"/>
                <w:szCs w:val="18"/>
              </w:rPr>
            </w:pPr>
            <w:r w:rsidRPr="00BA2924">
              <w:rPr>
                <w:color w:val="000000"/>
                <w:sz w:val="18"/>
                <w:szCs w:val="18"/>
              </w:rPr>
              <w:t>1</w:t>
            </w:r>
          </w:p>
        </w:tc>
        <w:tc>
          <w:tcPr>
            <w:tcW w:w="805" w:type="dxa"/>
            <w:tcBorders>
              <w:top w:val="nil"/>
              <w:left w:val="single" w:sz="4" w:space="0" w:color="auto"/>
              <w:bottom w:val="single" w:sz="4" w:space="0" w:color="auto"/>
              <w:right w:val="single" w:sz="8" w:space="0" w:color="auto"/>
            </w:tcBorders>
            <w:shd w:val="clear" w:color="auto" w:fill="auto"/>
            <w:noWrap/>
            <w:vAlign w:val="center"/>
            <w:hideMark/>
          </w:tcPr>
          <w:p w14:paraId="328D6065" w14:textId="77777777" w:rsidR="00BA2924" w:rsidRPr="00BA2924" w:rsidRDefault="00BA2924" w:rsidP="00685573">
            <w:pPr>
              <w:jc w:val="center"/>
              <w:rPr>
                <w:color w:val="000000"/>
                <w:sz w:val="18"/>
                <w:szCs w:val="18"/>
              </w:rPr>
            </w:pPr>
            <w:r w:rsidRPr="00BA2924">
              <w:rPr>
                <w:color w:val="000000"/>
                <w:sz w:val="18"/>
                <w:szCs w:val="18"/>
              </w:rPr>
              <w:t>0.3</w:t>
            </w:r>
          </w:p>
        </w:tc>
      </w:tr>
      <w:tr w:rsidR="00BA2924" w:rsidRPr="00EA023B" w14:paraId="0A4223E9" w14:textId="77777777" w:rsidTr="00E77A24">
        <w:trPr>
          <w:trHeight w:val="198"/>
          <w:jc w:val="center"/>
        </w:trPr>
        <w:tc>
          <w:tcPr>
            <w:tcW w:w="3676" w:type="dxa"/>
            <w:tcBorders>
              <w:top w:val="nil"/>
              <w:left w:val="single" w:sz="8" w:space="0" w:color="auto"/>
              <w:bottom w:val="single" w:sz="4" w:space="0" w:color="auto"/>
              <w:right w:val="single" w:sz="4" w:space="0" w:color="auto"/>
            </w:tcBorders>
            <w:shd w:val="clear" w:color="auto" w:fill="auto"/>
            <w:vAlign w:val="center"/>
            <w:hideMark/>
          </w:tcPr>
          <w:p w14:paraId="49F93D15" w14:textId="77777777" w:rsidR="00BA2924" w:rsidRPr="00BA2924" w:rsidRDefault="00BA2924" w:rsidP="00685573">
            <w:pPr>
              <w:rPr>
                <w:color w:val="000000"/>
                <w:sz w:val="18"/>
                <w:szCs w:val="18"/>
              </w:rPr>
            </w:pPr>
            <w:r w:rsidRPr="00BA2924">
              <w:rPr>
                <w:color w:val="000000"/>
                <w:sz w:val="18"/>
                <w:szCs w:val="18"/>
              </w:rPr>
              <w:t>Ministerio de Desarrollo Social</w:t>
            </w:r>
          </w:p>
        </w:tc>
        <w:tc>
          <w:tcPr>
            <w:tcW w:w="1134" w:type="dxa"/>
            <w:tcBorders>
              <w:top w:val="nil"/>
              <w:left w:val="nil"/>
              <w:bottom w:val="single" w:sz="4" w:space="0" w:color="auto"/>
              <w:right w:val="single" w:sz="4" w:space="0" w:color="auto"/>
            </w:tcBorders>
            <w:shd w:val="clear" w:color="auto" w:fill="auto"/>
            <w:noWrap/>
            <w:vAlign w:val="center"/>
            <w:hideMark/>
          </w:tcPr>
          <w:p w14:paraId="79A9252B" w14:textId="77777777" w:rsidR="00BA2924" w:rsidRPr="00BA2924" w:rsidRDefault="00BA2924" w:rsidP="00685573">
            <w:pPr>
              <w:jc w:val="center"/>
              <w:rPr>
                <w:color w:val="000000"/>
                <w:sz w:val="18"/>
                <w:szCs w:val="18"/>
              </w:rPr>
            </w:pPr>
            <w:r w:rsidRPr="00BA2924">
              <w:rPr>
                <w:color w:val="000000"/>
                <w:sz w:val="18"/>
                <w:szCs w:val="18"/>
              </w:rPr>
              <w:t>12.2</w:t>
            </w:r>
          </w:p>
        </w:tc>
        <w:tc>
          <w:tcPr>
            <w:tcW w:w="895" w:type="dxa"/>
            <w:tcBorders>
              <w:top w:val="nil"/>
              <w:left w:val="nil"/>
              <w:bottom w:val="single" w:sz="4" w:space="0" w:color="auto"/>
              <w:right w:val="single" w:sz="4" w:space="0" w:color="auto"/>
            </w:tcBorders>
            <w:shd w:val="clear" w:color="auto" w:fill="auto"/>
            <w:noWrap/>
            <w:vAlign w:val="center"/>
            <w:hideMark/>
          </w:tcPr>
          <w:p w14:paraId="6903DAF4" w14:textId="77777777" w:rsidR="00BA2924" w:rsidRPr="00BA2924" w:rsidRDefault="00BA2924" w:rsidP="00685573">
            <w:pPr>
              <w:jc w:val="center"/>
              <w:rPr>
                <w:color w:val="000000"/>
                <w:sz w:val="18"/>
                <w:szCs w:val="18"/>
              </w:rPr>
            </w:pPr>
            <w:r w:rsidRPr="00BA2924">
              <w:rPr>
                <w:color w:val="000000"/>
                <w:sz w:val="18"/>
                <w:szCs w:val="18"/>
              </w:rPr>
              <w:t> </w:t>
            </w:r>
          </w:p>
        </w:tc>
        <w:tc>
          <w:tcPr>
            <w:tcW w:w="993" w:type="dxa"/>
            <w:tcBorders>
              <w:top w:val="nil"/>
              <w:left w:val="nil"/>
              <w:bottom w:val="single" w:sz="4" w:space="0" w:color="auto"/>
              <w:right w:val="single" w:sz="4" w:space="0" w:color="auto"/>
            </w:tcBorders>
            <w:shd w:val="clear" w:color="auto" w:fill="auto"/>
            <w:noWrap/>
            <w:vAlign w:val="center"/>
            <w:hideMark/>
          </w:tcPr>
          <w:p w14:paraId="53F3B80D" w14:textId="77777777" w:rsidR="00BA2924" w:rsidRPr="00BA2924" w:rsidRDefault="00BA2924" w:rsidP="00685573">
            <w:pPr>
              <w:jc w:val="center"/>
              <w:rPr>
                <w:color w:val="000000"/>
                <w:sz w:val="18"/>
                <w:szCs w:val="18"/>
              </w:rPr>
            </w:pPr>
            <w:r w:rsidRPr="00BA2924">
              <w:rPr>
                <w:color w:val="000000"/>
                <w:sz w:val="18"/>
                <w:szCs w:val="18"/>
              </w:rPr>
              <w:t> </w:t>
            </w:r>
          </w:p>
        </w:tc>
        <w:tc>
          <w:tcPr>
            <w:tcW w:w="971" w:type="dxa"/>
            <w:tcBorders>
              <w:top w:val="nil"/>
              <w:left w:val="nil"/>
              <w:bottom w:val="single" w:sz="4" w:space="0" w:color="auto"/>
              <w:right w:val="single" w:sz="8" w:space="0" w:color="auto"/>
            </w:tcBorders>
            <w:shd w:val="clear" w:color="auto" w:fill="auto"/>
            <w:noWrap/>
            <w:vAlign w:val="center"/>
            <w:hideMark/>
          </w:tcPr>
          <w:p w14:paraId="47E8BCC3" w14:textId="77777777" w:rsidR="00BA2924" w:rsidRPr="00BA2924" w:rsidRDefault="00BA2924" w:rsidP="00685573">
            <w:pPr>
              <w:jc w:val="center"/>
              <w:rPr>
                <w:color w:val="000000"/>
                <w:sz w:val="18"/>
                <w:szCs w:val="18"/>
              </w:rPr>
            </w:pPr>
            <w:r w:rsidRPr="00BA2924">
              <w:rPr>
                <w:color w:val="000000"/>
                <w:sz w:val="18"/>
                <w:szCs w:val="18"/>
              </w:rPr>
              <w:t> </w:t>
            </w:r>
          </w:p>
        </w:tc>
        <w:tc>
          <w:tcPr>
            <w:tcW w:w="730" w:type="dxa"/>
            <w:tcBorders>
              <w:top w:val="nil"/>
              <w:left w:val="nil"/>
              <w:bottom w:val="single" w:sz="4" w:space="0" w:color="auto"/>
              <w:right w:val="nil"/>
            </w:tcBorders>
            <w:shd w:val="clear" w:color="auto" w:fill="auto"/>
            <w:noWrap/>
            <w:vAlign w:val="center"/>
            <w:hideMark/>
          </w:tcPr>
          <w:p w14:paraId="469E7036" w14:textId="77777777" w:rsidR="00BA2924" w:rsidRPr="00BA2924" w:rsidRDefault="00BA2924" w:rsidP="00685573">
            <w:pPr>
              <w:jc w:val="center"/>
              <w:rPr>
                <w:color w:val="000000"/>
                <w:sz w:val="18"/>
                <w:szCs w:val="18"/>
              </w:rPr>
            </w:pPr>
            <w:r w:rsidRPr="00BA2924">
              <w:rPr>
                <w:color w:val="000000"/>
                <w:sz w:val="18"/>
                <w:szCs w:val="18"/>
              </w:rPr>
              <w:t>2</w:t>
            </w:r>
          </w:p>
        </w:tc>
        <w:tc>
          <w:tcPr>
            <w:tcW w:w="805" w:type="dxa"/>
            <w:tcBorders>
              <w:top w:val="nil"/>
              <w:left w:val="single" w:sz="4" w:space="0" w:color="auto"/>
              <w:bottom w:val="single" w:sz="4" w:space="0" w:color="auto"/>
              <w:right w:val="single" w:sz="8" w:space="0" w:color="auto"/>
            </w:tcBorders>
            <w:shd w:val="clear" w:color="auto" w:fill="auto"/>
            <w:noWrap/>
            <w:vAlign w:val="center"/>
            <w:hideMark/>
          </w:tcPr>
          <w:p w14:paraId="4743AC9F" w14:textId="77777777" w:rsidR="00BA2924" w:rsidRPr="00BA2924" w:rsidRDefault="00BA2924" w:rsidP="00685573">
            <w:pPr>
              <w:jc w:val="center"/>
              <w:rPr>
                <w:color w:val="000000"/>
                <w:sz w:val="18"/>
                <w:szCs w:val="18"/>
              </w:rPr>
            </w:pPr>
            <w:r w:rsidRPr="00BA2924">
              <w:rPr>
                <w:color w:val="000000"/>
                <w:sz w:val="18"/>
                <w:szCs w:val="18"/>
              </w:rPr>
              <w:t>12.2</w:t>
            </w:r>
          </w:p>
        </w:tc>
      </w:tr>
      <w:tr w:rsidR="00BA2924" w:rsidRPr="00EA023B" w14:paraId="15B6A5A5" w14:textId="77777777" w:rsidTr="00E77A24">
        <w:trPr>
          <w:trHeight w:val="131"/>
          <w:jc w:val="center"/>
        </w:trPr>
        <w:tc>
          <w:tcPr>
            <w:tcW w:w="3676" w:type="dxa"/>
            <w:tcBorders>
              <w:top w:val="nil"/>
              <w:left w:val="single" w:sz="8" w:space="0" w:color="auto"/>
              <w:bottom w:val="single" w:sz="4" w:space="0" w:color="auto"/>
              <w:right w:val="single" w:sz="4" w:space="0" w:color="auto"/>
            </w:tcBorders>
            <w:shd w:val="clear" w:color="auto" w:fill="auto"/>
            <w:vAlign w:val="center"/>
            <w:hideMark/>
          </w:tcPr>
          <w:p w14:paraId="26685473" w14:textId="77777777" w:rsidR="00BA2924" w:rsidRPr="00BA2924" w:rsidRDefault="00BA2924" w:rsidP="00685573">
            <w:pPr>
              <w:rPr>
                <w:color w:val="000000"/>
                <w:sz w:val="18"/>
                <w:szCs w:val="18"/>
              </w:rPr>
            </w:pPr>
            <w:r w:rsidRPr="00BA2924">
              <w:rPr>
                <w:color w:val="000000"/>
                <w:sz w:val="18"/>
                <w:szCs w:val="18"/>
              </w:rPr>
              <w:t>Ministerio de Energía y Minas</w:t>
            </w:r>
          </w:p>
        </w:tc>
        <w:tc>
          <w:tcPr>
            <w:tcW w:w="1134" w:type="dxa"/>
            <w:tcBorders>
              <w:top w:val="nil"/>
              <w:left w:val="nil"/>
              <w:bottom w:val="single" w:sz="4" w:space="0" w:color="auto"/>
              <w:right w:val="single" w:sz="4" w:space="0" w:color="auto"/>
            </w:tcBorders>
            <w:shd w:val="clear" w:color="auto" w:fill="auto"/>
            <w:noWrap/>
            <w:vAlign w:val="center"/>
            <w:hideMark/>
          </w:tcPr>
          <w:p w14:paraId="0B7C791A" w14:textId="77777777" w:rsidR="00BA2924" w:rsidRPr="00BA2924" w:rsidRDefault="00BA2924" w:rsidP="00685573">
            <w:pPr>
              <w:jc w:val="center"/>
              <w:rPr>
                <w:color w:val="000000"/>
                <w:sz w:val="18"/>
                <w:szCs w:val="18"/>
              </w:rPr>
            </w:pPr>
            <w:r w:rsidRPr="00BA2924">
              <w:rPr>
                <w:color w:val="000000"/>
                <w:sz w:val="18"/>
                <w:szCs w:val="18"/>
              </w:rPr>
              <w:t>25.2</w:t>
            </w:r>
          </w:p>
        </w:tc>
        <w:tc>
          <w:tcPr>
            <w:tcW w:w="895" w:type="dxa"/>
            <w:tcBorders>
              <w:top w:val="nil"/>
              <w:left w:val="nil"/>
              <w:bottom w:val="single" w:sz="4" w:space="0" w:color="auto"/>
              <w:right w:val="single" w:sz="4" w:space="0" w:color="auto"/>
            </w:tcBorders>
            <w:shd w:val="clear" w:color="auto" w:fill="auto"/>
            <w:noWrap/>
            <w:vAlign w:val="center"/>
            <w:hideMark/>
          </w:tcPr>
          <w:p w14:paraId="413E8C33" w14:textId="77777777" w:rsidR="00BA2924" w:rsidRPr="00BA2924" w:rsidRDefault="00BA2924" w:rsidP="00685573">
            <w:pPr>
              <w:jc w:val="center"/>
              <w:rPr>
                <w:color w:val="000000"/>
                <w:sz w:val="18"/>
                <w:szCs w:val="18"/>
              </w:rPr>
            </w:pPr>
            <w:r w:rsidRPr="00BA2924">
              <w:rPr>
                <w:color w:val="000000"/>
                <w:sz w:val="18"/>
                <w:szCs w:val="18"/>
              </w:rPr>
              <w:t>17.1</w:t>
            </w:r>
          </w:p>
        </w:tc>
        <w:tc>
          <w:tcPr>
            <w:tcW w:w="993" w:type="dxa"/>
            <w:tcBorders>
              <w:top w:val="nil"/>
              <w:left w:val="nil"/>
              <w:bottom w:val="single" w:sz="4" w:space="0" w:color="auto"/>
              <w:right w:val="single" w:sz="4" w:space="0" w:color="auto"/>
            </w:tcBorders>
            <w:shd w:val="clear" w:color="auto" w:fill="auto"/>
            <w:noWrap/>
            <w:vAlign w:val="center"/>
            <w:hideMark/>
          </w:tcPr>
          <w:p w14:paraId="17954B62" w14:textId="77777777" w:rsidR="00BA2924" w:rsidRPr="00BA2924" w:rsidRDefault="00BA2924" w:rsidP="00685573">
            <w:pPr>
              <w:jc w:val="center"/>
              <w:rPr>
                <w:color w:val="000000"/>
                <w:sz w:val="18"/>
                <w:szCs w:val="18"/>
              </w:rPr>
            </w:pPr>
            <w:r w:rsidRPr="00BA2924">
              <w:rPr>
                <w:color w:val="000000"/>
                <w:sz w:val="18"/>
                <w:szCs w:val="18"/>
              </w:rPr>
              <w:t> </w:t>
            </w:r>
          </w:p>
        </w:tc>
        <w:tc>
          <w:tcPr>
            <w:tcW w:w="971" w:type="dxa"/>
            <w:tcBorders>
              <w:top w:val="nil"/>
              <w:left w:val="nil"/>
              <w:bottom w:val="single" w:sz="4" w:space="0" w:color="auto"/>
              <w:right w:val="single" w:sz="8" w:space="0" w:color="auto"/>
            </w:tcBorders>
            <w:shd w:val="clear" w:color="auto" w:fill="auto"/>
            <w:noWrap/>
            <w:vAlign w:val="center"/>
            <w:hideMark/>
          </w:tcPr>
          <w:p w14:paraId="5579B3AF" w14:textId="77777777" w:rsidR="00BA2924" w:rsidRPr="00BA2924" w:rsidRDefault="00BA2924" w:rsidP="00685573">
            <w:pPr>
              <w:jc w:val="center"/>
              <w:rPr>
                <w:color w:val="000000"/>
                <w:sz w:val="18"/>
                <w:szCs w:val="18"/>
              </w:rPr>
            </w:pPr>
            <w:r w:rsidRPr="00BA2924">
              <w:rPr>
                <w:color w:val="000000"/>
                <w:sz w:val="18"/>
                <w:szCs w:val="18"/>
              </w:rPr>
              <w:t> </w:t>
            </w:r>
          </w:p>
        </w:tc>
        <w:tc>
          <w:tcPr>
            <w:tcW w:w="730" w:type="dxa"/>
            <w:tcBorders>
              <w:top w:val="nil"/>
              <w:left w:val="nil"/>
              <w:bottom w:val="single" w:sz="4" w:space="0" w:color="auto"/>
              <w:right w:val="nil"/>
            </w:tcBorders>
            <w:shd w:val="clear" w:color="auto" w:fill="auto"/>
            <w:noWrap/>
            <w:vAlign w:val="center"/>
            <w:hideMark/>
          </w:tcPr>
          <w:p w14:paraId="38EF2C8C" w14:textId="77777777" w:rsidR="00BA2924" w:rsidRPr="00BA2924" w:rsidRDefault="00BA2924" w:rsidP="00685573">
            <w:pPr>
              <w:jc w:val="center"/>
              <w:rPr>
                <w:color w:val="000000"/>
                <w:sz w:val="18"/>
                <w:szCs w:val="18"/>
              </w:rPr>
            </w:pPr>
            <w:r w:rsidRPr="00BA2924">
              <w:rPr>
                <w:color w:val="000000"/>
                <w:sz w:val="18"/>
                <w:szCs w:val="18"/>
              </w:rPr>
              <w:t>2</w:t>
            </w:r>
          </w:p>
        </w:tc>
        <w:tc>
          <w:tcPr>
            <w:tcW w:w="805" w:type="dxa"/>
            <w:tcBorders>
              <w:top w:val="nil"/>
              <w:left w:val="single" w:sz="4" w:space="0" w:color="auto"/>
              <w:bottom w:val="single" w:sz="4" w:space="0" w:color="auto"/>
              <w:right w:val="single" w:sz="8" w:space="0" w:color="auto"/>
            </w:tcBorders>
            <w:shd w:val="clear" w:color="auto" w:fill="auto"/>
            <w:noWrap/>
            <w:vAlign w:val="center"/>
            <w:hideMark/>
          </w:tcPr>
          <w:p w14:paraId="4A8CC6E2" w14:textId="77777777" w:rsidR="00BA2924" w:rsidRPr="00BA2924" w:rsidRDefault="00BA2924" w:rsidP="00685573">
            <w:pPr>
              <w:jc w:val="center"/>
              <w:rPr>
                <w:color w:val="000000"/>
                <w:sz w:val="18"/>
                <w:szCs w:val="18"/>
              </w:rPr>
            </w:pPr>
            <w:r w:rsidRPr="00BA2924">
              <w:rPr>
                <w:color w:val="000000"/>
                <w:sz w:val="18"/>
                <w:szCs w:val="18"/>
              </w:rPr>
              <w:t>42.3</w:t>
            </w:r>
          </w:p>
        </w:tc>
      </w:tr>
      <w:tr w:rsidR="00BA2924" w:rsidRPr="00EA023B" w14:paraId="3393F1BF" w14:textId="77777777" w:rsidTr="00E77A24">
        <w:trPr>
          <w:trHeight w:val="190"/>
          <w:jc w:val="center"/>
        </w:trPr>
        <w:tc>
          <w:tcPr>
            <w:tcW w:w="3676" w:type="dxa"/>
            <w:tcBorders>
              <w:top w:val="nil"/>
              <w:left w:val="single" w:sz="8" w:space="0" w:color="auto"/>
              <w:bottom w:val="single" w:sz="4" w:space="0" w:color="auto"/>
              <w:right w:val="single" w:sz="4" w:space="0" w:color="auto"/>
            </w:tcBorders>
            <w:shd w:val="clear" w:color="auto" w:fill="auto"/>
            <w:vAlign w:val="center"/>
            <w:hideMark/>
          </w:tcPr>
          <w:p w14:paraId="1AFD60BE" w14:textId="77777777" w:rsidR="00BA2924" w:rsidRPr="00BA2924" w:rsidRDefault="00BA2924" w:rsidP="00685573">
            <w:pPr>
              <w:rPr>
                <w:color w:val="000000"/>
                <w:sz w:val="18"/>
                <w:szCs w:val="18"/>
              </w:rPr>
            </w:pPr>
            <w:r w:rsidRPr="00BA2924">
              <w:rPr>
                <w:color w:val="000000"/>
                <w:sz w:val="18"/>
                <w:szCs w:val="18"/>
              </w:rPr>
              <w:t>Ministerio de Gobernación</w:t>
            </w:r>
          </w:p>
        </w:tc>
        <w:tc>
          <w:tcPr>
            <w:tcW w:w="1134" w:type="dxa"/>
            <w:tcBorders>
              <w:top w:val="nil"/>
              <w:left w:val="nil"/>
              <w:bottom w:val="single" w:sz="4" w:space="0" w:color="auto"/>
              <w:right w:val="single" w:sz="4" w:space="0" w:color="auto"/>
            </w:tcBorders>
            <w:shd w:val="clear" w:color="auto" w:fill="auto"/>
            <w:noWrap/>
            <w:vAlign w:val="center"/>
            <w:hideMark/>
          </w:tcPr>
          <w:p w14:paraId="05751C8A" w14:textId="77777777" w:rsidR="00BA2924" w:rsidRPr="00BA2924" w:rsidRDefault="00BA2924" w:rsidP="00685573">
            <w:pPr>
              <w:jc w:val="center"/>
              <w:rPr>
                <w:color w:val="000000"/>
                <w:sz w:val="18"/>
                <w:szCs w:val="18"/>
              </w:rPr>
            </w:pPr>
            <w:r w:rsidRPr="00BA2924">
              <w:rPr>
                <w:color w:val="000000"/>
                <w:sz w:val="18"/>
                <w:szCs w:val="18"/>
              </w:rPr>
              <w:t>266.7</w:t>
            </w:r>
          </w:p>
        </w:tc>
        <w:tc>
          <w:tcPr>
            <w:tcW w:w="895" w:type="dxa"/>
            <w:tcBorders>
              <w:top w:val="nil"/>
              <w:left w:val="nil"/>
              <w:bottom w:val="single" w:sz="4" w:space="0" w:color="auto"/>
              <w:right w:val="single" w:sz="4" w:space="0" w:color="auto"/>
            </w:tcBorders>
            <w:shd w:val="clear" w:color="auto" w:fill="auto"/>
            <w:noWrap/>
            <w:vAlign w:val="center"/>
            <w:hideMark/>
          </w:tcPr>
          <w:p w14:paraId="78D4807E" w14:textId="77777777" w:rsidR="00BA2924" w:rsidRPr="00BA2924" w:rsidRDefault="00BA2924" w:rsidP="00685573">
            <w:pPr>
              <w:jc w:val="center"/>
              <w:rPr>
                <w:color w:val="000000"/>
                <w:sz w:val="18"/>
                <w:szCs w:val="18"/>
              </w:rPr>
            </w:pPr>
            <w:r w:rsidRPr="00BA2924">
              <w:rPr>
                <w:color w:val="000000"/>
                <w:sz w:val="18"/>
                <w:szCs w:val="18"/>
              </w:rPr>
              <w:t>66.7</w:t>
            </w:r>
          </w:p>
        </w:tc>
        <w:tc>
          <w:tcPr>
            <w:tcW w:w="993" w:type="dxa"/>
            <w:tcBorders>
              <w:top w:val="nil"/>
              <w:left w:val="nil"/>
              <w:bottom w:val="single" w:sz="4" w:space="0" w:color="auto"/>
              <w:right w:val="single" w:sz="4" w:space="0" w:color="auto"/>
            </w:tcBorders>
            <w:shd w:val="clear" w:color="auto" w:fill="auto"/>
            <w:noWrap/>
            <w:vAlign w:val="center"/>
            <w:hideMark/>
          </w:tcPr>
          <w:p w14:paraId="0B5261FB" w14:textId="77777777" w:rsidR="00BA2924" w:rsidRPr="00BA2924" w:rsidRDefault="00BA2924" w:rsidP="00685573">
            <w:pPr>
              <w:jc w:val="center"/>
              <w:rPr>
                <w:color w:val="000000"/>
                <w:sz w:val="18"/>
                <w:szCs w:val="18"/>
              </w:rPr>
            </w:pPr>
            <w:r w:rsidRPr="00BA2924">
              <w:rPr>
                <w:color w:val="000000"/>
                <w:sz w:val="18"/>
                <w:szCs w:val="18"/>
              </w:rPr>
              <w:t> </w:t>
            </w:r>
          </w:p>
        </w:tc>
        <w:tc>
          <w:tcPr>
            <w:tcW w:w="971" w:type="dxa"/>
            <w:tcBorders>
              <w:top w:val="nil"/>
              <w:left w:val="nil"/>
              <w:bottom w:val="single" w:sz="4" w:space="0" w:color="auto"/>
              <w:right w:val="single" w:sz="8" w:space="0" w:color="auto"/>
            </w:tcBorders>
            <w:shd w:val="clear" w:color="auto" w:fill="auto"/>
            <w:noWrap/>
            <w:vAlign w:val="center"/>
            <w:hideMark/>
          </w:tcPr>
          <w:p w14:paraId="72858590" w14:textId="77777777" w:rsidR="00BA2924" w:rsidRPr="00BA2924" w:rsidRDefault="00BA2924" w:rsidP="00685573">
            <w:pPr>
              <w:jc w:val="center"/>
              <w:rPr>
                <w:color w:val="000000"/>
                <w:sz w:val="18"/>
                <w:szCs w:val="18"/>
              </w:rPr>
            </w:pPr>
            <w:r w:rsidRPr="00BA2924">
              <w:rPr>
                <w:color w:val="000000"/>
                <w:sz w:val="18"/>
                <w:szCs w:val="18"/>
              </w:rPr>
              <w:t> </w:t>
            </w:r>
          </w:p>
        </w:tc>
        <w:tc>
          <w:tcPr>
            <w:tcW w:w="730" w:type="dxa"/>
            <w:tcBorders>
              <w:top w:val="nil"/>
              <w:left w:val="nil"/>
              <w:bottom w:val="single" w:sz="4" w:space="0" w:color="auto"/>
              <w:right w:val="nil"/>
            </w:tcBorders>
            <w:shd w:val="clear" w:color="auto" w:fill="auto"/>
            <w:noWrap/>
            <w:vAlign w:val="center"/>
            <w:hideMark/>
          </w:tcPr>
          <w:p w14:paraId="0761EC0A" w14:textId="77777777" w:rsidR="00BA2924" w:rsidRPr="00BA2924" w:rsidRDefault="00BA2924" w:rsidP="00685573">
            <w:pPr>
              <w:jc w:val="center"/>
              <w:rPr>
                <w:color w:val="000000"/>
                <w:sz w:val="18"/>
                <w:szCs w:val="18"/>
              </w:rPr>
            </w:pPr>
            <w:r w:rsidRPr="00BA2924">
              <w:rPr>
                <w:color w:val="000000"/>
                <w:sz w:val="18"/>
                <w:szCs w:val="18"/>
              </w:rPr>
              <w:t>2</w:t>
            </w:r>
          </w:p>
        </w:tc>
        <w:tc>
          <w:tcPr>
            <w:tcW w:w="805" w:type="dxa"/>
            <w:tcBorders>
              <w:top w:val="nil"/>
              <w:left w:val="single" w:sz="4" w:space="0" w:color="auto"/>
              <w:bottom w:val="single" w:sz="4" w:space="0" w:color="auto"/>
              <w:right w:val="single" w:sz="8" w:space="0" w:color="auto"/>
            </w:tcBorders>
            <w:shd w:val="clear" w:color="auto" w:fill="auto"/>
            <w:noWrap/>
            <w:vAlign w:val="center"/>
            <w:hideMark/>
          </w:tcPr>
          <w:p w14:paraId="52A8DF86" w14:textId="77777777" w:rsidR="00BA2924" w:rsidRPr="00BA2924" w:rsidRDefault="00BA2924" w:rsidP="00685573">
            <w:pPr>
              <w:jc w:val="center"/>
              <w:rPr>
                <w:color w:val="000000"/>
                <w:sz w:val="18"/>
                <w:szCs w:val="18"/>
              </w:rPr>
            </w:pPr>
            <w:r w:rsidRPr="00BA2924">
              <w:rPr>
                <w:color w:val="000000"/>
                <w:sz w:val="18"/>
                <w:szCs w:val="18"/>
              </w:rPr>
              <w:t>333.3</w:t>
            </w:r>
          </w:p>
        </w:tc>
      </w:tr>
      <w:tr w:rsidR="00BA2924" w:rsidRPr="00EA023B" w14:paraId="0D319277" w14:textId="77777777" w:rsidTr="00E77A24">
        <w:trPr>
          <w:trHeight w:val="251"/>
          <w:jc w:val="center"/>
        </w:trPr>
        <w:tc>
          <w:tcPr>
            <w:tcW w:w="3676" w:type="dxa"/>
            <w:tcBorders>
              <w:top w:val="nil"/>
              <w:left w:val="single" w:sz="8" w:space="0" w:color="auto"/>
              <w:bottom w:val="single" w:sz="4" w:space="0" w:color="auto"/>
              <w:right w:val="single" w:sz="4" w:space="0" w:color="auto"/>
            </w:tcBorders>
            <w:shd w:val="clear" w:color="auto" w:fill="auto"/>
            <w:vAlign w:val="center"/>
            <w:hideMark/>
          </w:tcPr>
          <w:p w14:paraId="4DADEC9A" w14:textId="77777777" w:rsidR="00BA2924" w:rsidRPr="00BA2924" w:rsidRDefault="00BA2924" w:rsidP="00685573">
            <w:pPr>
              <w:rPr>
                <w:color w:val="000000"/>
                <w:sz w:val="18"/>
                <w:szCs w:val="18"/>
              </w:rPr>
            </w:pPr>
            <w:r w:rsidRPr="00BA2924">
              <w:rPr>
                <w:color w:val="000000"/>
                <w:sz w:val="18"/>
                <w:szCs w:val="18"/>
              </w:rPr>
              <w:t>Ministerio de Salud Pública y Asistencia Social</w:t>
            </w:r>
          </w:p>
        </w:tc>
        <w:tc>
          <w:tcPr>
            <w:tcW w:w="1134" w:type="dxa"/>
            <w:tcBorders>
              <w:top w:val="nil"/>
              <w:left w:val="nil"/>
              <w:bottom w:val="single" w:sz="4" w:space="0" w:color="auto"/>
              <w:right w:val="single" w:sz="4" w:space="0" w:color="auto"/>
            </w:tcBorders>
            <w:shd w:val="clear" w:color="auto" w:fill="auto"/>
            <w:noWrap/>
            <w:vAlign w:val="center"/>
            <w:hideMark/>
          </w:tcPr>
          <w:p w14:paraId="245A9CF9" w14:textId="77777777" w:rsidR="00BA2924" w:rsidRPr="00BA2924" w:rsidRDefault="00BA2924" w:rsidP="00685573">
            <w:pPr>
              <w:jc w:val="center"/>
              <w:rPr>
                <w:color w:val="000000"/>
                <w:sz w:val="18"/>
                <w:szCs w:val="18"/>
              </w:rPr>
            </w:pPr>
            <w:r w:rsidRPr="00BA2924">
              <w:rPr>
                <w:color w:val="000000"/>
                <w:sz w:val="18"/>
                <w:szCs w:val="18"/>
              </w:rPr>
              <w:t>374.5</w:t>
            </w:r>
          </w:p>
        </w:tc>
        <w:tc>
          <w:tcPr>
            <w:tcW w:w="895" w:type="dxa"/>
            <w:tcBorders>
              <w:top w:val="nil"/>
              <w:left w:val="nil"/>
              <w:bottom w:val="single" w:sz="4" w:space="0" w:color="auto"/>
              <w:right w:val="single" w:sz="4" w:space="0" w:color="auto"/>
            </w:tcBorders>
            <w:shd w:val="clear" w:color="auto" w:fill="auto"/>
            <w:noWrap/>
            <w:vAlign w:val="center"/>
            <w:hideMark/>
          </w:tcPr>
          <w:p w14:paraId="4344CBCE" w14:textId="77777777" w:rsidR="00BA2924" w:rsidRPr="00BA2924" w:rsidRDefault="00BA2924" w:rsidP="00685573">
            <w:pPr>
              <w:jc w:val="center"/>
              <w:rPr>
                <w:color w:val="000000"/>
                <w:sz w:val="18"/>
                <w:szCs w:val="18"/>
              </w:rPr>
            </w:pPr>
            <w:r w:rsidRPr="00BA2924">
              <w:rPr>
                <w:color w:val="000000"/>
                <w:sz w:val="18"/>
                <w:szCs w:val="18"/>
              </w:rPr>
              <w:t>45.7</w:t>
            </w:r>
          </w:p>
        </w:tc>
        <w:tc>
          <w:tcPr>
            <w:tcW w:w="993" w:type="dxa"/>
            <w:tcBorders>
              <w:top w:val="nil"/>
              <w:left w:val="nil"/>
              <w:bottom w:val="single" w:sz="4" w:space="0" w:color="auto"/>
              <w:right w:val="single" w:sz="4" w:space="0" w:color="auto"/>
            </w:tcBorders>
            <w:shd w:val="clear" w:color="auto" w:fill="auto"/>
            <w:noWrap/>
            <w:vAlign w:val="center"/>
            <w:hideMark/>
          </w:tcPr>
          <w:p w14:paraId="414B8563" w14:textId="77777777" w:rsidR="00BA2924" w:rsidRPr="00BA2924" w:rsidRDefault="00BA2924" w:rsidP="00685573">
            <w:pPr>
              <w:jc w:val="center"/>
              <w:rPr>
                <w:color w:val="000000"/>
                <w:sz w:val="18"/>
                <w:szCs w:val="18"/>
              </w:rPr>
            </w:pPr>
            <w:r w:rsidRPr="00BA2924">
              <w:rPr>
                <w:color w:val="000000"/>
                <w:sz w:val="18"/>
                <w:szCs w:val="18"/>
              </w:rPr>
              <w:t> </w:t>
            </w:r>
          </w:p>
        </w:tc>
        <w:tc>
          <w:tcPr>
            <w:tcW w:w="971" w:type="dxa"/>
            <w:tcBorders>
              <w:top w:val="nil"/>
              <w:left w:val="nil"/>
              <w:bottom w:val="single" w:sz="4" w:space="0" w:color="auto"/>
              <w:right w:val="single" w:sz="8" w:space="0" w:color="auto"/>
            </w:tcBorders>
            <w:shd w:val="clear" w:color="auto" w:fill="auto"/>
            <w:noWrap/>
            <w:vAlign w:val="center"/>
            <w:hideMark/>
          </w:tcPr>
          <w:p w14:paraId="094901DB" w14:textId="77777777" w:rsidR="00BA2924" w:rsidRPr="00BA2924" w:rsidRDefault="00BA2924" w:rsidP="00685573">
            <w:pPr>
              <w:jc w:val="center"/>
              <w:rPr>
                <w:color w:val="000000"/>
                <w:sz w:val="18"/>
                <w:szCs w:val="18"/>
              </w:rPr>
            </w:pPr>
            <w:r w:rsidRPr="00BA2924">
              <w:rPr>
                <w:color w:val="000000"/>
                <w:sz w:val="18"/>
                <w:szCs w:val="18"/>
              </w:rPr>
              <w:t> </w:t>
            </w:r>
          </w:p>
        </w:tc>
        <w:tc>
          <w:tcPr>
            <w:tcW w:w="730" w:type="dxa"/>
            <w:tcBorders>
              <w:top w:val="nil"/>
              <w:left w:val="nil"/>
              <w:bottom w:val="single" w:sz="4" w:space="0" w:color="auto"/>
              <w:right w:val="nil"/>
            </w:tcBorders>
            <w:shd w:val="clear" w:color="auto" w:fill="auto"/>
            <w:noWrap/>
            <w:vAlign w:val="center"/>
            <w:hideMark/>
          </w:tcPr>
          <w:p w14:paraId="50D8EEB2" w14:textId="77777777" w:rsidR="00BA2924" w:rsidRPr="00BA2924" w:rsidRDefault="00BA2924" w:rsidP="00685573">
            <w:pPr>
              <w:jc w:val="center"/>
              <w:rPr>
                <w:color w:val="000000"/>
                <w:sz w:val="18"/>
                <w:szCs w:val="18"/>
              </w:rPr>
            </w:pPr>
            <w:r w:rsidRPr="00BA2924">
              <w:rPr>
                <w:color w:val="000000"/>
                <w:sz w:val="18"/>
                <w:szCs w:val="18"/>
              </w:rPr>
              <w:t>11</w:t>
            </w:r>
          </w:p>
        </w:tc>
        <w:tc>
          <w:tcPr>
            <w:tcW w:w="805" w:type="dxa"/>
            <w:tcBorders>
              <w:top w:val="nil"/>
              <w:left w:val="single" w:sz="4" w:space="0" w:color="auto"/>
              <w:bottom w:val="single" w:sz="4" w:space="0" w:color="auto"/>
              <w:right w:val="single" w:sz="8" w:space="0" w:color="auto"/>
            </w:tcBorders>
            <w:shd w:val="clear" w:color="auto" w:fill="auto"/>
            <w:noWrap/>
            <w:vAlign w:val="center"/>
            <w:hideMark/>
          </w:tcPr>
          <w:p w14:paraId="2D4A0F16" w14:textId="77777777" w:rsidR="00BA2924" w:rsidRPr="00BA2924" w:rsidRDefault="00BA2924" w:rsidP="00685573">
            <w:pPr>
              <w:jc w:val="center"/>
              <w:rPr>
                <w:color w:val="000000"/>
                <w:sz w:val="18"/>
                <w:szCs w:val="18"/>
              </w:rPr>
            </w:pPr>
            <w:r w:rsidRPr="00BA2924">
              <w:rPr>
                <w:color w:val="000000"/>
                <w:sz w:val="18"/>
                <w:szCs w:val="18"/>
              </w:rPr>
              <w:t>420.2</w:t>
            </w:r>
          </w:p>
        </w:tc>
      </w:tr>
      <w:tr w:rsidR="007F2934" w:rsidRPr="00EA023B" w14:paraId="69644D90" w14:textId="77777777" w:rsidTr="00E77A24">
        <w:trPr>
          <w:trHeight w:val="114"/>
          <w:jc w:val="center"/>
        </w:trPr>
        <w:tc>
          <w:tcPr>
            <w:tcW w:w="3676" w:type="dxa"/>
            <w:tcBorders>
              <w:top w:val="nil"/>
              <w:left w:val="single" w:sz="8" w:space="0" w:color="auto"/>
              <w:bottom w:val="single" w:sz="4" w:space="0" w:color="auto"/>
              <w:right w:val="single" w:sz="4" w:space="0" w:color="auto"/>
            </w:tcBorders>
            <w:shd w:val="clear" w:color="000000" w:fill="C9C9C9"/>
            <w:vAlign w:val="center"/>
            <w:hideMark/>
          </w:tcPr>
          <w:p w14:paraId="41CCA00B" w14:textId="77777777" w:rsidR="00BA2924" w:rsidRPr="00BA2924" w:rsidRDefault="00BA2924" w:rsidP="00685573">
            <w:pPr>
              <w:rPr>
                <w:b/>
                <w:bCs/>
                <w:color w:val="000000"/>
                <w:sz w:val="18"/>
                <w:szCs w:val="18"/>
              </w:rPr>
            </w:pPr>
            <w:r w:rsidRPr="00BA2924">
              <w:rPr>
                <w:b/>
                <w:bCs/>
                <w:color w:val="000000"/>
                <w:sz w:val="18"/>
                <w:szCs w:val="18"/>
              </w:rPr>
              <w:t>Consejos de Desarrollo</w:t>
            </w:r>
          </w:p>
        </w:tc>
        <w:tc>
          <w:tcPr>
            <w:tcW w:w="1134" w:type="dxa"/>
            <w:tcBorders>
              <w:top w:val="nil"/>
              <w:left w:val="nil"/>
              <w:bottom w:val="single" w:sz="4" w:space="0" w:color="auto"/>
              <w:right w:val="single" w:sz="4" w:space="0" w:color="auto"/>
            </w:tcBorders>
            <w:shd w:val="clear" w:color="000000" w:fill="C9C9C9"/>
            <w:noWrap/>
            <w:vAlign w:val="center"/>
            <w:hideMark/>
          </w:tcPr>
          <w:p w14:paraId="6224A467" w14:textId="77777777" w:rsidR="00BA2924" w:rsidRPr="00BA2924" w:rsidRDefault="00BA2924" w:rsidP="00685573">
            <w:pPr>
              <w:jc w:val="center"/>
              <w:rPr>
                <w:b/>
                <w:bCs/>
                <w:color w:val="000000"/>
                <w:sz w:val="18"/>
                <w:szCs w:val="18"/>
              </w:rPr>
            </w:pPr>
            <w:r w:rsidRPr="00BA2924">
              <w:rPr>
                <w:b/>
                <w:bCs/>
                <w:color w:val="000000"/>
                <w:sz w:val="18"/>
                <w:szCs w:val="18"/>
              </w:rPr>
              <w:t>518.5</w:t>
            </w:r>
          </w:p>
        </w:tc>
        <w:tc>
          <w:tcPr>
            <w:tcW w:w="895" w:type="dxa"/>
            <w:tcBorders>
              <w:top w:val="nil"/>
              <w:left w:val="nil"/>
              <w:bottom w:val="single" w:sz="4" w:space="0" w:color="auto"/>
              <w:right w:val="single" w:sz="4" w:space="0" w:color="auto"/>
            </w:tcBorders>
            <w:shd w:val="clear" w:color="000000" w:fill="C9C9C9"/>
            <w:noWrap/>
            <w:vAlign w:val="center"/>
            <w:hideMark/>
          </w:tcPr>
          <w:p w14:paraId="32C3FE87" w14:textId="77777777" w:rsidR="00BA2924" w:rsidRPr="00BA2924" w:rsidRDefault="00BA2924" w:rsidP="00685573">
            <w:pPr>
              <w:jc w:val="center"/>
              <w:rPr>
                <w:b/>
                <w:bCs/>
                <w:color w:val="000000"/>
                <w:sz w:val="18"/>
                <w:szCs w:val="18"/>
              </w:rPr>
            </w:pPr>
            <w:r w:rsidRPr="00BA2924">
              <w:rPr>
                <w:b/>
                <w:bCs/>
                <w:color w:val="000000"/>
                <w:sz w:val="18"/>
                <w:szCs w:val="18"/>
              </w:rPr>
              <w:t>54.5</w:t>
            </w:r>
          </w:p>
        </w:tc>
        <w:tc>
          <w:tcPr>
            <w:tcW w:w="993" w:type="dxa"/>
            <w:tcBorders>
              <w:top w:val="nil"/>
              <w:left w:val="nil"/>
              <w:bottom w:val="single" w:sz="4" w:space="0" w:color="auto"/>
              <w:right w:val="single" w:sz="4" w:space="0" w:color="auto"/>
            </w:tcBorders>
            <w:shd w:val="clear" w:color="000000" w:fill="C9C9C9"/>
            <w:noWrap/>
            <w:vAlign w:val="center"/>
            <w:hideMark/>
          </w:tcPr>
          <w:p w14:paraId="2408453B" w14:textId="77777777" w:rsidR="00BA2924" w:rsidRPr="00BA2924" w:rsidRDefault="00BA2924" w:rsidP="00685573">
            <w:pPr>
              <w:jc w:val="center"/>
              <w:rPr>
                <w:b/>
                <w:bCs/>
                <w:color w:val="000000"/>
                <w:sz w:val="18"/>
                <w:szCs w:val="18"/>
              </w:rPr>
            </w:pPr>
            <w:r w:rsidRPr="00BA2924">
              <w:rPr>
                <w:b/>
                <w:bCs/>
                <w:color w:val="000000"/>
                <w:sz w:val="18"/>
                <w:szCs w:val="18"/>
              </w:rPr>
              <w:t>17.4</w:t>
            </w:r>
          </w:p>
        </w:tc>
        <w:tc>
          <w:tcPr>
            <w:tcW w:w="971" w:type="dxa"/>
            <w:tcBorders>
              <w:top w:val="nil"/>
              <w:left w:val="nil"/>
              <w:bottom w:val="single" w:sz="4" w:space="0" w:color="auto"/>
              <w:right w:val="single" w:sz="8" w:space="0" w:color="auto"/>
            </w:tcBorders>
            <w:shd w:val="clear" w:color="000000" w:fill="C9C9C9"/>
            <w:noWrap/>
            <w:vAlign w:val="center"/>
            <w:hideMark/>
          </w:tcPr>
          <w:p w14:paraId="6C54A725" w14:textId="77777777" w:rsidR="00BA2924" w:rsidRPr="00BA2924" w:rsidRDefault="00BA2924" w:rsidP="00685573">
            <w:pPr>
              <w:jc w:val="center"/>
              <w:rPr>
                <w:b/>
                <w:bCs/>
                <w:color w:val="000000"/>
                <w:sz w:val="18"/>
                <w:szCs w:val="18"/>
              </w:rPr>
            </w:pPr>
            <w:r w:rsidRPr="00BA2924">
              <w:rPr>
                <w:b/>
                <w:bCs/>
                <w:color w:val="000000"/>
                <w:sz w:val="18"/>
                <w:szCs w:val="18"/>
              </w:rPr>
              <w:t>4.8</w:t>
            </w:r>
          </w:p>
        </w:tc>
        <w:tc>
          <w:tcPr>
            <w:tcW w:w="730" w:type="dxa"/>
            <w:tcBorders>
              <w:top w:val="nil"/>
              <w:left w:val="nil"/>
              <w:bottom w:val="single" w:sz="4" w:space="0" w:color="auto"/>
              <w:right w:val="nil"/>
            </w:tcBorders>
            <w:shd w:val="clear" w:color="000000" w:fill="C9C9C9"/>
            <w:noWrap/>
            <w:vAlign w:val="center"/>
            <w:hideMark/>
          </w:tcPr>
          <w:p w14:paraId="069D37EC" w14:textId="77777777" w:rsidR="00BA2924" w:rsidRPr="00BA2924" w:rsidRDefault="00BA2924" w:rsidP="00685573">
            <w:pPr>
              <w:jc w:val="center"/>
              <w:rPr>
                <w:b/>
                <w:bCs/>
                <w:color w:val="000000"/>
                <w:sz w:val="18"/>
                <w:szCs w:val="18"/>
              </w:rPr>
            </w:pPr>
            <w:r w:rsidRPr="00BA2924">
              <w:rPr>
                <w:b/>
                <w:bCs/>
                <w:color w:val="000000"/>
                <w:sz w:val="18"/>
                <w:szCs w:val="18"/>
              </w:rPr>
              <w:t>224</w:t>
            </w:r>
          </w:p>
        </w:tc>
        <w:tc>
          <w:tcPr>
            <w:tcW w:w="805" w:type="dxa"/>
            <w:tcBorders>
              <w:top w:val="nil"/>
              <w:left w:val="single" w:sz="4" w:space="0" w:color="auto"/>
              <w:bottom w:val="single" w:sz="4" w:space="0" w:color="auto"/>
              <w:right w:val="single" w:sz="8" w:space="0" w:color="auto"/>
            </w:tcBorders>
            <w:shd w:val="clear" w:color="000000" w:fill="C9C9C9"/>
            <w:noWrap/>
            <w:vAlign w:val="center"/>
            <w:hideMark/>
          </w:tcPr>
          <w:p w14:paraId="5877076A" w14:textId="77777777" w:rsidR="00BA2924" w:rsidRPr="00BA2924" w:rsidRDefault="00BA2924" w:rsidP="00685573">
            <w:pPr>
              <w:jc w:val="center"/>
              <w:rPr>
                <w:b/>
                <w:bCs/>
                <w:color w:val="000000"/>
                <w:sz w:val="18"/>
                <w:szCs w:val="18"/>
              </w:rPr>
            </w:pPr>
            <w:r w:rsidRPr="00BA2924">
              <w:rPr>
                <w:b/>
                <w:bCs/>
                <w:color w:val="000000"/>
                <w:sz w:val="18"/>
                <w:szCs w:val="18"/>
              </w:rPr>
              <w:t>595.2</w:t>
            </w:r>
          </w:p>
        </w:tc>
      </w:tr>
      <w:tr w:rsidR="00BA2924" w:rsidRPr="00EA023B" w14:paraId="4D5E3C9E" w14:textId="77777777" w:rsidTr="00E77A24">
        <w:trPr>
          <w:trHeight w:val="56"/>
          <w:jc w:val="center"/>
        </w:trPr>
        <w:tc>
          <w:tcPr>
            <w:tcW w:w="3676" w:type="dxa"/>
            <w:tcBorders>
              <w:top w:val="nil"/>
              <w:left w:val="single" w:sz="8" w:space="0" w:color="auto"/>
              <w:bottom w:val="single" w:sz="4" w:space="0" w:color="auto"/>
              <w:right w:val="single" w:sz="4" w:space="0" w:color="auto"/>
            </w:tcBorders>
            <w:shd w:val="clear" w:color="auto" w:fill="auto"/>
            <w:vAlign w:val="center"/>
            <w:hideMark/>
          </w:tcPr>
          <w:p w14:paraId="48008845" w14:textId="77777777" w:rsidR="00BA2924" w:rsidRPr="00BA2924" w:rsidRDefault="00BA2924" w:rsidP="00685573">
            <w:pPr>
              <w:rPr>
                <w:color w:val="000000"/>
                <w:sz w:val="18"/>
                <w:szCs w:val="18"/>
              </w:rPr>
            </w:pPr>
            <w:r w:rsidRPr="00BA2924">
              <w:rPr>
                <w:color w:val="000000"/>
                <w:sz w:val="18"/>
                <w:szCs w:val="18"/>
              </w:rPr>
              <w:t>Consejos de Desarrollo</w:t>
            </w:r>
          </w:p>
        </w:tc>
        <w:tc>
          <w:tcPr>
            <w:tcW w:w="1134" w:type="dxa"/>
            <w:tcBorders>
              <w:top w:val="nil"/>
              <w:left w:val="nil"/>
              <w:bottom w:val="single" w:sz="4" w:space="0" w:color="auto"/>
              <w:right w:val="single" w:sz="4" w:space="0" w:color="auto"/>
            </w:tcBorders>
            <w:shd w:val="clear" w:color="auto" w:fill="auto"/>
            <w:noWrap/>
            <w:vAlign w:val="center"/>
            <w:hideMark/>
          </w:tcPr>
          <w:p w14:paraId="57789BAD" w14:textId="77777777" w:rsidR="00BA2924" w:rsidRPr="00BA2924" w:rsidRDefault="00BA2924" w:rsidP="00685573">
            <w:pPr>
              <w:jc w:val="center"/>
              <w:rPr>
                <w:color w:val="000000"/>
                <w:sz w:val="18"/>
                <w:szCs w:val="18"/>
              </w:rPr>
            </w:pPr>
            <w:r w:rsidRPr="00BA2924">
              <w:rPr>
                <w:color w:val="000000"/>
                <w:sz w:val="18"/>
                <w:szCs w:val="18"/>
              </w:rPr>
              <w:t>518.5</w:t>
            </w:r>
          </w:p>
        </w:tc>
        <w:tc>
          <w:tcPr>
            <w:tcW w:w="895" w:type="dxa"/>
            <w:tcBorders>
              <w:top w:val="nil"/>
              <w:left w:val="nil"/>
              <w:bottom w:val="single" w:sz="4" w:space="0" w:color="auto"/>
              <w:right w:val="single" w:sz="4" w:space="0" w:color="auto"/>
            </w:tcBorders>
            <w:shd w:val="clear" w:color="auto" w:fill="auto"/>
            <w:noWrap/>
            <w:vAlign w:val="center"/>
            <w:hideMark/>
          </w:tcPr>
          <w:p w14:paraId="48F9292B" w14:textId="77777777" w:rsidR="00BA2924" w:rsidRPr="00BA2924" w:rsidRDefault="00BA2924" w:rsidP="00685573">
            <w:pPr>
              <w:jc w:val="center"/>
              <w:rPr>
                <w:color w:val="000000"/>
                <w:sz w:val="18"/>
                <w:szCs w:val="18"/>
              </w:rPr>
            </w:pPr>
            <w:r w:rsidRPr="00BA2924">
              <w:rPr>
                <w:color w:val="000000"/>
                <w:sz w:val="18"/>
                <w:szCs w:val="18"/>
              </w:rPr>
              <w:t>54.5</w:t>
            </w:r>
          </w:p>
        </w:tc>
        <w:tc>
          <w:tcPr>
            <w:tcW w:w="993" w:type="dxa"/>
            <w:tcBorders>
              <w:top w:val="nil"/>
              <w:left w:val="nil"/>
              <w:bottom w:val="single" w:sz="4" w:space="0" w:color="auto"/>
              <w:right w:val="single" w:sz="4" w:space="0" w:color="auto"/>
            </w:tcBorders>
            <w:shd w:val="clear" w:color="auto" w:fill="auto"/>
            <w:noWrap/>
            <w:vAlign w:val="center"/>
            <w:hideMark/>
          </w:tcPr>
          <w:p w14:paraId="19AD30FD" w14:textId="77777777" w:rsidR="00BA2924" w:rsidRPr="00BA2924" w:rsidRDefault="00BA2924" w:rsidP="00685573">
            <w:pPr>
              <w:jc w:val="center"/>
              <w:rPr>
                <w:color w:val="000000"/>
                <w:sz w:val="18"/>
                <w:szCs w:val="18"/>
              </w:rPr>
            </w:pPr>
            <w:r w:rsidRPr="00BA2924">
              <w:rPr>
                <w:color w:val="000000"/>
                <w:sz w:val="18"/>
                <w:szCs w:val="18"/>
              </w:rPr>
              <w:t>17.4</w:t>
            </w:r>
          </w:p>
        </w:tc>
        <w:tc>
          <w:tcPr>
            <w:tcW w:w="971" w:type="dxa"/>
            <w:tcBorders>
              <w:top w:val="nil"/>
              <w:left w:val="nil"/>
              <w:bottom w:val="single" w:sz="4" w:space="0" w:color="auto"/>
              <w:right w:val="single" w:sz="8" w:space="0" w:color="auto"/>
            </w:tcBorders>
            <w:shd w:val="clear" w:color="auto" w:fill="auto"/>
            <w:noWrap/>
            <w:vAlign w:val="center"/>
            <w:hideMark/>
          </w:tcPr>
          <w:p w14:paraId="243D0FA3" w14:textId="77777777" w:rsidR="00BA2924" w:rsidRPr="00BA2924" w:rsidRDefault="00BA2924" w:rsidP="00685573">
            <w:pPr>
              <w:jc w:val="center"/>
              <w:rPr>
                <w:color w:val="000000"/>
                <w:sz w:val="18"/>
                <w:szCs w:val="18"/>
              </w:rPr>
            </w:pPr>
            <w:r w:rsidRPr="00BA2924">
              <w:rPr>
                <w:color w:val="000000"/>
                <w:sz w:val="18"/>
                <w:szCs w:val="18"/>
              </w:rPr>
              <w:t>4.8</w:t>
            </w:r>
          </w:p>
        </w:tc>
        <w:tc>
          <w:tcPr>
            <w:tcW w:w="730" w:type="dxa"/>
            <w:tcBorders>
              <w:top w:val="nil"/>
              <w:left w:val="nil"/>
              <w:bottom w:val="single" w:sz="4" w:space="0" w:color="auto"/>
              <w:right w:val="nil"/>
            </w:tcBorders>
            <w:shd w:val="clear" w:color="auto" w:fill="auto"/>
            <w:noWrap/>
            <w:vAlign w:val="center"/>
            <w:hideMark/>
          </w:tcPr>
          <w:p w14:paraId="558D9CC2" w14:textId="77777777" w:rsidR="00BA2924" w:rsidRPr="00BA2924" w:rsidRDefault="00BA2924" w:rsidP="00685573">
            <w:pPr>
              <w:jc w:val="center"/>
              <w:rPr>
                <w:color w:val="000000"/>
                <w:sz w:val="18"/>
                <w:szCs w:val="18"/>
              </w:rPr>
            </w:pPr>
            <w:r w:rsidRPr="00BA2924">
              <w:rPr>
                <w:color w:val="000000"/>
                <w:sz w:val="18"/>
                <w:szCs w:val="18"/>
              </w:rPr>
              <w:t>224</w:t>
            </w:r>
          </w:p>
        </w:tc>
        <w:tc>
          <w:tcPr>
            <w:tcW w:w="805" w:type="dxa"/>
            <w:tcBorders>
              <w:top w:val="nil"/>
              <w:left w:val="single" w:sz="4" w:space="0" w:color="auto"/>
              <w:bottom w:val="single" w:sz="4" w:space="0" w:color="auto"/>
              <w:right w:val="single" w:sz="8" w:space="0" w:color="auto"/>
            </w:tcBorders>
            <w:shd w:val="clear" w:color="auto" w:fill="auto"/>
            <w:noWrap/>
            <w:vAlign w:val="center"/>
            <w:hideMark/>
          </w:tcPr>
          <w:p w14:paraId="34C38F53" w14:textId="77777777" w:rsidR="00BA2924" w:rsidRPr="00BA2924" w:rsidRDefault="00BA2924" w:rsidP="00685573">
            <w:pPr>
              <w:jc w:val="center"/>
              <w:rPr>
                <w:color w:val="000000"/>
                <w:sz w:val="18"/>
                <w:szCs w:val="18"/>
              </w:rPr>
            </w:pPr>
            <w:r w:rsidRPr="00BA2924">
              <w:rPr>
                <w:color w:val="000000"/>
                <w:sz w:val="18"/>
                <w:szCs w:val="18"/>
              </w:rPr>
              <w:t>595.2</w:t>
            </w:r>
          </w:p>
        </w:tc>
      </w:tr>
      <w:tr w:rsidR="007F2934" w:rsidRPr="00EA023B" w14:paraId="205642D8" w14:textId="77777777" w:rsidTr="00E77A24">
        <w:trPr>
          <w:trHeight w:val="106"/>
          <w:jc w:val="center"/>
        </w:trPr>
        <w:tc>
          <w:tcPr>
            <w:tcW w:w="3676" w:type="dxa"/>
            <w:tcBorders>
              <w:top w:val="nil"/>
              <w:left w:val="single" w:sz="8" w:space="0" w:color="auto"/>
              <w:bottom w:val="single" w:sz="4" w:space="0" w:color="auto"/>
              <w:right w:val="single" w:sz="4" w:space="0" w:color="auto"/>
            </w:tcBorders>
            <w:shd w:val="clear" w:color="000000" w:fill="C9C9C9"/>
            <w:vAlign w:val="center"/>
            <w:hideMark/>
          </w:tcPr>
          <w:p w14:paraId="33484E98" w14:textId="77777777" w:rsidR="00BA2924" w:rsidRPr="00BA2924" w:rsidRDefault="00BA2924" w:rsidP="00685573">
            <w:pPr>
              <w:rPr>
                <w:b/>
                <w:bCs/>
                <w:color w:val="000000"/>
                <w:sz w:val="18"/>
                <w:szCs w:val="18"/>
              </w:rPr>
            </w:pPr>
            <w:r w:rsidRPr="00BA2924">
              <w:rPr>
                <w:b/>
                <w:bCs/>
                <w:color w:val="000000"/>
                <w:sz w:val="18"/>
                <w:szCs w:val="18"/>
              </w:rPr>
              <w:t>Empresas Públicas Nacionales</w:t>
            </w:r>
          </w:p>
        </w:tc>
        <w:tc>
          <w:tcPr>
            <w:tcW w:w="1134" w:type="dxa"/>
            <w:tcBorders>
              <w:top w:val="nil"/>
              <w:left w:val="nil"/>
              <w:bottom w:val="single" w:sz="4" w:space="0" w:color="auto"/>
              <w:right w:val="single" w:sz="4" w:space="0" w:color="auto"/>
            </w:tcBorders>
            <w:shd w:val="clear" w:color="000000" w:fill="C9C9C9"/>
            <w:noWrap/>
            <w:vAlign w:val="center"/>
            <w:hideMark/>
          </w:tcPr>
          <w:p w14:paraId="77FBE4D9" w14:textId="77777777" w:rsidR="00BA2924" w:rsidRPr="00BA2924" w:rsidRDefault="00BA2924" w:rsidP="00685573">
            <w:pPr>
              <w:jc w:val="center"/>
              <w:rPr>
                <w:b/>
                <w:bCs/>
                <w:color w:val="000000"/>
                <w:sz w:val="18"/>
                <w:szCs w:val="18"/>
              </w:rPr>
            </w:pPr>
            <w:r w:rsidRPr="00BA2924">
              <w:rPr>
                <w:b/>
                <w:bCs/>
                <w:color w:val="000000"/>
                <w:sz w:val="18"/>
                <w:szCs w:val="18"/>
              </w:rPr>
              <w:t>30.1</w:t>
            </w:r>
          </w:p>
        </w:tc>
        <w:tc>
          <w:tcPr>
            <w:tcW w:w="895" w:type="dxa"/>
            <w:tcBorders>
              <w:top w:val="nil"/>
              <w:left w:val="nil"/>
              <w:bottom w:val="single" w:sz="4" w:space="0" w:color="auto"/>
              <w:right w:val="single" w:sz="4" w:space="0" w:color="auto"/>
            </w:tcBorders>
            <w:shd w:val="clear" w:color="000000" w:fill="C9C9C9"/>
            <w:noWrap/>
            <w:vAlign w:val="center"/>
            <w:hideMark/>
          </w:tcPr>
          <w:p w14:paraId="15874B8D" w14:textId="77777777" w:rsidR="00BA2924" w:rsidRPr="00BA2924" w:rsidRDefault="00BA2924" w:rsidP="00685573">
            <w:pPr>
              <w:jc w:val="center"/>
              <w:rPr>
                <w:b/>
                <w:bCs/>
                <w:color w:val="000000"/>
                <w:sz w:val="18"/>
                <w:szCs w:val="18"/>
              </w:rPr>
            </w:pPr>
            <w:r w:rsidRPr="00BA2924">
              <w:rPr>
                <w:b/>
                <w:bCs/>
                <w:color w:val="000000"/>
                <w:sz w:val="18"/>
                <w:szCs w:val="18"/>
              </w:rPr>
              <w:t>18.3</w:t>
            </w:r>
          </w:p>
        </w:tc>
        <w:tc>
          <w:tcPr>
            <w:tcW w:w="993" w:type="dxa"/>
            <w:tcBorders>
              <w:top w:val="nil"/>
              <w:left w:val="nil"/>
              <w:bottom w:val="single" w:sz="4" w:space="0" w:color="auto"/>
              <w:right w:val="single" w:sz="4" w:space="0" w:color="auto"/>
            </w:tcBorders>
            <w:shd w:val="clear" w:color="000000" w:fill="C9C9C9"/>
            <w:noWrap/>
            <w:vAlign w:val="center"/>
            <w:hideMark/>
          </w:tcPr>
          <w:p w14:paraId="026A174D" w14:textId="77777777" w:rsidR="00BA2924" w:rsidRPr="00BA2924" w:rsidRDefault="00BA2924" w:rsidP="00685573">
            <w:pPr>
              <w:jc w:val="center"/>
              <w:rPr>
                <w:b/>
                <w:bCs/>
                <w:color w:val="000000"/>
                <w:sz w:val="18"/>
                <w:szCs w:val="18"/>
              </w:rPr>
            </w:pPr>
            <w:r w:rsidRPr="00BA2924">
              <w:rPr>
                <w:b/>
                <w:bCs/>
                <w:color w:val="000000"/>
                <w:sz w:val="18"/>
                <w:szCs w:val="18"/>
              </w:rPr>
              <w:t> </w:t>
            </w:r>
          </w:p>
        </w:tc>
        <w:tc>
          <w:tcPr>
            <w:tcW w:w="971" w:type="dxa"/>
            <w:tcBorders>
              <w:top w:val="nil"/>
              <w:left w:val="nil"/>
              <w:bottom w:val="single" w:sz="4" w:space="0" w:color="auto"/>
              <w:right w:val="single" w:sz="8" w:space="0" w:color="auto"/>
            </w:tcBorders>
            <w:shd w:val="clear" w:color="000000" w:fill="C9C9C9"/>
            <w:noWrap/>
            <w:vAlign w:val="center"/>
            <w:hideMark/>
          </w:tcPr>
          <w:p w14:paraId="3B0C857E" w14:textId="77777777" w:rsidR="00BA2924" w:rsidRPr="00BA2924" w:rsidRDefault="00BA2924" w:rsidP="00685573">
            <w:pPr>
              <w:jc w:val="center"/>
              <w:rPr>
                <w:b/>
                <w:bCs/>
                <w:color w:val="000000"/>
                <w:sz w:val="18"/>
                <w:szCs w:val="18"/>
              </w:rPr>
            </w:pPr>
            <w:r w:rsidRPr="00BA2924">
              <w:rPr>
                <w:b/>
                <w:bCs/>
                <w:color w:val="000000"/>
                <w:sz w:val="18"/>
                <w:szCs w:val="18"/>
              </w:rPr>
              <w:t> </w:t>
            </w:r>
          </w:p>
        </w:tc>
        <w:tc>
          <w:tcPr>
            <w:tcW w:w="730" w:type="dxa"/>
            <w:tcBorders>
              <w:top w:val="nil"/>
              <w:left w:val="nil"/>
              <w:bottom w:val="single" w:sz="4" w:space="0" w:color="auto"/>
              <w:right w:val="nil"/>
            </w:tcBorders>
            <w:shd w:val="clear" w:color="000000" w:fill="C9C9C9"/>
            <w:noWrap/>
            <w:vAlign w:val="center"/>
            <w:hideMark/>
          </w:tcPr>
          <w:p w14:paraId="6A6A062B" w14:textId="77777777" w:rsidR="00BA2924" w:rsidRPr="00BA2924" w:rsidRDefault="00BA2924" w:rsidP="00685573">
            <w:pPr>
              <w:jc w:val="center"/>
              <w:rPr>
                <w:b/>
                <w:bCs/>
                <w:color w:val="000000"/>
                <w:sz w:val="18"/>
                <w:szCs w:val="18"/>
              </w:rPr>
            </w:pPr>
            <w:r w:rsidRPr="00BA2924">
              <w:rPr>
                <w:b/>
                <w:bCs/>
                <w:color w:val="000000"/>
                <w:sz w:val="18"/>
                <w:szCs w:val="18"/>
              </w:rPr>
              <w:t>7</w:t>
            </w:r>
          </w:p>
        </w:tc>
        <w:tc>
          <w:tcPr>
            <w:tcW w:w="805" w:type="dxa"/>
            <w:tcBorders>
              <w:top w:val="nil"/>
              <w:left w:val="single" w:sz="4" w:space="0" w:color="auto"/>
              <w:bottom w:val="single" w:sz="4" w:space="0" w:color="auto"/>
              <w:right w:val="single" w:sz="8" w:space="0" w:color="auto"/>
            </w:tcBorders>
            <w:shd w:val="clear" w:color="000000" w:fill="C9C9C9"/>
            <w:noWrap/>
            <w:vAlign w:val="center"/>
            <w:hideMark/>
          </w:tcPr>
          <w:p w14:paraId="007B96D6" w14:textId="77777777" w:rsidR="00BA2924" w:rsidRPr="00BA2924" w:rsidRDefault="00BA2924" w:rsidP="00685573">
            <w:pPr>
              <w:jc w:val="center"/>
              <w:rPr>
                <w:b/>
                <w:bCs/>
                <w:color w:val="000000"/>
                <w:sz w:val="18"/>
                <w:szCs w:val="18"/>
              </w:rPr>
            </w:pPr>
            <w:r w:rsidRPr="00BA2924">
              <w:rPr>
                <w:b/>
                <w:bCs/>
                <w:color w:val="000000"/>
                <w:sz w:val="18"/>
                <w:szCs w:val="18"/>
              </w:rPr>
              <w:t>48.3</w:t>
            </w:r>
          </w:p>
        </w:tc>
      </w:tr>
      <w:tr w:rsidR="00BA2924" w:rsidRPr="00EA023B" w14:paraId="1D69F045" w14:textId="77777777" w:rsidTr="00E77A24">
        <w:trPr>
          <w:trHeight w:val="56"/>
          <w:jc w:val="center"/>
        </w:trPr>
        <w:tc>
          <w:tcPr>
            <w:tcW w:w="3676" w:type="dxa"/>
            <w:tcBorders>
              <w:top w:val="nil"/>
              <w:left w:val="single" w:sz="8" w:space="0" w:color="auto"/>
              <w:bottom w:val="single" w:sz="4" w:space="0" w:color="auto"/>
              <w:right w:val="single" w:sz="4" w:space="0" w:color="auto"/>
            </w:tcBorders>
            <w:shd w:val="clear" w:color="auto" w:fill="auto"/>
            <w:vAlign w:val="center"/>
            <w:hideMark/>
          </w:tcPr>
          <w:p w14:paraId="284F2DAA" w14:textId="77777777" w:rsidR="00BA2924" w:rsidRPr="00BA2924" w:rsidRDefault="00BA2924" w:rsidP="00685573">
            <w:pPr>
              <w:rPr>
                <w:color w:val="000000"/>
                <w:sz w:val="18"/>
                <w:szCs w:val="18"/>
              </w:rPr>
            </w:pPr>
            <w:r w:rsidRPr="00BA2924">
              <w:rPr>
                <w:color w:val="000000"/>
                <w:sz w:val="18"/>
                <w:szCs w:val="18"/>
              </w:rPr>
              <w:t>Empresa Portuaria Quetzal</w:t>
            </w:r>
          </w:p>
        </w:tc>
        <w:tc>
          <w:tcPr>
            <w:tcW w:w="1134" w:type="dxa"/>
            <w:tcBorders>
              <w:top w:val="nil"/>
              <w:left w:val="nil"/>
              <w:bottom w:val="single" w:sz="4" w:space="0" w:color="auto"/>
              <w:right w:val="single" w:sz="4" w:space="0" w:color="auto"/>
            </w:tcBorders>
            <w:shd w:val="clear" w:color="auto" w:fill="auto"/>
            <w:noWrap/>
            <w:vAlign w:val="center"/>
            <w:hideMark/>
          </w:tcPr>
          <w:p w14:paraId="0097A5E5" w14:textId="77777777" w:rsidR="00BA2924" w:rsidRPr="00BA2924" w:rsidRDefault="00BA2924" w:rsidP="00685573">
            <w:pPr>
              <w:jc w:val="center"/>
              <w:rPr>
                <w:color w:val="000000"/>
                <w:sz w:val="18"/>
                <w:szCs w:val="18"/>
              </w:rPr>
            </w:pPr>
            <w:r w:rsidRPr="00BA2924">
              <w:rPr>
                <w:color w:val="000000"/>
                <w:sz w:val="18"/>
                <w:szCs w:val="18"/>
              </w:rPr>
              <w:t>21.2</w:t>
            </w:r>
          </w:p>
        </w:tc>
        <w:tc>
          <w:tcPr>
            <w:tcW w:w="895" w:type="dxa"/>
            <w:tcBorders>
              <w:top w:val="nil"/>
              <w:left w:val="nil"/>
              <w:bottom w:val="single" w:sz="4" w:space="0" w:color="auto"/>
              <w:right w:val="single" w:sz="4" w:space="0" w:color="auto"/>
            </w:tcBorders>
            <w:shd w:val="clear" w:color="auto" w:fill="auto"/>
            <w:noWrap/>
            <w:vAlign w:val="center"/>
            <w:hideMark/>
          </w:tcPr>
          <w:p w14:paraId="54C3F6D4" w14:textId="77777777" w:rsidR="00BA2924" w:rsidRPr="00BA2924" w:rsidRDefault="00BA2924" w:rsidP="00685573">
            <w:pPr>
              <w:jc w:val="center"/>
              <w:rPr>
                <w:color w:val="000000"/>
                <w:sz w:val="18"/>
                <w:szCs w:val="18"/>
              </w:rPr>
            </w:pPr>
            <w:r w:rsidRPr="00BA2924">
              <w:rPr>
                <w:color w:val="000000"/>
                <w:sz w:val="18"/>
                <w:szCs w:val="18"/>
              </w:rPr>
              <w:t>18.3</w:t>
            </w:r>
          </w:p>
        </w:tc>
        <w:tc>
          <w:tcPr>
            <w:tcW w:w="993" w:type="dxa"/>
            <w:tcBorders>
              <w:top w:val="nil"/>
              <w:left w:val="nil"/>
              <w:bottom w:val="single" w:sz="4" w:space="0" w:color="auto"/>
              <w:right w:val="single" w:sz="4" w:space="0" w:color="auto"/>
            </w:tcBorders>
            <w:shd w:val="clear" w:color="auto" w:fill="auto"/>
            <w:noWrap/>
            <w:vAlign w:val="center"/>
            <w:hideMark/>
          </w:tcPr>
          <w:p w14:paraId="7CE100C9" w14:textId="77777777" w:rsidR="00BA2924" w:rsidRPr="00BA2924" w:rsidRDefault="00BA2924" w:rsidP="00685573">
            <w:pPr>
              <w:jc w:val="center"/>
              <w:rPr>
                <w:color w:val="000000"/>
                <w:sz w:val="18"/>
                <w:szCs w:val="18"/>
              </w:rPr>
            </w:pPr>
            <w:r w:rsidRPr="00BA2924">
              <w:rPr>
                <w:color w:val="000000"/>
                <w:sz w:val="18"/>
                <w:szCs w:val="18"/>
              </w:rPr>
              <w:t> </w:t>
            </w:r>
          </w:p>
        </w:tc>
        <w:tc>
          <w:tcPr>
            <w:tcW w:w="971" w:type="dxa"/>
            <w:tcBorders>
              <w:top w:val="nil"/>
              <w:left w:val="nil"/>
              <w:bottom w:val="single" w:sz="4" w:space="0" w:color="auto"/>
              <w:right w:val="single" w:sz="8" w:space="0" w:color="auto"/>
            </w:tcBorders>
            <w:shd w:val="clear" w:color="auto" w:fill="auto"/>
            <w:noWrap/>
            <w:vAlign w:val="center"/>
            <w:hideMark/>
          </w:tcPr>
          <w:p w14:paraId="5EE823F1" w14:textId="77777777" w:rsidR="00BA2924" w:rsidRPr="00BA2924" w:rsidRDefault="00BA2924" w:rsidP="00685573">
            <w:pPr>
              <w:jc w:val="center"/>
              <w:rPr>
                <w:color w:val="000000"/>
                <w:sz w:val="18"/>
                <w:szCs w:val="18"/>
              </w:rPr>
            </w:pPr>
            <w:r w:rsidRPr="00BA2924">
              <w:rPr>
                <w:color w:val="000000"/>
                <w:sz w:val="18"/>
                <w:szCs w:val="18"/>
              </w:rPr>
              <w:t> </w:t>
            </w:r>
          </w:p>
        </w:tc>
        <w:tc>
          <w:tcPr>
            <w:tcW w:w="730" w:type="dxa"/>
            <w:tcBorders>
              <w:top w:val="nil"/>
              <w:left w:val="nil"/>
              <w:bottom w:val="single" w:sz="4" w:space="0" w:color="auto"/>
              <w:right w:val="nil"/>
            </w:tcBorders>
            <w:shd w:val="clear" w:color="auto" w:fill="auto"/>
            <w:noWrap/>
            <w:vAlign w:val="center"/>
            <w:hideMark/>
          </w:tcPr>
          <w:p w14:paraId="0AB7B763" w14:textId="77777777" w:rsidR="00BA2924" w:rsidRPr="00BA2924" w:rsidRDefault="00BA2924" w:rsidP="00685573">
            <w:pPr>
              <w:jc w:val="center"/>
              <w:rPr>
                <w:color w:val="000000"/>
                <w:sz w:val="18"/>
                <w:szCs w:val="18"/>
              </w:rPr>
            </w:pPr>
            <w:r w:rsidRPr="00BA2924">
              <w:rPr>
                <w:color w:val="000000"/>
                <w:sz w:val="18"/>
                <w:szCs w:val="18"/>
              </w:rPr>
              <w:t>6</w:t>
            </w:r>
          </w:p>
        </w:tc>
        <w:tc>
          <w:tcPr>
            <w:tcW w:w="805" w:type="dxa"/>
            <w:tcBorders>
              <w:top w:val="nil"/>
              <w:left w:val="single" w:sz="4" w:space="0" w:color="auto"/>
              <w:bottom w:val="single" w:sz="4" w:space="0" w:color="auto"/>
              <w:right w:val="single" w:sz="8" w:space="0" w:color="auto"/>
            </w:tcBorders>
            <w:shd w:val="clear" w:color="auto" w:fill="auto"/>
            <w:noWrap/>
            <w:vAlign w:val="center"/>
            <w:hideMark/>
          </w:tcPr>
          <w:p w14:paraId="4502F47B" w14:textId="77777777" w:rsidR="00BA2924" w:rsidRPr="00BA2924" w:rsidRDefault="00BA2924" w:rsidP="00685573">
            <w:pPr>
              <w:jc w:val="center"/>
              <w:rPr>
                <w:color w:val="000000"/>
                <w:sz w:val="18"/>
                <w:szCs w:val="18"/>
              </w:rPr>
            </w:pPr>
            <w:r w:rsidRPr="00BA2924">
              <w:rPr>
                <w:color w:val="000000"/>
                <w:sz w:val="18"/>
                <w:szCs w:val="18"/>
              </w:rPr>
              <w:t>39.4</w:t>
            </w:r>
          </w:p>
        </w:tc>
      </w:tr>
      <w:tr w:rsidR="00BA2924" w:rsidRPr="00EA023B" w14:paraId="03F47698" w14:textId="77777777" w:rsidTr="00E77A24">
        <w:trPr>
          <w:trHeight w:val="240"/>
          <w:jc w:val="center"/>
        </w:trPr>
        <w:tc>
          <w:tcPr>
            <w:tcW w:w="3676" w:type="dxa"/>
            <w:tcBorders>
              <w:top w:val="nil"/>
              <w:left w:val="single" w:sz="8" w:space="0" w:color="auto"/>
              <w:bottom w:val="single" w:sz="4" w:space="0" w:color="auto"/>
              <w:right w:val="single" w:sz="4" w:space="0" w:color="auto"/>
            </w:tcBorders>
            <w:shd w:val="clear" w:color="auto" w:fill="auto"/>
            <w:vAlign w:val="center"/>
            <w:hideMark/>
          </w:tcPr>
          <w:p w14:paraId="04335BE4" w14:textId="77777777" w:rsidR="00BA2924" w:rsidRPr="00BA2924" w:rsidRDefault="00BA2924" w:rsidP="00685573">
            <w:pPr>
              <w:rPr>
                <w:color w:val="000000"/>
                <w:sz w:val="18"/>
                <w:szCs w:val="18"/>
              </w:rPr>
            </w:pPr>
            <w:r w:rsidRPr="00BA2924">
              <w:rPr>
                <w:color w:val="000000"/>
                <w:sz w:val="18"/>
                <w:szCs w:val="18"/>
              </w:rPr>
              <w:t>Instituto Nacional de Electrificación</w:t>
            </w:r>
          </w:p>
        </w:tc>
        <w:tc>
          <w:tcPr>
            <w:tcW w:w="1134" w:type="dxa"/>
            <w:tcBorders>
              <w:top w:val="nil"/>
              <w:left w:val="nil"/>
              <w:bottom w:val="single" w:sz="4" w:space="0" w:color="auto"/>
              <w:right w:val="single" w:sz="4" w:space="0" w:color="auto"/>
            </w:tcBorders>
            <w:shd w:val="clear" w:color="auto" w:fill="auto"/>
            <w:noWrap/>
            <w:vAlign w:val="center"/>
            <w:hideMark/>
          </w:tcPr>
          <w:p w14:paraId="4158DE9E" w14:textId="77777777" w:rsidR="00BA2924" w:rsidRPr="00BA2924" w:rsidRDefault="00BA2924" w:rsidP="00685573">
            <w:pPr>
              <w:jc w:val="center"/>
              <w:rPr>
                <w:color w:val="000000"/>
                <w:sz w:val="18"/>
                <w:szCs w:val="18"/>
              </w:rPr>
            </w:pPr>
            <w:r w:rsidRPr="00BA2924">
              <w:rPr>
                <w:color w:val="000000"/>
                <w:sz w:val="18"/>
                <w:szCs w:val="18"/>
              </w:rPr>
              <w:t>8.9</w:t>
            </w:r>
          </w:p>
        </w:tc>
        <w:tc>
          <w:tcPr>
            <w:tcW w:w="895" w:type="dxa"/>
            <w:tcBorders>
              <w:top w:val="nil"/>
              <w:left w:val="nil"/>
              <w:bottom w:val="single" w:sz="4" w:space="0" w:color="auto"/>
              <w:right w:val="single" w:sz="4" w:space="0" w:color="auto"/>
            </w:tcBorders>
            <w:shd w:val="clear" w:color="auto" w:fill="auto"/>
            <w:noWrap/>
            <w:vAlign w:val="center"/>
            <w:hideMark/>
          </w:tcPr>
          <w:p w14:paraId="0961345C" w14:textId="77777777" w:rsidR="00BA2924" w:rsidRPr="00BA2924" w:rsidRDefault="00BA2924" w:rsidP="00685573">
            <w:pPr>
              <w:jc w:val="center"/>
              <w:rPr>
                <w:color w:val="000000"/>
                <w:sz w:val="18"/>
                <w:szCs w:val="18"/>
              </w:rPr>
            </w:pPr>
            <w:r w:rsidRPr="00BA2924">
              <w:rPr>
                <w:color w:val="000000"/>
                <w:sz w:val="18"/>
                <w:szCs w:val="18"/>
              </w:rPr>
              <w:t> </w:t>
            </w:r>
          </w:p>
        </w:tc>
        <w:tc>
          <w:tcPr>
            <w:tcW w:w="993" w:type="dxa"/>
            <w:tcBorders>
              <w:top w:val="nil"/>
              <w:left w:val="nil"/>
              <w:bottom w:val="single" w:sz="4" w:space="0" w:color="auto"/>
              <w:right w:val="single" w:sz="4" w:space="0" w:color="auto"/>
            </w:tcBorders>
            <w:shd w:val="clear" w:color="auto" w:fill="auto"/>
            <w:noWrap/>
            <w:vAlign w:val="center"/>
            <w:hideMark/>
          </w:tcPr>
          <w:p w14:paraId="7122628B" w14:textId="77777777" w:rsidR="00BA2924" w:rsidRPr="00BA2924" w:rsidRDefault="00BA2924" w:rsidP="00685573">
            <w:pPr>
              <w:jc w:val="center"/>
              <w:rPr>
                <w:color w:val="000000"/>
                <w:sz w:val="18"/>
                <w:szCs w:val="18"/>
              </w:rPr>
            </w:pPr>
            <w:r w:rsidRPr="00BA2924">
              <w:rPr>
                <w:color w:val="000000"/>
                <w:sz w:val="18"/>
                <w:szCs w:val="18"/>
              </w:rPr>
              <w:t> </w:t>
            </w:r>
          </w:p>
        </w:tc>
        <w:tc>
          <w:tcPr>
            <w:tcW w:w="971" w:type="dxa"/>
            <w:tcBorders>
              <w:top w:val="nil"/>
              <w:left w:val="nil"/>
              <w:bottom w:val="single" w:sz="4" w:space="0" w:color="auto"/>
              <w:right w:val="single" w:sz="8" w:space="0" w:color="auto"/>
            </w:tcBorders>
            <w:shd w:val="clear" w:color="auto" w:fill="auto"/>
            <w:noWrap/>
            <w:vAlign w:val="center"/>
            <w:hideMark/>
          </w:tcPr>
          <w:p w14:paraId="4F2B6661" w14:textId="77777777" w:rsidR="00BA2924" w:rsidRPr="00BA2924" w:rsidRDefault="00BA2924" w:rsidP="00685573">
            <w:pPr>
              <w:jc w:val="center"/>
              <w:rPr>
                <w:color w:val="000000"/>
                <w:sz w:val="18"/>
                <w:szCs w:val="18"/>
              </w:rPr>
            </w:pPr>
            <w:r w:rsidRPr="00BA2924">
              <w:rPr>
                <w:color w:val="000000"/>
                <w:sz w:val="18"/>
                <w:szCs w:val="18"/>
              </w:rPr>
              <w:t> </w:t>
            </w:r>
          </w:p>
        </w:tc>
        <w:tc>
          <w:tcPr>
            <w:tcW w:w="730" w:type="dxa"/>
            <w:tcBorders>
              <w:top w:val="nil"/>
              <w:left w:val="nil"/>
              <w:bottom w:val="single" w:sz="4" w:space="0" w:color="auto"/>
              <w:right w:val="nil"/>
            </w:tcBorders>
            <w:shd w:val="clear" w:color="auto" w:fill="auto"/>
            <w:noWrap/>
            <w:vAlign w:val="center"/>
            <w:hideMark/>
          </w:tcPr>
          <w:p w14:paraId="4F03890E" w14:textId="77777777" w:rsidR="00BA2924" w:rsidRPr="00BA2924" w:rsidRDefault="00BA2924" w:rsidP="00685573">
            <w:pPr>
              <w:jc w:val="center"/>
              <w:rPr>
                <w:color w:val="000000"/>
                <w:sz w:val="18"/>
                <w:szCs w:val="18"/>
              </w:rPr>
            </w:pPr>
            <w:r w:rsidRPr="00BA2924">
              <w:rPr>
                <w:color w:val="000000"/>
                <w:sz w:val="18"/>
                <w:szCs w:val="18"/>
              </w:rPr>
              <w:t>1</w:t>
            </w:r>
          </w:p>
        </w:tc>
        <w:tc>
          <w:tcPr>
            <w:tcW w:w="805" w:type="dxa"/>
            <w:tcBorders>
              <w:top w:val="nil"/>
              <w:left w:val="single" w:sz="4" w:space="0" w:color="auto"/>
              <w:bottom w:val="single" w:sz="4" w:space="0" w:color="auto"/>
              <w:right w:val="single" w:sz="8" w:space="0" w:color="auto"/>
            </w:tcBorders>
            <w:shd w:val="clear" w:color="auto" w:fill="auto"/>
            <w:noWrap/>
            <w:vAlign w:val="center"/>
            <w:hideMark/>
          </w:tcPr>
          <w:p w14:paraId="55ADB48D" w14:textId="77777777" w:rsidR="00BA2924" w:rsidRPr="00BA2924" w:rsidRDefault="00BA2924" w:rsidP="00685573">
            <w:pPr>
              <w:jc w:val="center"/>
              <w:rPr>
                <w:color w:val="000000"/>
                <w:sz w:val="18"/>
                <w:szCs w:val="18"/>
              </w:rPr>
            </w:pPr>
            <w:r w:rsidRPr="00BA2924">
              <w:rPr>
                <w:color w:val="000000"/>
                <w:sz w:val="18"/>
                <w:szCs w:val="18"/>
              </w:rPr>
              <w:t>8.9</w:t>
            </w:r>
          </w:p>
        </w:tc>
      </w:tr>
      <w:tr w:rsidR="007F2934" w:rsidRPr="00EA023B" w14:paraId="7CBE3A34" w14:textId="77777777" w:rsidTr="00E77A24">
        <w:trPr>
          <w:trHeight w:val="105"/>
          <w:jc w:val="center"/>
        </w:trPr>
        <w:tc>
          <w:tcPr>
            <w:tcW w:w="3676" w:type="dxa"/>
            <w:tcBorders>
              <w:top w:val="nil"/>
              <w:left w:val="single" w:sz="8" w:space="0" w:color="auto"/>
              <w:bottom w:val="single" w:sz="4" w:space="0" w:color="auto"/>
              <w:right w:val="single" w:sz="4" w:space="0" w:color="auto"/>
            </w:tcBorders>
            <w:shd w:val="clear" w:color="000000" w:fill="C9C9C9"/>
            <w:vAlign w:val="center"/>
            <w:hideMark/>
          </w:tcPr>
          <w:p w14:paraId="547651E0" w14:textId="77777777" w:rsidR="00BA2924" w:rsidRPr="00BA2924" w:rsidRDefault="00BA2924" w:rsidP="00685573">
            <w:pPr>
              <w:rPr>
                <w:b/>
                <w:bCs/>
                <w:color w:val="000000"/>
                <w:sz w:val="18"/>
                <w:szCs w:val="18"/>
              </w:rPr>
            </w:pPr>
            <w:r w:rsidRPr="00BA2924">
              <w:rPr>
                <w:b/>
                <w:bCs/>
                <w:color w:val="000000"/>
                <w:sz w:val="18"/>
                <w:szCs w:val="18"/>
              </w:rPr>
              <w:t>Entidades Autónomas No Empresariales</w:t>
            </w:r>
          </w:p>
        </w:tc>
        <w:tc>
          <w:tcPr>
            <w:tcW w:w="1134" w:type="dxa"/>
            <w:tcBorders>
              <w:top w:val="nil"/>
              <w:left w:val="nil"/>
              <w:bottom w:val="single" w:sz="4" w:space="0" w:color="auto"/>
              <w:right w:val="single" w:sz="4" w:space="0" w:color="auto"/>
            </w:tcBorders>
            <w:shd w:val="clear" w:color="000000" w:fill="C9C9C9"/>
            <w:noWrap/>
            <w:vAlign w:val="center"/>
            <w:hideMark/>
          </w:tcPr>
          <w:p w14:paraId="5A2FE21A" w14:textId="77777777" w:rsidR="00BA2924" w:rsidRPr="00BA2924" w:rsidRDefault="00BA2924" w:rsidP="00685573">
            <w:pPr>
              <w:jc w:val="center"/>
              <w:rPr>
                <w:b/>
                <w:bCs/>
                <w:color w:val="000000"/>
                <w:sz w:val="18"/>
                <w:szCs w:val="18"/>
              </w:rPr>
            </w:pPr>
            <w:r w:rsidRPr="00BA2924">
              <w:rPr>
                <w:b/>
                <w:bCs/>
                <w:color w:val="000000"/>
                <w:sz w:val="18"/>
                <w:szCs w:val="18"/>
              </w:rPr>
              <w:t>8.1</w:t>
            </w:r>
          </w:p>
        </w:tc>
        <w:tc>
          <w:tcPr>
            <w:tcW w:w="895" w:type="dxa"/>
            <w:tcBorders>
              <w:top w:val="nil"/>
              <w:left w:val="nil"/>
              <w:bottom w:val="single" w:sz="4" w:space="0" w:color="auto"/>
              <w:right w:val="single" w:sz="4" w:space="0" w:color="auto"/>
            </w:tcBorders>
            <w:shd w:val="clear" w:color="000000" w:fill="C9C9C9"/>
            <w:noWrap/>
            <w:vAlign w:val="center"/>
            <w:hideMark/>
          </w:tcPr>
          <w:p w14:paraId="7A01F694" w14:textId="77777777" w:rsidR="00BA2924" w:rsidRPr="00BA2924" w:rsidRDefault="00BA2924" w:rsidP="00685573">
            <w:pPr>
              <w:jc w:val="center"/>
              <w:rPr>
                <w:b/>
                <w:bCs/>
                <w:color w:val="000000"/>
                <w:sz w:val="18"/>
                <w:szCs w:val="18"/>
              </w:rPr>
            </w:pPr>
            <w:r w:rsidRPr="00BA2924">
              <w:rPr>
                <w:b/>
                <w:bCs/>
                <w:color w:val="000000"/>
                <w:sz w:val="18"/>
                <w:szCs w:val="18"/>
              </w:rPr>
              <w:t> </w:t>
            </w:r>
          </w:p>
        </w:tc>
        <w:tc>
          <w:tcPr>
            <w:tcW w:w="993" w:type="dxa"/>
            <w:tcBorders>
              <w:top w:val="nil"/>
              <w:left w:val="nil"/>
              <w:bottom w:val="single" w:sz="4" w:space="0" w:color="auto"/>
              <w:right w:val="single" w:sz="4" w:space="0" w:color="auto"/>
            </w:tcBorders>
            <w:shd w:val="clear" w:color="000000" w:fill="C9C9C9"/>
            <w:noWrap/>
            <w:vAlign w:val="center"/>
            <w:hideMark/>
          </w:tcPr>
          <w:p w14:paraId="385D84A0" w14:textId="77777777" w:rsidR="00BA2924" w:rsidRPr="00BA2924" w:rsidRDefault="00BA2924" w:rsidP="00685573">
            <w:pPr>
              <w:jc w:val="center"/>
              <w:rPr>
                <w:b/>
                <w:bCs/>
                <w:color w:val="000000"/>
                <w:sz w:val="18"/>
                <w:szCs w:val="18"/>
              </w:rPr>
            </w:pPr>
            <w:r w:rsidRPr="00BA2924">
              <w:rPr>
                <w:b/>
                <w:bCs/>
                <w:color w:val="000000"/>
                <w:sz w:val="18"/>
                <w:szCs w:val="18"/>
              </w:rPr>
              <w:t> </w:t>
            </w:r>
          </w:p>
        </w:tc>
        <w:tc>
          <w:tcPr>
            <w:tcW w:w="971" w:type="dxa"/>
            <w:tcBorders>
              <w:top w:val="nil"/>
              <w:left w:val="nil"/>
              <w:bottom w:val="single" w:sz="4" w:space="0" w:color="auto"/>
              <w:right w:val="single" w:sz="8" w:space="0" w:color="auto"/>
            </w:tcBorders>
            <w:shd w:val="clear" w:color="000000" w:fill="C9C9C9"/>
            <w:noWrap/>
            <w:vAlign w:val="center"/>
            <w:hideMark/>
          </w:tcPr>
          <w:p w14:paraId="76B5C783" w14:textId="77777777" w:rsidR="00BA2924" w:rsidRPr="00BA2924" w:rsidRDefault="00BA2924" w:rsidP="00685573">
            <w:pPr>
              <w:jc w:val="center"/>
              <w:rPr>
                <w:b/>
                <w:bCs/>
                <w:color w:val="000000"/>
                <w:sz w:val="18"/>
                <w:szCs w:val="18"/>
              </w:rPr>
            </w:pPr>
            <w:r w:rsidRPr="00BA2924">
              <w:rPr>
                <w:b/>
                <w:bCs/>
                <w:color w:val="000000"/>
                <w:sz w:val="18"/>
                <w:szCs w:val="18"/>
              </w:rPr>
              <w:t> </w:t>
            </w:r>
          </w:p>
        </w:tc>
        <w:tc>
          <w:tcPr>
            <w:tcW w:w="730" w:type="dxa"/>
            <w:tcBorders>
              <w:top w:val="nil"/>
              <w:left w:val="nil"/>
              <w:bottom w:val="single" w:sz="4" w:space="0" w:color="auto"/>
              <w:right w:val="nil"/>
            </w:tcBorders>
            <w:shd w:val="clear" w:color="000000" w:fill="C9C9C9"/>
            <w:noWrap/>
            <w:vAlign w:val="center"/>
            <w:hideMark/>
          </w:tcPr>
          <w:p w14:paraId="36B3E12E" w14:textId="77777777" w:rsidR="00BA2924" w:rsidRPr="00BA2924" w:rsidRDefault="00BA2924" w:rsidP="00685573">
            <w:pPr>
              <w:jc w:val="center"/>
              <w:rPr>
                <w:b/>
                <w:bCs/>
                <w:color w:val="000000"/>
                <w:sz w:val="18"/>
                <w:szCs w:val="18"/>
              </w:rPr>
            </w:pPr>
            <w:r w:rsidRPr="00BA2924">
              <w:rPr>
                <w:b/>
                <w:bCs/>
                <w:color w:val="000000"/>
                <w:sz w:val="18"/>
                <w:szCs w:val="18"/>
              </w:rPr>
              <w:t>1</w:t>
            </w:r>
          </w:p>
        </w:tc>
        <w:tc>
          <w:tcPr>
            <w:tcW w:w="805" w:type="dxa"/>
            <w:tcBorders>
              <w:top w:val="nil"/>
              <w:left w:val="single" w:sz="4" w:space="0" w:color="auto"/>
              <w:bottom w:val="single" w:sz="4" w:space="0" w:color="auto"/>
              <w:right w:val="single" w:sz="8" w:space="0" w:color="auto"/>
            </w:tcBorders>
            <w:shd w:val="clear" w:color="000000" w:fill="C9C9C9"/>
            <w:noWrap/>
            <w:vAlign w:val="center"/>
            <w:hideMark/>
          </w:tcPr>
          <w:p w14:paraId="2DD26D77" w14:textId="77777777" w:rsidR="00BA2924" w:rsidRPr="00BA2924" w:rsidRDefault="00BA2924" w:rsidP="00685573">
            <w:pPr>
              <w:jc w:val="center"/>
              <w:rPr>
                <w:b/>
                <w:bCs/>
                <w:color w:val="000000"/>
                <w:sz w:val="18"/>
                <w:szCs w:val="18"/>
              </w:rPr>
            </w:pPr>
            <w:r w:rsidRPr="00BA2924">
              <w:rPr>
                <w:b/>
                <w:bCs/>
                <w:color w:val="000000"/>
                <w:sz w:val="18"/>
                <w:szCs w:val="18"/>
              </w:rPr>
              <w:t>8.1</w:t>
            </w:r>
          </w:p>
        </w:tc>
      </w:tr>
      <w:tr w:rsidR="00BA2924" w:rsidRPr="00EA023B" w14:paraId="0AB9F74E" w14:textId="77777777" w:rsidTr="00E77A24">
        <w:trPr>
          <w:trHeight w:val="238"/>
          <w:jc w:val="center"/>
        </w:trPr>
        <w:tc>
          <w:tcPr>
            <w:tcW w:w="3676" w:type="dxa"/>
            <w:tcBorders>
              <w:top w:val="nil"/>
              <w:left w:val="single" w:sz="8" w:space="0" w:color="auto"/>
              <w:bottom w:val="single" w:sz="4" w:space="0" w:color="auto"/>
              <w:right w:val="single" w:sz="4" w:space="0" w:color="auto"/>
            </w:tcBorders>
            <w:shd w:val="clear" w:color="auto" w:fill="auto"/>
            <w:vAlign w:val="center"/>
            <w:hideMark/>
          </w:tcPr>
          <w:p w14:paraId="28CBE423" w14:textId="77777777" w:rsidR="00BA2924" w:rsidRPr="00BA2924" w:rsidRDefault="00BA2924" w:rsidP="00685573">
            <w:pPr>
              <w:rPr>
                <w:color w:val="000000"/>
                <w:sz w:val="18"/>
                <w:szCs w:val="18"/>
              </w:rPr>
            </w:pPr>
            <w:r w:rsidRPr="00BA2924">
              <w:rPr>
                <w:color w:val="000000"/>
                <w:sz w:val="18"/>
                <w:szCs w:val="18"/>
              </w:rPr>
              <w:t xml:space="preserve">Confederación Deportiva Autónoma de Guatemala </w:t>
            </w:r>
          </w:p>
        </w:tc>
        <w:tc>
          <w:tcPr>
            <w:tcW w:w="1134" w:type="dxa"/>
            <w:tcBorders>
              <w:top w:val="nil"/>
              <w:left w:val="nil"/>
              <w:bottom w:val="single" w:sz="4" w:space="0" w:color="auto"/>
              <w:right w:val="single" w:sz="4" w:space="0" w:color="auto"/>
            </w:tcBorders>
            <w:shd w:val="clear" w:color="auto" w:fill="auto"/>
            <w:noWrap/>
            <w:vAlign w:val="center"/>
            <w:hideMark/>
          </w:tcPr>
          <w:p w14:paraId="30FBE74F" w14:textId="77777777" w:rsidR="00BA2924" w:rsidRPr="00BA2924" w:rsidRDefault="00BA2924" w:rsidP="00685573">
            <w:pPr>
              <w:jc w:val="center"/>
              <w:rPr>
                <w:color w:val="000000"/>
                <w:sz w:val="18"/>
                <w:szCs w:val="18"/>
              </w:rPr>
            </w:pPr>
            <w:r w:rsidRPr="00BA2924">
              <w:rPr>
                <w:color w:val="000000"/>
                <w:sz w:val="18"/>
                <w:szCs w:val="18"/>
              </w:rPr>
              <w:t>8.1</w:t>
            </w:r>
          </w:p>
        </w:tc>
        <w:tc>
          <w:tcPr>
            <w:tcW w:w="895" w:type="dxa"/>
            <w:tcBorders>
              <w:top w:val="nil"/>
              <w:left w:val="nil"/>
              <w:bottom w:val="single" w:sz="4" w:space="0" w:color="auto"/>
              <w:right w:val="single" w:sz="4" w:space="0" w:color="auto"/>
            </w:tcBorders>
            <w:shd w:val="clear" w:color="auto" w:fill="auto"/>
            <w:noWrap/>
            <w:vAlign w:val="center"/>
            <w:hideMark/>
          </w:tcPr>
          <w:p w14:paraId="4AE59E4F" w14:textId="77777777" w:rsidR="00BA2924" w:rsidRPr="00BA2924" w:rsidRDefault="00BA2924" w:rsidP="00685573">
            <w:pPr>
              <w:jc w:val="center"/>
              <w:rPr>
                <w:color w:val="000000"/>
                <w:sz w:val="18"/>
                <w:szCs w:val="18"/>
              </w:rPr>
            </w:pPr>
            <w:r w:rsidRPr="00BA2924">
              <w:rPr>
                <w:color w:val="000000"/>
                <w:sz w:val="18"/>
                <w:szCs w:val="18"/>
              </w:rPr>
              <w:t> </w:t>
            </w:r>
          </w:p>
        </w:tc>
        <w:tc>
          <w:tcPr>
            <w:tcW w:w="993" w:type="dxa"/>
            <w:tcBorders>
              <w:top w:val="nil"/>
              <w:left w:val="nil"/>
              <w:bottom w:val="single" w:sz="4" w:space="0" w:color="auto"/>
              <w:right w:val="single" w:sz="4" w:space="0" w:color="auto"/>
            </w:tcBorders>
            <w:shd w:val="clear" w:color="auto" w:fill="auto"/>
            <w:noWrap/>
            <w:vAlign w:val="center"/>
            <w:hideMark/>
          </w:tcPr>
          <w:p w14:paraId="65F72A05" w14:textId="77777777" w:rsidR="00BA2924" w:rsidRPr="00BA2924" w:rsidRDefault="00BA2924" w:rsidP="00685573">
            <w:pPr>
              <w:jc w:val="center"/>
              <w:rPr>
                <w:color w:val="000000"/>
                <w:sz w:val="18"/>
                <w:szCs w:val="18"/>
              </w:rPr>
            </w:pPr>
            <w:r w:rsidRPr="00BA2924">
              <w:rPr>
                <w:color w:val="000000"/>
                <w:sz w:val="18"/>
                <w:szCs w:val="18"/>
              </w:rPr>
              <w:t> </w:t>
            </w:r>
          </w:p>
        </w:tc>
        <w:tc>
          <w:tcPr>
            <w:tcW w:w="971" w:type="dxa"/>
            <w:tcBorders>
              <w:top w:val="nil"/>
              <w:left w:val="nil"/>
              <w:bottom w:val="single" w:sz="4" w:space="0" w:color="auto"/>
              <w:right w:val="single" w:sz="8" w:space="0" w:color="auto"/>
            </w:tcBorders>
            <w:shd w:val="clear" w:color="auto" w:fill="auto"/>
            <w:noWrap/>
            <w:vAlign w:val="center"/>
            <w:hideMark/>
          </w:tcPr>
          <w:p w14:paraId="5613DC2E" w14:textId="77777777" w:rsidR="00BA2924" w:rsidRPr="00BA2924" w:rsidRDefault="00BA2924" w:rsidP="00685573">
            <w:pPr>
              <w:jc w:val="center"/>
              <w:rPr>
                <w:color w:val="000000"/>
                <w:sz w:val="18"/>
                <w:szCs w:val="18"/>
              </w:rPr>
            </w:pPr>
            <w:r w:rsidRPr="00BA2924">
              <w:rPr>
                <w:color w:val="000000"/>
                <w:sz w:val="18"/>
                <w:szCs w:val="18"/>
              </w:rPr>
              <w:t> </w:t>
            </w:r>
          </w:p>
        </w:tc>
        <w:tc>
          <w:tcPr>
            <w:tcW w:w="730" w:type="dxa"/>
            <w:tcBorders>
              <w:top w:val="nil"/>
              <w:left w:val="nil"/>
              <w:bottom w:val="single" w:sz="4" w:space="0" w:color="auto"/>
              <w:right w:val="nil"/>
            </w:tcBorders>
            <w:shd w:val="clear" w:color="auto" w:fill="auto"/>
            <w:noWrap/>
            <w:vAlign w:val="center"/>
            <w:hideMark/>
          </w:tcPr>
          <w:p w14:paraId="52F2ACCC" w14:textId="77777777" w:rsidR="00BA2924" w:rsidRPr="00BA2924" w:rsidRDefault="00BA2924" w:rsidP="00685573">
            <w:pPr>
              <w:jc w:val="center"/>
              <w:rPr>
                <w:color w:val="000000"/>
                <w:sz w:val="18"/>
                <w:szCs w:val="18"/>
              </w:rPr>
            </w:pPr>
            <w:r w:rsidRPr="00BA2924">
              <w:rPr>
                <w:color w:val="000000"/>
                <w:sz w:val="18"/>
                <w:szCs w:val="18"/>
              </w:rPr>
              <w:t>1</w:t>
            </w:r>
          </w:p>
        </w:tc>
        <w:tc>
          <w:tcPr>
            <w:tcW w:w="805" w:type="dxa"/>
            <w:tcBorders>
              <w:top w:val="nil"/>
              <w:left w:val="single" w:sz="4" w:space="0" w:color="auto"/>
              <w:bottom w:val="single" w:sz="4" w:space="0" w:color="auto"/>
              <w:right w:val="single" w:sz="8" w:space="0" w:color="auto"/>
            </w:tcBorders>
            <w:shd w:val="clear" w:color="auto" w:fill="auto"/>
            <w:noWrap/>
            <w:vAlign w:val="center"/>
            <w:hideMark/>
          </w:tcPr>
          <w:p w14:paraId="42DBF104" w14:textId="77777777" w:rsidR="00BA2924" w:rsidRPr="00BA2924" w:rsidRDefault="00BA2924" w:rsidP="00685573">
            <w:pPr>
              <w:jc w:val="center"/>
              <w:rPr>
                <w:color w:val="000000"/>
                <w:sz w:val="18"/>
                <w:szCs w:val="18"/>
              </w:rPr>
            </w:pPr>
            <w:r w:rsidRPr="00BA2924">
              <w:rPr>
                <w:color w:val="000000"/>
                <w:sz w:val="18"/>
                <w:szCs w:val="18"/>
              </w:rPr>
              <w:t>8.1</w:t>
            </w:r>
          </w:p>
        </w:tc>
      </w:tr>
      <w:tr w:rsidR="007F2934" w:rsidRPr="00EA023B" w14:paraId="60CB83DA" w14:textId="77777777" w:rsidTr="00E77A24">
        <w:trPr>
          <w:trHeight w:val="102"/>
          <w:jc w:val="center"/>
        </w:trPr>
        <w:tc>
          <w:tcPr>
            <w:tcW w:w="3676" w:type="dxa"/>
            <w:tcBorders>
              <w:top w:val="nil"/>
              <w:left w:val="single" w:sz="8" w:space="0" w:color="auto"/>
              <w:bottom w:val="single" w:sz="4" w:space="0" w:color="auto"/>
              <w:right w:val="single" w:sz="4" w:space="0" w:color="auto"/>
            </w:tcBorders>
            <w:shd w:val="clear" w:color="000000" w:fill="C9C9C9"/>
            <w:vAlign w:val="center"/>
            <w:hideMark/>
          </w:tcPr>
          <w:p w14:paraId="1B511E71" w14:textId="77777777" w:rsidR="00BA2924" w:rsidRPr="00BA2924" w:rsidRDefault="00BA2924" w:rsidP="00685573">
            <w:pPr>
              <w:rPr>
                <w:b/>
                <w:bCs/>
                <w:color w:val="000000"/>
                <w:sz w:val="18"/>
                <w:szCs w:val="18"/>
              </w:rPr>
            </w:pPr>
            <w:r w:rsidRPr="00BA2924">
              <w:rPr>
                <w:b/>
                <w:bCs/>
                <w:color w:val="000000"/>
                <w:sz w:val="18"/>
                <w:szCs w:val="18"/>
              </w:rPr>
              <w:t>Entidades descentralizadas No Empresariales</w:t>
            </w:r>
          </w:p>
        </w:tc>
        <w:tc>
          <w:tcPr>
            <w:tcW w:w="1134" w:type="dxa"/>
            <w:tcBorders>
              <w:top w:val="nil"/>
              <w:left w:val="nil"/>
              <w:bottom w:val="single" w:sz="4" w:space="0" w:color="auto"/>
              <w:right w:val="single" w:sz="4" w:space="0" w:color="auto"/>
            </w:tcBorders>
            <w:shd w:val="clear" w:color="000000" w:fill="C9C9C9"/>
            <w:noWrap/>
            <w:vAlign w:val="center"/>
            <w:hideMark/>
          </w:tcPr>
          <w:p w14:paraId="120983E2" w14:textId="77777777" w:rsidR="00BA2924" w:rsidRPr="00BA2924" w:rsidRDefault="00BA2924" w:rsidP="00685573">
            <w:pPr>
              <w:jc w:val="center"/>
              <w:rPr>
                <w:b/>
                <w:bCs/>
                <w:color w:val="000000"/>
                <w:sz w:val="18"/>
                <w:szCs w:val="18"/>
              </w:rPr>
            </w:pPr>
            <w:r w:rsidRPr="00BA2924">
              <w:rPr>
                <w:b/>
                <w:bCs/>
                <w:color w:val="000000"/>
                <w:sz w:val="18"/>
                <w:szCs w:val="18"/>
              </w:rPr>
              <w:t>298.3</w:t>
            </w:r>
          </w:p>
        </w:tc>
        <w:tc>
          <w:tcPr>
            <w:tcW w:w="895" w:type="dxa"/>
            <w:tcBorders>
              <w:top w:val="nil"/>
              <w:left w:val="nil"/>
              <w:bottom w:val="single" w:sz="4" w:space="0" w:color="auto"/>
              <w:right w:val="single" w:sz="4" w:space="0" w:color="auto"/>
            </w:tcBorders>
            <w:shd w:val="clear" w:color="000000" w:fill="C9C9C9"/>
            <w:noWrap/>
            <w:vAlign w:val="center"/>
            <w:hideMark/>
          </w:tcPr>
          <w:p w14:paraId="12153CBC" w14:textId="77777777" w:rsidR="00BA2924" w:rsidRPr="00BA2924" w:rsidRDefault="00BA2924" w:rsidP="00685573">
            <w:pPr>
              <w:jc w:val="center"/>
              <w:rPr>
                <w:b/>
                <w:bCs/>
                <w:color w:val="000000"/>
                <w:sz w:val="18"/>
                <w:szCs w:val="18"/>
              </w:rPr>
            </w:pPr>
            <w:r w:rsidRPr="00BA2924">
              <w:rPr>
                <w:b/>
                <w:bCs/>
                <w:color w:val="000000"/>
                <w:sz w:val="18"/>
                <w:szCs w:val="18"/>
              </w:rPr>
              <w:t>375.8</w:t>
            </w:r>
          </w:p>
        </w:tc>
        <w:tc>
          <w:tcPr>
            <w:tcW w:w="993" w:type="dxa"/>
            <w:tcBorders>
              <w:top w:val="nil"/>
              <w:left w:val="nil"/>
              <w:bottom w:val="single" w:sz="4" w:space="0" w:color="auto"/>
              <w:right w:val="single" w:sz="4" w:space="0" w:color="auto"/>
            </w:tcBorders>
            <w:shd w:val="clear" w:color="000000" w:fill="C9C9C9"/>
            <w:noWrap/>
            <w:vAlign w:val="center"/>
            <w:hideMark/>
          </w:tcPr>
          <w:p w14:paraId="53C7C4A6" w14:textId="77777777" w:rsidR="00BA2924" w:rsidRPr="00BA2924" w:rsidRDefault="00BA2924" w:rsidP="00685573">
            <w:pPr>
              <w:jc w:val="center"/>
              <w:rPr>
                <w:b/>
                <w:bCs/>
                <w:color w:val="000000"/>
                <w:sz w:val="18"/>
                <w:szCs w:val="18"/>
              </w:rPr>
            </w:pPr>
            <w:r w:rsidRPr="00BA2924">
              <w:rPr>
                <w:b/>
                <w:bCs/>
                <w:color w:val="000000"/>
                <w:sz w:val="18"/>
                <w:szCs w:val="18"/>
              </w:rPr>
              <w:t>130.0</w:t>
            </w:r>
          </w:p>
        </w:tc>
        <w:tc>
          <w:tcPr>
            <w:tcW w:w="971" w:type="dxa"/>
            <w:tcBorders>
              <w:top w:val="nil"/>
              <w:left w:val="nil"/>
              <w:bottom w:val="single" w:sz="4" w:space="0" w:color="auto"/>
              <w:right w:val="single" w:sz="8" w:space="0" w:color="auto"/>
            </w:tcBorders>
            <w:shd w:val="clear" w:color="000000" w:fill="C9C9C9"/>
            <w:noWrap/>
            <w:vAlign w:val="center"/>
            <w:hideMark/>
          </w:tcPr>
          <w:p w14:paraId="31CFF1AB" w14:textId="77777777" w:rsidR="00BA2924" w:rsidRPr="00BA2924" w:rsidRDefault="00BA2924" w:rsidP="00685573">
            <w:pPr>
              <w:jc w:val="center"/>
              <w:rPr>
                <w:b/>
                <w:bCs/>
                <w:color w:val="000000"/>
                <w:sz w:val="18"/>
                <w:szCs w:val="18"/>
              </w:rPr>
            </w:pPr>
            <w:r w:rsidRPr="00BA2924">
              <w:rPr>
                <w:b/>
                <w:bCs/>
                <w:color w:val="000000"/>
                <w:sz w:val="18"/>
                <w:szCs w:val="18"/>
              </w:rPr>
              <w:t> </w:t>
            </w:r>
          </w:p>
        </w:tc>
        <w:tc>
          <w:tcPr>
            <w:tcW w:w="730" w:type="dxa"/>
            <w:tcBorders>
              <w:top w:val="nil"/>
              <w:left w:val="nil"/>
              <w:bottom w:val="single" w:sz="4" w:space="0" w:color="auto"/>
              <w:right w:val="nil"/>
            </w:tcBorders>
            <w:shd w:val="clear" w:color="000000" w:fill="C9C9C9"/>
            <w:noWrap/>
            <w:vAlign w:val="center"/>
            <w:hideMark/>
          </w:tcPr>
          <w:p w14:paraId="1176ED0A" w14:textId="77777777" w:rsidR="00BA2924" w:rsidRPr="00BA2924" w:rsidRDefault="00BA2924" w:rsidP="00685573">
            <w:pPr>
              <w:jc w:val="center"/>
              <w:rPr>
                <w:b/>
                <w:bCs/>
                <w:color w:val="000000"/>
                <w:sz w:val="18"/>
                <w:szCs w:val="18"/>
              </w:rPr>
            </w:pPr>
            <w:r w:rsidRPr="00BA2924">
              <w:rPr>
                <w:b/>
                <w:bCs/>
                <w:color w:val="000000"/>
                <w:sz w:val="18"/>
                <w:szCs w:val="18"/>
              </w:rPr>
              <w:t>16</w:t>
            </w:r>
          </w:p>
        </w:tc>
        <w:tc>
          <w:tcPr>
            <w:tcW w:w="805" w:type="dxa"/>
            <w:tcBorders>
              <w:top w:val="nil"/>
              <w:left w:val="single" w:sz="4" w:space="0" w:color="auto"/>
              <w:bottom w:val="single" w:sz="4" w:space="0" w:color="auto"/>
              <w:right w:val="single" w:sz="8" w:space="0" w:color="auto"/>
            </w:tcBorders>
            <w:shd w:val="clear" w:color="000000" w:fill="C9C9C9"/>
            <w:noWrap/>
            <w:vAlign w:val="center"/>
            <w:hideMark/>
          </w:tcPr>
          <w:p w14:paraId="1A7049CA" w14:textId="77777777" w:rsidR="00BA2924" w:rsidRPr="00BA2924" w:rsidRDefault="00BA2924" w:rsidP="00685573">
            <w:pPr>
              <w:jc w:val="center"/>
              <w:rPr>
                <w:b/>
                <w:bCs/>
                <w:color w:val="000000"/>
                <w:sz w:val="18"/>
                <w:szCs w:val="18"/>
              </w:rPr>
            </w:pPr>
            <w:r w:rsidRPr="00BA2924">
              <w:rPr>
                <w:b/>
                <w:bCs/>
                <w:color w:val="000000"/>
                <w:sz w:val="18"/>
                <w:szCs w:val="18"/>
              </w:rPr>
              <w:t>804.1</w:t>
            </w:r>
          </w:p>
        </w:tc>
      </w:tr>
      <w:tr w:rsidR="00BA2924" w:rsidRPr="00EA023B" w14:paraId="4B209E84" w14:textId="77777777" w:rsidTr="00E77A24">
        <w:trPr>
          <w:trHeight w:val="109"/>
          <w:jc w:val="center"/>
        </w:trPr>
        <w:tc>
          <w:tcPr>
            <w:tcW w:w="3676" w:type="dxa"/>
            <w:tcBorders>
              <w:top w:val="nil"/>
              <w:left w:val="single" w:sz="8" w:space="0" w:color="auto"/>
              <w:bottom w:val="single" w:sz="4" w:space="0" w:color="auto"/>
              <w:right w:val="single" w:sz="4" w:space="0" w:color="auto"/>
            </w:tcBorders>
            <w:shd w:val="clear" w:color="auto" w:fill="auto"/>
            <w:vAlign w:val="center"/>
            <w:hideMark/>
          </w:tcPr>
          <w:p w14:paraId="7A8E283F" w14:textId="77777777" w:rsidR="00BA2924" w:rsidRPr="00BA2924" w:rsidRDefault="00BA2924" w:rsidP="00685573">
            <w:pPr>
              <w:rPr>
                <w:color w:val="000000"/>
                <w:sz w:val="18"/>
                <w:szCs w:val="18"/>
              </w:rPr>
            </w:pPr>
            <w:r w:rsidRPr="00BA2924">
              <w:rPr>
                <w:color w:val="000000"/>
                <w:sz w:val="18"/>
                <w:szCs w:val="18"/>
              </w:rPr>
              <w:t>Instituto de Fomento Municipal</w:t>
            </w:r>
          </w:p>
        </w:tc>
        <w:tc>
          <w:tcPr>
            <w:tcW w:w="1134" w:type="dxa"/>
            <w:tcBorders>
              <w:top w:val="nil"/>
              <w:left w:val="nil"/>
              <w:bottom w:val="single" w:sz="4" w:space="0" w:color="auto"/>
              <w:right w:val="single" w:sz="4" w:space="0" w:color="auto"/>
            </w:tcBorders>
            <w:shd w:val="clear" w:color="auto" w:fill="auto"/>
            <w:noWrap/>
            <w:vAlign w:val="center"/>
            <w:hideMark/>
          </w:tcPr>
          <w:p w14:paraId="3AAAE1DD" w14:textId="77777777" w:rsidR="00BA2924" w:rsidRPr="00BA2924" w:rsidRDefault="00BA2924" w:rsidP="00685573">
            <w:pPr>
              <w:jc w:val="center"/>
              <w:rPr>
                <w:color w:val="000000"/>
                <w:sz w:val="18"/>
                <w:szCs w:val="18"/>
              </w:rPr>
            </w:pPr>
            <w:r w:rsidRPr="00BA2924">
              <w:rPr>
                <w:color w:val="000000"/>
                <w:sz w:val="18"/>
                <w:szCs w:val="18"/>
              </w:rPr>
              <w:t>13.6</w:t>
            </w:r>
          </w:p>
        </w:tc>
        <w:tc>
          <w:tcPr>
            <w:tcW w:w="895" w:type="dxa"/>
            <w:tcBorders>
              <w:top w:val="nil"/>
              <w:left w:val="nil"/>
              <w:bottom w:val="single" w:sz="4" w:space="0" w:color="auto"/>
              <w:right w:val="single" w:sz="4" w:space="0" w:color="auto"/>
            </w:tcBorders>
            <w:shd w:val="clear" w:color="auto" w:fill="auto"/>
            <w:noWrap/>
            <w:vAlign w:val="center"/>
            <w:hideMark/>
          </w:tcPr>
          <w:p w14:paraId="48A7A131" w14:textId="77777777" w:rsidR="00BA2924" w:rsidRPr="00BA2924" w:rsidRDefault="00BA2924" w:rsidP="00685573">
            <w:pPr>
              <w:jc w:val="center"/>
              <w:rPr>
                <w:color w:val="000000"/>
                <w:sz w:val="18"/>
                <w:szCs w:val="18"/>
              </w:rPr>
            </w:pPr>
            <w:r w:rsidRPr="00BA2924">
              <w:rPr>
                <w:color w:val="000000"/>
                <w:sz w:val="18"/>
                <w:szCs w:val="18"/>
              </w:rPr>
              <w:t> </w:t>
            </w:r>
          </w:p>
        </w:tc>
        <w:tc>
          <w:tcPr>
            <w:tcW w:w="993" w:type="dxa"/>
            <w:tcBorders>
              <w:top w:val="nil"/>
              <w:left w:val="nil"/>
              <w:bottom w:val="single" w:sz="4" w:space="0" w:color="auto"/>
              <w:right w:val="single" w:sz="4" w:space="0" w:color="auto"/>
            </w:tcBorders>
            <w:shd w:val="clear" w:color="auto" w:fill="auto"/>
            <w:noWrap/>
            <w:vAlign w:val="center"/>
            <w:hideMark/>
          </w:tcPr>
          <w:p w14:paraId="61DFC0B2" w14:textId="77777777" w:rsidR="00BA2924" w:rsidRPr="00BA2924" w:rsidRDefault="00BA2924" w:rsidP="00685573">
            <w:pPr>
              <w:jc w:val="center"/>
              <w:rPr>
                <w:color w:val="000000"/>
                <w:sz w:val="18"/>
                <w:szCs w:val="18"/>
              </w:rPr>
            </w:pPr>
            <w:r w:rsidRPr="00BA2924">
              <w:rPr>
                <w:color w:val="000000"/>
                <w:sz w:val="18"/>
                <w:szCs w:val="18"/>
              </w:rPr>
              <w:t> </w:t>
            </w:r>
          </w:p>
        </w:tc>
        <w:tc>
          <w:tcPr>
            <w:tcW w:w="971" w:type="dxa"/>
            <w:tcBorders>
              <w:top w:val="nil"/>
              <w:left w:val="nil"/>
              <w:bottom w:val="single" w:sz="4" w:space="0" w:color="auto"/>
              <w:right w:val="single" w:sz="8" w:space="0" w:color="auto"/>
            </w:tcBorders>
            <w:shd w:val="clear" w:color="auto" w:fill="auto"/>
            <w:noWrap/>
            <w:vAlign w:val="center"/>
            <w:hideMark/>
          </w:tcPr>
          <w:p w14:paraId="5FF05C15" w14:textId="77777777" w:rsidR="00BA2924" w:rsidRPr="00BA2924" w:rsidRDefault="00BA2924" w:rsidP="00685573">
            <w:pPr>
              <w:jc w:val="center"/>
              <w:rPr>
                <w:color w:val="000000"/>
                <w:sz w:val="18"/>
                <w:szCs w:val="18"/>
              </w:rPr>
            </w:pPr>
            <w:r w:rsidRPr="00BA2924">
              <w:rPr>
                <w:color w:val="000000"/>
                <w:sz w:val="18"/>
                <w:szCs w:val="18"/>
              </w:rPr>
              <w:t> </w:t>
            </w:r>
          </w:p>
        </w:tc>
        <w:tc>
          <w:tcPr>
            <w:tcW w:w="730" w:type="dxa"/>
            <w:tcBorders>
              <w:top w:val="nil"/>
              <w:left w:val="nil"/>
              <w:bottom w:val="single" w:sz="4" w:space="0" w:color="auto"/>
              <w:right w:val="nil"/>
            </w:tcBorders>
            <w:shd w:val="clear" w:color="auto" w:fill="auto"/>
            <w:noWrap/>
            <w:vAlign w:val="center"/>
            <w:hideMark/>
          </w:tcPr>
          <w:p w14:paraId="23096F4B" w14:textId="77777777" w:rsidR="00BA2924" w:rsidRPr="00BA2924" w:rsidRDefault="00BA2924" w:rsidP="00685573">
            <w:pPr>
              <w:jc w:val="center"/>
              <w:rPr>
                <w:color w:val="000000"/>
                <w:sz w:val="18"/>
                <w:szCs w:val="18"/>
              </w:rPr>
            </w:pPr>
            <w:r w:rsidRPr="00BA2924">
              <w:rPr>
                <w:color w:val="000000"/>
                <w:sz w:val="18"/>
                <w:szCs w:val="18"/>
              </w:rPr>
              <w:t>6</w:t>
            </w:r>
          </w:p>
        </w:tc>
        <w:tc>
          <w:tcPr>
            <w:tcW w:w="805" w:type="dxa"/>
            <w:tcBorders>
              <w:top w:val="nil"/>
              <w:left w:val="single" w:sz="4" w:space="0" w:color="auto"/>
              <w:bottom w:val="single" w:sz="4" w:space="0" w:color="auto"/>
              <w:right w:val="single" w:sz="8" w:space="0" w:color="auto"/>
            </w:tcBorders>
            <w:shd w:val="clear" w:color="auto" w:fill="auto"/>
            <w:noWrap/>
            <w:vAlign w:val="center"/>
            <w:hideMark/>
          </w:tcPr>
          <w:p w14:paraId="3BFF45AC" w14:textId="77777777" w:rsidR="00BA2924" w:rsidRPr="00BA2924" w:rsidRDefault="00BA2924" w:rsidP="00685573">
            <w:pPr>
              <w:jc w:val="center"/>
              <w:rPr>
                <w:color w:val="000000"/>
                <w:sz w:val="18"/>
                <w:szCs w:val="18"/>
              </w:rPr>
            </w:pPr>
            <w:r w:rsidRPr="00BA2924">
              <w:rPr>
                <w:color w:val="000000"/>
                <w:sz w:val="18"/>
                <w:szCs w:val="18"/>
              </w:rPr>
              <w:t>13.6</w:t>
            </w:r>
          </w:p>
        </w:tc>
      </w:tr>
      <w:tr w:rsidR="00BA2924" w:rsidRPr="00EA023B" w14:paraId="12FE025F" w14:textId="77777777" w:rsidTr="00E77A24">
        <w:trPr>
          <w:trHeight w:val="168"/>
          <w:jc w:val="center"/>
        </w:trPr>
        <w:tc>
          <w:tcPr>
            <w:tcW w:w="3676" w:type="dxa"/>
            <w:tcBorders>
              <w:top w:val="nil"/>
              <w:left w:val="single" w:sz="8" w:space="0" w:color="auto"/>
              <w:bottom w:val="single" w:sz="4" w:space="0" w:color="auto"/>
              <w:right w:val="single" w:sz="4" w:space="0" w:color="auto"/>
            </w:tcBorders>
            <w:shd w:val="clear" w:color="auto" w:fill="auto"/>
            <w:vAlign w:val="center"/>
            <w:hideMark/>
          </w:tcPr>
          <w:p w14:paraId="3D6E0F49" w14:textId="77777777" w:rsidR="00BA2924" w:rsidRPr="00BA2924" w:rsidRDefault="00BA2924" w:rsidP="00685573">
            <w:pPr>
              <w:rPr>
                <w:color w:val="000000"/>
                <w:sz w:val="18"/>
                <w:szCs w:val="18"/>
              </w:rPr>
            </w:pPr>
            <w:r w:rsidRPr="00BA2924">
              <w:rPr>
                <w:color w:val="000000"/>
                <w:sz w:val="18"/>
                <w:szCs w:val="18"/>
              </w:rPr>
              <w:t>Instituto Nacional de Ciencias Forenses de Guatemala</w:t>
            </w:r>
          </w:p>
        </w:tc>
        <w:tc>
          <w:tcPr>
            <w:tcW w:w="1134" w:type="dxa"/>
            <w:tcBorders>
              <w:top w:val="nil"/>
              <w:left w:val="nil"/>
              <w:bottom w:val="single" w:sz="4" w:space="0" w:color="auto"/>
              <w:right w:val="single" w:sz="4" w:space="0" w:color="auto"/>
            </w:tcBorders>
            <w:shd w:val="clear" w:color="auto" w:fill="auto"/>
            <w:noWrap/>
            <w:vAlign w:val="center"/>
            <w:hideMark/>
          </w:tcPr>
          <w:p w14:paraId="424D3B7C" w14:textId="77777777" w:rsidR="00BA2924" w:rsidRPr="00BA2924" w:rsidRDefault="00BA2924" w:rsidP="00685573">
            <w:pPr>
              <w:jc w:val="center"/>
              <w:rPr>
                <w:color w:val="000000"/>
                <w:sz w:val="18"/>
                <w:szCs w:val="18"/>
              </w:rPr>
            </w:pPr>
            <w:r w:rsidRPr="00BA2924">
              <w:rPr>
                <w:color w:val="000000"/>
                <w:sz w:val="18"/>
                <w:szCs w:val="18"/>
              </w:rPr>
              <w:t>26.7</w:t>
            </w:r>
          </w:p>
        </w:tc>
        <w:tc>
          <w:tcPr>
            <w:tcW w:w="895" w:type="dxa"/>
            <w:tcBorders>
              <w:top w:val="nil"/>
              <w:left w:val="nil"/>
              <w:bottom w:val="single" w:sz="4" w:space="0" w:color="auto"/>
              <w:right w:val="single" w:sz="4" w:space="0" w:color="auto"/>
            </w:tcBorders>
            <w:shd w:val="clear" w:color="auto" w:fill="auto"/>
            <w:noWrap/>
            <w:vAlign w:val="center"/>
            <w:hideMark/>
          </w:tcPr>
          <w:p w14:paraId="27EFE754" w14:textId="77777777" w:rsidR="00BA2924" w:rsidRPr="00BA2924" w:rsidRDefault="00BA2924" w:rsidP="00685573">
            <w:pPr>
              <w:jc w:val="center"/>
              <w:rPr>
                <w:color w:val="000000"/>
                <w:sz w:val="18"/>
                <w:szCs w:val="18"/>
              </w:rPr>
            </w:pPr>
            <w:r w:rsidRPr="00BA2924">
              <w:rPr>
                <w:color w:val="000000"/>
                <w:sz w:val="18"/>
                <w:szCs w:val="18"/>
              </w:rPr>
              <w:t>115.8</w:t>
            </w:r>
          </w:p>
        </w:tc>
        <w:tc>
          <w:tcPr>
            <w:tcW w:w="993" w:type="dxa"/>
            <w:tcBorders>
              <w:top w:val="nil"/>
              <w:left w:val="nil"/>
              <w:bottom w:val="single" w:sz="4" w:space="0" w:color="auto"/>
              <w:right w:val="single" w:sz="4" w:space="0" w:color="auto"/>
            </w:tcBorders>
            <w:shd w:val="clear" w:color="auto" w:fill="auto"/>
            <w:noWrap/>
            <w:vAlign w:val="center"/>
            <w:hideMark/>
          </w:tcPr>
          <w:p w14:paraId="398A4ED8" w14:textId="77777777" w:rsidR="00BA2924" w:rsidRPr="00BA2924" w:rsidRDefault="00BA2924" w:rsidP="00685573">
            <w:pPr>
              <w:jc w:val="center"/>
              <w:rPr>
                <w:color w:val="000000"/>
                <w:sz w:val="18"/>
                <w:szCs w:val="18"/>
              </w:rPr>
            </w:pPr>
            <w:r w:rsidRPr="00BA2924">
              <w:rPr>
                <w:color w:val="000000"/>
                <w:sz w:val="18"/>
                <w:szCs w:val="18"/>
              </w:rPr>
              <w:t> </w:t>
            </w:r>
          </w:p>
        </w:tc>
        <w:tc>
          <w:tcPr>
            <w:tcW w:w="971" w:type="dxa"/>
            <w:tcBorders>
              <w:top w:val="nil"/>
              <w:left w:val="nil"/>
              <w:bottom w:val="single" w:sz="4" w:space="0" w:color="auto"/>
              <w:right w:val="single" w:sz="8" w:space="0" w:color="auto"/>
            </w:tcBorders>
            <w:shd w:val="clear" w:color="auto" w:fill="auto"/>
            <w:noWrap/>
            <w:vAlign w:val="center"/>
            <w:hideMark/>
          </w:tcPr>
          <w:p w14:paraId="09FF7955" w14:textId="77777777" w:rsidR="00BA2924" w:rsidRPr="00BA2924" w:rsidRDefault="00BA2924" w:rsidP="00685573">
            <w:pPr>
              <w:jc w:val="center"/>
              <w:rPr>
                <w:color w:val="000000"/>
                <w:sz w:val="18"/>
                <w:szCs w:val="18"/>
              </w:rPr>
            </w:pPr>
            <w:r w:rsidRPr="00BA2924">
              <w:rPr>
                <w:color w:val="000000"/>
                <w:sz w:val="18"/>
                <w:szCs w:val="18"/>
              </w:rPr>
              <w:t> </w:t>
            </w:r>
          </w:p>
        </w:tc>
        <w:tc>
          <w:tcPr>
            <w:tcW w:w="730" w:type="dxa"/>
            <w:tcBorders>
              <w:top w:val="nil"/>
              <w:left w:val="nil"/>
              <w:bottom w:val="single" w:sz="4" w:space="0" w:color="auto"/>
              <w:right w:val="nil"/>
            </w:tcBorders>
            <w:shd w:val="clear" w:color="auto" w:fill="auto"/>
            <w:noWrap/>
            <w:vAlign w:val="center"/>
            <w:hideMark/>
          </w:tcPr>
          <w:p w14:paraId="28DE6296" w14:textId="77777777" w:rsidR="00BA2924" w:rsidRPr="00BA2924" w:rsidRDefault="00BA2924" w:rsidP="00685573">
            <w:pPr>
              <w:jc w:val="center"/>
              <w:rPr>
                <w:color w:val="000000"/>
                <w:sz w:val="18"/>
                <w:szCs w:val="18"/>
              </w:rPr>
            </w:pPr>
            <w:r w:rsidRPr="00BA2924">
              <w:rPr>
                <w:color w:val="000000"/>
                <w:sz w:val="18"/>
                <w:szCs w:val="18"/>
              </w:rPr>
              <w:t>2</w:t>
            </w:r>
          </w:p>
        </w:tc>
        <w:tc>
          <w:tcPr>
            <w:tcW w:w="805" w:type="dxa"/>
            <w:tcBorders>
              <w:top w:val="nil"/>
              <w:left w:val="single" w:sz="4" w:space="0" w:color="auto"/>
              <w:bottom w:val="single" w:sz="4" w:space="0" w:color="auto"/>
              <w:right w:val="single" w:sz="8" w:space="0" w:color="auto"/>
            </w:tcBorders>
            <w:shd w:val="clear" w:color="auto" w:fill="auto"/>
            <w:noWrap/>
            <w:vAlign w:val="center"/>
            <w:hideMark/>
          </w:tcPr>
          <w:p w14:paraId="7678CA83" w14:textId="77777777" w:rsidR="00BA2924" w:rsidRPr="00BA2924" w:rsidRDefault="00BA2924" w:rsidP="00685573">
            <w:pPr>
              <w:jc w:val="center"/>
              <w:rPr>
                <w:color w:val="000000"/>
                <w:sz w:val="18"/>
                <w:szCs w:val="18"/>
              </w:rPr>
            </w:pPr>
            <w:r w:rsidRPr="00BA2924">
              <w:rPr>
                <w:color w:val="000000"/>
                <w:sz w:val="18"/>
                <w:szCs w:val="18"/>
              </w:rPr>
              <w:t>142.5</w:t>
            </w:r>
          </w:p>
        </w:tc>
      </w:tr>
      <w:tr w:rsidR="00BA2924" w:rsidRPr="00EA023B" w14:paraId="4AAC60EF" w14:textId="77777777" w:rsidTr="00E77A24">
        <w:trPr>
          <w:trHeight w:val="56"/>
          <w:jc w:val="center"/>
        </w:trPr>
        <w:tc>
          <w:tcPr>
            <w:tcW w:w="3676" w:type="dxa"/>
            <w:tcBorders>
              <w:top w:val="nil"/>
              <w:left w:val="single" w:sz="8" w:space="0" w:color="auto"/>
              <w:bottom w:val="single" w:sz="4" w:space="0" w:color="auto"/>
              <w:right w:val="single" w:sz="4" w:space="0" w:color="auto"/>
            </w:tcBorders>
            <w:shd w:val="clear" w:color="auto" w:fill="auto"/>
            <w:vAlign w:val="center"/>
            <w:hideMark/>
          </w:tcPr>
          <w:p w14:paraId="35ADB6E0" w14:textId="77777777" w:rsidR="00BA2924" w:rsidRPr="00BA2924" w:rsidRDefault="00BA2924" w:rsidP="00685573">
            <w:pPr>
              <w:rPr>
                <w:color w:val="000000"/>
                <w:sz w:val="18"/>
                <w:szCs w:val="18"/>
              </w:rPr>
            </w:pPr>
            <w:r w:rsidRPr="00BA2924">
              <w:rPr>
                <w:color w:val="000000"/>
                <w:sz w:val="18"/>
                <w:szCs w:val="18"/>
              </w:rPr>
              <w:t>Instituto Técnico de Capacitación y Productividad</w:t>
            </w:r>
          </w:p>
        </w:tc>
        <w:tc>
          <w:tcPr>
            <w:tcW w:w="1134" w:type="dxa"/>
            <w:tcBorders>
              <w:top w:val="nil"/>
              <w:left w:val="nil"/>
              <w:bottom w:val="single" w:sz="4" w:space="0" w:color="auto"/>
              <w:right w:val="single" w:sz="4" w:space="0" w:color="auto"/>
            </w:tcBorders>
            <w:shd w:val="clear" w:color="auto" w:fill="auto"/>
            <w:noWrap/>
            <w:vAlign w:val="center"/>
            <w:hideMark/>
          </w:tcPr>
          <w:p w14:paraId="644D8A56" w14:textId="77777777" w:rsidR="00BA2924" w:rsidRPr="00BA2924" w:rsidRDefault="00BA2924" w:rsidP="00685573">
            <w:pPr>
              <w:jc w:val="center"/>
              <w:rPr>
                <w:color w:val="000000"/>
                <w:sz w:val="18"/>
                <w:szCs w:val="18"/>
              </w:rPr>
            </w:pPr>
            <w:r w:rsidRPr="00BA2924">
              <w:rPr>
                <w:color w:val="000000"/>
                <w:sz w:val="18"/>
                <w:szCs w:val="18"/>
              </w:rPr>
              <w:t>258.0</w:t>
            </w:r>
          </w:p>
        </w:tc>
        <w:tc>
          <w:tcPr>
            <w:tcW w:w="895" w:type="dxa"/>
            <w:tcBorders>
              <w:top w:val="nil"/>
              <w:left w:val="nil"/>
              <w:bottom w:val="single" w:sz="4" w:space="0" w:color="auto"/>
              <w:right w:val="single" w:sz="4" w:space="0" w:color="auto"/>
            </w:tcBorders>
            <w:shd w:val="clear" w:color="auto" w:fill="auto"/>
            <w:noWrap/>
            <w:vAlign w:val="center"/>
            <w:hideMark/>
          </w:tcPr>
          <w:p w14:paraId="0DC0F2B7" w14:textId="77777777" w:rsidR="00BA2924" w:rsidRPr="00BA2924" w:rsidRDefault="00BA2924" w:rsidP="00685573">
            <w:pPr>
              <w:jc w:val="center"/>
              <w:rPr>
                <w:color w:val="000000"/>
                <w:sz w:val="18"/>
                <w:szCs w:val="18"/>
              </w:rPr>
            </w:pPr>
            <w:r w:rsidRPr="00BA2924">
              <w:rPr>
                <w:color w:val="000000"/>
                <w:sz w:val="18"/>
                <w:szCs w:val="18"/>
              </w:rPr>
              <w:t>260.0</w:t>
            </w:r>
          </w:p>
        </w:tc>
        <w:tc>
          <w:tcPr>
            <w:tcW w:w="993" w:type="dxa"/>
            <w:tcBorders>
              <w:top w:val="nil"/>
              <w:left w:val="nil"/>
              <w:bottom w:val="single" w:sz="4" w:space="0" w:color="auto"/>
              <w:right w:val="single" w:sz="4" w:space="0" w:color="auto"/>
            </w:tcBorders>
            <w:shd w:val="clear" w:color="auto" w:fill="auto"/>
            <w:noWrap/>
            <w:vAlign w:val="center"/>
            <w:hideMark/>
          </w:tcPr>
          <w:p w14:paraId="3E2C186B" w14:textId="77777777" w:rsidR="00BA2924" w:rsidRPr="00BA2924" w:rsidRDefault="00BA2924" w:rsidP="00685573">
            <w:pPr>
              <w:jc w:val="center"/>
              <w:rPr>
                <w:color w:val="000000"/>
                <w:sz w:val="18"/>
                <w:szCs w:val="18"/>
              </w:rPr>
            </w:pPr>
            <w:r w:rsidRPr="00BA2924">
              <w:rPr>
                <w:color w:val="000000"/>
                <w:sz w:val="18"/>
                <w:szCs w:val="18"/>
              </w:rPr>
              <w:t>130.0</w:t>
            </w:r>
          </w:p>
        </w:tc>
        <w:tc>
          <w:tcPr>
            <w:tcW w:w="971" w:type="dxa"/>
            <w:tcBorders>
              <w:top w:val="nil"/>
              <w:left w:val="nil"/>
              <w:bottom w:val="single" w:sz="4" w:space="0" w:color="auto"/>
              <w:right w:val="single" w:sz="8" w:space="0" w:color="auto"/>
            </w:tcBorders>
            <w:shd w:val="clear" w:color="auto" w:fill="auto"/>
            <w:noWrap/>
            <w:vAlign w:val="center"/>
            <w:hideMark/>
          </w:tcPr>
          <w:p w14:paraId="3CB194B7" w14:textId="77777777" w:rsidR="00BA2924" w:rsidRPr="00BA2924" w:rsidRDefault="00BA2924" w:rsidP="00685573">
            <w:pPr>
              <w:jc w:val="center"/>
              <w:rPr>
                <w:color w:val="000000"/>
                <w:sz w:val="18"/>
                <w:szCs w:val="18"/>
              </w:rPr>
            </w:pPr>
            <w:r w:rsidRPr="00BA2924">
              <w:rPr>
                <w:color w:val="000000"/>
                <w:sz w:val="18"/>
                <w:szCs w:val="18"/>
              </w:rPr>
              <w:t> </w:t>
            </w:r>
          </w:p>
        </w:tc>
        <w:tc>
          <w:tcPr>
            <w:tcW w:w="730" w:type="dxa"/>
            <w:tcBorders>
              <w:top w:val="nil"/>
              <w:left w:val="nil"/>
              <w:bottom w:val="single" w:sz="4" w:space="0" w:color="auto"/>
              <w:right w:val="nil"/>
            </w:tcBorders>
            <w:shd w:val="clear" w:color="auto" w:fill="auto"/>
            <w:noWrap/>
            <w:vAlign w:val="center"/>
            <w:hideMark/>
          </w:tcPr>
          <w:p w14:paraId="03A31424" w14:textId="77777777" w:rsidR="00BA2924" w:rsidRPr="00BA2924" w:rsidRDefault="00BA2924" w:rsidP="00685573">
            <w:pPr>
              <w:jc w:val="center"/>
              <w:rPr>
                <w:color w:val="000000"/>
                <w:sz w:val="18"/>
                <w:szCs w:val="18"/>
              </w:rPr>
            </w:pPr>
            <w:r w:rsidRPr="00BA2924">
              <w:rPr>
                <w:color w:val="000000"/>
                <w:sz w:val="18"/>
                <w:szCs w:val="18"/>
              </w:rPr>
              <w:t>8</w:t>
            </w:r>
          </w:p>
        </w:tc>
        <w:tc>
          <w:tcPr>
            <w:tcW w:w="805" w:type="dxa"/>
            <w:tcBorders>
              <w:top w:val="nil"/>
              <w:left w:val="single" w:sz="4" w:space="0" w:color="auto"/>
              <w:bottom w:val="single" w:sz="4" w:space="0" w:color="auto"/>
              <w:right w:val="single" w:sz="8" w:space="0" w:color="auto"/>
            </w:tcBorders>
            <w:shd w:val="clear" w:color="auto" w:fill="auto"/>
            <w:noWrap/>
            <w:vAlign w:val="center"/>
            <w:hideMark/>
          </w:tcPr>
          <w:p w14:paraId="22484C85" w14:textId="77777777" w:rsidR="00BA2924" w:rsidRPr="00BA2924" w:rsidRDefault="00BA2924" w:rsidP="00685573">
            <w:pPr>
              <w:jc w:val="center"/>
              <w:rPr>
                <w:color w:val="000000"/>
                <w:sz w:val="18"/>
                <w:szCs w:val="18"/>
              </w:rPr>
            </w:pPr>
            <w:r w:rsidRPr="00BA2924">
              <w:rPr>
                <w:color w:val="000000"/>
                <w:sz w:val="18"/>
                <w:szCs w:val="18"/>
              </w:rPr>
              <w:t>648.0</w:t>
            </w:r>
          </w:p>
        </w:tc>
      </w:tr>
      <w:tr w:rsidR="007F2934" w:rsidRPr="00EA023B" w14:paraId="6B44E846" w14:textId="77777777" w:rsidTr="00E77A24">
        <w:trPr>
          <w:trHeight w:val="56"/>
          <w:jc w:val="center"/>
        </w:trPr>
        <w:tc>
          <w:tcPr>
            <w:tcW w:w="3676" w:type="dxa"/>
            <w:tcBorders>
              <w:top w:val="nil"/>
              <w:left w:val="single" w:sz="8" w:space="0" w:color="auto"/>
              <w:bottom w:val="single" w:sz="4" w:space="0" w:color="auto"/>
              <w:right w:val="single" w:sz="4" w:space="0" w:color="auto"/>
            </w:tcBorders>
            <w:shd w:val="clear" w:color="000000" w:fill="C9C9C9"/>
            <w:vAlign w:val="center"/>
            <w:hideMark/>
          </w:tcPr>
          <w:p w14:paraId="520F89C3" w14:textId="77777777" w:rsidR="00BA2924" w:rsidRPr="00BA2924" w:rsidRDefault="00BA2924" w:rsidP="00685573">
            <w:pPr>
              <w:rPr>
                <w:b/>
                <w:bCs/>
                <w:color w:val="000000"/>
                <w:sz w:val="18"/>
                <w:szCs w:val="18"/>
              </w:rPr>
            </w:pPr>
            <w:r w:rsidRPr="00BA2924">
              <w:rPr>
                <w:b/>
                <w:bCs/>
                <w:color w:val="000000"/>
                <w:sz w:val="18"/>
                <w:szCs w:val="18"/>
              </w:rPr>
              <w:t>Organos de Control Jurídicos Administrativos</w:t>
            </w:r>
          </w:p>
        </w:tc>
        <w:tc>
          <w:tcPr>
            <w:tcW w:w="1134" w:type="dxa"/>
            <w:tcBorders>
              <w:top w:val="nil"/>
              <w:left w:val="nil"/>
              <w:bottom w:val="single" w:sz="4" w:space="0" w:color="auto"/>
              <w:right w:val="single" w:sz="4" w:space="0" w:color="auto"/>
            </w:tcBorders>
            <w:shd w:val="clear" w:color="000000" w:fill="C9C9C9"/>
            <w:noWrap/>
            <w:vAlign w:val="center"/>
            <w:hideMark/>
          </w:tcPr>
          <w:p w14:paraId="3924EEFB" w14:textId="77777777" w:rsidR="00BA2924" w:rsidRPr="00BA2924" w:rsidRDefault="00BA2924" w:rsidP="00685573">
            <w:pPr>
              <w:jc w:val="center"/>
              <w:rPr>
                <w:b/>
                <w:bCs/>
                <w:color w:val="000000"/>
                <w:sz w:val="18"/>
                <w:szCs w:val="18"/>
              </w:rPr>
            </w:pPr>
            <w:r w:rsidRPr="00BA2924">
              <w:rPr>
                <w:b/>
                <w:bCs/>
                <w:color w:val="000000"/>
                <w:sz w:val="18"/>
                <w:szCs w:val="18"/>
              </w:rPr>
              <w:t>206.0</w:t>
            </w:r>
          </w:p>
        </w:tc>
        <w:tc>
          <w:tcPr>
            <w:tcW w:w="895" w:type="dxa"/>
            <w:tcBorders>
              <w:top w:val="nil"/>
              <w:left w:val="nil"/>
              <w:bottom w:val="single" w:sz="4" w:space="0" w:color="auto"/>
              <w:right w:val="single" w:sz="4" w:space="0" w:color="auto"/>
            </w:tcBorders>
            <w:shd w:val="clear" w:color="000000" w:fill="C9C9C9"/>
            <w:noWrap/>
            <w:vAlign w:val="center"/>
            <w:hideMark/>
          </w:tcPr>
          <w:p w14:paraId="58F0F7A9" w14:textId="77777777" w:rsidR="00BA2924" w:rsidRPr="00BA2924" w:rsidRDefault="00BA2924" w:rsidP="00685573">
            <w:pPr>
              <w:jc w:val="center"/>
              <w:rPr>
                <w:b/>
                <w:bCs/>
                <w:color w:val="000000"/>
                <w:sz w:val="18"/>
                <w:szCs w:val="18"/>
              </w:rPr>
            </w:pPr>
            <w:r w:rsidRPr="00BA2924">
              <w:rPr>
                <w:b/>
                <w:bCs/>
                <w:color w:val="000000"/>
                <w:sz w:val="18"/>
                <w:szCs w:val="18"/>
              </w:rPr>
              <w:t>309.4</w:t>
            </w:r>
          </w:p>
        </w:tc>
        <w:tc>
          <w:tcPr>
            <w:tcW w:w="993" w:type="dxa"/>
            <w:tcBorders>
              <w:top w:val="nil"/>
              <w:left w:val="nil"/>
              <w:bottom w:val="single" w:sz="4" w:space="0" w:color="auto"/>
              <w:right w:val="single" w:sz="4" w:space="0" w:color="auto"/>
            </w:tcBorders>
            <w:shd w:val="clear" w:color="000000" w:fill="C9C9C9"/>
            <w:noWrap/>
            <w:vAlign w:val="center"/>
            <w:hideMark/>
          </w:tcPr>
          <w:p w14:paraId="2F59FE7D" w14:textId="77777777" w:rsidR="00BA2924" w:rsidRPr="00BA2924" w:rsidRDefault="00BA2924" w:rsidP="00685573">
            <w:pPr>
              <w:jc w:val="center"/>
              <w:rPr>
                <w:b/>
                <w:bCs/>
                <w:color w:val="000000"/>
                <w:sz w:val="18"/>
                <w:szCs w:val="18"/>
              </w:rPr>
            </w:pPr>
            <w:r w:rsidRPr="00BA2924">
              <w:rPr>
                <w:b/>
                <w:bCs/>
                <w:color w:val="000000"/>
                <w:sz w:val="18"/>
                <w:szCs w:val="18"/>
              </w:rPr>
              <w:t>173.5</w:t>
            </w:r>
          </w:p>
        </w:tc>
        <w:tc>
          <w:tcPr>
            <w:tcW w:w="971" w:type="dxa"/>
            <w:tcBorders>
              <w:top w:val="nil"/>
              <w:left w:val="nil"/>
              <w:bottom w:val="single" w:sz="4" w:space="0" w:color="auto"/>
              <w:right w:val="single" w:sz="8" w:space="0" w:color="auto"/>
            </w:tcBorders>
            <w:shd w:val="clear" w:color="000000" w:fill="C9C9C9"/>
            <w:noWrap/>
            <w:vAlign w:val="center"/>
            <w:hideMark/>
          </w:tcPr>
          <w:p w14:paraId="2A84D110" w14:textId="77777777" w:rsidR="00BA2924" w:rsidRPr="00BA2924" w:rsidRDefault="00BA2924" w:rsidP="00685573">
            <w:pPr>
              <w:jc w:val="center"/>
              <w:rPr>
                <w:b/>
                <w:bCs/>
                <w:color w:val="000000"/>
                <w:sz w:val="18"/>
                <w:szCs w:val="18"/>
              </w:rPr>
            </w:pPr>
            <w:r w:rsidRPr="00BA2924">
              <w:rPr>
                <w:b/>
                <w:bCs/>
                <w:color w:val="000000"/>
                <w:sz w:val="18"/>
                <w:szCs w:val="18"/>
              </w:rPr>
              <w:t> </w:t>
            </w:r>
          </w:p>
        </w:tc>
        <w:tc>
          <w:tcPr>
            <w:tcW w:w="730" w:type="dxa"/>
            <w:tcBorders>
              <w:top w:val="nil"/>
              <w:left w:val="nil"/>
              <w:bottom w:val="single" w:sz="4" w:space="0" w:color="auto"/>
              <w:right w:val="nil"/>
            </w:tcBorders>
            <w:shd w:val="clear" w:color="000000" w:fill="C9C9C9"/>
            <w:noWrap/>
            <w:vAlign w:val="center"/>
            <w:hideMark/>
          </w:tcPr>
          <w:p w14:paraId="44550983" w14:textId="77777777" w:rsidR="00BA2924" w:rsidRPr="00BA2924" w:rsidRDefault="00BA2924" w:rsidP="00685573">
            <w:pPr>
              <w:jc w:val="center"/>
              <w:rPr>
                <w:b/>
                <w:bCs/>
                <w:color w:val="000000"/>
                <w:sz w:val="18"/>
                <w:szCs w:val="18"/>
              </w:rPr>
            </w:pPr>
            <w:r w:rsidRPr="00BA2924">
              <w:rPr>
                <w:b/>
                <w:bCs/>
                <w:color w:val="000000"/>
                <w:sz w:val="18"/>
                <w:szCs w:val="18"/>
              </w:rPr>
              <w:t>18</w:t>
            </w:r>
          </w:p>
        </w:tc>
        <w:tc>
          <w:tcPr>
            <w:tcW w:w="805" w:type="dxa"/>
            <w:tcBorders>
              <w:top w:val="nil"/>
              <w:left w:val="single" w:sz="4" w:space="0" w:color="auto"/>
              <w:bottom w:val="single" w:sz="4" w:space="0" w:color="auto"/>
              <w:right w:val="single" w:sz="8" w:space="0" w:color="auto"/>
            </w:tcBorders>
            <w:shd w:val="clear" w:color="000000" w:fill="C9C9C9"/>
            <w:noWrap/>
            <w:vAlign w:val="center"/>
            <w:hideMark/>
          </w:tcPr>
          <w:p w14:paraId="0D5AB0FF" w14:textId="77777777" w:rsidR="00BA2924" w:rsidRPr="00BA2924" w:rsidRDefault="00BA2924" w:rsidP="00685573">
            <w:pPr>
              <w:jc w:val="center"/>
              <w:rPr>
                <w:b/>
                <w:bCs/>
                <w:color w:val="000000"/>
                <w:sz w:val="18"/>
                <w:szCs w:val="18"/>
              </w:rPr>
            </w:pPr>
            <w:r w:rsidRPr="00BA2924">
              <w:rPr>
                <w:b/>
                <w:bCs/>
                <w:color w:val="000000"/>
                <w:sz w:val="18"/>
                <w:szCs w:val="18"/>
              </w:rPr>
              <w:t>688.8</w:t>
            </w:r>
          </w:p>
        </w:tc>
      </w:tr>
      <w:tr w:rsidR="00BA2924" w:rsidRPr="00EA023B" w14:paraId="4B1FD09B" w14:textId="77777777" w:rsidTr="00E77A24">
        <w:trPr>
          <w:trHeight w:val="56"/>
          <w:jc w:val="center"/>
        </w:trPr>
        <w:tc>
          <w:tcPr>
            <w:tcW w:w="3676" w:type="dxa"/>
            <w:tcBorders>
              <w:top w:val="nil"/>
              <w:left w:val="single" w:sz="8" w:space="0" w:color="auto"/>
              <w:bottom w:val="single" w:sz="4" w:space="0" w:color="auto"/>
              <w:right w:val="single" w:sz="4" w:space="0" w:color="auto"/>
            </w:tcBorders>
            <w:shd w:val="clear" w:color="auto" w:fill="auto"/>
            <w:vAlign w:val="center"/>
            <w:hideMark/>
          </w:tcPr>
          <w:p w14:paraId="4D8FA3C4" w14:textId="77777777" w:rsidR="00BA2924" w:rsidRPr="00BA2924" w:rsidRDefault="00BA2924" w:rsidP="00685573">
            <w:pPr>
              <w:rPr>
                <w:color w:val="000000"/>
                <w:sz w:val="18"/>
                <w:szCs w:val="18"/>
              </w:rPr>
            </w:pPr>
            <w:r w:rsidRPr="00BA2924">
              <w:rPr>
                <w:color w:val="000000"/>
                <w:sz w:val="18"/>
                <w:szCs w:val="18"/>
              </w:rPr>
              <w:t>Instituto de la Defensa Público Penal</w:t>
            </w:r>
          </w:p>
        </w:tc>
        <w:tc>
          <w:tcPr>
            <w:tcW w:w="1134" w:type="dxa"/>
            <w:tcBorders>
              <w:top w:val="nil"/>
              <w:left w:val="nil"/>
              <w:bottom w:val="single" w:sz="4" w:space="0" w:color="auto"/>
              <w:right w:val="single" w:sz="4" w:space="0" w:color="auto"/>
            </w:tcBorders>
            <w:shd w:val="clear" w:color="auto" w:fill="auto"/>
            <w:noWrap/>
            <w:vAlign w:val="center"/>
            <w:hideMark/>
          </w:tcPr>
          <w:p w14:paraId="1A8A640E" w14:textId="77777777" w:rsidR="00BA2924" w:rsidRPr="00BA2924" w:rsidRDefault="00BA2924" w:rsidP="00685573">
            <w:pPr>
              <w:jc w:val="center"/>
              <w:rPr>
                <w:color w:val="000000"/>
                <w:sz w:val="18"/>
                <w:szCs w:val="18"/>
              </w:rPr>
            </w:pPr>
            <w:r w:rsidRPr="00BA2924">
              <w:rPr>
                <w:color w:val="000000"/>
                <w:sz w:val="18"/>
                <w:szCs w:val="18"/>
              </w:rPr>
              <w:t>17.3</w:t>
            </w:r>
          </w:p>
        </w:tc>
        <w:tc>
          <w:tcPr>
            <w:tcW w:w="895" w:type="dxa"/>
            <w:tcBorders>
              <w:top w:val="nil"/>
              <w:left w:val="nil"/>
              <w:bottom w:val="single" w:sz="4" w:space="0" w:color="auto"/>
              <w:right w:val="single" w:sz="4" w:space="0" w:color="auto"/>
            </w:tcBorders>
            <w:shd w:val="clear" w:color="auto" w:fill="auto"/>
            <w:noWrap/>
            <w:vAlign w:val="center"/>
            <w:hideMark/>
          </w:tcPr>
          <w:p w14:paraId="4A2D3C5C" w14:textId="77777777" w:rsidR="00BA2924" w:rsidRPr="00BA2924" w:rsidRDefault="00BA2924" w:rsidP="00685573">
            <w:pPr>
              <w:jc w:val="center"/>
              <w:rPr>
                <w:color w:val="000000"/>
                <w:sz w:val="18"/>
                <w:szCs w:val="18"/>
              </w:rPr>
            </w:pPr>
            <w:r w:rsidRPr="00BA2924">
              <w:rPr>
                <w:color w:val="000000"/>
                <w:sz w:val="18"/>
                <w:szCs w:val="18"/>
              </w:rPr>
              <w:t> </w:t>
            </w:r>
          </w:p>
        </w:tc>
        <w:tc>
          <w:tcPr>
            <w:tcW w:w="993" w:type="dxa"/>
            <w:tcBorders>
              <w:top w:val="nil"/>
              <w:left w:val="nil"/>
              <w:bottom w:val="single" w:sz="4" w:space="0" w:color="auto"/>
              <w:right w:val="single" w:sz="4" w:space="0" w:color="auto"/>
            </w:tcBorders>
            <w:shd w:val="clear" w:color="auto" w:fill="auto"/>
            <w:noWrap/>
            <w:vAlign w:val="center"/>
            <w:hideMark/>
          </w:tcPr>
          <w:p w14:paraId="44717601" w14:textId="77777777" w:rsidR="00BA2924" w:rsidRPr="00BA2924" w:rsidRDefault="00BA2924" w:rsidP="00685573">
            <w:pPr>
              <w:jc w:val="center"/>
              <w:rPr>
                <w:color w:val="000000"/>
                <w:sz w:val="18"/>
                <w:szCs w:val="18"/>
              </w:rPr>
            </w:pPr>
            <w:r w:rsidRPr="00BA2924">
              <w:rPr>
                <w:color w:val="000000"/>
                <w:sz w:val="18"/>
                <w:szCs w:val="18"/>
              </w:rPr>
              <w:t> </w:t>
            </w:r>
          </w:p>
        </w:tc>
        <w:tc>
          <w:tcPr>
            <w:tcW w:w="971" w:type="dxa"/>
            <w:tcBorders>
              <w:top w:val="nil"/>
              <w:left w:val="nil"/>
              <w:bottom w:val="single" w:sz="4" w:space="0" w:color="auto"/>
              <w:right w:val="single" w:sz="8" w:space="0" w:color="auto"/>
            </w:tcBorders>
            <w:shd w:val="clear" w:color="auto" w:fill="auto"/>
            <w:noWrap/>
            <w:vAlign w:val="center"/>
            <w:hideMark/>
          </w:tcPr>
          <w:p w14:paraId="4FC8E35F" w14:textId="77777777" w:rsidR="00BA2924" w:rsidRPr="00BA2924" w:rsidRDefault="00BA2924" w:rsidP="00685573">
            <w:pPr>
              <w:jc w:val="center"/>
              <w:rPr>
                <w:color w:val="000000"/>
                <w:sz w:val="18"/>
                <w:szCs w:val="18"/>
              </w:rPr>
            </w:pPr>
            <w:r w:rsidRPr="00BA2924">
              <w:rPr>
                <w:color w:val="000000"/>
                <w:sz w:val="18"/>
                <w:szCs w:val="18"/>
              </w:rPr>
              <w:t> </w:t>
            </w:r>
          </w:p>
        </w:tc>
        <w:tc>
          <w:tcPr>
            <w:tcW w:w="730" w:type="dxa"/>
            <w:tcBorders>
              <w:top w:val="nil"/>
              <w:left w:val="nil"/>
              <w:bottom w:val="single" w:sz="4" w:space="0" w:color="auto"/>
              <w:right w:val="nil"/>
            </w:tcBorders>
            <w:shd w:val="clear" w:color="auto" w:fill="auto"/>
            <w:noWrap/>
            <w:vAlign w:val="center"/>
            <w:hideMark/>
          </w:tcPr>
          <w:p w14:paraId="68C799A3" w14:textId="77777777" w:rsidR="00BA2924" w:rsidRPr="00BA2924" w:rsidRDefault="00BA2924" w:rsidP="00685573">
            <w:pPr>
              <w:jc w:val="center"/>
              <w:rPr>
                <w:color w:val="000000"/>
                <w:sz w:val="18"/>
                <w:szCs w:val="18"/>
              </w:rPr>
            </w:pPr>
            <w:r w:rsidRPr="00BA2924">
              <w:rPr>
                <w:color w:val="000000"/>
                <w:sz w:val="18"/>
                <w:szCs w:val="18"/>
              </w:rPr>
              <w:t>1</w:t>
            </w:r>
          </w:p>
        </w:tc>
        <w:tc>
          <w:tcPr>
            <w:tcW w:w="805" w:type="dxa"/>
            <w:tcBorders>
              <w:top w:val="nil"/>
              <w:left w:val="single" w:sz="4" w:space="0" w:color="auto"/>
              <w:bottom w:val="single" w:sz="4" w:space="0" w:color="auto"/>
              <w:right w:val="single" w:sz="8" w:space="0" w:color="auto"/>
            </w:tcBorders>
            <w:shd w:val="clear" w:color="auto" w:fill="auto"/>
            <w:noWrap/>
            <w:vAlign w:val="center"/>
            <w:hideMark/>
          </w:tcPr>
          <w:p w14:paraId="4C5DF228" w14:textId="77777777" w:rsidR="00BA2924" w:rsidRPr="00BA2924" w:rsidRDefault="00BA2924" w:rsidP="00685573">
            <w:pPr>
              <w:jc w:val="center"/>
              <w:rPr>
                <w:color w:val="000000"/>
                <w:sz w:val="18"/>
                <w:szCs w:val="18"/>
              </w:rPr>
            </w:pPr>
            <w:r w:rsidRPr="00BA2924">
              <w:rPr>
                <w:color w:val="000000"/>
                <w:sz w:val="18"/>
                <w:szCs w:val="18"/>
              </w:rPr>
              <w:t>17.3</w:t>
            </w:r>
          </w:p>
        </w:tc>
      </w:tr>
      <w:tr w:rsidR="00BA2924" w:rsidRPr="00EA023B" w14:paraId="2F3F667F" w14:textId="77777777" w:rsidTr="00E77A24">
        <w:trPr>
          <w:trHeight w:val="300"/>
          <w:jc w:val="center"/>
        </w:trPr>
        <w:tc>
          <w:tcPr>
            <w:tcW w:w="3676" w:type="dxa"/>
            <w:tcBorders>
              <w:top w:val="nil"/>
              <w:left w:val="single" w:sz="8" w:space="0" w:color="auto"/>
              <w:bottom w:val="single" w:sz="4" w:space="0" w:color="auto"/>
              <w:right w:val="single" w:sz="4" w:space="0" w:color="auto"/>
            </w:tcBorders>
            <w:shd w:val="clear" w:color="auto" w:fill="auto"/>
            <w:vAlign w:val="center"/>
            <w:hideMark/>
          </w:tcPr>
          <w:p w14:paraId="1E92AF9D" w14:textId="77777777" w:rsidR="00BA2924" w:rsidRPr="00BA2924" w:rsidRDefault="00BA2924" w:rsidP="00685573">
            <w:pPr>
              <w:rPr>
                <w:color w:val="000000"/>
                <w:sz w:val="18"/>
                <w:szCs w:val="18"/>
              </w:rPr>
            </w:pPr>
            <w:r w:rsidRPr="00BA2924">
              <w:rPr>
                <w:color w:val="000000"/>
                <w:sz w:val="18"/>
                <w:szCs w:val="18"/>
              </w:rPr>
              <w:t>Ministerio Público</w:t>
            </w:r>
          </w:p>
        </w:tc>
        <w:tc>
          <w:tcPr>
            <w:tcW w:w="1134" w:type="dxa"/>
            <w:tcBorders>
              <w:top w:val="nil"/>
              <w:left w:val="nil"/>
              <w:bottom w:val="single" w:sz="4" w:space="0" w:color="auto"/>
              <w:right w:val="single" w:sz="4" w:space="0" w:color="auto"/>
            </w:tcBorders>
            <w:shd w:val="clear" w:color="auto" w:fill="auto"/>
            <w:noWrap/>
            <w:vAlign w:val="center"/>
            <w:hideMark/>
          </w:tcPr>
          <w:p w14:paraId="7C67E3B0" w14:textId="77777777" w:rsidR="00BA2924" w:rsidRPr="00BA2924" w:rsidRDefault="00BA2924" w:rsidP="00685573">
            <w:pPr>
              <w:jc w:val="center"/>
              <w:rPr>
                <w:color w:val="000000"/>
                <w:sz w:val="18"/>
                <w:szCs w:val="18"/>
              </w:rPr>
            </w:pPr>
            <w:r w:rsidRPr="00BA2924">
              <w:rPr>
                <w:color w:val="000000"/>
                <w:sz w:val="18"/>
                <w:szCs w:val="18"/>
              </w:rPr>
              <w:t>25.9</w:t>
            </w:r>
          </w:p>
        </w:tc>
        <w:tc>
          <w:tcPr>
            <w:tcW w:w="895" w:type="dxa"/>
            <w:tcBorders>
              <w:top w:val="nil"/>
              <w:left w:val="nil"/>
              <w:bottom w:val="single" w:sz="4" w:space="0" w:color="auto"/>
              <w:right w:val="single" w:sz="4" w:space="0" w:color="auto"/>
            </w:tcBorders>
            <w:shd w:val="clear" w:color="auto" w:fill="auto"/>
            <w:noWrap/>
            <w:vAlign w:val="center"/>
            <w:hideMark/>
          </w:tcPr>
          <w:p w14:paraId="3896C5FB" w14:textId="77777777" w:rsidR="00BA2924" w:rsidRPr="00BA2924" w:rsidRDefault="00BA2924" w:rsidP="00685573">
            <w:pPr>
              <w:jc w:val="center"/>
              <w:rPr>
                <w:color w:val="000000"/>
                <w:sz w:val="18"/>
                <w:szCs w:val="18"/>
              </w:rPr>
            </w:pPr>
            <w:r w:rsidRPr="00BA2924">
              <w:rPr>
                <w:color w:val="000000"/>
                <w:sz w:val="18"/>
                <w:szCs w:val="18"/>
              </w:rPr>
              <w:t> </w:t>
            </w:r>
          </w:p>
        </w:tc>
        <w:tc>
          <w:tcPr>
            <w:tcW w:w="993" w:type="dxa"/>
            <w:tcBorders>
              <w:top w:val="nil"/>
              <w:left w:val="nil"/>
              <w:bottom w:val="single" w:sz="4" w:space="0" w:color="auto"/>
              <w:right w:val="single" w:sz="4" w:space="0" w:color="auto"/>
            </w:tcBorders>
            <w:shd w:val="clear" w:color="auto" w:fill="auto"/>
            <w:noWrap/>
            <w:vAlign w:val="center"/>
            <w:hideMark/>
          </w:tcPr>
          <w:p w14:paraId="0B360F85" w14:textId="77777777" w:rsidR="00BA2924" w:rsidRPr="00BA2924" w:rsidRDefault="00BA2924" w:rsidP="00685573">
            <w:pPr>
              <w:jc w:val="center"/>
              <w:rPr>
                <w:color w:val="000000"/>
                <w:sz w:val="18"/>
                <w:szCs w:val="18"/>
              </w:rPr>
            </w:pPr>
            <w:r w:rsidRPr="00BA2924">
              <w:rPr>
                <w:color w:val="000000"/>
                <w:sz w:val="18"/>
                <w:szCs w:val="18"/>
              </w:rPr>
              <w:t> </w:t>
            </w:r>
          </w:p>
        </w:tc>
        <w:tc>
          <w:tcPr>
            <w:tcW w:w="971" w:type="dxa"/>
            <w:tcBorders>
              <w:top w:val="nil"/>
              <w:left w:val="nil"/>
              <w:bottom w:val="single" w:sz="4" w:space="0" w:color="auto"/>
              <w:right w:val="single" w:sz="8" w:space="0" w:color="auto"/>
            </w:tcBorders>
            <w:shd w:val="clear" w:color="auto" w:fill="auto"/>
            <w:noWrap/>
            <w:vAlign w:val="center"/>
            <w:hideMark/>
          </w:tcPr>
          <w:p w14:paraId="33FE12EC" w14:textId="77777777" w:rsidR="00BA2924" w:rsidRPr="00BA2924" w:rsidRDefault="00BA2924" w:rsidP="00685573">
            <w:pPr>
              <w:jc w:val="center"/>
              <w:rPr>
                <w:color w:val="000000"/>
                <w:sz w:val="18"/>
                <w:szCs w:val="18"/>
              </w:rPr>
            </w:pPr>
            <w:r w:rsidRPr="00BA2924">
              <w:rPr>
                <w:color w:val="000000"/>
                <w:sz w:val="18"/>
                <w:szCs w:val="18"/>
              </w:rPr>
              <w:t> </w:t>
            </w:r>
          </w:p>
        </w:tc>
        <w:tc>
          <w:tcPr>
            <w:tcW w:w="730" w:type="dxa"/>
            <w:tcBorders>
              <w:top w:val="nil"/>
              <w:left w:val="nil"/>
              <w:bottom w:val="single" w:sz="4" w:space="0" w:color="auto"/>
              <w:right w:val="nil"/>
            </w:tcBorders>
            <w:shd w:val="clear" w:color="auto" w:fill="auto"/>
            <w:noWrap/>
            <w:vAlign w:val="center"/>
            <w:hideMark/>
          </w:tcPr>
          <w:p w14:paraId="3528A4A7" w14:textId="77777777" w:rsidR="00BA2924" w:rsidRPr="00BA2924" w:rsidRDefault="00BA2924" w:rsidP="00685573">
            <w:pPr>
              <w:jc w:val="center"/>
              <w:rPr>
                <w:color w:val="000000"/>
                <w:sz w:val="18"/>
                <w:szCs w:val="18"/>
              </w:rPr>
            </w:pPr>
            <w:r w:rsidRPr="00BA2924">
              <w:rPr>
                <w:color w:val="000000"/>
                <w:sz w:val="18"/>
                <w:szCs w:val="18"/>
              </w:rPr>
              <w:t>2</w:t>
            </w:r>
          </w:p>
        </w:tc>
        <w:tc>
          <w:tcPr>
            <w:tcW w:w="805" w:type="dxa"/>
            <w:tcBorders>
              <w:top w:val="nil"/>
              <w:left w:val="single" w:sz="4" w:space="0" w:color="auto"/>
              <w:bottom w:val="single" w:sz="4" w:space="0" w:color="auto"/>
              <w:right w:val="single" w:sz="8" w:space="0" w:color="auto"/>
            </w:tcBorders>
            <w:shd w:val="clear" w:color="auto" w:fill="auto"/>
            <w:noWrap/>
            <w:vAlign w:val="center"/>
            <w:hideMark/>
          </w:tcPr>
          <w:p w14:paraId="734167FE" w14:textId="77777777" w:rsidR="00BA2924" w:rsidRPr="00BA2924" w:rsidRDefault="00BA2924" w:rsidP="00685573">
            <w:pPr>
              <w:jc w:val="center"/>
              <w:rPr>
                <w:color w:val="000000"/>
                <w:sz w:val="18"/>
                <w:szCs w:val="18"/>
              </w:rPr>
            </w:pPr>
            <w:r w:rsidRPr="00BA2924">
              <w:rPr>
                <w:color w:val="000000"/>
                <w:sz w:val="18"/>
                <w:szCs w:val="18"/>
              </w:rPr>
              <w:t>25.9</w:t>
            </w:r>
          </w:p>
        </w:tc>
      </w:tr>
      <w:tr w:rsidR="00BA2924" w:rsidRPr="00EA023B" w14:paraId="0E0A716D" w14:textId="77777777" w:rsidTr="00E77A24">
        <w:trPr>
          <w:trHeight w:val="56"/>
          <w:jc w:val="center"/>
        </w:trPr>
        <w:tc>
          <w:tcPr>
            <w:tcW w:w="3676" w:type="dxa"/>
            <w:tcBorders>
              <w:top w:val="nil"/>
              <w:left w:val="single" w:sz="8" w:space="0" w:color="auto"/>
              <w:bottom w:val="single" w:sz="4" w:space="0" w:color="auto"/>
              <w:right w:val="single" w:sz="4" w:space="0" w:color="auto"/>
            </w:tcBorders>
            <w:shd w:val="clear" w:color="auto" w:fill="auto"/>
            <w:vAlign w:val="center"/>
            <w:hideMark/>
          </w:tcPr>
          <w:p w14:paraId="2E4BED48" w14:textId="77777777" w:rsidR="00BA2924" w:rsidRPr="00BA2924" w:rsidRDefault="00BA2924" w:rsidP="00685573">
            <w:pPr>
              <w:rPr>
                <w:color w:val="000000"/>
                <w:sz w:val="18"/>
                <w:szCs w:val="18"/>
              </w:rPr>
            </w:pPr>
            <w:r w:rsidRPr="00BA2924">
              <w:rPr>
                <w:color w:val="000000"/>
                <w:sz w:val="18"/>
                <w:szCs w:val="18"/>
              </w:rPr>
              <w:t>Organismo Judicial</w:t>
            </w:r>
          </w:p>
        </w:tc>
        <w:tc>
          <w:tcPr>
            <w:tcW w:w="1134" w:type="dxa"/>
            <w:tcBorders>
              <w:top w:val="nil"/>
              <w:left w:val="nil"/>
              <w:bottom w:val="single" w:sz="4" w:space="0" w:color="auto"/>
              <w:right w:val="single" w:sz="4" w:space="0" w:color="auto"/>
            </w:tcBorders>
            <w:shd w:val="clear" w:color="auto" w:fill="auto"/>
            <w:noWrap/>
            <w:vAlign w:val="center"/>
            <w:hideMark/>
          </w:tcPr>
          <w:p w14:paraId="31DAA026" w14:textId="77777777" w:rsidR="00BA2924" w:rsidRPr="00BA2924" w:rsidRDefault="00BA2924" w:rsidP="00685573">
            <w:pPr>
              <w:jc w:val="center"/>
              <w:rPr>
                <w:color w:val="000000"/>
                <w:sz w:val="18"/>
                <w:szCs w:val="18"/>
              </w:rPr>
            </w:pPr>
            <w:r w:rsidRPr="00BA2924">
              <w:rPr>
                <w:color w:val="000000"/>
                <w:sz w:val="18"/>
                <w:szCs w:val="18"/>
              </w:rPr>
              <w:t>150.7</w:t>
            </w:r>
          </w:p>
        </w:tc>
        <w:tc>
          <w:tcPr>
            <w:tcW w:w="895" w:type="dxa"/>
            <w:tcBorders>
              <w:top w:val="nil"/>
              <w:left w:val="nil"/>
              <w:bottom w:val="single" w:sz="4" w:space="0" w:color="auto"/>
              <w:right w:val="single" w:sz="4" w:space="0" w:color="auto"/>
            </w:tcBorders>
            <w:shd w:val="clear" w:color="auto" w:fill="auto"/>
            <w:noWrap/>
            <w:vAlign w:val="center"/>
            <w:hideMark/>
          </w:tcPr>
          <w:p w14:paraId="2B3EA61A" w14:textId="77777777" w:rsidR="00BA2924" w:rsidRPr="00BA2924" w:rsidRDefault="00BA2924" w:rsidP="00685573">
            <w:pPr>
              <w:jc w:val="center"/>
              <w:rPr>
                <w:color w:val="000000"/>
                <w:sz w:val="18"/>
                <w:szCs w:val="18"/>
              </w:rPr>
            </w:pPr>
            <w:r w:rsidRPr="00BA2924">
              <w:rPr>
                <w:color w:val="000000"/>
                <w:sz w:val="18"/>
                <w:szCs w:val="18"/>
              </w:rPr>
              <w:t>308.3</w:t>
            </w:r>
          </w:p>
        </w:tc>
        <w:tc>
          <w:tcPr>
            <w:tcW w:w="993" w:type="dxa"/>
            <w:tcBorders>
              <w:top w:val="nil"/>
              <w:left w:val="nil"/>
              <w:bottom w:val="single" w:sz="4" w:space="0" w:color="auto"/>
              <w:right w:val="single" w:sz="4" w:space="0" w:color="auto"/>
            </w:tcBorders>
            <w:shd w:val="clear" w:color="auto" w:fill="auto"/>
            <w:noWrap/>
            <w:vAlign w:val="center"/>
            <w:hideMark/>
          </w:tcPr>
          <w:p w14:paraId="1D76F430" w14:textId="77777777" w:rsidR="00BA2924" w:rsidRPr="00BA2924" w:rsidRDefault="00BA2924" w:rsidP="00685573">
            <w:pPr>
              <w:jc w:val="center"/>
              <w:rPr>
                <w:color w:val="000000"/>
                <w:sz w:val="18"/>
                <w:szCs w:val="18"/>
              </w:rPr>
            </w:pPr>
            <w:r w:rsidRPr="00BA2924">
              <w:rPr>
                <w:color w:val="000000"/>
                <w:sz w:val="18"/>
                <w:szCs w:val="18"/>
              </w:rPr>
              <w:t>172.4</w:t>
            </w:r>
          </w:p>
        </w:tc>
        <w:tc>
          <w:tcPr>
            <w:tcW w:w="971" w:type="dxa"/>
            <w:tcBorders>
              <w:top w:val="nil"/>
              <w:left w:val="nil"/>
              <w:bottom w:val="single" w:sz="4" w:space="0" w:color="auto"/>
              <w:right w:val="single" w:sz="8" w:space="0" w:color="auto"/>
            </w:tcBorders>
            <w:shd w:val="clear" w:color="auto" w:fill="auto"/>
            <w:noWrap/>
            <w:vAlign w:val="center"/>
            <w:hideMark/>
          </w:tcPr>
          <w:p w14:paraId="77828683" w14:textId="77777777" w:rsidR="00BA2924" w:rsidRPr="00BA2924" w:rsidRDefault="00BA2924" w:rsidP="00685573">
            <w:pPr>
              <w:jc w:val="center"/>
              <w:rPr>
                <w:color w:val="000000"/>
                <w:sz w:val="18"/>
                <w:szCs w:val="18"/>
              </w:rPr>
            </w:pPr>
            <w:r w:rsidRPr="00BA2924">
              <w:rPr>
                <w:color w:val="000000"/>
                <w:sz w:val="18"/>
                <w:szCs w:val="18"/>
              </w:rPr>
              <w:t> </w:t>
            </w:r>
          </w:p>
        </w:tc>
        <w:tc>
          <w:tcPr>
            <w:tcW w:w="730" w:type="dxa"/>
            <w:tcBorders>
              <w:top w:val="nil"/>
              <w:left w:val="nil"/>
              <w:bottom w:val="single" w:sz="4" w:space="0" w:color="auto"/>
              <w:right w:val="nil"/>
            </w:tcBorders>
            <w:shd w:val="clear" w:color="auto" w:fill="auto"/>
            <w:noWrap/>
            <w:vAlign w:val="center"/>
            <w:hideMark/>
          </w:tcPr>
          <w:p w14:paraId="656F4ED1" w14:textId="77777777" w:rsidR="00BA2924" w:rsidRPr="00BA2924" w:rsidRDefault="00BA2924" w:rsidP="00685573">
            <w:pPr>
              <w:jc w:val="center"/>
              <w:rPr>
                <w:color w:val="000000"/>
                <w:sz w:val="18"/>
                <w:szCs w:val="18"/>
              </w:rPr>
            </w:pPr>
            <w:r w:rsidRPr="00BA2924">
              <w:rPr>
                <w:color w:val="000000"/>
                <w:sz w:val="18"/>
                <w:szCs w:val="18"/>
              </w:rPr>
              <w:t>11</w:t>
            </w:r>
          </w:p>
        </w:tc>
        <w:tc>
          <w:tcPr>
            <w:tcW w:w="805" w:type="dxa"/>
            <w:tcBorders>
              <w:top w:val="nil"/>
              <w:left w:val="single" w:sz="4" w:space="0" w:color="auto"/>
              <w:bottom w:val="single" w:sz="4" w:space="0" w:color="auto"/>
              <w:right w:val="single" w:sz="8" w:space="0" w:color="auto"/>
            </w:tcBorders>
            <w:shd w:val="clear" w:color="auto" w:fill="auto"/>
            <w:noWrap/>
            <w:vAlign w:val="center"/>
            <w:hideMark/>
          </w:tcPr>
          <w:p w14:paraId="7A2F923F" w14:textId="77777777" w:rsidR="00BA2924" w:rsidRPr="00BA2924" w:rsidRDefault="00BA2924" w:rsidP="00685573">
            <w:pPr>
              <w:jc w:val="center"/>
              <w:rPr>
                <w:color w:val="000000"/>
                <w:sz w:val="18"/>
                <w:szCs w:val="18"/>
              </w:rPr>
            </w:pPr>
            <w:r w:rsidRPr="00BA2924">
              <w:rPr>
                <w:color w:val="000000"/>
                <w:sz w:val="18"/>
                <w:szCs w:val="18"/>
              </w:rPr>
              <w:t>631.4</w:t>
            </w:r>
          </w:p>
        </w:tc>
      </w:tr>
      <w:tr w:rsidR="00BA2924" w:rsidRPr="00EA023B" w14:paraId="7DCC23D0" w14:textId="77777777" w:rsidTr="00E77A24">
        <w:trPr>
          <w:trHeight w:val="56"/>
          <w:jc w:val="center"/>
        </w:trPr>
        <w:tc>
          <w:tcPr>
            <w:tcW w:w="3676" w:type="dxa"/>
            <w:tcBorders>
              <w:top w:val="nil"/>
              <w:left w:val="single" w:sz="8" w:space="0" w:color="auto"/>
              <w:bottom w:val="single" w:sz="4" w:space="0" w:color="auto"/>
              <w:right w:val="single" w:sz="4" w:space="0" w:color="auto"/>
            </w:tcBorders>
            <w:shd w:val="clear" w:color="auto" w:fill="auto"/>
            <w:vAlign w:val="center"/>
            <w:hideMark/>
          </w:tcPr>
          <w:p w14:paraId="41AE23DC" w14:textId="77777777" w:rsidR="00BA2924" w:rsidRPr="00BA2924" w:rsidRDefault="00BA2924" w:rsidP="00685573">
            <w:pPr>
              <w:rPr>
                <w:color w:val="000000"/>
                <w:sz w:val="18"/>
                <w:szCs w:val="18"/>
              </w:rPr>
            </w:pPr>
            <w:r w:rsidRPr="00BA2924">
              <w:rPr>
                <w:color w:val="000000"/>
                <w:sz w:val="18"/>
                <w:szCs w:val="18"/>
              </w:rPr>
              <w:t>Registro de Información Catastral de Guatemala -RIC-</w:t>
            </w:r>
          </w:p>
        </w:tc>
        <w:tc>
          <w:tcPr>
            <w:tcW w:w="1134" w:type="dxa"/>
            <w:tcBorders>
              <w:top w:val="nil"/>
              <w:left w:val="nil"/>
              <w:bottom w:val="single" w:sz="4" w:space="0" w:color="auto"/>
              <w:right w:val="single" w:sz="4" w:space="0" w:color="auto"/>
            </w:tcBorders>
            <w:shd w:val="clear" w:color="auto" w:fill="auto"/>
            <w:noWrap/>
            <w:vAlign w:val="center"/>
            <w:hideMark/>
          </w:tcPr>
          <w:p w14:paraId="50A290C7" w14:textId="77777777" w:rsidR="00BA2924" w:rsidRPr="00BA2924" w:rsidRDefault="00BA2924" w:rsidP="00685573">
            <w:pPr>
              <w:jc w:val="center"/>
              <w:rPr>
                <w:color w:val="000000"/>
                <w:sz w:val="18"/>
                <w:szCs w:val="18"/>
              </w:rPr>
            </w:pPr>
            <w:r w:rsidRPr="00BA2924">
              <w:rPr>
                <w:color w:val="000000"/>
                <w:sz w:val="18"/>
                <w:szCs w:val="18"/>
              </w:rPr>
              <w:t>12.0</w:t>
            </w:r>
          </w:p>
        </w:tc>
        <w:tc>
          <w:tcPr>
            <w:tcW w:w="895" w:type="dxa"/>
            <w:tcBorders>
              <w:top w:val="nil"/>
              <w:left w:val="nil"/>
              <w:bottom w:val="single" w:sz="4" w:space="0" w:color="auto"/>
              <w:right w:val="single" w:sz="4" w:space="0" w:color="auto"/>
            </w:tcBorders>
            <w:shd w:val="clear" w:color="auto" w:fill="auto"/>
            <w:noWrap/>
            <w:vAlign w:val="center"/>
            <w:hideMark/>
          </w:tcPr>
          <w:p w14:paraId="079904AD" w14:textId="77777777" w:rsidR="00BA2924" w:rsidRPr="00BA2924" w:rsidRDefault="00BA2924" w:rsidP="00685573">
            <w:pPr>
              <w:jc w:val="center"/>
              <w:rPr>
                <w:color w:val="000000"/>
                <w:sz w:val="18"/>
                <w:szCs w:val="18"/>
              </w:rPr>
            </w:pPr>
            <w:r w:rsidRPr="00BA2924">
              <w:rPr>
                <w:color w:val="000000"/>
                <w:sz w:val="18"/>
                <w:szCs w:val="18"/>
              </w:rPr>
              <w:t>1.1</w:t>
            </w:r>
          </w:p>
        </w:tc>
        <w:tc>
          <w:tcPr>
            <w:tcW w:w="993" w:type="dxa"/>
            <w:tcBorders>
              <w:top w:val="nil"/>
              <w:left w:val="nil"/>
              <w:bottom w:val="single" w:sz="4" w:space="0" w:color="auto"/>
              <w:right w:val="single" w:sz="4" w:space="0" w:color="auto"/>
            </w:tcBorders>
            <w:shd w:val="clear" w:color="auto" w:fill="auto"/>
            <w:noWrap/>
            <w:vAlign w:val="center"/>
            <w:hideMark/>
          </w:tcPr>
          <w:p w14:paraId="14552749" w14:textId="77777777" w:rsidR="00BA2924" w:rsidRPr="00BA2924" w:rsidRDefault="00BA2924" w:rsidP="00685573">
            <w:pPr>
              <w:jc w:val="center"/>
              <w:rPr>
                <w:color w:val="000000"/>
                <w:sz w:val="18"/>
                <w:szCs w:val="18"/>
              </w:rPr>
            </w:pPr>
            <w:r w:rsidRPr="00BA2924">
              <w:rPr>
                <w:color w:val="000000"/>
                <w:sz w:val="18"/>
                <w:szCs w:val="18"/>
              </w:rPr>
              <w:t>1.1</w:t>
            </w:r>
          </w:p>
        </w:tc>
        <w:tc>
          <w:tcPr>
            <w:tcW w:w="971" w:type="dxa"/>
            <w:tcBorders>
              <w:top w:val="nil"/>
              <w:left w:val="nil"/>
              <w:bottom w:val="single" w:sz="4" w:space="0" w:color="auto"/>
              <w:right w:val="single" w:sz="8" w:space="0" w:color="auto"/>
            </w:tcBorders>
            <w:shd w:val="clear" w:color="auto" w:fill="auto"/>
            <w:noWrap/>
            <w:vAlign w:val="center"/>
            <w:hideMark/>
          </w:tcPr>
          <w:p w14:paraId="21D0C51B" w14:textId="77777777" w:rsidR="00BA2924" w:rsidRPr="00BA2924" w:rsidRDefault="00BA2924" w:rsidP="00685573">
            <w:pPr>
              <w:jc w:val="center"/>
              <w:rPr>
                <w:color w:val="000000"/>
                <w:sz w:val="18"/>
                <w:szCs w:val="18"/>
              </w:rPr>
            </w:pPr>
            <w:r w:rsidRPr="00BA2924">
              <w:rPr>
                <w:color w:val="000000"/>
                <w:sz w:val="18"/>
                <w:szCs w:val="18"/>
              </w:rPr>
              <w:t> </w:t>
            </w:r>
          </w:p>
        </w:tc>
        <w:tc>
          <w:tcPr>
            <w:tcW w:w="730" w:type="dxa"/>
            <w:tcBorders>
              <w:top w:val="nil"/>
              <w:left w:val="nil"/>
              <w:bottom w:val="single" w:sz="4" w:space="0" w:color="auto"/>
              <w:right w:val="nil"/>
            </w:tcBorders>
            <w:shd w:val="clear" w:color="auto" w:fill="auto"/>
            <w:noWrap/>
            <w:vAlign w:val="center"/>
            <w:hideMark/>
          </w:tcPr>
          <w:p w14:paraId="61266F61" w14:textId="77777777" w:rsidR="00BA2924" w:rsidRPr="00BA2924" w:rsidRDefault="00BA2924" w:rsidP="00685573">
            <w:pPr>
              <w:jc w:val="center"/>
              <w:rPr>
                <w:color w:val="000000"/>
                <w:sz w:val="18"/>
                <w:szCs w:val="18"/>
              </w:rPr>
            </w:pPr>
            <w:r w:rsidRPr="00BA2924">
              <w:rPr>
                <w:color w:val="000000"/>
                <w:sz w:val="18"/>
                <w:szCs w:val="18"/>
              </w:rPr>
              <w:t>4</w:t>
            </w:r>
          </w:p>
        </w:tc>
        <w:tc>
          <w:tcPr>
            <w:tcW w:w="805" w:type="dxa"/>
            <w:tcBorders>
              <w:top w:val="nil"/>
              <w:left w:val="single" w:sz="4" w:space="0" w:color="auto"/>
              <w:bottom w:val="single" w:sz="4" w:space="0" w:color="auto"/>
              <w:right w:val="single" w:sz="8" w:space="0" w:color="auto"/>
            </w:tcBorders>
            <w:shd w:val="clear" w:color="auto" w:fill="auto"/>
            <w:noWrap/>
            <w:vAlign w:val="center"/>
            <w:hideMark/>
          </w:tcPr>
          <w:p w14:paraId="1A8BBC86" w14:textId="77777777" w:rsidR="00BA2924" w:rsidRPr="00BA2924" w:rsidRDefault="00BA2924" w:rsidP="00685573">
            <w:pPr>
              <w:jc w:val="center"/>
              <w:rPr>
                <w:color w:val="000000"/>
                <w:sz w:val="18"/>
                <w:szCs w:val="18"/>
              </w:rPr>
            </w:pPr>
            <w:r w:rsidRPr="00BA2924">
              <w:rPr>
                <w:color w:val="000000"/>
                <w:sz w:val="18"/>
                <w:szCs w:val="18"/>
              </w:rPr>
              <w:t>14.2</w:t>
            </w:r>
          </w:p>
        </w:tc>
      </w:tr>
      <w:tr w:rsidR="007F2934" w:rsidRPr="00EA023B" w14:paraId="75398D7A" w14:textId="77777777" w:rsidTr="00E77A24">
        <w:trPr>
          <w:trHeight w:val="46"/>
          <w:jc w:val="center"/>
        </w:trPr>
        <w:tc>
          <w:tcPr>
            <w:tcW w:w="3676" w:type="dxa"/>
            <w:tcBorders>
              <w:top w:val="single" w:sz="8" w:space="0" w:color="auto"/>
              <w:left w:val="single" w:sz="8" w:space="0" w:color="auto"/>
              <w:bottom w:val="single" w:sz="8" w:space="0" w:color="auto"/>
              <w:right w:val="single" w:sz="4" w:space="0" w:color="auto"/>
            </w:tcBorders>
            <w:shd w:val="clear" w:color="000000" w:fill="2F75B5"/>
            <w:noWrap/>
            <w:vAlign w:val="center"/>
            <w:hideMark/>
          </w:tcPr>
          <w:p w14:paraId="1B86D92D" w14:textId="77777777" w:rsidR="00BA2924" w:rsidRPr="00BA2924" w:rsidRDefault="00BA2924" w:rsidP="00685573">
            <w:pPr>
              <w:jc w:val="center"/>
              <w:rPr>
                <w:b/>
                <w:bCs/>
                <w:color w:val="FFFFFF"/>
                <w:sz w:val="18"/>
                <w:szCs w:val="18"/>
              </w:rPr>
            </w:pPr>
            <w:r w:rsidRPr="00BA2924">
              <w:rPr>
                <w:b/>
                <w:bCs/>
                <w:color w:val="FFFFFF"/>
                <w:sz w:val="18"/>
                <w:szCs w:val="18"/>
              </w:rPr>
              <w:t>Total</w:t>
            </w:r>
          </w:p>
        </w:tc>
        <w:tc>
          <w:tcPr>
            <w:tcW w:w="1134" w:type="dxa"/>
            <w:tcBorders>
              <w:top w:val="single" w:sz="8" w:space="0" w:color="auto"/>
              <w:left w:val="nil"/>
              <w:bottom w:val="single" w:sz="8" w:space="0" w:color="auto"/>
              <w:right w:val="single" w:sz="4" w:space="0" w:color="auto"/>
            </w:tcBorders>
            <w:shd w:val="clear" w:color="000000" w:fill="2F75B5"/>
            <w:noWrap/>
            <w:vAlign w:val="center"/>
            <w:hideMark/>
          </w:tcPr>
          <w:p w14:paraId="1F465B82" w14:textId="77777777" w:rsidR="00BA2924" w:rsidRPr="00BA2924" w:rsidRDefault="00BA2924" w:rsidP="00685573">
            <w:pPr>
              <w:jc w:val="center"/>
              <w:rPr>
                <w:b/>
                <w:bCs/>
                <w:color w:val="FFFFFF"/>
                <w:sz w:val="18"/>
                <w:szCs w:val="18"/>
              </w:rPr>
            </w:pPr>
            <w:r w:rsidRPr="00BA2924">
              <w:rPr>
                <w:b/>
                <w:bCs/>
                <w:color w:val="FFFFFF"/>
                <w:sz w:val="18"/>
                <w:szCs w:val="18"/>
              </w:rPr>
              <w:t>3,682.6</w:t>
            </w:r>
          </w:p>
        </w:tc>
        <w:tc>
          <w:tcPr>
            <w:tcW w:w="895" w:type="dxa"/>
            <w:tcBorders>
              <w:top w:val="single" w:sz="8" w:space="0" w:color="auto"/>
              <w:left w:val="nil"/>
              <w:bottom w:val="single" w:sz="8" w:space="0" w:color="auto"/>
              <w:right w:val="single" w:sz="4" w:space="0" w:color="auto"/>
            </w:tcBorders>
            <w:shd w:val="clear" w:color="000000" w:fill="2F75B5"/>
            <w:noWrap/>
            <w:vAlign w:val="center"/>
            <w:hideMark/>
          </w:tcPr>
          <w:p w14:paraId="69313AA1" w14:textId="77777777" w:rsidR="00BA2924" w:rsidRPr="00BA2924" w:rsidRDefault="00BA2924" w:rsidP="00685573">
            <w:pPr>
              <w:jc w:val="center"/>
              <w:rPr>
                <w:b/>
                <w:bCs/>
                <w:color w:val="FFFFFF"/>
                <w:sz w:val="18"/>
                <w:szCs w:val="18"/>
              </w:rPr>
            </w:pPr>
            <w:r w:rsidRPr="00BA2924">
              <w:rPr>
                <w:b/>
                <w:bCs/>
                <w:color w:val="FFFFFF"/>
                <w:sz w:val="18"/>
                <w:szCs w:val="18"/>
              </w:rPr>
              <w:t>627.2</w:t>
            </w:r>
          </w:p>
        </w:tc>
        <w:tc>
          <w:tcPr>
            <w:tcW w:w="993" w:type="dxa"/>
            <w:tcBorders>
              <w:top w:val="single" w:sz="8" w:space="0" w:color="auto"/>
              <w:left w:val="nil"/>
              <w:bottom w:val="single" w:sz="8" w:space="0" w:color="auto"/>
              <w:right w:val="single" w:sz="4" w:space="0" w:color="auto"/>
            </w:tcBorders>
            <w:shd w:val="clear" w:color="000000" w:fill="2F75B5"/>
            <w:noWrap/>
            <w:vAlign w:val="center"/>
            <w:hideMark/>
          </w:tcPr>
          <w:p w14:paraId="20A3195E" w14:textId="77777777" w:rsidR="00BA2924" w:rsidRPr="00BA2924" w:rsidRDefault="00BA2924" w:rsidP="00685573">
            <w:pPr>
              <w:jc w:val="center"/>
              <w:rPr>
                <w:b/>
                <w:bCs/>
                <w:color w:val="FFFFFF"/>
                <w:sz w:val="18"/>
                <w:szCs w:val="18"/>
              </w:rPr>
            </w:pPr>
            <w:r w:rsidRPr="00BA2924">
              <w:rPr>
                <w:b/>
                <w:bCs/>
                <w:color w:val="FFFFFF"/>
                <w:sz w:val="18"/>
                <w:szCs w:val="18"/>
              </w:rPr>
              <w:t>320.9</w:t>
            </w:r>
          </w:p>
        </w:tc>
        <w:tc>
          <w:tcPr>
            <w:tcW w:w="971" w:type="dxa"/>
            <w:tcBorders>
              <w:top w:val="single" w:sz="8" w:space="0" w:color="auto"/>
              <w:left w:val="nil"/>
              <w:bottom w:val="single" w:sz="8" w:space="0" w:color="auto"/>
              <w:right w:val="single" w:sz="8" w:space="0" w:color="auto"/>
            </w:tcBorders>
            <w:shd w:val="clear" w:color="000000" w:fill="2F75B5"/>
            <w:noWrap/>
            <w:vAlign w:val="center"/>
            <w:hideMark/>
          </w:tcPr>
          <w:p w14:paraId="2C10EDB0" w14:textId="77777777" w:rsidR="00BA2924" w:rsidRPr="00BA2924" w:rsidRDefault="00BA2924" w:rsidP="00685573">
            <w:pPr>
              <w:jc w:val="center"/>
              <w:rPr>
                <w:b/>
                <w:bCs/>
                <w:color w:val="FFFFFF"/>
                <w:sz w:val="18"/>
                <w:szCs w:val="18"/>
              </w:rPr>
            </w:pPr>
            <w:r w:rsidRPr="00BA2924">
              <w:rPr>
                <w:b/>
                <w:bCs/>
                <w:color w:val="FFFFFF"/>
                <w:sz w:val="18"/>
                <w:szCs w:val="18"/>
              </w:rPr>
              <w:t>4.8</w:t>
            </w:r>
          </w:p>
        </w:tc>
        <w:tc>
          <w:tcPr>
            <w:tcW w:w="730" w:type="dxa"/>
            <w:tcBorders>
              <w:top w:val="single" w:sz="8" w:space="0" w:color="auto"/>
              <w:left w:val="nil"/>
              <w:bottom w:val="single" w:sz="8" w:space="0" w:color="auto"/>
              <w:right w:val="single" w:sz="4" w:space="0" w:color="auto"/>
            </w:tcBorders>
            <w:shd w:val="clear" w:color="000000" w:fill="2F75B5"/>
            <w:noWrap/>
            <w:vAlign w:val="center"/>
            <w:hideMark/>
          </w:tcPr>
          <w:p w14:paraId="207B37CE" w14:textId="77777777" w:rsidR="00BA2924" w:rsidRPr="00BA2924" w:rsidRDefault="00BA2924" w:rsidP="00685573">
            <w:pPr>
              <w:jc w:val="center"/>
              <w:rPr>
                <w:b/>
                <w:bCs/>
                <w:color w:val="FFFFFF"/>
                <w:sz w:val="18"/>
                <w:szCs w:val="18"/>
              </w:rPr>
            </w:pPr>
            <w:r w:rsidRPr="00BA2924">
              <w:rPr>
                <w:b/>
                <w:bCs/>
                <w:color w:val="FFFFFF"/>
                <w:sz w:val="18"/>
                <w:szCs w:val="18"/>
              </w:rPr>
              <w:t>325.0</w:t>
            </w:r>
          </w:p>
        </w:tc>
        <w:tc>
          <w:tcPr>
            <w:tcW w:w="805" w:type="dxa"/>
            <w:tcBorders>
              <w:top w:val="single" w:sz="8" w:space="0" w:color="auto"/>
              <w:left w:val="nil"/>
              <w:bottom w:val="single" w:sz="8" w:space="0" w:color="auto"/>
              <w:right w:val="nil"/>
            </w:tcBorders>
            <w:shd w:val="clear" w:color="000000" w:fill="2F75B5"/>
            <w:noWrap/>
            <w:vAlign w:val="center"/>
            <w:hideMark/>
          </w:tcPr>
          <w:p w14:paraId="32189C86" w14:textId="77777777" w:rsidR="00BA2924" w:rsidRPr="00BA2924" w:rsidRDefault="00BA2924" w:rsidP="00685573">
            <w:pPr>
              <w:jc w:val="center"/>
              <w:rPr>
                <w:b/>
                <w:bCs/>
                <w:color w:val="FFFFFF"/>
                <w:sz w:val="18"/>
                <w:szCs w:val="18"/>
              </w:rPr>
            </w:pPr>
            <w:r w:rsidRPr="00BA2924">
              <w:rPr>
                <w:b/>
                <w:bCs/>
                <w:color w:val="FFFFFF"/>
                <w:sz w:val="18"/>
                <w:szCs w:val="18"/>
              </w:rPr>
              <w:t>5,011.3</w:t>
            </w:r>
          </w:p>
        </w:tc>
      </w:tr>
    </w:tbl>
    <w:p w14:paraId="3BF5887E" w14:textId="49D3E8EA" w:rsidR="00BA2924" w:rsidRDefault="00BA2924" w:rsidP="00BA2924">
      <w:pPr>
        <w:jc w:val="both"/>
        <w:rPr>
          <w:sz w:val="16"/>
          <w:szCs w:val="16"/>
        </w:rPr>
      </w:pPr>
      <w:r w:rsidRPr="006A453E">
        <w:rPr>
          <w:sz w:val="16"/>
          <w:szCs w:val="16"/>
        </w:rPr>
        <w:t xml:space="preserve">Fuente: SEGEPLAN con información del </w:t>
      </w:r>
      <w:r>
        <w:rPr>
          <w:sz w:val="16"/>
          <w:szCs w:val="16"/>
        </w:rPr>
        <w:t xml:space="preserve">SNIP a julio </w:t>
      </w:r>
      <w:r w:rsidRPr="006A453E">
        <w:rPr>
          <w:sz w:val="16"/>
          <w:szCs w:val="16"/>
        </w:rPr>
        <w:t>2023</w:t>
      </w:r>
    </w:p>
    <w:p w14:paraId="619B385A" w14:textId="77777777" w:rsidR="00E01410" w:rsidRPr="006A453E" w:rsidRDefault="00E01410" w:rsidP="00BA2924">
      <w:pPr>
        <w:jc w:val="both"/>
      </w:pPr>
    </w:p>
    <w:p w14:paraId="346963CE" w14:textId="5D7CFA1A" w:rsidR="00486DFF" w:rsidRDefault="00486DFF" w:rsidP="00531A1B">
      <w:pPr>
        <w:pStyle w:val="Prrafodelista"/>
        <w:numPr>
          <w:ilvl w:val="1"/>
          <w:numId w:val="3"/>
        </w:numPr>
        <w:jc w:val="both"/>
        <w:outlineLvl w:val="1"/>
        <w:rPr>
          <w:b/>
          <w:bCs/>
        </w:rPr>
      </w:pPr>
      <w:bookmarkStart w:id="276" w:name="_Toc143865870"/>
      <w:r w:rsidRPr="00486DFF">
        <w:rPr>
          <w:b/>
          <w:bCs/>
        </w:rPr>
        <w:t>Perspectivas del endeudamiento público</w:t>
      </w:r>
      <w:bookmarkEnd w:id="276"/>
    </w:p>
    <w:p w14:paraId="1E938D64" w14:textId="1DA3F5EB" w:rsidR="00486DFF" w:rsidRDefault="00486DFF" w:rsidP="00486DFF">
      <w:pPr>
        <w:rPr>
          <w:b/>
          <w:bCs/>
        </w:rPr>
      </w:pPr>
    </w:p>
    <w:p w14:paraId="38983553" w14:textId="47EE2097" w:rsidR="00486DFF" w:rsidRDefault="00486DFF" w:rsidP="00486DFF">
      <w:pPr>
        <w:jc w:val="both"/>
      </w:pPr>
      <w:r>
        <w:t>En cuanto a las perspectivas de mediano plazo de la deuda pública de Guatemala, según la propuesta de techos presupuestarios para 2024, ubicaría este indicador de deuda/PIB en 2</w:t>
      </w:r>
      <w:r w:rsidR="00C91AED">
        <w:t>7</w:t>
      </w:r>
      <w:r>
        <w:t>.</w:t>
      </w:r>
      <w:r w:rsidR="00C91AED">
        <w:t>9</w:t>
      </w:r>
      <w:r>
        <w:t xml:space="preserve">% y mostraría </w:t>
      </w:r>
      <w:r w:rsidR="002127CF">
        <w:t>un</w:t>
      </w:r>
      <w:r w:rsidR="00AA2483">
        <w:t xml:space="preserve">a reducción </w:t>
      </w:r>
      <w:r>
        <w:t xml:space="preserve">en el mediano plazo </w:t>
      </w:r>
      <w:r w:rsidR="00AA2483">
        <w:t>hasta ubicarlo en 23.</w:t>
      </w:r>
      <w:r w:rsidR="00C91AED">
        <w:t>7</w:t>
      </w:r>
      <w:r w:rsidR="00AA2483">
        <w:t>% para</w:t>
      </w:r>
      <w:r>
        <w:t xml:space="preserve"> 2028. Es relevante comentar el hito que supone la reducción de la deuda pública luego de la crisis del COVID-19, dado que, si bien la deuda creció significativamente en 2020, esta fue controlada inmediatamente el año posterior y no requirió un recorte desmedido del gasto público. </w:t>
      </w:r>
      <w:r w:rsidR="00AA2483">
        <w:t>Para 2028 el indicador se ubicaría incluso por debajo del nivel pre COVID-19.</w:t>
      </w:r>
    </w:p>
    <w:p w14:paraId="42427DF4" w14:textId="77777777" w:rsidR="00486DFF" w:rsidRDefault="00486DFF" w:rsidP="00486DFF">
      <w:pPr>
        <w:jc w:val="both"/>
      </w:pPr>
    </w:p>
    <w:p w14:paraId="0BE6DA74" w14:textId="77777777" w:rsidR="00486DFF" w:rsidRDefault="00486DFF" w:rsidP="00486DFF">
      <w:pPr>
        <w:jc w:val="both"/>
      </w:pPr>
      <w:r>
        <w:t xml:space="preserve">El nivel mostrado por Guatemala, es el nivel más bajo en toda Centroamérica incluyendo a República Dominicana. Asimismo, este indicador muestra una tendencia sostenible que se encuentra en el mediano plazo por debajo del benchmark para un país de ingreso medio alto, que podría estar entre 50% - 60%, según lo establecen organismos financieros internacionales como el Fondo Monetario Internacional y el Banco Mundial. Esta proyección es consistente con una gradual consolidación fiscal que inició en 2021 después de que todos los indicadores fiscales sufrieran cambios significativos por la crisis del COVID-19. </w:t>
      </w:r>
    </w:p>
    <w:p w14:paraId="32573B54" w14:textId="77777777" w:rsidR="00486DFF" w:rsidRDefault="00486DFF" w:rsidP="00486DFF">
      <w:pPr>
        <w:jc w:val="both"/>
      </w:pPr>
    </w:p>
    <w:p w14:paraId="578BDF47" w14:textId="2D145969" w:rsidR="00486DFF" w:rsidRDefault="00486DFF" w:rsidP="00486DFF">
      <w:pPr>
        <w:jc w:val="both"/>
      </w:pPr>
      <w:r>
        <w:t>En cuanto al indicador de deuda/ingresos fiscales se estima que podría ubicarse para 2024 en 2</w:t>
      </w:r>
      <w:r w:rsidR="00AA2483">
        <w:t>2</w:t>
      </w:r>
      <w:r w:rsidR="00C91AED">
        <w:t>7</w:t>
      </w:r>
      <w:r>
        <w:t>.</w:t>
      </w:r>
      <w:r w:rsidR="00C91AED">
        <w:t>2</w:t>
      </w:r>
      <w:r>
        <w:t>%, para 2025 se prevé que podría situarse en 22</w:t>
      </w:r>
      <w:r w:rsidR="00C91AED">
        <w:t>2</w:t>
      </w:r>
      <w:r w:rsidR="00AA2483">
        <w:t>.</w:t>
      </w:r>
      <w:r w:rsidR="00C91AED">
        <w:t>6</w:t>
      </w:r>
      <w:r>
        <w:t>% del PIB,</w:t>
      </w:r>
      <w:r w:rsidR="00AA2483">
        <w:t xml:space="preserve"> para 2026 podría ser de 2</w:t>
      </w:r>
      <w:r w:rsidR="007A7ED3">
        <w:t>14</w:t>
      </w:r>
      <w:r w:rsidR="00AA2483">
        <w:t>.</w:t>
      </w:r>
      <w:r w:rsidR="007A7ED3">
        <w:t>0</w:t>
      </w:r>
      <w:r w:rsidR="00AA2483">
        <w:t>%, para 2027 el indicador podría ser de 20</w:t>
      </w:r>
      <w:r w:rsidR="007A7ED3">
        <w:t>2</w:t>
      </w:r>
      <w:r w:rsidR="00AA2483">
        <w:t>.</w:t>
      </w:r>
      <w:r w:rsidR="007A7ED3">
        <w:t>0</w:t>
      </w:r>
      <w:r w:rsidR="00AA2483">
        <w:t>% del PIB hasta ubicarse al final del período en 18</w:t>
      </w:r>
      <w:r w:rsidR="007A7ED3">
        <w:t>8</w:t>
      </w:r>
      <w:r w:rsidR="00AA2483">
        <w:t>.</w:t>
      </w:r>
      <w:r w:rsidR="007A7ED3">
        <w:t>1</w:t>
      </w:r>
      <w:r w:rsidR="00AA2483">
        <w:t>% del PIB al 2028</w:t>
      </w:r>
      <w:r>
        <w:t>.</w:t>
      </w:r>
    </w:p>
    <w:p w14:paraId="6156A080" w14:textId="77777777" w:rsidR="00C91AED" w:rsidRDefault="00C91AED" w:rsidP="00486DFF">
      <w:pPr>
        <w:jc w:val="both"/>
      </w:pPr>
    </w:p>
    <w:p w14:paraId="361E01E0" w14:textId="2B1C602D" w:rsidR="00486DFF" w:rsidRDefault="00486DFF" w:rsidP="00486DFF">
      <w:pPr>
        <w:jc w:val="both"/>
      </w:pPr>
      <w:r>
        <w:t>El máximo recomendado para países de ingreso bajo oscila entre 250% y 300%. Sin embargo, este indicador no aplica para economías de ingreso medio alto como Guatemala, que no precisa de un máximo para estas economías. No obstante, se le sigue dando seguimiento por el efecto que tiene en la capacidad efectiva para hacer frente a los compromisos de deuda.</w:t>
      </w:r>
    </w:p>
    <w:p w14:paraId="7AA26D9E" w14:textId="44544D58" w:rsidR="00486DFF" w:rsidRDefault="00486DFF" w:rsidP="00486DFF">
      <w:pPr>
        <w:jc w:val="both"/>
      </w:pPr>
    </w:p>
    <w:p w14:paraId="0FD85B39" w14:textId="65F89E83" w:rsidR="0071370B" w:rsidRDefault="0071370B" w:rsidP="0071370B">
      <w:pPr>
        <w:keepNext/>
        <w:ind w:left="562" w:right="1691"/>
        <w:jc w:val="center"/>
        <w:rPr>
          <w:b/>
          <w:bCs/>
        </w:rPr>
      </w:pPr>
      <w:r>
        <w:rPr>
          <w:b/>
          <w:bCs/>
        </w:rPr>
        <w:t xml:space="preserve">           </w:t>
      </w:r>
      <w:bookmarkStart w:id="277" w:name="_Toc143870758"/>
      <w:r w:rsidRPr="0071370B">
        <w:rPr>
          <w:b/>
          <w:bCs/>
        </w:rPr>
        <w:t xml:space="preserve">Gráfico </w:t>
      </w:r>
      <w:r w:rsidRPr="0071370B">
        <w:rPr>
          <w:b/>
          <w:bCs/>
        </w:rPr>
        <w:fldChar w:fldCharType="begin"/>
      </w:r>
      <w:r w:rsidRPr="0071370B">
        <w:rPr>
          <w:b/>
          <w:bCs/>
        </w:rPr>
        <w:instrText xml:space="preserve"> SEQ Gráfico \* ARABIC </w:instrText>
      </w:r>
      <w:r w:rsidRPr="0071370B">
        <w:rPr>
          <w:b/>
          <w:bCs/>
        </w:rPr>
        <w:fldChar w:fldCharType="separate"/>
      </w:r>
      <w:r w:rsidR="006622B2">
        <w:rPr>
          <w:b/>
          <w:bCs/>
          <w:noProof/>
        </w:rPr>
        <w:t>91</w:t>
      </w:r>
      <w:r w:rsidRPr="0071370B">
        <w:rPr>
          <w:b/>
          <w:bCs/>
        </w:rPr>
        <w:fldChar w:fldCharType="end"/>
      </w:r>
      <w:r w:rsidRPr="0071370B">
        <w:rPr>
          <w:b/>
          <w:bCs/>
        </w:rPr>
        <w:t>.  Indicadores de Solvencia de la Deuda Pública</w:t>
      </w:r>
      <w:bookmarkEnd w:id="277"/>
    </w:p>
    <w:tbl>
      <w:tblPr>
        <w:tblW w:w="0" w:type="auto"/>
        <w:tblInd w:w="-5" w:type="dxa"/>
        <w:tblCellMar>
          <w:left w:w="70" w:type="dxa"/>
          <w:right w:w="70" w:type="dxa"/>
        </w:tblCellMar>
        <w:tblLook w:val="04A0" w:firstRow="1" w:lastRow="0" w:firstColumn="1" w:lastColumn="0" w:noHBand="0" w:noVBand="1"/>
      </w:tblPr>
      <w:tblGrid>
        <w:gridCol w:w="4370"/>
        <w:gridCol w:w="4463"/>
      </w:tblGrid>
      <w:tr w:rsidR="003906B8" w14:paraId="2CF70193" w14:textId="77777777" w:rsidTr="007A7ED3">
        <w:trPr>
          <w:trHeight w:val="3801"/>
        </w:trPr>
        <w:tc>
          <w:tcPr>
            <w:tcW w:w="4370" w:type="dxa"/>
          </w:tcPr>
          <w:p w14:paraId="6BDB0725" w14:textId="77777777" w:rsidR="00486DFF" w:rsidRDefault="00486DFF" w:rsidP="00582CA7">
            <w:pPr>
              <w:spacing w:line="276" w:lineRule="auto"/>
              <w:ind w:right="-102"/>
              <w:jc w:val="center"/>
              <w:rPr>
                <w:b/>
                <w:bCs/>
              </w:rPr>
            </w:pPr>
            <w:r>
              <w:rPr>
                <w:b/>
                <w:bCs/>
              </w:rPr>
              <w:t>Relación deuda/ PIB</w:t>
            </w:r>
          </w:p>
          <w:p w14:paraId="4CADF440" w14:textId="61D83FDE" w:rsidR="00486DFF" w:rsidRDefault="00486DFF" w:rsidP="00582CA7">
            <w:pPr>
              <w:spacing w:line="276" w:lineRule="auto"/>
              <w:ind w:right="-102"/>
              <w:jc w:val="center"/>
              <w:rPr>
                <w:noProof/>
              </w:rPr>
            </w:pPr>
            <w:r>
              <w:t>Porcentaje</w:t>
            </w:r>
          </w:p>
          <w:p w14:paraId="40171857" w14:textId="7B6EF553" w:rsidR="003906B8" w:rsidRDefault="00E97752" w:rsidP="00582CA7">
            <w:pPr>
              <w:spacing w:line="276" w:lineRule="auto"/>
              <w:ind w:right="-102"/>
              <w:jc w:val="center"/>
              <w:rPr>
                <w:noProof/>
              </w:rPr>
            </w:pPr>
            <w:r>
              <w:rPr>
                <w:noProof/>
              </w:rPr>
              <w:drawing>
                <wp:inline distT="0" distB="0" distL="0" distR="0" wp14:anchorId="6AC67087" wp14:editId="6EF7B46A">
                  <wp:extent cx="2600147" cy="1835785"/>
                  <wp:effectExtent l="0" t="0" r="0" b="0"/>
                  <wp:docPr id="22" name="Gráfico 22">
                    <a:extLst xmlns:a="http://schemas.openxmlformats.org/drawingml/2006/main">
                      <a:ext uri="{FF2B5EF4-FFF2-40B4-BE49-F238E27FC236}">
                        <a16:creationId xmlns:a16="http://schemas.microsoft.com/office/drawing/2014/main" id="{00000000-0008-0000-08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488024F9" w14:textId="16E86CDF" w:rsidR="00486DFF" w:rsidRPr="00983E91" w:rsidRDefault="00486DFF" w:rsidP="00582CA7">
            <w:pPr>
              <w:spacing w:line="276" w:lineRule="auto"/>
              <w:ind w:right="-102"/>
              <w:rPr>
                <w:b/>
                <w:bCs/>
              </w:rPr>
            </w:pPr>
            <w:r w:rsidRPr="001D34CE">
              <w:rPr>
                <w:sz w:val="18"/>
                <w:szCs w:val="18"/>
              </w:rPr>
              <w:t>Fuente: Dirección de Análisis y Política Fiscal</w:t>
            </w:r>
            <w:r w:rsidR="001D34CE" w:rsidRPr="001D34CE">
              <w:rPr>
                <w:sz w:val="18"/>
                <w:szCs w:val="18"/>
              </w:rPr>
              <w:t>.</w:t>
            </w:r>
          </w:p>
        </w:tc>
        <w:tc>
          <w:tcPr>
            <w:tcW w:w="4463" w:type="dxa"/>
          </w:tcPr>
          <w:p w14:paraId="7717499B" w14:textId="77777777" w:rsidR="00486DFF" w:rsidRDefault="00486DFF" w:rsidP="00582CA7">
            <w:pPr>
              <w:spacing w:line="276" w:lineRule="auto"/>
              <w:ind w:right="34"/>
              <w:jc w:val="center"/>
              <w:rPr>
                <w:b/>
                <w:bCs/>
              </w:rPr>
            </w:pPr>
            <w:r>
              <w:rPr>
                <w:b/>
                <w:bCs/>
              </w:rPr>
              <w:t>Relación deuda / Ingresos fiscales</w:t>
            </w:r>
          </w:p>
          <w:p w14:paraId="536FC7C1" w14:textId="77777777" w:rsidR="00486DFF" w:rsidRDefault="00486DFF" w:rsidP="00582CA7">
            <w:pPr>
              <w:spacing w:line="276" w:lineRule="auto"/>
              <w:ind w:right="34"/>
              <w:jc w:val="center"/>
            </w:pPr>
            <w:r>
              <w:t>Porcentaje</w:t>
            </w:r>
          </w:p>
          <w:p w14:paraId="024F081D" w14:textId="1D27DF9C" w:rsidR="00486DFF" w:rsidRPr="00983E91" w:rsidRDefault="007A7ED3" w:rsidP="00582CA7">
            <w:pPr>
              <w:spacing w:line="276" w:lineRule="auto"/>
              <w:ind w:right="34"/>
              <w:jc w:val="center"/>
              <w:rPr>
                <w:b/>
                <w:bCs/>
              </w:rPr>
            </w:pPr>
            <w:r>
              <w:rPr>
                <w:noProof/>
              </w:rPr>
              <w:drawing>
                <wp:inline distT="0" distB="0" distL="0" distR="0" wp14:anchorId="1DBA28FC" wp14:editId="6776E8C7">
                  <wp:extent cx="2705100" cy="1943100"/>
                  <wp:effectExtent l="0" t="0" r="0" b="0"/>
                  <wp:docPr id="55" name="Gráfico 55">
                    <a:extLst xmlns:a="http://schemas.openxmlformats.org/drawingml/2006/main">
                      <a:ext uri="{FF2B5EF4-FFF2-40B4-BE49-F238E27FC236}">
                        <a16:creationId xmlns:a16="http://schemas.microsoft.com/office/drawing/2014/main" id="{00000000-0008-0000-08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tc>
      </w:tr>
    </w:tbl>
    <w:p w14:paraId="28A4CFE5" w14:textId="77777777" w:rsidR="00253F84" w:rsidRDefault="00253F84" w:rsidP="00486DFF">
      <w:pPr>
        <w:jc w:val="both"/>
      </w:pPr>
    </w:p>
    <w:p w14:paraId="7128080D" w14:textId="1D6E399C" w:rsidR="00486DFF" w:rsidRDefault="00486DFF" w:rsidP="00486DFF">
      <w:pPr>
        <w:jc w:val="both"/>
      </w:pPr>
      <w:r w:rsidRPr="00486DFF">
        <w:t>Lo anterior muestra que la deuda en el mediano plazo se perfila en niveles sostenibles, es decir, el gobierno podrá tener la capacidad para atender los compromisos en el corto y mediano plazo.</w:t>
      </w:r>
    </w:p>
    <w:p w14:paraId="3CED1EEB" w14:textId="58D9EE25" w:rsidR="00E47B4B" w:rsidRDefault="00E47B4B" w:rsidP="00E47B4B">
      <w:pPr>
        <w:jc w:val="both"/>
      </w:pPr>
      <w:r>
        <w:t>Respecto a los flujos de creación de deuda, se observa que en el mediano plazo la principal variable que aportará a la creación de deuda es la tasa de interés real, con una participación del déficit primario</w:t>
      </w:r>
      <w:r w:rsidR="009B4398">
        <w:t xml:space="preserve"> más fuerte para 2023 y 2024</w:t>
      </w:r>
      <w:r>
        <w:t xml:space="preserve">, mientras que para 2028 </w:t>
      </w:r>
      <w:r w:rsidR="009B4398">
        <w:t xml:space="preserve">se espera un superávit </w:t>
      </w:r>
      <w:r>
        <w:t>primario</w:t>
      </w:r>
      <w:r w:rsidR="009B4398">
        <w:t xml:space="preserve">, lo que </w:t>
      </w:r>
      <w:r>
        <w:t>contribu</w:t>
      </w:r>
      <w:r w:rsidR="009B4398">
        <w:t>irá a una</w:t>
      </w:r>
      <w:r>
        <w:t xml:space="preserve"> menor creación de deuda. </w:t>
      </w:r>
    </w:p>
    <w:p w14:paraId="24FCA822" w14:textId="77777777" w:rsidR="00E47B4B" w:rsidRDefault="00E47B4B" w:rsidP="00E47B4B">
      <w:pPr>
        <w:jc w:val="both"/>
      </w:pPr>
    </w:p>
    <w:p w14:paraId="6FC7FE53" w14:textId="295F723C" w:rsidR="00E47B4B" w:rsidRDefault="00E47B4B" w:rsidP="00E47B4B">
      <w:pPr>
        <w:jc w:val="both"/>
      </w:pPr>
      <w:r>
        <w:t xml:space="preserve">Por su parte, los flujos que estarían contrarrestando la creación de deuda son el crecimiento económico real y en </w:t>
      </w:r>
      <w:r w:rsidR="009B4398">
        <w:t xml:space="preserve">2023 y </w:t>
      </w:r>
      <w:r>
        <w:t>2024 principalmente los otros flujos de creación de deuda.</w:t>
      </w:r>
    </w:p>
    <w:p w14:paraId="00EDA984" w14:textId="77777777" w:rsidR="00E47B4B" w:rsidRDefault="00E47B4B" w:rsidP="00E47B4B">
      <w:pPr>
        <w:jc w:val="both"/>
      </w:pPr>
    </w:p>
    <w:p w14:paraId="6FC1157E" w14:textId="0BCADF85" w:rsidR="00E47B4B" w:rsidRDefault="00E47B4B" w:rsidP="00E47B4B">
      <w:pPr>
        <w:jc w:val="both"/>
      </w:pPr>
      <w:r>
        <w:t>Se observa que la contribución por la depreciación del tipo de cambio se mantiene en un nivel bajo, derivado de la alta estabilidad del tipo de cambio en Guatemala.</w:t>
      </w:r>
    </w:p>
    <w:p w14:paraId="0813764E" w14:textId="6DAE457B" w:rsidR="00E47B4B" w:rsidRDefault="00E47B4B" w:rsidP="00E47B4B">
      <w:pPr>
        <w:jc w:val="both"/>
      </w:pPr>
    </w:p>
    <w:p w14:paraId="5222FA94" w14:textId="4014930E" w:rsidR="00E47B4B" w:rsidRPr="00E47B4B" w:rsidRDefault="00E47B4B" w:rsidP="00E47B4B">
      <w:pPr>
        <w:pStyle w:val="Descripcin"/>
        <w:spacing w:after="0"/>
        <w:jc w:val="center"/>
        <w:rPr>
          <w:b/>
          <w:bCs/>
          <w:i w:val="0"/>
          <w:iCs w:val="0"/>
          <w:color w:val="auto"/>
          <w:sz w:val="24"/>
          <w:szCs w:val="24"/>
        </w:rPr>
      </w:pPr>
      <w:bookmarkStart w:id="278" w:name="_Toc143870759"/>
      <w:r w:rsidRPr="00E47B4B">
        <w:rPr>
          <w:b/>
          <w:bCs/>
          <w:i w:val="0"/>
          <w:iCs w:val="0"/>
          <w:color w:val="auto"/>
          <w:sz w:val="24"/>
          <w:szCs w:val="24"/>
        </w:rPr>
        <w:t xml:space="preserve">Gráfico </w:t>
      </w:r>
      <w:r w:rsidRPr="00E47B4B">
        <w:rPr>
          <w:b/>
          <w:bCs/>
          <w:i w:val="0"/>
          <w:iCs w:val="0"/>
          <w:color w:val="auto"/>
          <w:sz w:val="24"/>
          <w:szCs w:val="24"/>
        </w:rPr>
        <w:fldChar w:fldCharType="begin"/>
      </w:r>
      <w:r w:rsidRPr="00E47B4B">
        <w:rPr>
          <w:b/>
          <w:bCs/>
          <w:i w:val="0"/>
          <w:iCs w:val="0"/>
          <w:color w:val="auto"/>
          <w:sz w:val="24"/>
          <w:szCs w:val="24"/>
        </w:rPr>
        <w:instrText xml:space="preserve"> SEQ Gráfico \* ARABIC </w:instrText>
      </w:r>
      <w:r w:rsidRPr="00E47B4B">
        <w:rPr>
          <w:b/>
          <w:bCs/>
          <w:i w:val="0"/>
          <w:iCs w:val="0"/>
          <w:color w:val="auto"/>
          <w:sz w:val="24"/>
          <w:szCs w:val="24"/>
        </w:rPr>
        <w:fldChar w:fldCharType="separate"/>
      </w:r>
      <w:r w:rsidR="006622B2">
        <w:rPr>
          <w:b/>
          <w:bCs/>
          <w:i w:val="0"/>
          <w:iCs w:val="0"/>
          <w:noProof/>
          <w:color w:val="auto"/>
          <w:sz w:val="24"/>
          <w:szCs w:val="24"/>
        </w:rPr>
        <w:t>92</w:t>
      </w:r>
      <w:r w:rsidRPr="00E47B4B">
        <w:rPr>
          <w:b/>
          <w:bCs/>
          <w:i w:val="0"/>
          <w:iCs w:val="0"/>
          <w:color w:val="auto"/>
          <w:sz w:val="24"/>
          <w:szCs w:val="24"/>
        </w:rPr>
        <w:fldChar w:fldCharType="end"/>
      </w:r>
      <w:r w:rsidRPr="00E47B4B">
        <w:rPr>
          <w:b/>
          <w:bCs/>
          <w:i w:val="0"/>
          <w:iCs w:val="0"/>
          <w:color w:val="auto"/>
          <w:sz w:val="24"/>
          <w:szCs w:val="24"/>
        </w:rPr>
        <w:t>.  Contribución a la deuda pública</w:t>
      </w:r>
      <w:bookmarkEnd w:id="278"/>
    </w:p>
    <w:p w14:paraId="51AC73E6" w14:textId="52766082" w:rsidR="00E47B4B" w:rsidRDefault="00E47B4B" w:rsidP="00E47B4B">
      <w:pPr>
        <w:jc w:val="center"/>
      </w:pPr>
      <w:r>
        <w:t>Flujos de creación de deuda</w:t>
      </w:r>
    </w:p>
    <w:p w14:paraId="10DDDE60" w14:textId="7BC0074F" w:rsidR="00E47B4B" w:rsidRDefault="0090262C" w:rsidP="00E77A24">
      <w:pPr>
        <w:jc w:val="center"/>
      </w:pPr>
      <w:r>
        <w:rPr>
          <w:noProof/>
        </w:rPr>
        <w:drawing>
          <wp:inline distT="0" distB="0" distL="0" distR="0" wp14:anchorId="10E554B8" wp14:editId="45132B6B">
            <wp:extent cx="5581497" cy="2809037"/>
            <wp:effectExtent l="0" t="0" r="635" b="0"/>
            <wp:docPr id="27" name="Gráfico 27">
              <a:extLst xmlns:a="http://schemas.openxmlformats.org/drawingml/2006/main">
                <a:ext uri="{FF2B5EF4-FFF2-40B4-BE49-F238E27FC236}">
                  <a16:creationId xmlns:a16="http://schemas.microsoft.com/office/drawing/2014/main" id="{00000000-0008-0000-0800-00002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29D251E4" w14:textId="572F2FF1" w:rsidR="00E47B4B" w:rsidRPr="00E47B4B" w:rsidRDefault="00E47B4B" w:rsidP="00E47B4B">
      <w:pPr>
        <w:jc w:val="both"/>
        <w:rPr>
          <w:sz w:val="18"/>
          <w:szCs w:val="18"/>
        </w:rPr>
      </w:pPr>
      <w:r w:rsidRPr="00E47B4B">
        <w:rPr>
          <w:sz w:val="18"/>
          <w:szCs w:val="18"/>
        </w:rPr>
        <w:t>Fuente: Dirección de Análisis y Política Fiscal.</w:t>
      </w:r>
    </w:p>
    <w:p w14:paraId="26530670" w14:textId="5A2AB2EE" w:rsidR="00486DFF" w:rsidRDefault="00486DFF" w:rsidP="00486DFF">
      <w:pPr>
        <w:jc w:val="both"/>
      </w:pPr>
    </w:p>
    <w:p w14:paraId="331F2FCD" w14:textId="48319E23" w:rsidR="00486DFF" w:rsidRDefault="00486DFF" w:rsidP="00531A1B">
      <w:pPr>
        <w:pStyle w:val="Prrafodelista"/>
        <w:numPr>
          <w:ilvl w:val="1"/>
          <w:numId w:val="3"/>
        </w:numPr>
        <w:jc w:val="both"/>
        <w:outlineLvl w:val="1"/>
        <w:rPr>
          <w:b/>
          <w:bCs/>
        </w:rPr>
      </w:pPr>
      <w:bookmarkStart w:id="279" w:name="_Toc143865871"/>
      <w:r w:rsidRPr="00486DFF">
        <w:rPr>
          <w:b/>
          <w:bCs/>
        </w:rPr>
        <w:t xml:space="preserve">Estrategia de </w:t>
      </w:r>
      <w:r w:rsidR="006B670E">
        <w:rPr>
          <w:b/>
          <w:bCs/>
        </w:rPr>
        <w:t>g</w:t>
      </w:r>
      <w:r w:rsidRPr="00486DFF">
        <w:rPr>
          <w:b/>
          <w:bCs/>
        </w:rPr>
        <w:t xml:space="preserve">estión de </w:t>
      </w:r>
      <w:r w:rsidR="006B670E">
        <w:rPr>
          <w:b/>
          <w:bCs/>
        </w:rPr>
        <w:t>d</w:t>
      </w:r>
      <w:r w:rsidRPr="00486DFF">
        <w:rPr>
          <w:b/>
          <w:bCs/>
        </w:rPr>
        <w:t>euda de mediano plazo 2022-2026</w:t>
      </w:r>
      <w:bookmarkEnd w:id="279"/>
    </w:p>
    <w:p w14:paraId="122D5583" w14:textId="703647BF" w:rsidR="00486DFF" w:rsidRDefault="00486DFF" w:rsidP="00486DFF"/>
    <w:p w14:paraId="60009535" w14:textId="30877AE7" w:rsidR="00486DFF" w:rsidRDefault="00486DFF" w:rsidP="00486DFF">
      <w:pPr>
        <w:jc w:val="both"/>
      </w:pPr>
      <w:r>
        <w:t>Por medio del Acuerdo Ministerial 484-2022 se aprobó la “Estrategia de Gestión de deuda de mediano plazo 2022-2026” tomando en consideración que los estándares y buenas prácticas internacionales recomiendan formular una estrategia de esta índole, que le permita al gobierno planificar tomando en cuenta las alternativas de financiamiento para lograr la composición deseada del portafolio de deuda. Contar con una adecuada estrategia de gestión de deuda le permitirá al gobierno alcanzar sus objetivos estratégicos, en materia de gestión de deuda, y además puede ayudar a fortalecer una administración financiera responsable. La Estrategia de Gestión de Deuda se realizó tomando en consideración el presupuesto multianual 2022-2026, derivado de ello se observó que las necesidades brutas de financiamiento (NBF) durante el período considerado serían en promedio del 3.3% del PIB.</w:t>
      </w:r>
    </w:p>
    <w:p w14:paraId="5882B287" w14:textId="0B75810A" w:rsidR="000C6B5E" w:rsidRDefault="000C6B5E" w:rsidP="00486DFF">
      <w:pPr>
        <w:jc w:val="both"/>
      </w:pPr>
    </w:p>
    <w:p w14:paraId="35E415F4" w14:textId="0A2B09C3" w:rsidR="00E77A24" w:rsidRDefault="00E77A24" w:rsidP="00486DFF">
      <w:pPr>
        <w:jc w:val="both"/>
      </w:pPr>
    </w:p>
    <w:p w14:paraId="30222255" w14:textId="288BDBF7" w:rsidR="00E77A24" w:rsidRDefault="00E77A24" w:rsidP="00486DFF">
      <w:pPr>
        <w:jc w:val="both"/>
      </w:pPr>
    </w:p>
    <w:p w14:paraId="18825857" w14:textId="77777777" w:rsidR="00E77A24" w:rsidRDefault="00E77A24" w:rsidP="00486DFF">
      <w:pPr>
        <w:jc w:val="both"/>
      </w:pPr>
    </w:p>
    <w:p w14:paraId="37FB287C" w14:textId="156D7950" w:rsidR="005C146E" w:rsidRPr="00F62B40" w:rsidRDefault="00F62B40" w:rsidP="00F62B40">
      <w:pPr>
        <w:pStyle w:val="Descripcin"/>
        <w:keepNext/>
        <w:spacing w:after="0"/>
        <w:jc w:val="center"/>
        <w:rPr>
          <w:b/>
          <w:bCs/>
          <w:i w:val="0"/>
          <w:iCs w:val="0"/>
          <w:sz w:val="24"/>
          <w:szCs w:val="24"/>
        </w:rPr>
      </w:pPr>
      <w:bookmarkStart w:id="280" w:name="_Toc143871242"/>
      <w:r w:rsidRPr="00F62B40">
        <w:rPr>
          <w:b/>
          <w:bCs/>
          <w:i w:val="0"/>
          <w:iCs w:val="0"/>
          <w:color w:val="auto"/>
          <w:sz w:val="24"/>
          <w:szCs w:val="24"/>
        </w:rPr>
        <w:t xml:space="preserve">Tabla </w:t>
      </w:r>
      <w:r w:rsidRPr="00F62B40">
        <w:rPr>
          <w:b/>
          <w:bCs/>
          <w:i w:val="0"/>
          <w:iCs w:val="0"/>
          <w:color w:val="auto"/>
          <w:sz w:val="24"/>
          <w:szCs w:val="24"/>
        </w:rPr>
        <w:fldChar w:fldCharType="begin"/>
      </w:r>
      <w:r w:rsidRPr="00F62B40">
        <w:rPr>
          <w:b/>
          <w:bCs/>
          <w:i w:val="0"/>
          <w:iCs w:val="0"/>
          <w:color w:val="auto"/>
          <w:sz w:val="24"/>
          <w:szCs w:val="24"/>
        </w:rPr>
        <w:instrText xml:space="preserve"> SEQ Tabla \* ARABIC </w:instrText>
      </w:r>
      <w:r w:rsidRPr="00F62B40">
        <w:rPr>
          <w:b/>
          <w:bCs/>
          <w:i w:val="0"/>
          <w:iCs w:val="0"/>
          <w:color w:val="auto"/>
          <w:sz w:val="24"/>
          <w:szCs w:val="24"/>
        </w:rPr>
        <w:fldChar w:fldCharType="separate"/>
      </w:r>
      <w:r w:rsidR="006622B2">
        <w:rPr>
          <w:b/>
          <w:bCs/>
          <w:i w:val="0"/>
          <w:iCs w:val="0"/>
          <w:noProof/>
          <w:color w:val="auto"/>
          <w:sz w:val="24"/>
          <w:szCs w:val="24"/>
        </w:rPr>
        <w:t>35</w:t>
      </w:r>
      <w:r w:rsidRPr="00F62B40">
        <w:rPr>
          <w:b/>
          <w:bCs/>
          <w:i w:val="0"/>
          <w:iCs w:val="0"/>
          <w:color w:val="auto"/>
          <w:sz w:val="24"/>
          <w:szCs w:val="24"/>
        </w:rPr>
        <w:fldChar w:fldCharType="end"/>
      </w:r>
      <w:r w:rsidRPr="00F62B40">
        <w:rPr>
          <w:b/>
          <w:bCs/>
          <w:i w:val="0"/>
          <w:iCs w:val="0"/>
          <w:color w:val="auto"/>
          <w:sz w:val="24"/>
          <w:szCs w:val="24"/>
        </w:rPr>
        <w:t xml:space="preserve">.  </w:t>
      </w:r>
      <w:r w:rsidR="000C6B5E" w:rsidRPr="00F62B40">
        <w:rPr>
          <w:b/>
          <w:bCs/>
          <w:i w:val="0"/>
          <w:iCs w:val="0"/>
          <w:color w:val="auto"/>
          <w:sz w:val="24"/>
          <w:szCs w:val="24"/>
        </w:rPr>
        <w:t>Necesidades Brutas de Financiamiento</w:t>
      </w:r>
      <w:bookmarkEnd w:id="280"/>
    </w:p>
    <w:p w14:paraId="3D9CF760" w14:textId="394CF2D7" w:rsidR="000C6B5E" w:rsidRDefault="000C6B5E" w:rsidP="005C146E">
      <w:pPr>
        <w:jc w:val="center"/>
      </w:pPr>
      <w:r>
        <w:t>(% respecto del PIB)</w:t>
      </w:r>
    </w:p>
    <w:tbl>
      <w:tblPr>
        <w:tblW w:w="6900" w:type="dxa"/>
        <w:jc w:val="center"/>
        <w:tblCellMar>
          <w:left w:w="70" w:type="dxa"/>
          <w:right w:w="70" w:type="dxa"/>
        </w:tblCellMar>
        <w:tblLook w:val="04A0" w:firstRow="1" w:lastRow="0" w:firstColumn="1" w:lastColumn="0" w:noHBand="0" w:noVBand="1"/>
      </w:tblPr>
      <w:tblGrid>
        <w:gridCol w:w="3300"/>
        <w:gridCol w:w="1200"/>
        <w:gridCol w:w="1200"/>
        <w:gridCol w:w="1200"/>
      </w:tblGrid>
      <w:tr w:rsidR="000C6B5E" w:rsidRPr="000C6B5E" w14:paraId="7CC11DD4" w14:textId="77777777" w:rsidTr="000C6B5E">
        <w:trPr>
          <w:trHeight w:val="315"/>
          <w:jc w:val="center"/>
        </w:trPr>
        <w:tc>
          <w:tcPr>
            <w:tcW w:w="3300" w:type="dxa"/>
            <w:tcBorders>
              <w:top w:val="single" w:sz="8" w:space="0" w:color="auto"/>
              <w:left w:val="single" w:sz="8" w:space="0" w:color="auto"/>
              <w:bottom w:val="single" w:sz="8" w:space="0" w:color="auto"/>
              <w:right w:val="nil"/>
            </w:tcBorders>
            <w:shd w:val="clear" w:color="000000" w:fill="1F4E78"/>
            <w:noWrap/>
            <w:vAlign w:val="bottom"/>
            <w:hideMark/>
          </w:tcPr>
          <w:p w14:paraId="0B9E1065" w14:textId="77777777" w:rsidR="000C6B5E" w:rsidRPr="000C6B5E" w:rsidRDefault="000C6B5E" w:rsidP="000C6B5E">
            <w:pPr>
              <w:rPr>
                <w:color w:val="000000"/>
                <w:sz w:val="22"/>
                <w:szCs w:val="22"/>
              </w:rPr>
            </w:pPr>
            <w:r w:rsidRPr="000C6B5E">
              <w:rPr>
                <w:color w:val="000000"/>
                <w:sz w:val="22"/>
                <w:szCs w:val="22"/>
              </w:rPr>
              <w:t> </w:t>
            </w:r>
          </w:p>
        </w:tc>
        <w:tc>
          <w:tcPr>
            <w:tcW w:w="1200" w:type="dxa"/>
            <w:tcBorders>
              <w:top w:val="single" w:sz="8" w:space="0" w:color="auto"/>
              <w:left w:val="nil"/>
              <w:bottom w:val="single" w:sz="8" w:space="0" w:color="auto"/>
              <w:right w:val="nil"/>
            </w:tcBorders>
            <w:shd w:val="clear" w:color="000000" w:fill="1F4E78"/>
            <w:noWrap/>
            <w:vAlign w:val="bottom"/>
            <w:hideMark/>
          </w:tcPr>
          <w:p w14:paraId="49E7B634" w14:textId="77777777" w:rsidR="000C6B5E" w:rsidRPr="000C6B5E" w:rsidRDefault="000C6B5E" w:rsidP="000C6B5E">
            <w:pPr>
              <w:jc w:val="center"/>
              <w:rPr>
                <w:b/>
                <w:bCs/>
                <w:color w:val="F2F2F2"/>
                <w:sz w:val="22"/>
                <w:szCs w:val="22"/>
              </w:rPr>
            </w:pPr>
            <w:r w:rsidRPr="000C6B5E">
              <w:rPr>
                <w:b/>
                <w:bCs/>
                <w:color w:val="F2F2F2"/>
                <w:sz w:val="22"/>
                <w:szCs w:val="22"/>
              </w:rPr>
              <w:t>2024</w:t>
            </w:r>
          </w:p>
        </w:tc>
        <w:tc>
          <w:tcPr>
            <w:tcW w:w="1200" w:type="dxa"/>
            <w:tcBorders>
              <w:top w:val="single" w:sz="8" w:space="0" w:color="auto"/>
              <w:left w:val="nil"/>
              <w:bottom w:val="single" w:sz="8" w:space="0" w:color="auto"/>
              <w:right w:val="nil"/>
            </w:tcBorders>
            <w:shd w:val="clear" w:color="000000" w:fill="1F4E78"/>
            <w:noWrap/>
            <w:vAlign w:val="bottom"/>
            <w:hideMark/>
          </w:tcPr>
          <w:p w14:paraId="5945B59E" w14:textId="77777777" w:rsidR="000C6B5E" w:rsidRPr="000C6B5E" w:rsidRDefault="000C6B5E" w:rsidP="000C6B5E">
            <w:pPr>
              <w:jc w:val="center"/>
              <w:rPr>
                <w:b/>
                <w:bCs/>
                <w:color w:val="F2F2F2"/>
                <w:sz w:val="22"/>
                <w:szCs w:val="22"/>
              </w:rPr>
            </w:pPr>
            <w:r w:rsidRPr="000C6B5E">
              <w:rPr>
                <w:b/>
                <w:bCs/>
                <w:color w:val="F2F2F2"/>
                <w:sz w:val="22"/>
                <w:szCs w:val="22"/>
              </w:rPr>
              <w:t>2025</w:t>
            </w:r>
          </w:p>
        </w:tc>
        <w:tc>
          <w:tcPr>
            <w:tcW w:w="1200" w:type="dxa"/>
            <w:tcBorders>
              <w:top w:val="single" w:sz="8" w:space="0" w:color="auto"/>
              <w:left w:val="nil"/>
              <w:bottom w:val="single" w:sz="8" w:space="0" w:color="auto"/>
              <w:right w:val="single" w:sz="8" w:space="0" w:color="auto"/>
            </w:tcBorders>
            <w:shd w:val="clear" w:color="000000" w:fill="1F4E78"/>
            <w:noWrap/>
            <w:vAlign w:val="bottom"/>
            <w:hideMark/>
          </w:tcPr>
          <w:p w14:paraId="6255483C" w14:textId="77777777" w:rsidR="000C6B5E" w:rsidRPr="000C6B5E" w:rsidRDefault="000C6B5E" w:rsidP="000C6B5E">
            <w:pPr>
              <w:jc w:val="center"/>
              <w:rPr>
                <w:b/>
                <w:bCs/>
                <w:color w:val="F2F2F2"/>
                <w:sz w:val="22"/>
                <w:szCs w:val="22"/>
              </w:rPr>
            </w:pPr>
            <w:r w:rsidRPr="000C6B5E">
              <w:rPr>
                <w:b/>
                <w:bCs/>
                <w:color w:val="F2F2F2"/>
                <w:sz w:val="22"/>
                <w:szCs w:val="22"/>
              </w:rPr>
              <w:t>2026</w:t>
            </w:r>
          </w:p>
        </w:tc>
      </w:tr>
      <w:tr w:rsidR="000C6B5E" w:rsidRPr="000C6B5E" w14:paraId="37D5F668" w14:textId="77777777" w:rsidTr="000C6B5E">
        <w:trPr>
          <w:trHeight w:val="585"/>
          <w:jc w:val="center"/>
        </w:trPr>
        <w:tc>
          <w:tcPr>
            <w:tcW w:w="3300" w:type="dxa"/>
            <w:tcBorders>
              <w:top w:val="nil"/>
              <w:left w:val="single" w:sz="8" w:space="0" w:color="auto"/>
              <w:bottom w:val="nil"/>
              <w:right w:val="nil"/>
            </w:tcBorders>
            <w:shd w:val="clear" w:color="000000" w:fill="DDEBF7"/>
            <w:vAlign w:val="bottom"/>
            <w:hideMark/>
          </w:tcPr>
          <w:p w14:paraId="17A24DC5" w14:textId="77777777" w:rsidR="000C6B5E" w:rsidRPr="000C6B5E" w:rsidRDefault="000C6B5E" w:rsidP="000C6B5E">
            <w:pPr>
              <w:rPr>
                <w:b/>
                <w:bCs/>
                <w:color w:val="000000"/>
                <w:sz w:val="22"/>
                <w:szCs w:val="22"/>
              </w:rPr>
            </w:pPr>
            <w:r w:rsidRPr="000C6B5E">
              <w:rPr>
                <w:b/>
                <w:bCs/>
                <w:color w:val="000000"/>
                <w:sz w:val="22"/>
                <w:szCs w:val="22"/>
              </w:rPr>
              <w:t xml:space="preserve">Necesidades Brutas de Financiamiento </w:t>
            </w:r>
          </w:p>
        </w:tc>
        <w:tc>
          <w:tcPr>
            <w:tcW w:w="1200" w:type="dxa"/>
            <w:tcBorders>
              <w:top w:val="nil"/>
              <w:left w:val="nil"/>
              <w:bottom w:val="nil"/>
              <w:right w:val="nil"/>
            </w:tcBorders>
            <w:shd w:val="clear" w:color="000000" w:fill="DDEBF7"/>
            <w:noWrap/>
            <w:vAlign w:val="center"/>
            <w:hideMark/>
          </w:tcPr>
          <w:p w14:paraId="488E4CDE" w14:textId="77777777" w:rsidR="000C6B5E" w:rsidRPr="000C6B5E" w:rsidRDefault="000C6B5E" w:rsidP="000C6B5E">
            <w:pPr>
              <w:jc w:val="center"/>
              <w:rPr>
                <w:b/>
                <w:bCs/>
                <w:color w:val="000000"/>
                <w:sz w:val="22"/>
                <w:szCs w:val="22"/>
              </w:rPr>
            </w:pPr>
            <w:r w:rsidRPr="000C6B5E">
              <w:rPr>
                <w:b/>
                <w:bCs/>
                <w:color w:val="000000"/>
                <w:sz w:val="22"/>
                <w:szCs w:val="22"/>
              </w:rPr>
              <w:t>3.2</w:t>
            </w:r>
          </w:p>
        </w:tc>
        <w:tc>
          <w:tcPr>
            <w:tcW w:w="1200" w:type="dxa"/>
            <w:tcBorders>
              <w:top w:val="nil"/>
              <w:left w:val="nil"/>
              <w:bottom w:val="nil"/>
              <w:right w:val="nil"/>
            </w:tcBorders>
            <w:shd w:val="clear" w:color="000000" w:fill="DDEBF7"/>
            <w:noWrap/>
            <w:vAlign w:val="center"/>
            <w:hideMark/>
          </w:tcPr>
          <w:p w14:paraId="1627B35F" w14:textId="77777777" w:rsidR="000C6B5E" w:rsidRPr="000C6B5E" w:rsidRDefault="000C6B5E" w:rsidP="000C6B5E">
            <w:pPr>
              <w:jc w:val="center"/>
              <w:rPr>
                <w:b/>
                <w:bCs/>
                <w:color w:val="000000"/>
                <w:sz w:val="22"/>
                <w:szCs w:val="22"/>
              </w:rPr>
            </w:pPr>
            <w:r w:rsidRPr="000C6B5E">
              <w:rPr>
                <w:b/>
                <w:bCs/>
                <w:color w:val="000000"/>
                <w:sz w:val="22"/>
                <w:szCs w:val="22"/>
              </w:rPr>
              <w:t>2.8</w:t>
            </w:r>
          </w:p>
        </w:tc>
        <w:tc>
          <w:tcPr>
            <w:tcW w:w="1200" w:type="dxa"/>
            <w:tcBorders>
              <w:top w:val="nil"/>
              <w:left w:val="nil"/>
              <w:bottom w:val="nil"/>
              <w:right w:val="single" w:sz="8" w:space="0" w:color="auto"/>
            </w:tcBorders>
            <w:shd w:val="clear" w:color="000000" w:fill="DDEBF7"/>
            <w:noWrap/>
            <w:vAlign w:val="center"/>
            <w:hideMark/>
          </w:tcPr>
          <w:p w14:paraId="0C190B5F" w14:textId="77777777" w:rsidR="000C6B5E" w:rsidRPr="000C6B5E" w:rsidRDefault="000C6B5E" w:rsidP="000C6B5E">
            <w:pPr>
              <w:jc w:val="center"/>
              <w:rPr>
                <w:b/>
                <w:bCs/>
                <w:color w:val="000000"/>
                <w:sz w:val="22"/>
                <w:szCs w:val="22"/>
              </w:rPr>
            </w:pPr>
            <w:r w:rsidRPr="000C6B5E">
              <w:rPr>
                <w:b/>
                <w:bCs/>
                <w:color w:val="000000"/>
                <w:sz w:val="22"/>
                <w:szCs w:val="22"/>
              </w:rPr>
              <w:t>3.1</w:t>
            </w:r>
          </w:p>
        </w:tc>
      </w:tr>
      <w:tr w:rsidR="000C6B5E" w:rsidRPr="000C6B5E" w14:paraId="566DF7F8" w14:textId="77777777" w:rsidTr="000C6B5E">
        <w:trPr>
          <w:trHeight w:val="300"/>
          <w:jc w:val="center"/>
        </w:trPr>
        <w:tc>
          <w:tcPr>
            <w:tcW w:w="3300" w:type="dxa"/>
            <w:tcBorders>
              <w:top w:val="nil"/>
              <w:left w:val="single" w:sz="8" w:space="0" w:color="auto"/>
              <w:bottom w:val="nil"/>
              <w:right w:val="nil"/>
            </w:tcBorders>
            <w:shd w:val="clear" w:color="auto" w:fill="auto"/>
            <w:noWrap/>
            <w:vAlign w:val="bottom"/>
            <w:hideMark/>
          </w:tcPr>
          <w:p w14:paraId="265AC4C8" w14:textId="77777777" w:rsidR="000C6B5E" w:rsidRPr="000C6B5E" w:rsidRDefault="000C6B5E" w:rsidP="000C6B5E">
            <w:pPr>
              <w:rPr>
                <w:color w:val="000000"/>
                <w:sz w:val="22"/>
                <w:szCs w:val="22"/>
              </w:rPr>
            </w:pPr>
            <w:r w:rsidRPr="000C6B5E">
              <w:rPr>
                <w:color w:val="000000"/>
                <w:sz w:val="22"/>
                <w:szCs w:val="22"/>
              </w:rPr>
              <w:t>Déficit Primario</w:t>
            </w:r>
          </w:p>
        </w:tc>
        <w:tc>
          <w:tcPr>
            <w:tcW w:w="1200" w:type="dxa"/>
            <w:tcBorders>
              <w:top w:val="nil"/>
              <w:left w:val="nil"/>
              <w:bottom w:val="nil"/>
              <w:right w:val="nil"/>
            </w:tcBorders>
            <w:shd w:val="clear" w:color="auto" w:fill="auto"/>
            <w:noWrap/>
            <w:vAlign w:val="center"/>
            <w:hideMark/>
          </w:tcPr>
          <w:p w14:paraId="033BEDB3" w14:textId="77777777" w:rsidR="000C6B5E" w:rsidRPr="000C6B5E" w:rsidRDefault="000C6B5E" w:rsidP="000C6B5E">
            <w:pPr>
              <w:jc w:val="center"/>
              <w:rPr>
                <w:color w:val="000000"/>
                <w:sz w:val="22"/>
                <w:szCs w:val="22"/>
              </w:rPr>
            </w:pPr>
            <w:r w:rsidRPr="000C6B5E">
              <w:rPr>
                <w:color w:val="000000"/>
                <w:sz w:val="22"/>
                <w:szCs w:val="22"/>
              </w:rPr>
              <w:t>0.4</w:t>
            </w:r>
          </w:p>
        </w:tc>
        <w:tc>
          <w:tcPr>
            <w:tcW w:w="1200" w:type="dxa"/>
            <w:tcBorders>
              <w:top w:val="nil"/>
              <w:left w:val="nil"/>
              <w:bottom w:val="nil"/>
              <w:right w:val="nil"/>
            </w:tcBorders>
            <w:shd w:val="clear" w:color="auto" w:fill="auto"/>
            <w:noWrap/>
            <w:vAlign w:val="center"/>
            <w:hideMark/>
          </w:tcPr>
          <w:p w14:paraId="2D1A929E" w14:textId="77777777" w:rsidR="000C6B5E" w:rsidRPr="000C6B5E" w:rsidRDefault="000C6B5E" w:rsidP="000C6B5E">
            <w:pPr>
              <w:jc w:val="center"/>
              <w:rPr>
                <w:color w:val="000000"/>
                <w:sz w:val="22"/>
                <w:szCs w:val="22"/>
              </w:rPr>
            </w:pPr>
            <w:r w:rsidRPr="000C6B5E">
              <w:rPr>
                <w:color w:val="000000"/>
                <w:sz w:val="22"/>
                <w:szCs w:val="22"/>
              </w:rPr>
              <w:t>0.1</w:t>
            </w:r>
          </w:p>
        </w:tc>
        <w:tc>
          <w:tcPr>
            <w:tcW w:w="1200" w:type="dxa"/>
            <w:tcBorders>
              <w:top w:val="nil"/>
              <w:left w:val="nil"/>
              <w:bottom w:val="nil"/>
              <w:right w:val="single" w:sz="8" w:space="0" w:color="auto"/>
            </w:tcBorders>
            <w:shd w:val="clear" w:color="auto" w:fill="auto"/>
            <w:noWrap/>
            <w:vAlign w:val="center"/>
            <w:hideMark/>
          </w:tcPr>
          <w:p w14:paraId="6F777FC7" w14:textId="77777777" w:rsidR="000C6B5E" w:rsidRPr="000C6B5E" w:rsidRDefault="000C6B5E" w:rsidP="000C6B5E">
            <w:pPr>
              <w:jc w:val="center"/>
              <w:rPr>
                <w:color w:val="000000"/>
                <w:sz w:val="22"/>
                <w:szCs w:val="22"/>
              </w:rPr>
            </w:pPr>
            <w:r w:rsidRPr="000C6B5E">
              <w:rPr>
                <w:color w:val="000000"/>
                <w:sz w:val="22"/>
                <w:szCs w:val="22"/>
              </w:rPr>
              <w:t>-0.2</w:t>
            </w:r>
          </w:p>
        </w:tc>
      </w:tr>
      <w:tr w:rsidR="000C6B5E" w:rsidRPr="000C6B5E" w14:paraId="11F21F7F" w14:textId="77777777" w:rsidTr="000C6B5E">
        <w:trPr>
          <w:trHeight w:val="315"/>
          <w:jc w:val="center"/>
        </w:trPr>
        <w:tc>
          <w:tcPr>
            <w:tcW w:w="3300" w:type="dxa"/>
            <w:tcBorders>
              <w:top w:val="nil"/>
              <w:left w:val="single" w:sz="8" w:space="0" w:color="auto"/>
              <w:bottom w:val="single" w:sz="8" w:space="0" w:color="auto"/>
              <w:right w:val="nil"/>
            </w:tcBorders>
            <w:shd w:val="clear" w:color="000000" w:fill="DDEBF7"/>
            <w:noWrap/>
            <w:vAlign w:val="bottom"/>
            <w:hideMark/>
          </w:tcPr>
          <w:p w14:paraId="53CEB68A" w14:textId="77777777" w:rsidR="000C6B5E" w:rsidRPr="000C6B5E" w:rsidRDefault="000C6B5E" w:rsidP="000C6B5E">
            <w:pPr>
              <w:rPr>
                <w:color w:val="000000"/>
                <w:sz w:val="22"/>
                <w:szCs w:val="22"/>
              </w:rPr>
            </w:pPr>
            <w:r w:rsidRPr="000C6B5E">
              <w:rPr>
                <w:color w:val="000000"/>
                <w:sz w:val="22"/>
                <w:szCs w:val="22"/>
              </w:rPr>
              <w:t>Servicio de la deuda pública</w:t>
            </w:r>
          </w:p>
        </w:tc>
        <w:tc>
          <w:tcPr>
            <w:tcW w:w="1200" w:type="dxa"/>
            <w:tcBorders>
              <w:top w:val="nil"/>
              <w:left w:val="nil"/>
              <w:bottom w:val="single" w:sz="8" w:space="0" w:color="auto"/>
              <w:right w:val="nil"/>
            </w:tcBorders>
            <w:shd w:val="clear" w:color="000000" w:fill="DDEBF7"/>
            <w:noWrap/>
            <w:vAlign w:val="center"/>
            <w:hideMark/>
          </w:tcPr>
          <w:p w14:paraId="3C3DB6FB" w14:textId="77777777" w:rsidR="000C6B5E" w:rsidRPr="000C6B5E" w:rsidRDefault="000C6B5E" w:rsidP="000C6B5E">
            <w:pPr>
              <w:jc w:val="center"/>
              <w:rPr>
                <w:color w:val="000000"/>
                <w:sz w:val="22"/>
                <w:szCs w:val="22"/>
              </w:rPr>
            </w:pPr>
            <w:r w:rsidRPr="000C6B5E">
              <w:rPr>
                <w:color w:val="000000"/>
                <w:sz w:val="22"/>
                <w:szCs w:val="22"/>
              </w:rPr>
              <w:t>2.8</w:t>
            </w:r>
          </w:p>
        </w:tc>
        <w:tc>
          <w:tcPr>
            <w:tcW w:w="1200" w:type="dxa"/>
            <w:tcBorders>
              <w:top w:val="nil"/>
              <w:left w:val="nil"/>
              <w:bottom w:val="single" w:sz="8" w:space="0" w:color="auto"/>
              <w:right w:val="nil"/>
            </w:tcBorders>
            <w:shd w:val="clear" w:color="000000" w:fill="DDEBF7"/>
            <w:noWrap/>
            <w:vAlign w:val="center"/>
            <w:hideMark/>
          </w:tcPr>
          <w:p w14:paraId="26A195C6" w14:textId="77777777" w:rsidR="000C6B5E" w:rsidRPr="000C6B5E" w:rsidRDefault="000C6B5E" w:rsidP="000C6B5E">
            <w:pPr>
              <w:jc w:val="center"/>
              <w:rPr>
                <w:color w:val="000000"/>
                <w:sz w:val="22"/>
                <w:szCs w:val="22"/>
              </w:rPr>
            </w:pPr>
            <w:r w:rsidRPr="000C6B5E">
              <w:rPr>
                <w:color w:val="000000"/>
                <w:sz w:val="22"/>
                <w:szCs w:val="22"/>
              </w:rPr>
              <w:t>2.7</w:t>
            </w:r>
          </w:p>
        </w:tc>
        <w:tc>
          <w:tcPr>
            <w:tcW w:w="1200" w:type="dxa"/>
            <w:tcBorders>
              <w:top w:val="nil"/>
              <w:left w:val="nil"/>
              <w:bottom w:val="single" w:sz="8" w:space="0" w:color="auto"/>
              <w:right w:val="single" w:sz="8" w:space="0" w:color="auto"/>
            </w:tcBorders>
            <w:shd w:val="clear" w:color="000000" w:fill="DDEBF7"/>
            <w:noWrap/>
            <w:vAlign w:val="center"/>
            <w:hideMark/>
          </w:tcPr>
          <w:p w14:paraId="1FFB9790" w14:textId="77777777" w:rsidR="000C6B5E" w:rsidRPr="000C6B5E" w:rsidRDefault="000C6B5E" w:rsidP="000C6B5E">
            <w:pPr>
              <w:jc w:val="center"/>
              <w:rPr>
                <w:color w:val="000000"/>
                <w:sz w:val="22"/>
                <w:szCs w:val="22"/>
              </w:rPr>
            </w:pPr>
            <w:r w:rsidRPr="000C6B5E">
              <w:rPr>
                <w:color w:val="000000"/>
                <w:sz w:val="22"/>
                <w:szCs w:val="22"/>
              </w:rPr>
              <w:t>3.3</w:t>
            </w:r>
          </w:p>
        </w:tc>
      </w:tr>
    </w:tbl>
    <w:p w14:paraId="2BF2F617" w14:textId="44A2012E" w:rsidR="000C6B5E" w:rsidRPr="005C146E" w:rsidRDefault="005C146E" w:rsidP="00490943">
      <w:pPr>
        <w:ind w:left="1134" w:right="1041"/>
        <w:jc w:val="both"/>
        <w:rPr>
          <w:sz w:val="16"/>
          <w:szCs w:val="16"/>
        </w:rPr>
      </w:pPr>
      <w:r w:rsidRPr="005C146E">
        <w:rPr>
          <w:sz w:val="16"/>
          <w:szCs w:val="16"/>
        </w:rPr>
        <w:t>Fuente: Estimaciones de la Dirección de Crédito Público, en base a información del apartado de presupuesto multianual 2022-2026 y proyecciones macroeconómicas del Banco de Guatemala. Nota: Puede haber diferencias por redondeo.</w:t>
      </w:r>
    </w:p>
    <w:p w14:paraId="44C347B1" w14:textId="77777777" w:rsidR="000C6B5E" w:rsidRDefault="000C6B5E" w:rsidP="00486DFF">
      <w:pPr>
        <w:jc w:val="both"/>
      </w:pPr>
    </w:p>
    <w:p w14:paraId="11690280" w14:textId="03BD0E43" w:rsidR="00486DFF" w:rsidRDefault="005C146E" w:rsidP="005C146E">
      <w:pPr>
        <w:jc w:val="both"/>
      </w:pPr>
      <w:r>
        <w:t>El financiamiento del Estado, sin considerar la proporción que se cubriría con la variación de caja y bancos, se obtendría de acuerdo a una estrategia, donde se asume un financiamiento por medio de colocaciones de bonos del tesoro en el mercado interno, en moneda local, en una proporción de alrededor del 65.0% con respecto al financiamiento bruto durante el periodo de la estrategia; mientras que el resto, alrededor del 35.0%, provendría del financiamiento en moneda extranjera, préstamos externos y colocaciones.</w:t>
      </w:r>
    </w:p>
    <w:p w14:paraId="0C6C061E" w14:textId="77777777" w:rsidR="005C146E" w:rsidRDefault="005C146E" w:rsidP="005C146E">
      <w:pPr>
        <w:jc w:val="both"/>
      </w:pPr>
    </w:p>
    <w:p w14:paraId="04919FBA" w14:textId="77777777" w:rsidR="00486DFF" w:rsidRDefault="00486DFF" w:rsidP="00486DFF">
      <w:pPr>
        <w:jc w:val="both"/>
      </w:pPr>
      <w:r>
        <w:t xml:space="preserve">En relación al plazo de los bonos del tesoro emitidos en el mercado interno, se espera mayor participación de los bonos de 10, 15 y 20 años, los bonos destinados a pequeños inversionistas (plazos 1, 2 y 3 años) podría estar en torno al 3.0% del financiamiento bruto. </w:t>
      </w:r>
    </w:p>
    <w:p w14:paraId="61A95106" w14:textId="77777777" w:rsidR="00486DFF" w:rsidRDefault="00486DFF" w:rsidP="00486DFF">
      <w:pPr>
        <w:jc w:val="both"/>
      </w:pPr>
    </w:p>
    <w:p w14:paraId="379644B2" w14:textId="77777777" w:rsidR="00486DFF" w:rsidRDefault="00486DFF" w:rsidP="00486DFF">
      <w:pPr>
        <w:jc w:val="both"/>
      </w:pPr>
      <w:r>
        <w:t xml:space="preserve">La estrategia de gestión de deuda considera la emisión de Eurobonos en dólares, con el objeto de mantener presencia en el mercado de capitales y de esta manera diversificar el financiamiento. Entre algunas metas clave de la deuda resalta que para el final del período (2026), la tasa de interés implícita (los intereses pagados en un año respecto al saldo de deuda) podría ser de 6.6 (±)0.5, la deuda a tasa fija respecto al total se mantendría o podría ser superior al 84.0% y la deuda en moneda extranjera sería inferior o igual al 40.0% del total. </w:t>
      </w:r>
    </w:p>
    <w:p w14:paraId="1AD641A0" w14:textId="77777777" w:rsidR="00486DFF" w:rsidRDefault="00486DFF" w:rsidP="00486DFF">
      <w:pPr>
        <w:jc w:val="both"/>
      </w:pPr>
    </w:p>
    <w:p w14:paraId="39C1E058" w14:textId="77777777" w:rsidR="00F70155" w:rsidRDefault="00486DFF" w:rsidP="00F70155">
      <w:pPr>
        <w:jc w:val="both"/>
      </w:pPr>
      <w:r>
        <w:t>En relación al riesgo de refinanciamiento, la deuda que vence en un año como porcentaje del total podría aumentar en 0.3%</w:t>
      </w:r>
      <w:r w:rsidR="000C025C">
        <w:t>, 4.5</w:t>
      </w:r>
      <w:r>
        <w:t xml:space="preserve"> (±) 1.0, lo que significa un ligero aumento en el riesgo de refinanciamiento, esto se podría explicar por el aumento de los montos colocados en los plazos de 1 a 3 años destinados a pequeños inversionistas cuyas colocaciones han ido en aumento. No obstante, en promedio se observa que el riesgo de refinanciamiento se reduciría, ya que el indicador de tiempo promedio hasta el vencimiento (ATM) del portafolio total podría pasar de 10.7 a 11.9 años (±) 1.0.</w:t>
      </w:r>
      <w:r w:rsidR="00F70155">
        <w:t xml:space="preserve"> </w:t>
      </w:r>
    </w:p>
    <w:p w14:paraId="6BA44679" w14:textId="77777777" w:rsidR="00F70155" w:rsidRDefault="00F70155" w:rsidP="00F70155">
      <w:pPr>
        <w:jc w:val="both"/>
      </w:pPr>
    </w:p>
    <w:p w14:paraId="04CDA2CB" w14:textId="77777777" w:rsidR="00F70155" w:rsidRDefault="00F70155" w:rsidP="00F70155">
      <w:pPr>
        <w:jc w:val="both"/>
      </w:pPr>
      <w:r>
        <w:t>Los vencimientos de la deuda a finales de 2026, se estiman en los valores que se muestra en</w:t>
      </w:r>
    </w:p>
    <w:p w14:paraId="18EC5418" w14:textId="2C4CD78A" w:rsidR="00F70155" w:rsidRDefault="00F70155" w:rsidP="00F70155">
      <w:pPr>
        <w:jc w:val="both"/>
      </w:pPr>
      <w:r>
        <w:t>la gráfica, existiría un aumento de alrededor del 4.5% en la proporción de la deuda que tiene un plazo de más de 10 años, mientras que se reduciría la proporción de los plazos de 2 a 5 años y de 6 a 10 años, en alrededor de 2.0% y 2.7% respecto a los valores observados en 2021.</w:t>
      </w:r>
    </w:p>
    <w:p w14:paraId="1AF58E72" w14:textId="5B83D1A1" w:rsidR="00F70155" w:rsidRDefault="00F70155" w:rsidP="00F70155">
      <w:pPr>
        <w:jc w:val="both"/>
      </w:pPr>
    </w:p>
    <w:p w14:paraId="6B0DE706" w14:textId="0F64D3B5" w:rsidR="00E77A24" w:rsidRDefault="00E77A24" w:rsidP="00F70155">
      <w:pPr>
        <w:jc w:val="both"/>
      </w:pPr>
    </w:p>
    <w:p w14:paraId="2A1A8A6A" w14:textId="573CDF2C" w:rsidR="00E77A24" w:rsidRDefault="00E77A24" w:rsidP="00F70155">
      <w:pPr>
        <w:jc w:val="both"/>
      </w:pPr>
    </w:p>
    <w:p w14:paraId="554A6C95" w14:textId="3E7211F4" w:rsidR="00E77A24" w:rsidRDefault="00E77A24" w:rsidP="00F70155">
      <w:pPr>
        <w:jc w:val="both"/>
      </w:pPr>
    </w:p>
    <w:p w14:paraId="4682F49A" w14:textId="6867D062" w:rsidR="00F70155" w:rsidRPr="00DF7D59" w:rsidRDefault="00DF7D59" w:rsidP="00DF7D59">
      <w:pPr>
        <w:pStyle w:val="Descripcin"/>
        <w:spacing w:after="0"/>
        <w:jc w:val="center"/>
        <w:rPr>
          <w:b/>
          <w:bCs/>
          <w:i w:val="0"/>
          <w:iCs w:val="0"/>
          <w:color w:val="auto"/>
          <w:sz w:val="24"/>
          <w:szCs w:val="24"/>
        </w:rPr>
      </w:pPr>
      <w:bookmarkStart w:id="281" w:name="_Toc143870760"/>
      <w:r w:rsidRPr="00DF7D59">
        <w:rPr>
          <w:b/>
          <w:bCs/>
          <w:i w:val="0"/>
          <w:iCs w:val="0"/>
          <w:color w:val="auto"/>
          <w:sz w:val="24"/>
          <w:szCs w:val="24"/>
        </w:rPr>
        <w:t xml:space="preserve">Gráfico </w:t>
      </w:r>
      <w:r w:rsidRPr="00DF7D59">
        <w:rPr>
          <w:b/>
          <w:bCs/>
          <w:i w:val="0"/>
          <w:iCs w:val="0"/>
          <w:color w:val="auto"/>
          <w:sz w:val="24"/>
          <w:szCs w:val="24"/>
        </w:rPr>
        <w:fldChar w:fldCharType="begin"/>
      </w:r>
      <w:r w:rsidRPr="00DF7D59">
        <w:rPr>
          <w:b/>
          <w:bCs/>
          <w:i w:val="0"/>
          <w:iCs w:val="0"/>
          <w:color w:val="auto"/>
          <w:sz w:val="24"/>
          <w:szCs w:val="24"/>
        </w:rPr>
        <w:instrText xml:space="preserve"> SEQ Gráfico \* ARABIC </w:instrText>
      </w:r>
      <w:r w:rsidRPr="00DF7D59">
        <w:rPr>
          <w:b/>
          <w:bCs/>
          <w:i w:val="0"/>
          <w:iCs w:val="0"/>
          <w:color w:val="auto"/>
          <w:sz w:val="24"/>
          <w:szCs w:val="24"/>
        </w:rPr>
        <w:fldChar w:fldCharType="separate"/>
      </w:r>
      <w:r w:rsidR="006622B2">
        <w:rPr>
          <w:b/>
          <w:bCs/>
          <w:i w:val="0"/>
          <w:iCs w:val="0"/>
          <w:noProof/>
          <w:color w:val="auto"/>
          <w:sz w:val="24"/>
          <w:szCs w:val="24"/>
        </w:rPr>
        <w:t>93</w:t>
      </w:r>
      <w:r w:rsidRPr="00DF7D59">
        <w:rPr>
          <w:b/>
          <w:bCs/>
          <w:i w:val="0"/>
          <w:iCs w:val="0"/>
          <w:color w:val="auto"/>
          <w:sz w:val="24"/>
          <w:szCs w:val="24"/>
        </w:rPr>
        <w:fldChar w:fldCharType="end"/>
      </w:r>
      <w:r w:rsidRPr="00DF7D59">
        <w:rPr>
          <w:b/>
          <w:bCs/>
          <w:i w:val="0"/>
          <w:iCs w:val="0"/>
          <w:color w:val="auto"/>
          <w:sz w:val="24"/>
          <w:szCs w:val="24"/>
        </w:rPr>
        <w:t>.  Vencimiento residual de la deuda al cierre de 2026</w:t>
      </w:r>
      <w:bookmarkEnd w:id="281"/>
    </w:p>
    <w:p w14:paraId="6CACC838" w14:textId="65BD0246" w:rsidR="00F70155" w:rsidRDefault="00F70155" w:rsidP="00F70155">
      <w:pPr>
        <w:jc w:val="center"/>
      </w:pPr>
      <w:r>
        <w:t>(% respecto del total)</w:t>
      </w:r>
    </w:p>
    <w:p w14:paraId="476D0156" w14:textId="12EA07E2" w:rsidR="00F70155" w:rsidRDefault="00F70155" w:rsidP="00F70155">
      <w:pPr>
        <w:jc w:val="both"/>
      </w:pPr>
      <w:r w:rsidRPr="00F70155">
        <w:rPr>
          <w:noProof/>
        </w:rPr>
        <w:drawing>
          <wp:inline distT="0" distB="0" distL="0" distR="0" wp14:anchorId="373D1529" wp14:editId="3DBD1D7A">
            <wp:extent cx="5486400" cy="3200400"/>
            <wp:effectExtent l="0" t="0" r="0" b="1905"/>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718A9613" w14:textId="2516F5D0" w:rsidR="00F70155" w:rsidRPr="00F70155" w:rsidRDefault="00F70155" w:rsidP="00F70155">
      <w:pPr>
        <w:jc w:val="both"/>
        <w:rPr>
          <w:sz w:val="16"/>
          <w:szCs w:val="16"/>
        </w:rPr>
      </w:pPr>
      <w:r w:rsidRPr="00F70155">
        <w:rPr>
          <w:sz w:val="16"/>
          <w:szCs w:val="16"/>
        </w:rPr>
        <w:t>Fuente: Dirección de Crédito Público, en base a los resultados de la herramienta analítica MTDS, con información del</w:t>
      </w:r>
      <w:r>
        <w:rPr>
          <w:sz w:val="16"/>
          <w:szCs w:val="16"/>
        </w:rPr>
        <w:t xml:space="preserve"> </w:t>
      </w:r>
      <w:r w:rsidRPr="00F70155">
        <w:rPr>
          <w:sz w:val="16"/>
          <w:szCs w:val="16"/>
        </w:rPr>
        <w:t>presupuesto aprobado para el 2022, el presupuesto multianual 2022-2026, proyecciones de variables de mercado y proyecciones</w:t>
      </w:r>
      <w:r>
        <w:rPr>
          <w:sz w:val="16"/>
          <w:szCs w:val="16"/>
        </w:rPr>
        <w:t xml:space="preserve"> </w:t>
      </w:r>
      <w:r w:rsidRPr="00F70155">
        <w:rPr>
          <w:sz w:val="16"/>
          <w:szCs w:val="16"/>
        </w:rPr>
        <w:t>macroeconómicas del Banco de Guatemala.</w:t>
      </w:r>
    </w:p>
    <w:p w14:paraId="35764872" w14:textId="6CAC584D" w:rsidR="00F70155" w:rsidRPr="00F70155" w:rsidRDefault="00F70155" w:rsidP="00F70155">
      <w:pPr>
        <w:jc w:val="both"/>
        <w:rPr>
          <w:sz w:val="16"/>
          <w:szCs w:val="16"/>
        </w:rPr>
      </w:pPr>
      <w:r w:rsidRPr="00F70155">
        <w:rPr>
          <w:sz w:val="16"/>
          <w:szCs w:val="16"/>
        </w:rPr>
        <w:t>Nota: Puede haber diferencias por redondeo.</w:t>
      </w:r>
    </w:p>
    <w:p w14:paraId="2B6C87B9" w14:textId="582EB5C5" w:rsidR="00F70155" w:rsidRDefault="00F70155" w:rsidP="00486DFF">
      <w:pPr>
        <w:jc w:val="both"/>
      </w:pPr>
    </w:p>
    <w:p w14:paraId="13001D56" w14:textId="7870FD16" w:rsidR="00F70155" w:rsidRDefault="00F70155" w:rsidP="00F70155">
      <w:pPr>
        <w:jc w:val="both"/>
      </w:pPr>
      <w:r>
        <w:t>La estrategia establece lineamientos generales que permitirían obtener el financiamiento del Estado y cumplir con las obligaciones de servicio de la deuda; y, permitirá gestionar los riesgos de la cartera.</w:t>
      </w:r>
    </w:p>
    <w:p w14:paraId="6DE1F4AE" w14:textId="22A664F0" w:rsidR="00486DFF" w:rsidRDefault="00486DFF" w:rsidP="00486DFF"/>
    <w:p w14:paraId="52F336F5" w14:textId="4AD2DA86" w:rsidR="00486DFF" w:rsidRDefault="00AD159B" w:rsidP="00531A1B">
      <w:pPr>
        <w:pStyle w:val="Prrafodelista"/>
        <w:numPr>
          <w:ilvl w:val="0"/>
          <w:numId w:val="3"/>
        </w:numPr>
        <w:jc w:val="both"/>
        <w:outlineLvl w:val="0"/>
        <w:rPr>
          <w:b/>
          <w:bCs/>
        </w:rPr>
      </w:pPr>
      <w:bookmarkStart w:id="282" w:name="_Toc143865872"/>
      <w:r w:rsidRPr="004B6A59">
        <w:rPr>
          <w:b/>
          <w:bCs/>
        </w:rPr>
        <w:t>La orientación de la política fiscal</w:t>
      </w:r>
      <w:bookmarkEnd w:id="282"/>
    </w:p>
    <w:p w14:paraId="1616350D" w14:textId="6F033FD5" w:rsidR="00C42062" w:rsidRDefault="00C42062" w:rsidP="00C42062">
      <w:pPr>
        <w:jc w:val="both"/>
        <w:outlineLvl w:val="0"/>
        <w:rPr>
          <w:b/>
          <w:bCs/>
        </w:rPr>
      </w:pPr>
    </w:p>
    <w:p w14:paraId="096D6004" w14:textId="466F1318" w:rsidR="00C42062" w:rsidRPr="00C42062" w:rsidRDefault="00C42062" w:rsidP="00C42062">
      <w:pPr>
        <w:jc w:val="both"/>
      </w:pPr>
      <w:r w:rsidRPr="00C42062">
        <w:t>Los resultados financieros sugieren que la política fiscal para el período 2005 – 2019, fue levemente contractiva en la mayor parte de los años hasta 2016, a excepción de los años 2005, 2006, 2009 y 2014</w:t>
      </w:r>
      <w:r w:rsidR="00AF239C">
        <w:t>,</w:t>
      </w:r>
      <w:r w:rsidRPr="00C42062">
        <w:t xml:space="preserve"> en donde la política fiscal fue expansiva. En toda la serie histórica se observa que la mayor expansión se dio en 2009, debido al efecto de la crisis económica internacional, en donde el gobierno para contrarrestar dicho efecto en la economía aumentó el gasto público y no tomó medidas para contener el ajuste automático (a la baja) de la recaudación tributaria producto de la crisis, lo que tuvo un efecto expansivo en la política fiscal. Después, de esos años la política fiscal fue contractiva (2010- 2016) situación que se agudizó en los años 2015 en donde el gasto se contrajo fuertemente, en parte porque la economía se encontraba por encima de su nivel potencial, pero también por una política fiscal deliberada de contención de gasto asociado a los problemas de liquidez del gobierno.</w:t>
      </w:r>
    </w:p>
    <w:p w14:paraId="4409401C" w14:textId="77777777" w:rsidR="00C42062" w:rsidRPr="00C42062" w:rsidRDefault="00C42062" w:rsidP="00C42062">
      <w:pPr>
        <w:jc w:val="both"/>
      </w:pPr>
    </w:p>
    <w:p w14:paraId="31ED5707" w14:textId="77777777" w:rsidR="00C42062" w:rsidRPr="00C42062" w:rsidRDefault="00C42062" w:rsidP="00C42062">
      <w:pPr>
        <w:jc w:val="both"/>
      </w:pPr>
      <w:r w:rsidRPr="00C42062">
        <w:t>A partir de 2017 esto cambió, la política fiscal empezó a ser expansiva al principio por la relajación, no deliberada, por el lado del ingreso por la reducción en la carga tributaria y posteriormente por una mayor expansión de gasto, importante indicar acá el efecto que tuvo al aumento de la inversión pública en 2018 y 2019.</w:t>
      </w:r>
    </w:p>
    <w:p w14:paraId="79306DBF" w14:textId="77777777" w:rsidR="00C42062" w:rsidRPr="00C42062" w:rsidRDefault="00C42062" w:rsidP="00C42062">
      <w:pPr>
        <w:jc w:val="both"/>
      </w:pPr>
    </w:p>
    <w:p w14:paraId="51EF4028" w14:textId="77777777" w:rsidR="00C42062" w:rsidRPr="00C42062" w:rsidRDefault="00C42062" w:rsidP="00C42062">
      <w:pPr>
        <w:jc w:val="both"/>
      </w:pPr>
      <w:r w:rsidRPr="00C42062">
        <w:t>En 2020 se dio un fuerte estímulo fiscal, el cual permitió sostener el gasto público a pesar de la contracción económica y la menor disponibilidad de recursos tributarios por la crisis del COVID-19, el gobierno no tomó medidas para contener el ajuste automático (a la baja) que se reportaba en la recaudación tributaria, con un efecto expansivo en la política fiscal, mediante un aumento importante en el gasto público financiado principalmente con la generación de deuda pública.</w:t>
      </w:r>
    </w:p>
    <w:p w14:paraId="627D1D77" w14:textId="77777777" w:rsidR="00C42062" w:rsidRPr="00C42062" w:rsidRDefault="00C42062" w:rsidP="00C42062">
      <w:pPr>
        <w:jc w:val="both"/>
      </w:pPr>
    </w:p>
    <w:p w14:paraId="74E03D63" w14:textId="77777777" w:rsidR="00C42062" w:rsidRPr="00C42062" w:rsidRDefault="00C42062" w:rsidP="00C42062">
      <w:pPr>
        <w:jc w:val="both"/>
      </w:pPr>
      <w:r w:rsidRPr="00C42062">
        <w:t>Por el contrario, en 2021 se observó una fuerte recuperación económica, la cual se produce luego de una desaceleración del crecimiento de la economía, pero el retorno a la “normalidad” que también fue bastante rápida. Este es el escenario de recuperación que los expertos consideran como el más dinámico, derivado de esta recuperación, los ingresos tributarios crecieron a tasas no vistas en años anteriores, y el gasto público fue moderado, revelando que la postura del gobierno en este año fue contractiva y contracíclica.</w:t>
      </w:r>
    </w:p>
    <w:p w14:paraId="599FF307" w14:textId="77777777" w:rsidR="00C42062" w:rsidRPr="00C42062" w:rsidRDefault="00C42062" w:rsidP="00C42062">
      <w:pPr>
        <w:jc w:val="both"/>
      </w:pPr>
    </w:p>
    <w:p w14:paraId="683B3B51" w14:textId="77777777" w:rsidR="00C42062" w:rsidRPr="00C42062" w:rsidRDefault="00C42062" w:rsidP="00C42062">
      <w:pPr>
        <w:jc w:val="both"/>
      </w:pPr>
      <w:r w:rsidRPr="00C42062">
        <w:t>Se optó por una política fiscal de menor intervención, derivado que la actividad económica desde el primer trimestre mostró signos de recuperación y tomando en consideración que la evolución del gasto público afecta de forma directa a la actividad económica, se reflexionó sobre un gasto público más moderado, siendo la mejor estrategia a seguir en 2021. Derivado de la política fiscal adoptada, la trayectoria en el comportamiento de variables fiscales como el déficit fiscal y la deuda pública mostraron una mejor posición respecto a lo observado en 2020.</w:t>
      </w:r>
    </w:p>
    <w:p w14:paraId="435F8238" w14:textId="77777777" w:rsidR="00C42062" w:rsidRPr="00C42062" w:rsidRDefault="00C42062" w:rsidP="00C42062">
      <w:pPr>
        <w:jc w:val="both"/>
      </w:pPr>
    </w:p>
    <w:p w14:paraId="4213787C" w14:textId="77777777" w:rsidR="00C42062" w:rsidRPr="00C42062" w:rsidRDefault="00C42062" w:rsidP="00C42062">
      <w:pPr>
        <w:jc w:val="both"/>
      </w:pPr>
      <w:r w:rsidRPr="00C42062">
        <w:t>Para 2022, la política fiscal nuevamente fue expansiva, tomando en consideración el fuerte apoyo que se brindó a la economía para mitigar el efecto económico del alza en los precios de los combustibles debido a la guerra entre Rusia y Ucrania que provocó una volatilidad en los mercados de materias primas incidiendo particularmente en los precios del petróleo.  De esa cuenta, el gobierno realizó subsidios temporales al diésel y gasolinas, así como al gas propano de uso familiar y también amplío la cobertura de la tarifa social de energía eléctrica.  Además, en dicho año, se atendieron programas por Estado de Calamidad incluyendo la atención del COVID-19 que junto con un programa de reactivación económica mediante mayor gasto en infraestructura catapultó el nivel de gasto público, incidiendo en la expansión de la política fiscal.</w:t>
      </w:r>
    </w:p>
    <w:p w14:paraId="0001F43C" w14:textId="77777777" w:rsidR="00C42062" w:rsidRPr="00C42062" w:rsidRDefault="00C42062" w:rsidP="00C42062">
      <w:pPr>
        <w:jc w:val="both"/>
      </w:pPr>
    </w:p>
    <w:p w14:paraId="66034456" w14:textId="77777777" w:rsidR="00C42062" w:rsidRPr="00C42062" w:rsidRDefault="00C42062" w:rsidP="00C42062">
      <w:pPr>
        <w:jc w:val="both"/>
      </w:pPr>
      <w:r w:rsidRPr="00C42062">
        <w:t>En el mediano plazo, según las proyecciones multianuales, en 2023 la política fiscal podría ser levemente expansiva, adicionalmente el gasto público crecería impulsado por los programas de fortalecimiento a la infraestructura vial y los aportes a entidades descentralizadas y autónomas, y a partir de 2024 a 2028 la política cambiará para ser levemente contractiva, derivado de la normalización económica y del gasto del gobierno.</w:t>
      </w:r>
    </w:p>
    <w:p w14:paraId="26618D55" w14:textId="3EEDFB3A" w:rsidR="00C42062" w:rsidRDefault="00C42062" w:rsidP="00C42062">
      <w:pPr>
        <w:jc w:val="both"/>
      </w:pPr>
    </w:p>
    <w:p w14:paraId="4ACBB557" w14:textId="03F89936" w:rsidR="00E77A24" w:rsidRDefault="00E77A24" w:rsidP="00C42062">
      <w:pPr>
        <w:jc w:val="both"/>
      </w:pPr>
    </w:p>
    <w:p w14:paraId="731A4E7B" w14:textId="7D811C49" w:rsidR="00E77A24" w:rsidRDefault="00E77A24" w:rsidP="00C42062">
      <w:pPr>
        <w:jc w:val="both"/>
      </w:pPr>
    </w:p>
    <w:p w14:paraId="5D272078" w14:textId="220A673F" w:rsidR="00E77A24" w:rsidRDefault="00E77A24" w:rsidP="00C42062">
      <w:pPr>
        <w:jc w:val="both"/>
      </w:pPr>
    </w:p>
    <w:p w14:paraId="04279177" w14:textId="34F3762C" w:rsidR="00E77A24" w:rsidRDefault="00E77A24" w:rsidP="00C42062">
      <w:pPr>
        <w:jc w:val="both"/>
      </w:pPr>
    </w:p>
    <w:p w14:paraId="7B0932D3" w14:textId="3647441F" w:rsidR="00E77A24" w:rsidRDefault="00E77A24" w:rsidP="00C42062">
      <w:pPr>
        <w:jc w:val="both"/>
      </w:pPr>
    </w:p>
    <w:p w14:paraId="670D350C" w14:textId="5589B061" w:rsidR="00E77A24" w:rsidRDefault="00E77A24" w:rsidP="00C42062">
      <w:pPr>
        <w:jc w:val="both"/>
      </w:pPr>
    </w:p>
    <w:p w14:paraId="1E4067FC" w14:textId="77777777" w:rsidR="00E77A24" w:rsidRPr="00C42062" w:rsidRDefault="00E77A24" w:rsidP="00C42062">
      <w:pPr>
        <w:jc w:val="both"/>
      </w:pPr>
    </w:p>
    <w:p w14:paraId="0777C169" w14:textId="629A3BE9" w:rsidR="00C42062" w:rsidRPr="00C42062" w:rsidRDefault="00C42062" w:rsidP="00C42062">
      <w:pPr>
        <w:keepNext/>
        <w:ind w:right="49"/>
        <w:jc w:val="center"/>
        <w:rPr>
          <w:b/>
          <w:bCs/>
        </w:rPr>
      </w:pPr>
      <w:bookmarkStart w:id="283" w:name="_Toc143870761"/>
      <w:r w:rsidRPr="00C42062">
        <w:rPr>
          <w:b/>
          <w:bCs/>
        </w:rPr>
        <w:t xml:space="preserve">Gráfico </w:t>
      </w:r>
      <w:r w:rsidRPr="00C42062">
        <w:rPr>
          <w:b/>
          <w:bCs/>
        </w:rPr>
        <w:fldChar w:fldCharType="begin"/>
      </w:r>
      <w:r w:rsidRPr="00C42062">
        <w:rPr>
          <w:b/>
          <w:bCs/>
        </w:rPr>
        <w:instrText xml:space="preserve"> SEQ Gráfico \* ARABIC </w:instrText>
      </w:r>
      <w:r w:rsidRPr="00C42062">
        <w:rPr>
          <w:b/>
          <w:bCs/>
        </w:rPr>
        <w:fldChar w:fldCharType="separate"/>
      </w:r>
      <w:r w:rsidR="006622B2">
        <w:rPr>
          <w:b/>
          <w:bCs/>
          <w:noProof/>
        </w:rPr>
        <w:t>94</w:t>
      </w:r>
      <w:r w:rsidRPr="00C42062">
        <w:rPr>
          <w:b/>
          <w:bCs/>
        </w:rPr>
        <w:fldChar w:fldCharType="end"/>
      </w:r>
      <w:r w:rsidRPr="00C42062">
        <w:rPr>
          <w:b/>
          <w:bCs/>
        </w:rPr>
        <w:t>. Impulso fiscal</w:t>
      </w:r>
      <w:bookmarkEnd w:id="283"/>
    </w:p>
    <w:p w14:paraId="18439038" w14:textId="77777777" w:rsidR="00C42062" w:rsidRPr="00C42062" w:rsidRDefault="00C42062" w:rsidP="00C42062">
      <w:pPr>
        <w:ind w:right="49"/>
        <w:jc w:val="center"/>
        <w:rPr>
          <w:sz w:val="20"/>
          <w:szCs w:val="20"/>
        </w:rPr>
      </w:pPr>
      <w:r w:rsidRPr="00C42062">
        <w:rPr>
          <w:sz w:val="20"/>
          <w:szCs w:val="20"/>
        </w:rPr>
        <w:t>Puntos porcentuales del PIB potencial</w:t>
      </w:r>
    </w:p>
    <w:p w14:paraId="73007B39" w14:textId="3C930BCA" w:rsidR="00C42062" w:rsidRPr="00C42062" w:rsidRDefault="00C42062" w:rsidP="00C42062">
      <w:pPr>
        <w:spacing w:before="33"/>
        <w:ind w:right="49"/>
        <w:jc w:val="center"/>
      </w:pPr>
      <w:r w:rsidRPr="00C42062">
        <w:rPr>
          <w:noProof/>
        </w:rPr>
        <w:drawing>
          <wp:inline distT="0" distB="0" distL="0" distR="0" wp14:anchorId="00C2A0B5" wp14:editId="10AD040E">
            <wp:extent cx="5215890" cy="3233420"/>
            <wp:effectExtent l="0" t="0" r="3810" b="508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15890" cy="3233420"/>
                    </a:xfrm>
                    <a:prstGeom prst="rect">
                      <a:avLst/>
                    </a:prstGeom>
                    <a:noFill/>
                    <a:ln>
                      <a:noFill/>
                    </a:ln>
                  </pic:spPr>
                </pic:pic>
              </a:graphicData>
            </a:graphic>
          </wp:inline>
        </w:drawing>
      </w:r>
    </w:p>
    <w:p w14:paraId="74843376" w14:textId="77777777" w:rsidR="00C42062" w:rsidRPr="00C42062" w:rsidRDefault="00C42062" w:rsidP="00C42062">
      <w:pPr>
        <w:spacing w:before="11"/>
        <w:ind w:left="1445"/>
        <w:rPr>
          <w:sz w:val="18"/>
          <w:szCs w:val="28"/>
        </w:rPr>
      </w:pPr>
      <w:r w:rsidRPr="00C42062">
        <w:rPr>
          <w:sz w:val="18"/>
          <w:szCs w:val="28"/>
        </w:rPr>
        <w:t>Fuente: Dirección de Análisis y Política Fiscal.</w:t>
      </w:r>
    </w:p>
    <w:p w14:paraId="0EB73C84" w14:textId="77777777" w:rsidR="00C42062" w:rsidRPr="00C42062" w:rsidRDefault="00C42062" w:rsidP="00C42062">
      <w:pPr>
        <w:jc w:val="both"/>
      </w:pPr>
    </w:p>
    <w:p w14:paraId="2699572A" w14:textId="77777777" w:rsidR="00C42062" w:rsidRPr="00C42062" w:rsidRDefault="00C42062" w:rsidP="00C42062">
      <w:pPr>
        <w:jc w:val="both"/>
      </w:pPr>
      <w:r w:rsidRPr="00C42062">
        <w:t>Con base a los resultados del impulso fiscal y la relación de este indicador con la brecha del producto, nos indica que para los años 2020 la política fiscal fue marcadamente contra cíclica. Para 2021 nuevamente la política fiscal fue contra cíclica, dado que con un crecimiento del 8.0%, por arriba del PIB potencial, se dio una fuerte contracción del gasto público.</w:t>
      </w:r>
    </w:p>
    <w:p w14:paraId="63B1BD79" w14:textId="77777777" w:rsidR="00C42062" w:rsidRPr="00C42062" w:rsidRDefault="00C42062" w:rsidP="00C42062">
      <w:pPr>
        <w:jc w:val="both"/>
      </w:pPr>
    </w:p>
    <w:p w14:paraId="34BEB548" w14:textId="77777777" w:rsidR="00C42062" w:rsidRPr="00C42062" w:rsidRDefault="00C42062" w:rsidP="00C42062">
      <w:pPr>
        <w:jc w:val="both"/>
      </w:pPr>
      <w:r w:rsidRPr="00C42062">
        <w:t>En 2022 la política fiscal fue nuevamente contra cíclica, derivado de un aumento importante de los gastos relacionados a las transferencias corrientes, los bienes y servicios y la inversión real directa, al mismo tiempo los ingresos se mantuvieron elevados y el crecimiento económico estuvo por arriba de su potencial (4.1%), pero menor al nivel observado en 2021.</w:t>
      </w:r>
    </w:p>
    <w:p w14:paraId="133D5B55" w14:textId="77777777" w:rsidR="00C42062" w:rsidRPr="00C42062" w:rsidRDefault="00C42062" w:rsidP="00C42062">
      <w:pPr>
        <w:jc w:val="both"/>
      </w:pPr>
    </w:p>
    <w:p w14:paraId="33E58CFE" w14:textId="77777777" w:rsidR="00C42062" w:rsidRPr="00C42062" w:rsidRDefault="00C42062" w:rsidP="00C42062">
      <w:pPr>
        <w:jc w:val="both"/>
      </w:pPr>
      <w:r w:rsidRPr="00C42062">
        <w:t>En 2023 después de la expansión de la política fiscal en 2022, se busca normalizar el desempeño fiscal, lo que podría generar incidir en que la expansión se mantenga, pero en menor medida y a la vez se mantenga levemente contra cíclica en dicho año. Sin embargo, se prevé que para el período 2024–2028 la orientación de la política fiscal en la mayoría de los años podría ser levemente contra cíclica, como lo recomienda la literatura económica, ya que, ante un período de crecimiento económico en donde la economía opera en el potencial o muy cerca de él, la respuesta de la política fiscal será neutral o contractiva con un menor gasto público, apoyando así también a reducir la volatilidad de la economía y fomentar un crecimiento ordenado y sostenido en la actividad económica. Sin embargo, dado el planteamiento del proyecto de presupuesto de 2024 y las perspectivas económicas del Banco de Guatemala esta podría ser procíclica, aunque esto puede sufrir algunas variaciones de acuerdo con la orientación de política fiscal que pretenda realizar la próxima administración pública y los acontecimientos en el entorno económico y político internacional.</w:t>
      </w:r>
    </w:p>
    <w:p w14:paraId="085EC032" w14:textId="77777777" w:rsidR="00C42062" w:rsidRPr="00C42062" w:rsidRDefault="00C42062" w:rsidP="00C42062">
      <w:pPr>
        <w:jc w:val="both"/>
      </w:pPr>
    </w:p>
    <w:p w14:paraId="3600026D" w14:textId="595B8DA6" w:rsidR="00C42062" w:rsidRPr="00C42062" w:rsidRDefault="00C42062" w:rsidP="00C42062">
      <w:pPr>
        <w:jc w:val="center"/>
        <w:rPr>
          <w:b/>
          <w:bCs/>
        </w:rPr>
      </w:pPr>
      <w:bookmarkStart w:id="284" w:name="_Toc143870762"/>
      <w:r w:rsidRPr="00C42062">
        <w:rPr>
          <w:b/>
          <w:bCs/>
        </w:rPr>
        <w:t xml:space="preserve">Gráfico </w:t>
      </w:r>
      <w:r w:rsidRPr="00C42062">
        <w:rPr>
          <w:b/>
          <w:bCs/>
        </w:rPr>
        <w:fldChar w:fldCharType="begin"/>
      </w:r>
      <w:r w:rsidRPr="00C42062">
        <w:rPr>
          <w:b/>
          <w:bCs/>
        </w:rPr>
        <w:instrText xml:space="preserve"> SEQ Gráfico \* ARABIC </w:instrText>
      </w:r>
      <w:r w:rsidRPr="00C42062">
        <w:rPr>
          <w:b/>
          <w:bCs/>
        </w:rPr>
        <w:fldChar w:fldCharType="separate"/>
      </w:r>
      <w:r w:rsidR="006622B2">
        <w:rPr>
          <w:b/>
          <w:bCs/>
          <w:noProof/>
        </w:rPr>
        <w:t>95</w:t>
      </w:r>
      <w:r w:rsidRPr="00C42062">
        <w:rPr>
          <w:b/>
          <w:bCs/>
        </w:rPr>
        <w:fldChar w:fldCharType="end"/>
      </w:r>
      <w:r w:rsidRPr="00C42062">
        <w:rPr>
          <w:b/>
          <w:bCs/>
        </w:rPr>
        <w:t>.  Orientación de la política fiscal</w:t>
      </w:r>
      <w:bookmarkEnd w:id="284"/>
    </w:p>
    <w:p w14:paraId="3969D548" w14:textId="2E8B0764" w:rsidR="00C42062" w:rsidRPr="00C42062" w:rsidRDefault="00C42062" w:rsidP="00C42062">
      <w:pPr>
        <w:rPr>
          <w:b/>
          <w:i/>
        </w:rPr>
      </w:pPr>
      <w:r w:rsidRPr="00C42062">
        <w:rPr>
          <w:b/>
          <w:i/>
          <w:noProof/>
        </w:rPr>
        <w:drawing>
          <wp:inline distT="0" distB="0" distL="0" distR="0" wp14:anchorId="459BEA03" wp14:editId="15E93460">
            <wp:extent cx="5193665" cy="2948305"/>
            <wp:effectExtent l="0" t="0" r="6985" b="4445"/>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93665" cy="2948305"/>
                    </a:xfrm>
                    <a:prstGeom prst="rect">
                      <a:avLst/>
                    </a:prstGeom>
                    <a:noFill/>
                    <a:ln>
                      <a:noFill/>
                    </a:ln>
                  </pic:spPr>
                </pic:pic>
              </a:graphicData>
            </a:graphic>
          </wp:inline>
        </w:drawing>
      </w:r>
    </w:p>
    <w:p w14:paraId="2C280226" w14:textId="77777777" w:rsidR="00C42062" w:rsidRPr="00C42062" w:rsidRDefault="00C42062" w:rsidP="00C42062">
      <w:pPr>
        <w:ind w:left="1224"/>
        <w:rPr>
          <w:sz w:val="18"/>
          <w:szCs w:val="28"/>
        </w:rPr>
      </w:pPr>
    </w:p>
    <w:p w14:paraId="15E7413A" w14:textId="77777777" w:rsidR="00C42062" w:rsidRPr="00C42062" w:rsidRDefault="00C42062" w:rsidP="00C42062">
      <w:pPr>
        <w:ind w:firstLine="708"/>
        <w:rPr>
          <w:sz w:val="18"/>
          <w:szCs w:val="28"/>
        </w:rPr>
      </w:pPr>
      <w:r w:rsidRPr="00C42062">
        <w:rPr>
          <w:sz w:val="18"/>
          <w:szCs w:val="28"/>
        </w:rPr>
        <w:t>Fuente: Dirección de Análisis y Política Fiscal.</w:t>
      </w:r>
    </w:p>
    <w:p w14:paraId="63BE043E" w14:textId="77777777" w:rsidR="00C42062" w:rsidRPr="00C42062" w:rsidRDefault="00C42062" w:rsidP="00C42062">
      <w:pPr>
        <w:jc w:val="both"/>
      </w:pPr>
    </w:p>
    <w:p w14:paraId="7744760E" w14:textId="77777777" w:rsidR="00AD159B" w:rsidRDefault="00AD159B" w:rsidP="00AD159B">
      <w:pPr>
        <w:jc w:val="both"/>
      </w:pPr>
    </w:p>
    <w:p w14:paraId="060281EF" w14:textId="21F57132" w:rsidR="00486DFF" w:rsidRPr="00AD159B" w:rsidRDefault="00AD159B" w:rsidP="00531A1B">
      <w:pPr>
        <w:pStyle w:val="Prrafodelista"/>
        <w:numPr>
          <w:ilvl w:val="0"/>
          <w:numId w:val="3"/>
        </w:numPr>
        <w:jc w:val="both"/>
        <w:outlineLvl w:val="0"/>
        <w:rPr>
          <w:b/>
          <w:bCs/>
        </w:rPr>
      </w:pPr>
      <w:bookmarkStart w:id="285" w:name="_Toc143865873"/>
      <w:r w:rsidRPr="00AD159B">
        <w:rPr>
          <w:b/>
          <w:bCs/>
        </w:rPr>
        <w:t>Brechas para alcanzar las metas propuestas en la Política General de Gobierno hacia 2023</w:t>
      </w:r>
      <w:bookmarkEnd w:id="285"/>
    </w:p>
    <w:p w14:paraId="02561830" w14:textId="6D0E2670" w:rsidR="00486DFF" w:rsidRDefault="00486DFF" w:rsidP="00486DFF"/>
    <w:p w14:paraId="354471A6" w14:textId="77777777" w:rsidR="00AD159B" w:rsidRDefault="00AD159B" w:rsidP="00AD159B">
      <w:pPr>
        <w:jc w:val="both"/>
      </w:pPr>
      <w:r>
        <w:t>Derivado de la evaluación que realiza la Secretaría de Planificación y Programación de la Presidencia (SEGEPLAN) respecto al desarrollo de la Política General de Gobierno 2020-2024, se realiza un seguimiento hacia el cumplimiento para el 2023, tomando en consideración los avances que se tienen al cierre de 2022.</w:t>
      </w:r>
    </w:p>
    <w:p w14:paraId="1DC8B756" w14:textId="77777777" w:rsidR="00AD159B" w:rsidRDefault="00AD159B" w:rsidP="00AD159B">
      <w:pPr>
        <w:jc w:val="both"/>
      </w:pPr>
    </w:p>
    <w:p w14:paraId="382E2367" w14:textId="77777777" w:rsidR="00AD159B" w:rsidRDefault="00AD159B" w:rsidP="00AD159B">
      <w:pPr>
        <w:jc w:val="both"/>
      </w:pPr>
      <w:r>
        <w:t>Se estableció que existen metas que han sido cumplidas anticipadamente, según lo previsto para el 2023, las cuales se incluyen entre las que tienen avance mayor o igual a 70% (34 metas).</w:t>
      </w:r>
    </w:p>
    <w:p w14:paraId="5D10F2FE" w14:textId="77777777" w:rsidR="00AD159B" w:rsidRDefault="00AD159B" w:rsidP="00AD159B">
      <w:pPr>
        <w:jc w:val="both"/>
      </w:pPr>
    </w:p>
    <w:p w14:paraId="0C8ADBCB" w14:textId="0C2E3CF6" w:rsidR="00AD159B" w:rsidRDefault="00AD159B" w:rsidP="001D34CE">
      <w:pPr>
        <w:jc w:val="both"/>
      </w:pPr>
      <w:r>
        <w:t>Asimismo, se identificaron 4 metas que tienen avance de 41% a menos de 70%, 4 metas cuyo análisis no procede y 8 metas que tienen avance menor o igual a 40%, las cuales se encuentran en algo riesgo de no cumplir lo establecido para 2023. El pilar 2 de Desarrollo Social es el que reporta el mayor rezago.</w:t>
      </w:r>
    </w:p>
    <w:p w14:paraId="50D084B6" w14:textId="2FFDE390" w:rsidR="004B6A59" w:rsidRDefault="004B6A59" w:rsidP="00486DFF"/>
    <w:p w14:paraId="3A0FE5FA" w14:textId="3AEF9F98" w:rsidR="00E77A24" w:rsidRDefault="00E77A24" w:rsidP="00486DFF"/>
    <w:p w14:paraId="15CA5599" w14:textId="112170C3" w:rsidR="00E77A24" w:rsidRDefault="00E77A24" w:rsidP="00486DFF"/>
    <w:p w14:paraId="4AEFA9BA" w14:textId="7019A57A" w:rsidR="00E77A24" w:rsidRDefault="00E77A24" w:rsidP="00486DFF"/>
    <w:p w14:paraId="22EE1AE1" w14:textId="6AD7BC11" w:rsidR="00E77A24" w:rsidRDefault="00E77A24" w:rsidP="00486DFF"/>
    <w:p w14:paraId="7156B9A8" w14:textId="6FEF141F" w:rsidR="00E77A24" w:rsidRDefault="00E77A24" w:rsidP="00486DFF"/>
    <w:p w14:paraId="41E3C9B2" w14:textId="26FC56D8" w:rsidR="00E77A24" w:rsidRDefault="00E77A24" w:rsidP="00486DFF"/>
    <w:p w14:paraId="399C6599" w14:textId="0A4C65EE" w:rsidR="00E77A24" w:rsidRDefault="00E77A24" w:rsidP="00486DFF"/>
    <w:p w14:paraId="2FEF12E9" w14:textId="77777777" w:rsidR="00E77A24" w:rsidRDefault="00E77A24" w:rsidP="00486DFF"/>
    <w:p w14:paraId="6FBD7DD6" w14:textId="559DE984" w:rsidR="0071370B" w:rsidRPr="0071370B" w:rsidRDefault="0071370B" w:rsidP="0071370B">
      <w:pPr>
        <w:pStyle w:val="Descripcin"/>
        <w:spacing w:after="0"/>
        <w:jc w:val="center"/>
        <w:rPr>
          <w:b/>
          <w:bCs/>
          <w:i w:val="0"/>
          <w:iCs w:val="0"/>
          <w:color w:val="auto"/>
          <w:sz w:val="24"/>
          <w:szCs w:val="24"/>
        </w:rPr>
      </w:pPr>
      <w:bookmarkStart w:id="286" w:name="_Toc143870763"/>
      <w:r w:rsidRPr="0071370B">
        <w:rPr>
          <w:b/>
          <w:bCs/>
          <w:i w:val="0"/>
          <w:iCs w:val="0"/>
          <w:color w:val="auto"/>
          <w:sz w:val="24"/>
          <w:szCs w:val="24"/>
        </w:rPr>
        <w:t xml:space="preserve">Gráfico </w:t>
      </w:r>
      <w:r w:rsidRPr="0071370B">
        <w:rPr>
          <w:b/>
          <w:bCs/>
          <w:i w:val="0"/>
          <w:iCs w:val="0"/>
          <w:color w:val="auto"/>
          <w:sz w:val="24"/>
          <w:szCs w:val="24"/>
        </w:rPr>
        <w:fldChar w:fldCharType="begin"/>
      </w:r>
      <w:r w:rsidRPr="0071370B">
        <w:rPr>
          <w:b/>
          <w:bCs/>
          <w:i w:val="0"/>
          <w:iCs w:val="0"/>
          <w:color w:val="auto"/>
          <w:sz w:val="24"/>
          <w:szCs w:val="24"/>
        </w:rPr>
        <w:instrText xml:space="preserve"> SEQ Gráfico \* ARABIC </w:instrText>
      </w:r>
      <w:r w:rsidRPr="0071370B">
        <w:rPr>
          <w:b/>
          <w:bCs/>
          <w:i w:val="0"/>
          <w:iCs w:val="0"/>
          <w:color w:val="auto"/>
          <w:sz w:val="24"/>
          <w:szCs w:val="24"/>
        </w:rPr>
        <w:fldChar w:fldCharType="separate"/>
      </w:r>
      <w:r w:rsidR="006622B2">
        <w:rPr>
          <w:b/>
          <w:bCs/>
          <w:i w:val="0"/>
          <w:iCs w:val="0"/>
          <w:noProof/>
          <w:color w:val="auto"/>
          <w:sz w:val="24"/>
          <w:szCs w:val="24"/>
        </w:rPr>
        <w:t>96</w:t>
      </w:r>
      <w:r w:rsidRPr="0071370B">
        <w:rPr>
          <w:b/>
          <w:bCs/>
          <w:i w:val="0"/>
          <w:iCs w:val="0"/>
          <w:color w:val="auto"/>
          <w:sz w:val="24"/>
          <w:szCs w:val="24"/>
        </w:rPr>
        <w:fldChar w:fldCharType="end"/>
      </w:r>
      <w:r w:rsidRPr="0071370B">
        <w:rPr>
          <w:b/>
          <w:bCs/>
          <w:i w:val="0"/>
          <w:iCs w:val="0"/>
          <w:color w:val="auto"/>
          <w:sz w:val="24"/>
          <w:szCs w:val="24"/>
        </w:rPr>
        <w:t>.  Brechas en las metas de la PGG hacia 2023</w:t>
      </w:r>
      <w:bookmarkEnd w:id="286"/>
    </w:p>
    <w:p w14:paraId="244E588D" w14:textId="2670A8AE" w:rsidR="00AD159B" w:rsidRPr="009A00AB" w:rsidRDefault="00AD159B" w:rsidP="00AD159B">
      <w:pPr>
        <w:ind w:left="1992"/>
        <w:rPr>
          <w:b/>
          <w:szCs w:val="32"/>
        </w:rPr>
      </w:pPr>
      <w:r w:rsidRPr="009A00AB">
        <w:rPr>
          <w:b/>
          <w:szCs w:val="32"/>
        </w:rPr>
        <w:t xml:space="preserve"> </w:t>
      </w:r>
    </w:p>
    <w:p w14:paraId="7B96DFB9" w14:textId="3E048529" w:rsidR="00AD159B" w:rsidRDefault="00AD159B" w:rsidP="00AD159B">
      <w:pPr>
        <w:rPr>
          <w:b/>
          <w:sz w:val="20"/>
        </w:rPr>
      </w:pPr>
      <w:r>
        <w:rPr>
          <w:b/>
          <w:noProof/>
          <w:sz w:val="20"/>
        </w:rPr>
        <w:drawing>
          <wp:anchor distT="0" distB="0" distL="114300" distR="114300" simplePos="0" relativeHeight="251763712" behindDoc="0" locked="0" layoutInCell="1" allowOverlap="1" wp14:anchorId="51B2371A" wp14:editId="2C5CEDC3">
            <wp:simplePos x="0" y="0"/>
            <wp:positionH relativeFrom="column">
              <wp:posOffset>361315</wp:posOffset>
            </wp:positionH>
            <wp:positionV relativeFrom="paragraph">
              <wp:posOffset>80645</wp:posOffset>
            </wp:positionV>
            <wp:extent cx="4876800" cy="2444750"/>
            <wp:effectExtent l="0" t="0" r="0" b="0"/>
            <wp:wrapSquare wrapText="bothSides"/>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14:sizeRelH relativeFrom="page">
              <wp14:pctWidth>0</wp14:pctWidth>
            </wp14:sizeRelH>
            <wp14:sizeRelV relativeFrom="page">
              <wp14:pctHeight>0</wp14:pctHeight>
            </wp14:sizeRelV>
          </wp:anchor>
        </w:drawing>
      </w:r>
    </w:p>
    <w:p w14:paraId="6611BDFB" w14:textId="041A24A4" w:rsidR="00AD159B" w:rsidRDefault="00AD159B" w:rsidP="00AD159B">
      <w:pPr>
        <w:ind w:left="562"/>
        <w:rPr>
          <w:sz w:val="18"/>
        </w:rPr>
      </w:pPr>
      <w:r>
        <w:rPr>
          <w:sz w:val="18"/>
        </w:rPr>
        <w:t>Fuente: Segeplan.</w:t>
      </w:r>
    </w:p>
    <w:p w14:paraId="765858FF" w14:textId="77777777" w:rsidR="00AD159B" w:rsidRDefault="00AD159B" w:rsidP="00486DFF"/>
    <w:p w14:paraId="66FFB9AD" w14:textId="1E857BB4" w:rsidR="00AD159B" w:rsidRDefault="00AD159B" w:rsidP="00531A1B">
      <w:pPr>
        <w:pStyle w:val="Prrafodelista"/>
        <w:numPr>
          <w:ilvl w:val="1"/>
          <w:numId w:val="3"/>
        </w:numPr>
        <w:jc w:val="both"/>
        <w:outlineLvl w:val="1"/>
        <w:rPr>
          <w:b/>
          <w:bCs/>
        </w:rPr>
      </w:pPr>
      <w:bookmarkStart w:id="287" w:name="_Toc143865874"/>
      <w:r w:rsidRPr="00AD159B">
        <w:rPr>
          <w:b/>
          <w:bCs/>
        </w:rPr>
        <w:t>Algunas recomendaciones de Segeplan para cerrar las brechas existentes</w:t>
      </w:r>
      <w:bookmarkEnd w:id="287"/>
    </w:p>
    <w:p w14:paraId="01E76C5B" w14:textId="263488DF" w:rsidR="00AD159B" w:rsidRDefault="00AD159B" w:rsidP="00AD159B">
      <w:pPr>
        <w:rPr>
          <w:b/>
          <w:bCs/>
        </w:rPr>
      </w:pPr>
    </w:p>
    <w:p w14:paraId="7B41E6BE" w14:textId="6A88F4AA" w:rsidR="00AD159B" w:rsidRPr="00AD159B" w:rsidRDefault="00AD159B" w:rsidP="00AD159B">
      <w:pPr>
        <w:jc w:val="both"/>
        <w:rPr>
          <w:b/>
          <w:bCs/>
        </w:rPr>
      </w:pPr>
      <w:r w:rsidRPr="00AD159B">
        <w:rPr>
          <w:b/>
          <w:bCs/>
        </w:rPr>
        <w:t xml:space="preserve">Pilar 1: Economía, </w:t>
      </w:r>
      <w:r w:rsidR="00F93305">
        <w:rPr>
          <w:b/>
          <w:bCs/>
        </w:rPr>
        <w:t>c</w:t>
      </w:r>
      <w:r w:rsidRPr="00AD159B">
        <w:rPr>
          <w:b/>
          <w:bCs/>
        </w:rPr>
        <w:t xml:space="preserve">ompetitividad y </w:t>
      </w:r>
      <w:r w:rsidR="00F93305">
        <w:rPr>
          <w:b/>
          <w:bCs/>
        </w:rPr>
        <w:t>p</w:t>
      </w:r>
      <w:r w:rsidRPr="00AD159B">
        <w:rPr>
          <w:b/>
          <w:bCs/>
        </w:rPr>
        <w:t>rosperidad</w:t>
      </w:r>
    </w:p>
    <w:p w14:paraId="2A3DF58B" w14:textId="77777777" w:rsidR="00AD159B" w:rsidRDefault="00AD159B" w:rsidP="00AD159B">
      <w:pPr>
        <w:jc w:val="both"/>
      </w:pPr>
    </w:p>
    <w:p w14:paraId="331DCD38" w14:textId="77777777" w:rsidR="00AD159B" w:rsidRDefault="00AD159B" w:rsidP="00354A9C">
      <w:pPr>
        <w:pStyle w:val="Prrafodelista"/>
        <w:numPr>
          <w:ilvl w:val="0"/>
          <w:numId w:val="53"/>
        </w:numPr>
        <w:ind w:left="567"/>
        <w:jc w:val="both"/>
      </w:pPr>
      <w:r>
        <w:t>Implementar reformas que permitan que la estabilidad económica se traduzca en una reducción importante de la pobreza y la desigualdad.</w:t>
      </w:r>
    </w:p>
    <w:p w14:paraId="293D4D17" w14:textId="2F36F3C3" w:rsidR="00AD159B" w:rsidRDefault="00AD159B" w:rsidP="00354A9C">
      <w:pPr>
        <w:pStyle w:val="Prrafodelista"/>
        <w:numPr>
          <w:ilvl w:val="0"/>
          <w:numId w:val="53"/>
        </w:numPr>
        <w:ind w:left="567"/>
        <w:jc w:val="both"/>
      </w:pPr>
      <w:r>
        <w:t xml:space="preserve">Ante un panorama internacional adverso, será importante sostener el ritmo de crecimiento alcanzado en el 2021, por lo que es recomendable, incrementar la atracción de inversiones y reinversiones, continuar con las negociaciones de los acuerdos comerciales en las mejores condiciones para el país y el aumento de las capacidades productivas. </w:t>
      </w:r>
    </w:p>
    <w:p w14:paraId="2FC329C6" w14:textId="344C8EC6" w:rsidR="00AD159B" w:rsidRDefault="00AD159B" w:rsidP="00354A9C">
      <w:pPr>
        <w:pStyle w:val="Prrafodelista"/>
        <w:numPr>
          <w:ilvl w:val="0"/>
          <w:numId w:val="53"/>
        </w:numPr>
        <w:ind w:left="567"/>
        <w:jc w:val="both"/>
      </w:pPr>
      <w:r>
        <w:t xml:space="preserve">En el contexto de la política monetaria el principal reto consiste en mantener contenidas las presiones inflacionarias y las expectativas de inflación, así como, moderar los ajustes en la tasa de interés de referencia, a fin de que no comprometa el crecimiento económico por la vía del encarecimiento del crédito. </w:t>
      </w:r>
    </w:p>
    <w:p w14:paraId="6D26502B" w14:textId="152FA9CC" w:rsidR="00AD159B" w:rsidRDefault="00AD159B" w:rsidP="00354A9C">
      <w:pPr>
        <w:pStyle w:val="Prrafodelista"/>
        <w:numPr>
          <w:ilvl w:val="0"/>
          <w:numId w:val="53"/>
        </w:numPr>
        <w:ind w:left="567"/>
        <w:jc w:val="both"/>
      </w:pPr>
      <w:r>
        <w:t xml:space="preserve">Avanzar en la aplicación de la Ley de Mercado de Valores para el desarrollo de los mercados financieros y fortalecer el marco de supervisión y regulación. </w:t>
      </w:r>
    </w:p>
    <w:p w14:paraId="71DE6725" w14:textId="1DCEBEC7" w:rsidR="00AD159B" w:rsidRDefault="00AD159B" w:rsidP="00354A9C">
      <w:pPr>
        <w:pStyle w:val="Prrafodelista"/>
        <w:numPr>
          <w:ilvl w:val="0"/>
          <w:numId w:val="53"/>
        </w:numPr>
        <w:ind w:left="567"/>
        <w:jc w:val="both"/>
      </w:pPr>
      <w:r>
        <w:t xml:space="preserve">El Instituto Nacional de Estadística debe continuar con la producción estadística de las encuestas de Empleo e Ingresos que permita en el corto plazo realizar el seguimiento de las metas que dependen de esta fuente de información. </w:t>
      </w:r>
    </w:p>
    <w:p w14:paraId="7C27FB70" w14:textId="49306101" w:rsidR="00AD159B" w:rsidRDefault="00AD159B" w:rsidP="00354A9C">
      <w:pPr>
        <w:pStyle w:val="Prrafodelista"/>
        <w:numPr>
          <w:ilvl w:val="0"/>
          <w:numId w:val="53"/>
        </w:numPr>
        <w:ind w:left="567"/>
        <w:jc w:val="both"/>
      </w:pPr>
      <w:r>
        <w:t xml:space="preserve">En el ámbito laboral, se recomienda fortalecer y ampliar las intervenciones que promuevan la formalización del empleo y aumentar las inversiones en capital humano e innovación. </w:t>
      </w:r>
    </w:p>
    <w:p w14:paraId="6F84543E" w14:textId="77777777" w:rsidR="00F93305" w:rsidRDefault="00F93305" w:rsidP="00AD159B">
      <w:pPr>
        <w:pStyle w:val="Prrafodelista"/>
        <w:ind w:left="567"/>
        <w:jc w:val="both"/>
      </w:pPr>
    </w:p>
    <w:p w14:paraId="24E5E16A" w14:textId="1EFE9731" w:rsidR="00AD159B" w:rsidRPr="00AD159B" w:rsidRDefault="00AD159B" w:rsidP="00AD159B">
      <w:pPr>
        <w:jc w:val="both"/>
        <w:rPr>
          <w:b/>
          <w:bCs/>
        </w:rPr>
      </w:pPr>
      <w:r w:rsidRPr="00AD159B">
        <w:rPr>
          <w:b/>
          <w:bCs/>
        </w:rPr>
        <w:t xml:space="preserve">Pilar 2: Desarrollo </w:t>
      </w:r>
      <w:r w:rsidR="00F93305">
        <w:rPr>
          <w:b/>
          <w:bCs/>
        </w:rPr>
        <w:t>s</w:t>
      </w:r>
      <w:r w:rsidRPr="00AD159B">
        <w:rPr>
          <w:b/>
          <w:bCs/>
        </w:rPr>
        <w:t>ocial</w:t>
      </w:r>
    </w:p>
    <w:p w14:paraId="22055E60" w14:textId="77777777" w:rsidR="00AD159B" w:rsidRDefault="00AD159B" w:rsidP="00AD159B">
      <w:pPr>
        <w:jc w:val="both"/>
      </w:pPr>
    </w:p>
    <w:p w14:paraId="43024B90" w14:textId="429C69FF" w:rsidR="00AD159B" w:rsidRDefault="00AD159B" w:rsidP="00354A9C">
      <w:pPr>
        <w:pStyle w:val="Prrafodelista"/>
        <w:numPr>
          <w:ilvl w:val="0"/>
          <w:numId w:val="53"/>
        </w:numPr>
        <w:ind w:left="567"/>
        <w:jc w:val="both"/>
      </w:pPr>
      <w:r>
        <w:t>En materia de Educación, para aumentar la cobertura en los niveles de básico y diversificado, implementar estrategias enfocadas a promover la inserción y reducir la deserción de los estudiantes. También se deben realizar acciones inmediatas como ampliar el sistema de becas escolares, entre otras.</w:t>
      </w:r>
    </w:p>
    <w:p w14:paraId="4A19A01D" w14:textId="0892EB8E" w:rsidR="00AD159B" w:rsidRDefault="00AD159B" w:rsidP="00354A9C">
      <w:pPr>
        <w:pStyle w:val="Prrafodelista"/>
        <w:numPr>
          <w:ilvl w:val="0"/>
          <w:numId w:val="53"/>
        </w:numPr>
        <w:ind w:left="567"/>
        <w:jc w:val="both"/>
      </w:pPr>
      <w:r>
        <w:t xml:space="preserve">Buscar una mejor estrategia para evidenciar el avance de la formación universitaria de los docentes, procurando el aumento de cohortes que permitan el egreso anual de graduados. </w:t>
      </w:r>
    </w:p>
    <w:p w14:paraId="54205957" w14:textId="49AAE241" w:rsidR="00AD159B" w:rsidRDefault="00AD159B" w:rsidP="00354A9C">
      <w:pPr>
        <w:pStyle w:val="Prrafodelista"/>
        <w:numPr>
          <w:ilvl w:val="0"/>
          <w:numId w:val="53"/>
        </w:numPr>
        <w:ind w:left="567"/>
        <w:jc w:val="both"/>
      </w:pPr>
      <w:r>
        <w:t xml:space="preserve">En relación a la reducción del analfabetismo, se recomienda ampliar la cobertura, haciendo énfasis en la población maya. </w:t>
      </w:r>
    </w:p>
    <w:p w14:paraId="78105284" w14:textId="53FEB1AC" w:rsidR="00AD159B" w:rsidRDefault="00AD159B" w:rsidP="00354A9C">
      <w:pPr>
        <w:pStyle w:val="Prrafodelista"/>
        <w:numPr>
          <w:ilvl w:val="0"/>
          <w:numId w:val="53"/>
        </w:numPr>
        <w:ind w:left="567"/>
        <w:jc w:val="both"/>
      </w:pPr>
      <w:r>
        <w:t>En salud, será preciso que el Programa Nacional de Salud Reproductiva del MSPAS, agilice el resultado de la Razón de la Mortalidad Materna (RMM). Actualmente se tiene el dato oficial al 2019.</w:t>
      </w:r>
    </w:p>
    <w:p w14:paraId="253A9215" w14:textId="71A00F04" w:rsidR="00AD159B" w:rsidRDefault="00AD159B" w:rsidP="00354A9C">
      <w:pPr>
        <w:pStyle w:val="Prrafodelista"/>
        <w:numPr>
          <w:ilvl w:val="0"/>
          <w:numId w:val="53"/>
        </w:numPr>
        <w:ind w:left="567"/>
        <w:jc w:val="both"/>
      </w:pPr>
      <w:r>
        <w:t xml:space="preserve">Con datos administrativos, el MSPAS mantiene un dato aproximado en relación a la Desnutrición y Mortalidad Infantil y Vacunación. Es imperativo realizar la Encuesta Nacional de Salud Materno Infantil (ENSMI), la última versión data de 2014. </w:t>
      </w:r>
    </w:p>
    <w:p w14:paraId="5302FA7B" w14:textId="3699266E" w:rsidR="00AD159B" w:rsidRDefault="00AD159B" w:rsidP="00354A9C">
      <w:pPr>
        <w:pStyle w:val="Prrafodelista"/>
        <w:numPr>
          <w:ilvl w:val="0"/>
          <w:numId w:val="53"/>
        </w:numPr>
        <w:ind w:left="567"/>
        <w:jc w:val="both"/>
      </w:pPr>
      <w:r>
        <w:t xml:space="preserve">En protección social y vivienda, aumentar el fondo de subsidio para la construcción de vivienda social y el número de viviendas construidas. </w:t>
      </w:r>
    </w:p>
    <w:p w14:paraId="34502C22" w14:textId="4DDD1A41" w:rsidR="00AD159B" w:rsidRDefault="00AD159B" w:rsidP="00354A9C">
      <w:pPr>
        <w:pStyle w:val="Prrafodelista"/>
        <w:numPr>
          <w:ilvl w:val="0"/>
          <w:numId w:val="53"/>
        </w:numPr>
        <w:ind w:left="567"/>
        <w:jc w:val="both"/>
      </w:pPr>
      <w:r>
        <w:t xml:space="preserve">Es imprescindible la realización de una nueva versión de la Encuesta Nacional de Condiciones de Vida -ENCOVI-, para determinar con exactitud la situación actual de la pobreza general y la pobreza extrema en Guatemala. </w:t>
      </w:r>
    </w:p>
    <w:p w14:paraId="02B9D9F7" w14:textId="77777777" w:rsidR="00AD159B" w:rsidRDefault="00AD159B" w:rsidP="00AD159B">
      <w:pPr>
        <w:jc w:val="both"/>
      </w:pPr>
    </w:p>
    <w:p w14:paraId="2EEB8264" w14:textId="6715788A" w:rsidR="00AD159B" w:rsidRPr="00AD159B" w:rsidRDefault="00AD159B" w:rsidP="00AD159B">
      <w:pPr>
        <w:jc w:val="both"/>
        <w:rPr>
          <w:b/>
          <w:bCs/>
        </w:rPr>
      </w:pPr>
      <w:r w:rsidRPr="00AD159B">
        <w:rPr>
          <w:b/>
          <w:bCs/>
        </w:rPr>
        <w:t xml:space="preserve">Pilar 3: Gobernabilidad y </w:t>
      </w:r>
      <w:r w:rsidR="00F93305">
        <w:rPr>
          <w:b/>
          <w:bCs/>
        </w:rPr>
        <w:t>s</w:t>
      </w:r>
      <w:r w:rsidRPr="00AD159B">
        <w:rPr>
          <w:b/>
          <w:bCs/>
        </w:rPr>
        <w:t xml:space="preserve">eguridad en </w:t>
      </w:r>
      <w:r w:rsidR="00F93305">
        <w:rPr>
          <w:b/>
          <w:bCs/>
        </w:rPr>
        <w:t>d</w:t>
      </w:r>
      <w:r w:rsidRPr="00AD159B">
        <w:rPr>
          <w:b/>
          <w:bCs/>
        </w:rPr>
        <w:t>esarrollo</w:t>
      </w:r>
    </w:p>
    <w:p w14:paraId="1BF60FDF" w14:textId="77777777" w:rsidR="00AD159B" w:rsidRDefault="00AD159B" w:rsidP="00AD159B">
      <w:pPr>
        <w:jc w:val="both"/>
      </w:pPr>
    </w:p>
    <w:p w14:paraId="49CBAAD0" w14:textId="7EE07A4D" w:rsidR="00AD159B" w:rsidRDefault="00AD159B" w:rsidP="00354A9C">
      <w:pPr>
        <w:pStyle w:val="Prrafodelista"/>
        <w:numPr>
          <w:ilvl w:val="0"/>
          <w:numId w:val="53"/>
        </w:numPr>
        <w:ind w:left="567"/>
        <w:jc w:val="both"/>
      </w:pPr>
      <w:r>
        <w:t>Avanzar en el fortalecimiento e implementación de los planes y programas que promuevan el combate al crimen organizado, narcotráfico y pandillas; así como, la prevención de la violencia; la promoción de las acciones de denuncia ciudadana para la prevención de hechos delictivos, la delincuencia común, entre otros.</w:t>
      </w:r>
    </w:p>
    <w:p w14:paraId="2564CE5F" w14:textId="7C88BCD8" w:rsidR="00AD159B" w:rsidRDefault="00AD159B" w:rsidP="00354A9C">
      <w:pPr>
        <w:pStyle w:val="Prrafodelista"/>
        <w:numPr>
          <w:ilvl w:val="0"/>
          <w:numId w:val="53"/>
        </w:numPr>
        <w:ind w:left="567"/>
        <w:jc w:val="both"/>
      </w:pPr>
      <w:r>
        <w:t>Ante el cumplimiento de la meta “conformación de organizaciones comunitarias, municipales y departamentales de prevención de la violencia y el delito”, se recomienda priorizar su fortalecimiento, de tal manera que contribuyan a enfrentar los factores que favorecen la reproducción de las conductas violentas en la sociedad.</w:t>
      </w:r>
    </w:p>
    <w:p w14:paraId="274DE010" w14:textId="0EA02EB1" w:rsidR="00AD159B" w:rsidRDefault="00AD159B" w:rsidP="00354A9C">
      <w:pPr>
        <w:pStyle w:val="Prrafodelista"/>
        <w:numPr>
          <w:ilvl w:val="0"/>
          <w:numId w:val="53"/>
        </w:numPr>
        <w:ind w:left="567"/>
        <w:jc w:val="both"/>
      </w:pPr>
      <w:r>
        <w:t xml:space="preserve">Asignar y comprometer en el presupuesto para el ejercicio fiscal 2023, los recursos que se requieren para el cumplimiento de las metas relacionadas con el incremento de los centros penitenciarios y los agentes de la Policía Nacional Civil. </w:t>
      </w:r>
    </w:p>
    <w:p w14:paraId="322C02CF" w14:textId="77777777" w:rsidR="00AD159B" w:rsidRDefault="00AD159B" w:rsidP="00AD159B">
      <w:pPr>
        <w:pStyle w:val="Prrafodelista"/>
        <w:ind w:left="567"/>
        <w:jc w:val="both"/>
      </w:pPr>
    </w:p>
    <w:p w14:paraId="71999F93" w14:textId="77777777" w:rsidR="00AD159B" w:rsidRPr="00AD159B" w:rsidRDefault="00AD159B" w:rsidP="00AD159B">
      <w:pPr>
        <w:jc w:val="both"/>
        <w:rPr>
          <w:b/>
          <w:bCs/>
        </w:rPr>
      </w:pPr>
      <w:r w:rsidRPr="00AD159B">
        <w:rPr>
          <w:b/>
          <w:bCs/>
        </w:rPr>
        <w:t>Pilar 4: Estado responsable, transparente y efectivo</w:t>
      </w:r>
    </w:p>
    <w:p w14:paraId="2D8BBB78" w14:textId="77777777" w:rsidR="00AD159B" w:rsidRDefault="00AD159B" w:rsidP="00AD159B">
      <w:pPr>
        <w:jc w:val="both"/>
      </w:pPr>
    </w:p>
    <w:p w14:paraId="64A3C82D" w14:textId="5C7368C3" w:rsidR="00AD159B" w:rsidRDefault="00AD159B" w:rsidP="00354A9C">
      <w:pPr>
        <w:pStyle w:val="Prrafodelista"/>
        <w:numPr>
          <w:ilvl w:val="0"/>
          <w:numId w:val="53"/>
        </w:numPr>
        <w:ind w:left="567"/>
        <w:jc w:val="both"/>
      </w:pPr>
      <w:r>
        <w:t xml:space="preserve">Se recomienda que en el 2023 se priorice la implementación de la estrategia de descentralización en la gestión pública, en el marco de los objetivos y las prioridades establecidas en la Ley, así como la Agenda Nacional de Descentralización impulsada en el Organismo Ejecutivo. </w:t>
      </w:r>
    </w:p>
    <w:p w14:paraId="7A436187" w14:textId="6E0D2A0F" w:rsidR="00AD159B" w:rsidRDefault="00AD159B" w:rsidP="00354A9C">
      <w:pPr>
        <w:pStyle w:val="Prrafodelista"/>
        <w:numPr>
          <w:ilvl w:val="0"/>
          <w:numId w:val="53"/>
        </w:numPr>
        <w:ind w:left="567"/>
        <w:jc w:val="both"/>
      </w:pPr>
      <w:r>
        <w:t xml:space="preserve">Fortalecimiento de la planificación plurianual, que armonice el marco de políticas públicas, la planificación estratégica y operativa y el presupuesto anual y multianual, en sus diferentes niveles de gestión acompañado por la mejora en los procesos de seguimiento y evaluación, así como, de los mecanismos de transparencia y rendición de cuentas. </w:t>
      </w:r>
    </w:p>
    <w:p w14:paraId="06016990" w14:textId="10FCDE1C" w:rsidR="00AD159B" w:rsidRDefault="00AD159B" w:rsidP="00354A9C">
      <w:pPr>
        <w:pStyle w:val="Prrafodelista"/>
        <w:numPr>
          <w:ilvl w:val="0"/>
          <w:numId w:val="53"/>
        </w:numPr>
        <w:ind w:left="567"/>
        <w:jc w:val="both"/>
      </w:pPr>
      <w:r>
        <w:t>Consolidar el Sistema Nacional de Consejos de Desarrollo, con el objetivo de territorializar las prioridades de desarrollo en los gobiernos locales y Codedes.</w:t>
      </w:r>
    </w:p>
    <w:p w14:paraId="7F3B73FA" w14:textId="12793937" w:rsidR="00AD159B" w:rsidRDefault="00AD159B" w:rsidP="00354A9C">
      <w:pPr>
        <w:pStyle w:val="Prrafodelista"/>
        <w:numPr>
          <w:ilvl w:val="0"/>
          <w:numId w:val="53"/>
        </w:numPr>
        <w:ind w:left="567"/>
        <w:jc w:val="both"/>
      </w:pPr>
      <w:r>
        <w:t>Con el objetivo de mantener e incrementar la cobertura forestal, se recomienda continuar articulando los esfuerzos públicos y privados, mediante el fortalecimiento de los programas PINPEP y PROBOSQUE; además, consolidar los mecanismos de coordinación con las instancias competentes del manejo, protección y recuperación de los bosques.</w:t>
      </w:r>
    </w:p>
    <w:p w14:paraId="26DD46A4" w14:textId="77777777" w:rsidR="00AD159B" w:rsidRDefault="00AD159B" w:rsidP="00AD159B">
      <w:pPr>
        <w:jc w:val="both"/>
      </w:pPr>
    </w:p>
    <w:p w14:paraId="11EBCF22" w14:textId="77777777" w:rsidR="00AD159B" w:rsidRPr="00AD159B" w:rsidRDefault="00AD159B" w:rsidP="00AD159B">
      <w:pPr>
        <w:jc w:val="both"/>
        <w:rPr>
          <w:b/>
          <w:bCs/>
        </w:rPr>
      </w:pPr>
      <w:r w:rsidRPr="00AD159B">
        <w:rPr>
          <w:b/>
          <w:bCs/>
        </w:rPr>
        <w:t>Pilar 5: Relaciones con el mundo</w:t>
      </w:r>
    </w:p>
    <w:p w14:paraId="1E75FEC1" w14:textId="77777777" w:rsidR="00AD159B" w:rsidRDefault="00AD159B" w:rsidP="00AD159B">
      <w:pPr>
        <w:jc w:val="both"/>
      </w:pPr>
    </w:p>
    <w:p w14:paraId="2FBAFCD1" w14:textId="382802C7" w:rsidR="00AD159B" w:rsidRDefault="00AD159B" w:rsidP="00354A9C">
      <w:pPr>
        <w:pStyle w:val="Prrafodelista"/>
        <w:numPr>
          <w:ilvl w:val="0"/>
          <w:numId w:val="53"/>
        </w:numPr>
        <w:ind w:left="567"/>
        <w:jc w:val="both"/>
      </w:pPr>
      <w:r>
        <w:t>Se recomienda que el proceso de implementación de la Política Pública de Protección y Atención a la Persona Migrante 2019-2032 sea integral; es decir, se incluyan acciones relacionadas con los otros Ejes (Protección de los derechos humanos de la persona migrante guatemalteca; de niñas y adolescentes guatemaltecos migrantes; y, el uso productivo de las remesas familiares). En el reporte de avances, solo se incluye el Eje de Fortalecimiento de la red consular.</w:t>
      </w:r>
    </w:p>
    <w:p w14:paraId="3381BB70" w14:textId="4B322BBB" w:rsidR="00AD159B" w:rsidRDefault="00AD159B" w:rsidP="00354A9C">
      <w:pPr>
        <w:pStyle w:val="Prrafodelista"/>
        <w:numPr>
          <w:ilvl w:val="0"/>
          <w:numId w:val="53"/>
        </w:numPr>
        <w:ind w:left="567"/>
        <w:jc w:val="both"/>
      </w:pPr>
      <w:r>
        <w:t xml:space="preserve">Asignar y comprometer en el presupuesto para el ejercicio fiscal 2023, los recursos financieros que se requieren para el cumplimiento de la meta relacionada con la ampliación del número de consulados en los Estados Unidos de América. </w:t>
      </w:r>
    </w:p>
    <w:p w14:paraId="48739420" w14:textId="4F8A09A5" w:rsidR="00AD159B" w:rsidRDefault="00AD159B" w:rsidP="00354A9C">
      <w:pPr>
        <w:pStyle w:val="Prrafodelista"/>
        <w:numPr>
          <w:ilvl w:val="0"/>
          <w:numId w:val="53"/>
        </w:numPr>
        <w:ind w:left="567"/>
        <w:jc w:val="both"/>
      </w:pPr>
      <w:r>
        <w:t>Identificar fuentes alternas de información (proxi) que permitan monitorear los avances de la meta de competitividad turística, en virtud de que, para el año 2022 no se contó con información que permitiera medir el avance.</w:t>
      </w:r>
    </w:p>
    <w:p w14:paraId="7DA0DBC6" w14:textId="0247388E" w:rsidR="00E807FD" w:rsidRDefault="00E807FD" w:rsidP="00E807FD">
      <w:pPr>
        <w:jc w:val="both"/>
      </w:pPr>
    </w:p>
    <w:p w14:paraId="0151426F" w14:textId="256E3B33" w:rsidR="00E807FD" w:rsidRDefault="00E807FD" w:rsidP="00E807FD">
      <w:pPr>
        <w:jc w:val="both"/>
      </w:pPr>
    </w:p>
    <w:p w14:paraId="10E1D7B6" w14:textId="431D0CB0" w:rsidR="00E807FD" w:rsidRDefault="00E807FD" w:rsidP="00E807FD">
      <w:pPr>
        <w:jc w:val="both"/>
      </w:pPr>
    </w:p>
    <w:p w14:paraId="4C7C9A89" w14:textId="63414CCA" w:rsidR="00E807FD" w:rsidRDefault="00E807FD" w:rsidP="00E807FD">
      <w:pPr>
        <w:jc w:val="both"/>
      </w:pPr>
    </w:p>
    <w:p w14:paraId="5B2BC51C" w14:textId="3935BA4F" w:rsidR="00E807FD" w:rsidRDefault="00E807FD" w:rsidP="00E807FD">
      <w:pPr>
        <w:jc w:val="both"/>
      </w:pPr>
    </w:p>
    <w:p w14:paraId="5D393B32" w14:textId="77A0C67A" w:rsidR="00E807FD" w:rsidRDefault="00E807FD" w:rsidP="00E807FD">
      <w:pPr>
        <w:jc w:val="both"/>
      </w:pPr>
    </w:p>
    <w:p w14:paraId="6DEB23F0" w14:textId="70CEA47F" w:rsidR="00E807FD" w:rsidRDefault="00E807FD" w:rsidP="00E807FD">
      <w:pPr>
        <w:jc w:val="both"/>
      </w:pPr>
    </w:p>
    <w:p w14:paraId="42899525" w14:textId="332B93C5" w:rsidR="00E807FD" w:rsidRDefault="00E807FD" w:rsidP="00E807FD">
      <w:pPr>
        <w:jc w:val="both"/>
      </w:pPr>
    </w:p>
    <w:p w14:paraId="29D0B28D" w14:textId="465E97B9" w:rsidR="00E807FD" w:rsidRDefault="00E807FD" w:rsidP="00E807FD">
      <w:pPr>
        <w:jc w:val="both"/>
      </w:pPr>
    </w:p>
    <w:p w14:paraId="35EF7F81" w14:textId="3FFB55E6" w:rsidR="00E807FD" w:rsidRDefault="00E807FD" w:rsidP="00E807FD">
      <w:pPr>
        <w:jc w:val="both"/>
      </w:pPr>
    </w:p>
    <w:p w14:paraId="281B30D2" w14:textId="362CC114" w:rsidR="00E807FD" w:rsidRDefault="00E807FD" w:rsidP="00E807FD">
      <w:pPr>
        <w:jc w:val="both"/>
      </w:pPr>
    </w:p>
    <w:p w14:paraId="6DF7FF78" w14:textId="5E108B50" w:rsidR="00E807FD" w:rsidRDefault="00E807FD" w:rsidP="00E807FD">
      <w:pPr>
        <w:jc w:val="both"/>
      </w:pPr>
    </w:p>
    <w:p w14:paraId="3BBD6B7B" w14:textId="6CD12B57" w:rsidR="00E807FD" w:rsidRDefault="00E807FD" w:rsidP="00E807FD">
      <w:pPr>
        <w:jc w:val="both"/>
      </w:pPr>
    </w:p>
    <w:p w14:paraId="2F78AAC2" w14:textId="433B9B95" w:rsidR="00E807FD" w:rsidRDefault="00E807FD" w:rsidP="00E807FD">
      <w:pPr>
        <w:jc w:val="both"/>
      </w:pPr>
    </w:p>
    <w:p w14:paraId="60CC8B6D" w14:textId="220DCECF" w:rsidR="00E807FD" w:rsidRDefault="00E807FD" w:rsidP="00E807FD">
      <w:pPr>
        <w:jc w:val="both"/>
      </w:pPr>
    </w:p>
    <w:p w14:paraId="06C3987F" w14:textId="18BDE395" w:rsidR="00E807FD" w:rsidRDefault="00E807FD" w:rsidP="00E807FD">
      <w:pPr>
        <w:jc w:val="both"/>
      </w:pPr>
    </w:p>
    <w:p w14:paraId="47D07B62" w14:textId="241A378B" w:rsidR="00E807FD" w:rsidRDefault="00E807FD" w:rsidP="00E807FD">
      <w:pPr>
        <w:jc w:val="both"/>
      </w:pPr>
    </w:p>
    <w:p w14:paraId="1CD19A47" w14:textId="301853E9" w:rsidR="00E807FD" w:rsidRDefault="00E807FD" w:rsidP="00E807FD">
      <w:pPr>
        <w:jc w:val="both"/>
      </w:pPr>
    </w:p>
    <w:p w14:paraId="3057DB60" w14:textId="3587C186" w:rsidR="00E807FD" w:rsidRDefault="00E807FD" w:rsidP="00E807FD">
      <w:pPr>
        <w:jc w:val="both"/>
      </w:pPr>
    </w:p>
    <w:p w14:paraId="34180EBE" w14:textId="19FA596E" w:rsidR="00E807FD" w:rsidRDefault="00E807FD" w:rsidP="00E807FD">
      <w:pPr>
        <w:jc w:val="both"/>
      </w:pPr>
    </w:p>
    <w:p w14:paraId="34459299" w14:textId="6C15D5EA" w:rsidR="00E807FD" w:rsidRDefault="00E807FD" w:rsidP="00E807FD">
      <w:pPr>
        <w:jc w:val="both"/>
      </w:pPr>
    </w:p>
    <w:p w14:paraId="1CBC6626" w14:textId="02A78844" w:rsidR="00E807FD" w:rsidRDefault="00E807FD" w:rsidP="00E807FD">
      <w:pPr>
        <w:jc w:val="both"/>
      </w:pPr>
    </w:p>
    <w:p w14:paraId="6588355D" w14:textId="77777777" w:rsidR="008250D8" w:rsidRDefault="008250D8" w:rsidP="00E807FD">
      <w:pPr>
        <w:jc w:val="both"/>
      </w:pPr>
    </w:p>
    <w:p w14:paraId="70233E9D" w14:textId="132609CC" w:rsidR="00E807FD" w:rsidRDefault="00E807FD" w:rsidP="00E807FD">
      <w:pPr>
        <w:jc w:val="both"/>
      </w:pPr>
    </w:p>
    <w:p w14:paraId="5C44B8E5" w14:textId="4048F17B" w:rsidR="00E807FD" w:rsidRDefault="00E807FD" w:rsidP="00E807FD">
      <w:pPr>
        <w:jc w:val="both"/>
      </w:pPr>
    </w:p>
    <w:p w14:paraId="4964CBC8" w14:textId="77777777" w:rsidR="00B24770" w:rsidRDefault="00B24770" w:rsidP="00E807FD">
      <w:pPr>
        <w:jc w:val="both"/>
      </w:pPr>
    </w:p>
    <w:p w14:paraId="7647430F" w14:textId="4E25D947" w:rsidR="00E807FD" w:rsidRDefault="00E807FD" w:rsidP="008B6858">
      <w:pPr>
        <w:pStyle w:val="Ttulo1"/>
        <w:numPr>
          <w:ilvl w:val="0"/>
          <w:numId w:val="0"/>
        </w:numPr>
        <w:ind w:left="432"/>
        <w:jc w:val="center"/>
        <w:rPr>
          <w:b w:val="0"/>
          <w:bCs w:val="0"/>
          <w:sz w:val="28"/>
          <w:szCs w:val="28"/>
        </w:rPr>
      </w:pPr>
      <w:bookmarkStart w:id="288" w:name="_Toc143865875"/>
      <w:r w:rsidRPr="009F124E">
        <w:rPr>
          <w:sz w:val="28"/>
          <w:szCs w:val="28"/>
        </w:rPr>
        <w:t>Anexo</w:t>
      </w:r>
      <w:r w:rsidR="008B6858">
        <w:rPr>
          <w:b w:val="0"/>
          <w:bCs w:val="0"/>
          <w:sz w:val="28"/>
          <w:szCs w:val="28"/>
        </w:rPr>
        <w:t>s</w:t>
      </w:r>
      <w:bookmarkEnd w:id="288"/>
    </w:p>
    <w:p w14:paraId="4396E1F5" w14:textId="77777777" w:rsidR="008250D8" w:rsidRPr="009F124E" w:rsidRDefault="008250D8" w:rsidP="00E807FD">
      <w:pPr>
        <w:jc w:val="center"/>
        <w:rPr>
          <w:b/>
          <w:bCs/>
          <w:sz w:val="28"/>
          <w:szCs w:val="28"/>
        </w:rPr>
      </w:pPr>
    </w:p>
    <w:p w14:paraId="070C29F0" w14:textId="77777777" w:rsidR="009F124E" w:rsidRPr="009F124E" w:rsidRDefault="009F124E" w:rsidP="00354A9C">
      <w:pPr>
        <w:numPr>
          <w:ilvl w:val="0"/>
          <w:numId w:val="36"/>
        </w:numPr>
        <w:shd w:val="clear" w:color="auto" w:fill="C5E0B3"/>
        <w:tabs>
          <w:tab w:val="num" w:pos="360"/>
        </w:tabs>
        <w:spacing w:after="160" w:line="259" w:lineRule="auto"/>
        <w:ind w:left="0" w:firstLine="360"/>
        <w:contextualSpacing/>
        <w:jc w:val="center"/>
        <w:rPr>
          <w:b/>
          <w:sz w:val="28"/>
          <w:szCs w:val="22"/>
          <w:lang w:eastAsia="en-US"/>
        </w:rPr>
      </w:pPr>
      <w:r w:rsidRPr="009F124E">
        <w:rPr>
          <w:b/>
          <w:sz w:val="28"/>
          <w:szCs w:val="22"/>
          <w:lang w:eastAsia="en-US"/>
        </w:rPr>
        <w:t xml:space="preserve">Estadísticas de las finanzas públicas conforme a los estándares internacionales </w:t>
      </w:r>
    </w:p>
    <w:p w14:paraId="78B18BD7" w14:textId="77777777" w:rsidR="009F124E" w:rsidRPr="009F124E" w:rsidRDefault="009F124E" w:rsidP="009F124E">
      <w:pPr>
        <w:autoSpaceDE w:val="0"/>
        <w:autoSpaceDN w:val="0"/>
        <w:adjustRightInd w:val="0"/>
        <w:jc w:val="both"/>
        <w:rPr>
          <w:noProof/>
          <w:szCs w:val="20"/>
        </w:rPr>
      </w:pPr>
    </w:p>
    <w:p w14:paraId="4E4EA506" w14:textId="77777777" w:rsidR="009F124E" w:rsidRPr="009F124E" w:rsidRDefault="009F124E" w:rsidP="009F124E">
      <w:pPr>
        <w:autoSpaceDE w:val="0"/>
        <w:autoSpaceDN w:val="0"/>
        <w:adjustRightInd w:val="0"/>
        <w:jc w:val="both"/>
        <w:rPr>
          <w:noProof/>
          <w:sz w:val="22"/>
          <w:szCs w:val="22"/>
        </w:rPr>
      </w:pPr>
      <w:r w:rsidRPr="009F124E">
        <w:rPr>
          <w:noProof/>
          <w:sz w:val="22"/>
          <w:szCs w:val="22"/>
        </w:rPr>
        <w:t xml:space="preserve">Guatemala paulatinamente ha estado en un proceso para implementar las normas internacionales  de complicaión y presesntación de las Estadísticas de Finanzas Públicas -EFP- la cuales son establecidas  por el Fondo Monetario Internacional -FMI- en su Manual de Estadísticas de las Finanzas Públicas -MEFP- y su ultima versión de 2014. </w:t>
      </w:r>
    </w:p>
    <w:p w14:paraId="3A1DC301" w14:textId="77777777" w:rsidR="009F124E" w:rsidRPr="009F124E" w:rsidRDefault="009F124E" w:rsidP="009F124E">
      <w:pPr>
        <w:autoSpaceDE w:val="0"/>
        <w:autoSpaceDN w:val="0"/>
        <w:adjustRightInd w:val="0"/>
        <w:jc w:val="both"/>
        <w:rPr>
          <w:noProof/>
          <w:sz w:val="22"/>
          <w:szCs w:val="22"/>
        </w:rPr>
      </w:pPr>
    </w:p>
    <w:p w14:paraId="22CEBF74" w14:textId="77777777" w:rsidR="009F124E" w:rsidRPr="009F124E" w:rsidRDefault="009F124E" w:rsidP="009F124E">
      <w:pPr>
        <w:autoSpaceDE w:val="0"/>
        <w:autoSpaceDN w:val="0"/>
        <w:adjustRightInd w:val="0"/>
        <w:jc w:val="both"/>
        <w:rPr>
          <w:noProof/>
          <w:sz w:val="22"/>
          <w:szCs w:val="22"/>
        </w:rPr>
      </w:pPr>
      <w:r w:rsidRPr="009F124E">
        <w:rPr>
          <w:noProof/>
          <w:sz w:val="22"/>
          <w:szCs w:val="22"/>
        </w:rPr>
        <w:t xml:space="preserve">Las EFP denominadas como metodologiá nacional, hace referencia a las cifras que han sido presentadas historicamente y estas siguien los lineamientos del Manual de Clasificaciones Presupuestarias para el Sector Público, sin embargo, estas directricas tienen una mayor semejanza con la versión original de 1986 del MEFP que con respecto al de 2014, por lo tanto, existen difierencias conceptuales entre la información que se presenta en este anexo y la que se presenta en el resto del documento, asi mismo, estas diferencias se explicaran en el presente anexo. </w:t>
      </w:r>
    </w:p>
    <w:p w14:paraId="7093808E" w14:textId="77777777" w:rsidR="009F124E" w:rsidRPr="009F124E" w:rsidRDefault="009F124E" w:rsidP="009F124E">
      <w:pPr>
        <w:autoSpaceDE w:val="0"/>
        <w:autoSpaceDN w:val="0"/>
        <w:adjustRightInd w:val="0"/>
        <w:jc w:val="both"/>
        <w:rPr>
          <w:noProof/>
          <w:sz w:val="22"/>
          <w:szCs w:val="22"/>
        </w:rPr>
      </w:pPr>
    </w:p>
    <w:p w14:paraId="65B7C95C" w14:textId="77777777" w:rsidR="009F124E" w:rsidRPr="009F124E" w:rsidRDefault="009F124E" w:rsidP="009F124E">
      <w:pPr>
        <w:autoSpaceDE w:val="0"/>
        <w:autoSpaceDN w:val="0"/>
        <w:adjustRightInd w:val="0"/>
        <w:jc w:val="both"/>
        <w:rPr>
          <w:color w:val="000000"/>
          <w:sz w:val="22"/>
          <w:szCs w:val="22"/>
        </w:rPr>
      </w:pPr>
      <w:r w:rsidRPr="009F124E">
        <w:rPr>
          <w:noProof/>
          <w:sz w:val="22"/>
          <w:szCs w:val="22"/>
        </w:rPr>
        <w:t>Una de las diferencias mas importantes a resaltar es que las</w:t>
      </w:r>
      <w:r w:rsidRPr="009F124E">
        <w:rPr>
          <w:color w:val="000000"/>
          <w:sz w:val="22"/>
          <w:szCs w:val="22"/>
        </w:rPr>
        <w:t xml:space="preserve"> estadísticas en metodología del 2014 permiten tener una mejor integración de las cifras EFP con las demás cuentas macroeconómicas, elaboradas bajo los principios de devengo, específicamente, las estadísticas de balanza de pagos y posición de inversión internacional, las estadísticas monetarias y financieras, y el sistema de cuentas nacionales de Naciones Unidas; Además de permitir la posibilidad de hacer una comparación de las estadísticas nacionales con otros países.</w:t>
      </w:r>
    </w:p>
    <w:p w14:paraId="56B4BF56" w14:textId="77777777" w:rsidR="009F124E" w:rsidRPr="009F124E" w:rsidRDefault="009F124E" w:rsidP="009F124E">
      <w:pPr>
        <w:autoSpaceDE w:val="0"/>
        <w:autoSpaceDN w:val="0"/>
        <w:adjustRightInd w:val="0"/>
        <w:jc w:val="both"/>
        <w:rPr>
          <w:noProof/>
          <w:sz w:val="22"/>
          <w:szCs w:val="22"/>
        </w:rPr>
      </w:pPr>
    </w:p>
    <w:p w14:paraId="6F1D3C2D" w14:textId="77777777" w:rsidR="009F124E" w:rsidRPr="009F124E" w:rsidRDefault="009F124E" w:rsidP="009F124E">
      <w:pPr>
        <w:autoSpaceDE w:val="0"/>
        <w:autoSpaceDN w:val="0"/>
        <w:adjustRightInd w:val="0"/>
        <w:spacing w:after="120" w:line="256" w:lineRule="auto"/>
        <w:jc w:val="both"/>
        <w:rPr>
          <w:sz w:val="22"/>
          <w:szCs w:val="22"/>
          <w:lang w:eastAsia="en-US"/>
        </w:rPr>
      </w:pPr>
      <w:r w:rsidRPr="009F124E">
        <w:rPr>
          <w:sz w:val="22"/>
          <w:szCs w:val="22"/>
          <w:lang w:eastAsia="en-US"/>
        </w:rPr>
        <w:t>Otro aspecto importante por mencionar es que las cifras que se muestran a continuación corresponden a lo que se denomina en el estándar internacional como Gobierno Central Presupuestario y Gobierno General. En el caso del primero, se incluyen a toda unidad de gobierno que dependan principalmente de un presupuesto principal o general, que en el caso de Guatemala se entendería a las entidades que están incluidas en el Presupuesto General de Ingresos y Egresos del Estado (en este caso son la Presidencia de la República, Ministerios de Estado, Secretarías y Otras Dependencias del Ejecutivo e incluyendo a la Procuraduría General de la Nación) mientras que para Gobierno General se  adiciona a las entidad que conforman el Gobierno Central Extrapresupuestario (entidades descentralizadas y autónomas), los Gobierno Locales (municipalidades y mancomunidades) y los Fondos de Seguridad Social (incluye el Instituto Guatemalteco de Seguridad Social, Institución de Previsión Militar y el Plan de Prestaciones del Empleado Municipal) y sus cifras se presenta, consolidadas, es decir, eliminando las transacciones recíprocas entre las unidades institucionales que la conforman a este subsector.</w:t>
      </w:r>
    </w:p>
    <w:p w14:paraId="4F9A86CE" w14:textId="77777777" w:rsidR="009F124E" w:rsidRPr="009F124E" w:rsidRDefault="009F124E" w:rsidP="009F124E">
      <w:pPr>
        <w:autoSpaceDE w:val="0"/>
        <w:autoSpaceDN w:val="0"/>
        <w:adjustRightInd w:val="0"/>
        <w:jc w:val="both"/>
        <w:rPr>
          <w:noProof/>
          <w:sz w:val="22"/>
          <w:szCs w:val="22"/>
        </w:rPr>
      </w:pPr>
      <w:r w:rsidRPr="009F124E">
        <w:rPr>
          <w:noProof/>
          <w:sz w:val="22"/>
          <w:szCs w:val="22"/>
        </w:rPr>
        <w:t xml:space="preserve">Por ultimo, se debe de enfatizar que la metodología 2014 aun se encuentra en un proceso de desarrollo y perfeccionamiento, por lo cual, conforme el mismo continue avanzando se estará mejorando la información asi como ampliando la cobertura de las mismas, es decir, incluir otras entidades que pertenecen al Sector Público. </w:t>
      </w:r>
    </w:p>
    <w:p w14:paraId="76325B6F" w14:textId="77777777" w:rsidR="009F124E" w:rsidRPr="009F124E" w:rsidRDefault="009F124E" w:rsidP="009F124E">
      <w:pPr>
        <w:autoSpaceDE w:val="0"/>
        <w:autoSpaceDN w:val="0"/>
        <w:adjustRightInd w:val="0"/>
        <w:spacing w:after="120" w:line="256" w:lineRule="auto"/>
        <w:jc w:val="both"/>
        <w:rPr>
          <w:sz w:val="8"/>
          <w:szCs w:val="8"/>
          <w:lang w:eastAsia="en-US"/>
        </w:rPr>
      </w:pPr>
    </w:p>
    <w:p w14:paraId="04EA9FEC" w14:textId="69C1A34C" w:rsidR="009F124E" w:rsidRPr="009F124E" w:rsidRDefault="009F124E" w:rsidP="00354A9C">
      <w:pPr>
        <w:numPr>
          <w:ilvl w:val="1"/>
          <w:numId w:val="36"/>
        </w:numPr>
        <w:contextualSpacing/>
        <w:jc w:val="both"/>
        <w:outlineLvl w:val="2"/>
        <w:rPr>
          <w:b/>
          <w:sz w:val="22"/>
          <w:szCs w:val="22"/>
          <w:lang w:eastAsia="en-US"/>
        </w:rPr>
      </w:pPr>
      <w:bookmarkStart w:id="289" w:name="_Toc143865876"/>
      <w:r w:rsidRPr="009F124E">
        <w:rPr>
          <w:b/>
          <w:sz w:val="22"/>
          <w:szCs w:val="22"/>
          <w:lang w:eastAsia="en-US"/>
        </w:rPr>
        <w:t xml:space="preserve">Los </w:t>
      </w:r>
      <w:r w:rsidR="008D42A4">
        <w:rPr>
          <w:b/>
          <w:sz w:val="22"/>
          <w:szCs w:val="22"/>
          <w:lang w:eastAsia="en-US"/>
        </w:rPr>
        <w:t>i</w:t>
      </w:r>
      <w:r w:rsidRPr="009F124E">
        <w:rPr>
          <w:b/>
          <w:sz w:val="22"/>
          <w:szCs w:val="22"/>
          <w:lang w:eastAsia="en-US"/>
        </w:rPr>
        <w:t xml:space="preserve">ngresos del </w:t>
      </w:r>
      <w:r w:rsidR="008D42A4">
        <w:rPr>
          <w:b/>
          <w:sz w:val="22"/>
          <w:szCs w:val="22"/>
          <w:lang w:eastAsia="en-US"/>
        </w:rPr>
        <w:t>g</w:t>
      </w:r>
      <w:r w:rsidRPr="009F124E">
        <w:rPr>
          <w:b/>
          <w:sz w:val="22"/>
          <w:szCs w:val="22"/>
          <w:lang w:eastAsia="en-US"/>
        </w:rPr>
        <w:t xml:space="preserve">obierno </w:t>
      </w:r>
      <w:r w:rsidR="008D42A4">
        <w:rPr>
          <w:b/>
          <w:sz w:val="22"/>
          <w:szCs w:val="22"/>
          <w:lang w:eastAsia="en-US"/>
        </w:rPr>
        <w:t>c</w:t>
      </w:r>
      <w:r w:rsidRPr="009F124E">
        <w:rPr>
          <w:b/>
          <w:sz w:val="22"/>
          <w:szCs w:val="22"/>
          <w:lang w:eastAsia="en-US"/>
        </w:rPr>
        <w:t xml:space="preserve">entral </w:t>
      </w:r>
      <w:r w:rsidR="008D42A4">
        <w:rPr>
          <w:b/>
          <w:sz w:val="22"/>
          <w:szCs w:val="22"/>
          <w:lang w:eastAsia="en-US"/>
        </w:rPr>
        <w:t>p</w:t>
      </w:r>
      <w:r w:rsidRPr="009F124E">
        <w:rPr>
          <w:b/>
          <w:sz w:val="22"/>
          <w:szCs w:val="22"/>
          <w:lang w:eastAsia="en-US"/>
        </w:rPr>
        <w:t>resupuestario</w:t>
      </w:r>
      <w:bookmarkEnd w:id="289"/>
    </w:p>
    <w:p w14:paraId="3805D81B" w14:textId="77777777" w:rsidR="009F124E" w:rsidRPr="009F124E" w:rsidRDefault="009F124E" w:rsidP="009F124E">
      <w:pPr>
        <w:spacing w:line="256" w:lineRule="auto"/>
        <w:jc w:val="both"/>
        <w:rPr>
          <w:sz w:val="22"/>
          <w:szCs w:val="22"/>
          <w:lang w:eastAsia="en-US"/>
        </w:rPr>
      </w:pPr>
    </w:p>
    <w:p w14:paraId="53406690" w14:textId="77777777" w:rsidR="009F124E" w:rsidRPr="009F124E" w:rsidRDefault="009F124E" w:rsidP="009F124E">
      <w:pPr>
        <w:spacing w:line="256" w:lineRule="auto"/>
        <w:jc w:val="both"/>
        <w:rPr>
          <w:sz w:val="22"/>
          <w:szCs w:val="22"/>
          <w:lang w:eastAsia="en-US"/>
        </w:rPr>
      </w:pPr>
      <w:r w:rsidRPr="009F124E">
        <w:rPr>
          <w:sz w:val="22"/>
          <w:szCs w:val="22"/>
          <w:lang w:eastAsia="en-US"/>
        </w:rPr>
        <w:t>En los estándares internacionales existe una diferencia sobre la definición de lo que se entiende como un ingreso, siendo para el estándar internacional solamente aqueas operaciones que generan un aumento en el patrimonio neto como consecuencia de un acuerdo mutuo entre diferentes unidades institucionales y esto crea una diferencia en la forma de clasificar algunas operaciones que no tienen efecto en el patrimonio, creando así la categoría de transacciones en activos y pasivos y la de otros flujos económicos que no existen en las clasificaciones nacionales.</w:t>
      </w:r>
    </w:p>
    <w:p w14:paraId="68AB8B96" w14:textId="77777777" w:rsidR="009F124E" w:rsidRPr="009F124E" w:rsidRDefault="009F124E" w:rsidP="009F124E">
      <w:pPr>
        <w:spacing w:line="256" w:lineRule="auto"/>
        <w:jc w:val="both"/>
        <w:rPr>
          <w:sz w:val="22"/>
          <w:szCs w:val="22"/>
          <w:lang w:eastAsia="en-US"/>
        </w:rPr>
      </w:pPr>
      <w:r w:rsidRPr="009F124E">
        <w:rPr>
          <w:sz w:val="22"/>
          <w:szCs w:val="22"/>
          <w:lang w:eastAsia="en-US"/>
        </w:rPr>
        <w:t xml:space="preserve">Los ingresos del Gobierno Central Presupuestario bajo los lineamientos internacionales del FMI se sitúan en torno al 12.9% del PIB para 2022 y es oportuno señalar que es mayor en 0.3 puntos porcentual respecto a los 12.6% del PIB que se observa en la metodología nacional. </w:t>
      </w:r>
    </w:p>
    <w:p w14:paraId="1816DB34" w14:textId="77777777" w:rsidR="009F124E" w:rsidRPr="009F124E" w:rsidRDefault="009F124E" w:rsidP="009F124E">
      <w:pPr>
        <w:spacing w:line="256" w:lineRule="auto"/>
        <w:jc w:val="both"/>
        <w:rPr>
          <w:sz w:val="22"/>
          <w:szCs w:val="22"/>
          <w:lang w:eastAsia="en-US"/>
        </w:rPr>
      </w:pPr>
    </w:p>
    <w:p w14:paraId="3FE407F9" w14:textId="77777777" w:rsidR="009F124E" w:rsidRPr="009F124E" w:rsidRDefault="009F124E" w:rsidP="009F124E">
      <w:pPr>
        <w:spacing w:line="256" w:lineRule="auto"/>
        <w:jc w:val="both"/>
        <w:rPr>
          <w:sz w:val="22"/>
          <w:szCs w:val="22"/>
          <w:lang w:eastAsia="en-US"/>
        </w:rPr>
      </w:pPr>
      <w:r w:rsidRPr="009F124E">
        <w:rPr>
          <w:sz w:val="22"/>
          <w:szCs w:val="22"/>
          <w:lang w:eastAsia="en-US"/>
        </w:rPr>
        <w:t>En buena medida, las diferencias que se pueden encontrar entre ambas metodologías se explican por:</w:t>
      </w:r>
    </w:p>
    <w:p w14:paraId="2A12AA22" w14:textId="77777777" w:rsidR="009F124E" w:rsidRPr="009F124E" w:rsidRDefault="009F124E" w:rsidP="009F124E">
      <w:pPr>
        <w:spacing w:line="256" w:lineRule="auto"/>
        <w:jc w:val="both"/>
        <w:rPr>
          <w:sz w:val="22"/>
          <w:szCs w:val="22"/>
          <w:lang w:eastAsia="en-US"/>
        </w:rPr>
      </w:pPr>
    </w:p>
    <w:p w14:paraId="2915A98D" w14:textId="77777777" w:rsidR="009F124E" w:rsidRPr="009F124E" w:rsidRDefault="009F124E" w:rsidP="00354A9C">
      <w:pPr>
        <w:numPr>
          <w:ilvl w:val="0"/>
          <w:numId w:val="37"/>
        </w:numPr>
        <w:ind w:left="360"/>
        <w:jc w:val="both"/>
        <w:rPr>
          <w:sz w:val="22"/>
          <w:szCs w:val="22"/>
          <w:lang w:eastAsia="en-US"/>
        </w:rPr>
      </w:pPr>
      <w:r w:rsidRPr="009F124E">
        <w:rPr>
          <w:sz w:val="22"/>
          <w:szCs w:val="22"/>
          <w:u w:val="single"/>
          <w:lang w:eastAsia="en-US"/>
        </w:rPr>
        <w:t>Los impuestos</w:t>
      </w:r>
      <w:r w:rsidRPr="009F124E">
        <w:rPr>
          <w:sz w:val="22"/>
          <w:szCs w:val="22"/>
          <w:lang w:eastAsia="en-US"/>
        </w:rPr>
        <w:t xml:space="preserve">: estos asemejan a los ingresos tributarios en la metodología nacional, sin embargo,  la principal diferencia en los estándares internacionales es que los interés, moras y multas que se recaudan por concepto de un impuesto, no se consideran como parte del mismo y deben de ser clasificados en una cuenta aparte  (en la categoría de otros ingresos) además, las regalías petroleras e hidrocarburos compartibles dejan de ser un impuesto para convertirse en arriendo de recursos naturales dentro de la categoría de otros ingresos. </w:t>
      </w:r>
    </w:p>
    <w:p w14:paraId="3F165FD6" w14:textId="77777777" w:rsidR="009F124E" w:rsidRPr="009F124E" w:rsidRDefault="009F124E" w:rsidP="009F124E">
      <w:pPr>
        <w:ind w:left="360"/>
        <w:jc w:val="both"/>
        <w:rPr>
          <w:sz w:val="22"/>
          <w:szCs w:val="22"/>
          <w:lang w:eastAsia="en-US"/>
        </w:rPr>
      </w:pPr>
    </w:p>
    <w:p w14:paraId="586777DF" w14:textId="77777777" w:rsidR="009F124E" w:rsidRPr="009F124E" w:rsidRDefault="009F124E" w:rsidP="009F124E">
      <w:pPr>
        <w:spacing w:after="160" w:line="256" w:lineRule="auto"/>
        <w:ind w:left="360"/>
        <w:jc w:val="both"/>
        <w:rPr>
          <w:sz w:val="22"/>
          <w:szCs w:val="22"/>
          <w:lang w:eastAsia="en-US"/>
        </w:rPr>
      </w:pPr>
      <w:r w:rsidRPr="009F124E">
        <w:rPr>
          <w:sz w:val="22"/>
          <w:szCs w:val="22"/>
          <w:lang w:eastAsia="en-US"/>
        </w:rPr>
        <w:t xml:space="preserve">Los ingresos por impuestos del Gobierno Central Presupuestario, para el año 2022, equivalen al 11.9% del PIB mientras que, en la metodología nacional, estos son el 12.0% del PIB y siendo una disminución de 0.1 puntos porcentuales. </w:t>
      </w:r>
    </w:p>
    <w:p w14:paraId="146E8BC4" w14:textId="77777777" w:rsidR="009F124E" w:rsidRPr="009F124E" w:rsidRDefault="009F124E" w:rsidP="009F124E">
      <w:pPr>
        <w:spacing w:after="160" w:line="256" w:lineRule="auto"/>
        <w:ind w:left="360"/>
        <w:jc w:val="both"/>
        <w:rPr>
          <w:sz w:val="22"/>
          <w:szCs w:val="22"/>
          <w:lang w:eastAsia="en-US"/>
        </w:rPr>
      </w:pPr>
      <w:r w:rsidRPr="009F124E">
        <w:rPr>
          <w:sz w:val="22"/>
          <w:szCs w:val="22"/>
          <w:lang w:eastAsia="en-US"/>
        </w:rPr>
        <w:t xml:space="preserve">Los impuestos con mayor importancia son los aplicados sobre los bienes y servicios que representan el 7.0% del PIB y que cabe mencionar incluye al impuesto al valor agregado que equivale al 5.8% del PIB (en metodología nacional equivale al 5.9% del PIB) y los impuestos sobre el ingreso, las utilidades y las ganancias son el 4.3% del PIB (además del ISR también incluye al ISO, el IEMA y IETAP) mientras que, en metodología nacional, en su conjunto equivalen al   4.3% del PIB. </w:t>
      </w:r>
    </w:p>
    <w:p w14:paraId="6FF4AB4D" w14:textId="77777777" w:rsidR="009F124E" w:rsidRPr="009F124E" w:rsidRDefault="009F124E" w:rsidP="00354A9C">
      <w:pPr>
        <w:numPr>
          <w:ilvl w:val="0"/>
          <w:numId w:val="37"/>
        </w:numPr>
        <w:ind w:left="360"/>
        <w:jc w:val="both"/>
        <w:rPr>
          <w:sz w:val="22"/>
          <w:szCs w:val="22"/>
          <w:lang w:eastAsia="en-US"/>
        </w:rPr>
      </w:pPr>
      <w:r w:rsidRPr="009F124E">
        <w:rPr>
          <w:sz w:val="22"/>
          <w:szCs w:val="22"/>
          <w:u w:val="single"/>
          <w:lang w:eastAsia="en-US"/>
        </w:rPr>
        <w:t>Las contribuciones sociales</w:t>
      </w:r>
      <w:r w:rsidRPr="009F124E">
        <w:rPr>
          <w:sz w:val="22"/>
          <w:szCs w:val="22"/>
          <w:lang w:eastAsia="en-US"/>
        </w:rPr>
        <w:t xml:space="preserve"> son los ingresos recibidos por concepto de prestaciones sociales. Las mismas pueden ser efectivas o imputadas y cabe resaltar que este último tipo implica un cambio metodológico importante respecto al estándar nacional dado que en los estándares internacionales se busca reflejar de mejor manera la naturaleza económica de las operaciones del sector público con el fin de medir el impacto que estas poseen en la economía. </w:t>
      </w:r>
    </w:p>
    <w:p w14:paraId="185CA5A8" w14:textId="77777777" w:rsidR="009F124E" w:rsidRPr="009F124E" w:rsidRDefault="009F124E" w:rsidP="009F124E">
      <w:pPr>
        <w:ind w:left="360"/>
        <w:jc w:val="both"/>
        <w:rPr>
          <w:sz w:val="22"/>
          <w:szCs w:val="22"/>
          <w:lang w:eastAsia="en-US"/>
        </w:rPr>
      </w:pPr>
    </w:p>
    <w:p w14:paraId="354BDB19" w14:textId="77777777" w:rsidR="009F124E" w:rsidRPr="009F124E" w:rsidRDefault="009F124E" w:rsidP="009F124E">
      <w:pPr>
        <w:ind w:left="360"/>
        <w:jc w:val="both"/>
        <w:rPr>
          <w:sz w:val="22"/>
          <w:szCs w:val="22"/>
          <w:lang w:eastAsia="en-US"/>
        </w:rPr>
      </w:pPr>
      <w:r w:rsidRPr="009F124E">
        <w:rPr>
          <w:sz w:val="22"/>
          <w:szCs w:val="22"/>
          <w:lang w:eastAsia="en-US"/>
        </w:rPr>
        <w:t>Los ingresos por contribuciones imputadas incluyen los montos del aporte que realiza el Estado para realizar el pago de indemnizaciones, prestaciones póstumas, pago de vacaciones por retiro, la ayuda para funerales, el complemento necesario para cumplir con las pensiones y las jubilaciones otorgadas a los empleados. Estas transacciones se deben de imputar en el estándar internacional ya que las mismas forman parte de dos naturalezas económicas, tanto de las Remuneraciones como de las Prestaciones sociales relacionadas al empleo, es decir, estas son parte de los derechos que poseen a los trabajadores por formar parte de estas unidades institucionales de sector público y su vez es un gasto que asume el Estado para hacer uso de sus servicios. Es oportuno aclarar que la imputación se utiliza para reflejar el verdadero impacto económico de esas operaciones y se lleva a cabo el registro en el gasto y en el ingreso simultáneamente por lo que no tiene un impacto a nivel de resultado operativo.</w:t>
      </w:r>
    </w:p>
    <w:p w14:paraId="3A212958" w14:textId="77777777" w:rsidR="009F124E" w:rsidRPr="009F124E" w:rsidRDefault="009F124E" w:rsidP="009F124E">
      <w:pPr>
        <w:spacing w:line="256" w:lineRule="auto"/>
        <w:ind w:left="360"/>
        <w:jc w:val="both"/>
        <w:rPr>
          <w:sz w:val="22"/>
          <w:szCs w:val="22"/>
          <w:lang w:eastAsia="en-US"/>
        </w:rPr>
      </w:pPr>
    </w:p>
    <w:p w14:paraId="253BF7F3" w14:textId="77777777" w:rsidR="009F124E" w:rsidRPr="009F124E" w:rsidRDefault="009F124E" w:rsidP="009F124E">
      <w:pPr>
        <w:ind w:left="360"/>
        <w:jc w:val="both"/>
        <w:rPr>
          <w:sz w:val="22"/>
          <w:szCs w:val="22"/>
          <w:lang w:eastAsia="en-US"/>
        </w:rPr>
      </w:pPr>
      <w:r w:rsidRPr="009F124E">
        <w:rPr>
          <w:sz w:val="22"/>
          <w:szCs w:val="22"/>
          <w:lang w:eastAsia="en-US"/>
        </w:rPr>
        <w:t xml:space="preserve">Las contribuciones sociales del Gobierno Central Presupuestario representan el 0.7% del PIB en 2022 y es importante mencionar que la totalidad proviene de Otras Contribuciones Sociales, las cuales están constituidas por las contribuciones de los empleados (0.37% del PIB), contribuciones de los empleadores (0.01% del PIB) y las contribuciones imputadas (0.32% del PIB). </w:t>
      </w:r>
    </w:p>
    <w:p w14:paraId="08A3FD19" w14:textId="77777777" w:rsidR="009F124E" w:rsidRPr="009F124E" w:rsidRDefault="009F124E" w:rsidP="009F124E">
      <w:pPr>
        <w:jc w:val="both"/>
        <w:rPr>
          <w:sz w:val="22"/>
          <w:szCs w:val="22"/>
          <w:lang w:eastAsia="en-US"/>
        </w:rPr>
      </w:pPr>
    </w:p>
    <w:p w14:paraId="16315711" w14:textId="77777777" w:rsidR="009F124E" w:rsidRPr="009F124E" w:rsidRDefault="009F124E" w:rsidP="009F124E">
      <w:pPr>
        <w:jc w:val="both"/>
        <w:rPr>
          <w:sz w:val="22"/>
          <w:szCs w:val="22"/>
          <w:lang w:eastAsia="en-US"/>
        </w:rPr>
      </w:pPr>
    </w:p>
    <w:p w14:paraId="7DE5D661" w14:textId="77777777" w:rsidR="009F124E" w:rsidRPr="009F124E" w:rsidRDefault="009F124E" w:rsidP="009F124E">
      <w:pPr>
        <w:jc w:val="both"/>
        <w:rPr>
          <w:sz w:val="22"/>
          <w:szCs w:val="22"/>
          <w:lang w:eastAsia="en-US"/>
        </w:rPr>
      </w:pPr>
    </w:p>
    <w:p w14:paraId="755E31B5" w14:textId="77777777" w:rsidR="009F124E" w:rsidRPr="009F124E" w:rsidRDefault="009F124E" w:rsidP="00354A9C">
      <w:pPr>
        <w:numPr>
          <w:ilvl w:val="0"/>
          <w:numId w:val="37"/>
        </w:numPr>
        <w:ind w:left="360"/>
        <w:jc w:val="both"/>
        <w:rPr>
          <w:sz w:val="22"/>
          <w:szCs w:val="22"/>
          <w:lang w:eastAsia="en-US"/>
        </w:rPr>
      </w:pPr>
      <w:r w:rsidRPr="009F124E">
        <w:rPr>
          <w:sz w:val="22"/>
          <w:szCs w:val="22"/>
          <w:u w:val="single"/>
          <w:lang w:eastAsia="en-US"/>
        </w:rPr>
        <w:t>Las donaciones</w:t>
      </w:r>
      <w:r w:rsidRPr="009F124E">
        <w:rPr>
          <w:sz w:val="22"/>
          <w:szCs w:val="22"/>
          <w:lang w:eastAsia="en-US"/>
        </w:rPr>
        <w:t xml:space="preserve"> son transferencias recibidas de otras entidades, que no constituyen subsidio o contribución social. Estos se dividen en:</w:t>
      </w:r>
    </w:p>
    <w:p w14:paraId="39A5F14E" w14:textId="77777777" w:rsidR="009F124E" w:rsidRPr="009F124E" w:rsidRDefault="009F124E" w:rsidP="009F124E">
      <w:pPr>
        <w:ind w:left="360"/>
        <w:jc w:val="both"/>
        <w:rPr>
          <w:sz w:val="22"/>
          <w:szCs w:val="22"/>
          <w:lang w:eastAsia="en-US"/>
        </w:rPr>
      </w:pPr>
    </w:p>
    <w:p w14:paraId="2E26FD40" w14:textId="77777777" w:rsidR="009F124E" w:rsidRPr="009F124E" w:rsidRDefault="009F124E" w:rsidP="00354A9C">
      <w:pPr>
        <w:numPr>
          <w:ilvl w:val="0"/>
          <w:numId w:val="38"/>
        </w:numPr>
        <w:jc w:val="both"/>
        <w:rPr>
          <w:sz w:val="22"/>
          <w:szCs w:val="22"/>
          <w:lang w:eastAsia="en-US"/>
        </w:rPr>
      </w:pPr>
      <w:r w:rsidRPr="009F124E">
        <w:rPr>
          <w:sz w:val="22"/>
          <w:szCs w:val="22"/>
          <w:lang w:eastAsia="en-US"/>
        </w:rPr>
        <w:t>De gobiernos extranjeros</w:t>
      </w:r>
    </w:p>
    <w:p w14:paraId="28CE57C5" w14:textId="77777777" w:rsidR="009F124E" w:rsidRPr="009F124E" w:rsidRDefault="009F124E" w:rsidP="00354A9C">
      <w:pPr>
        <w:numPr>
          <w:ilvl w:val="0"/>
          <w:numId w:val="38"/>
        </w:numPr>
        <w:jc w:val="both"/>
        <w:rPr>
          <w:sz w:val="22"/>
          <w:szCs w:val="22"/>
          <w:lang w:eastAsia="en-US"/>
        </w:rPr>
      </w:pPr>
      <w:r w:rsidRPr="009F124E">
        <w:rPr>
          <w:sz w:val="22"/>
          <w:szCs w:val="22"/>
          <w:lang w:eastAsia="en-US"/>
        </w:rPr>
        <w:t>De organismos internacionales</w:t>
      </w:r>
    </w:p>
    <w:p w14:paraId="0F09DA0A" w14:textId="77777777" w:rsidR="009F124E" w:rsidRPr="009F124E" w:rsidRDefault="009F124E" w:rsidP="00354A9C">
      <w:pPr>
        <w:numPr>
          <w:ilvl w:val="0"/>
          <w:numId w:val="38"/>
        </w:numPr>
        <w:jc w:val="both"/>
        <w:rPr>
          <w:sz w:val="22"/>
          <w:szCs w:val="22"/>
          <w:lang w:eastAsia="en-US"/>
        </w:rPr>
      </w:pPr>
      <w:r w:rsidRPr="009F124E">
        <w:rPr>
          <w:sz w:val="22"/>
          <w:szCs w:val="22"/>
          <w:lang w:eastAsia="en-US"/>
        </w:rPr>
        <w:t>De otras unidades del gobierno general</w:t>
      </w:r>
    </w:p>
    <w:p w14:paraId="07FE7153" w14:textId="77777777" w:rsidR="009F124E" w:rsidRPr="009F124E" w:rsidRDefault="009F124E" w:rsidP="009F124E">
      <w:pPr>
        <w:ind w:left="360"/>
        <w:jc w:val="both"/>
        <w:rPr>
          <w:sz w:val="22"/>
          <w:szCs w:val="22"/>
          <w:lang w:eastAsia="en-US"/>
        </w:rPr>
      </w:pPr>
    </w:p>
    <w:p w14:paraId="474E3FC3" w14:textId="77777777" w:rsidR="009F124E" w:rsidRPr="009F124E" w:rsidRDefault="009F124E" w:rsidP="009F124E">
      <w:pPr>
        <w:ind w:left="360"/>
        <w:jc w:val="both"/>
        <w:rPr>
          <w:sz w:val="22"/>
          <w:szCs w:val="22"/>
          <w:lang w:eastAsia="en-US"/>
        </w:rPr>
      </w:pPr>
      <w:r w:rsidRPr="009F124E">
        <w:rPr>
          <w:sz w:val="22"/>
          <w:szCs w:val="22"/>
          <w:lang w:eastAsia="en-US"/>
        </w:rPr>
        <w:t>En materia de estándares internacionales, las donaciones que recibe el Gobierno Central Presupuestario en 2022 es de 0.02% del PIB y en la metodología nacional, estas se denominan transferencias corrientes y de capital, aunque, existen algunas diferencias específicas, pero son comparables entre sí.</w:t>
      </w:r>
    </w:p>
    <w:p w14:paraId="1FF1080A" w14:textId="77777777" w:rsidR="009F124E" w:rsidRPr="009F124E" w:rsidRDefault="009F124E" w:rsidP="009F124E">
      <w:pPr>
        <w:jc w:val="both"/>
        <w:rPr>
          <w:sz w:val="22"/>
          <w:szCs w:val="22"/>
          <w:lang w:eastAsia="en-US"/>
        </w:rPr>
      </w:pPr>
    </w:p>
    <w:p w14:paraId="7CCE2632" w14:textId="77777777" w:rsidR="009F124E" w:rsidRPr="009F124E" w:rsidRDefault="009F124E" w:rsidP="00354A9C">
      <w:pPr>
        <w:numPr>
          <w:ilvl w:val="0"/>
          <w:numId w:val="37"/>
        </w:numPr>
        <w:ind w:left="360"/>
        <w:jc w:val="both"/>
        <w:rPr>
          <w:sz w:val="22"/>
          <w:szCs w:val="22"/>
          <w:lang w:eastAsia="en-US"/>
        </w:rPr>
      </w:pPr>
      <w:r w:rsidRPr="009F124E">
        <w:rPr>
          <w:sz w:val="22"/>
          <w:szCs w:val="22"/>
          <w:u w:val="single"/>
          <w:lang w:eastAsia="en-US"/>
        </w:rPr>
        <w:t>Los otros ingresos</w:t>
      </w:r>
      <w:r w:rsidRPr="009F124E">
        <w:rPr>
          <w:sz w:val="22"/>
          <w:szCs w:val="22"/>
          <w:lang w:eastAsia="en-US"/>
        </w:rPr>
        <w:t xml:space="preserve"> contemplan las siguientes divisiones:</w:t>
      </w:r>
    </w:p>
    <w:p w14:paraId="0B9C3FB5" w14:textId="77777777" w:rsidR="009F124E" w:rsidRPr="009F124E" w:rsidRDefault="009F124E" w:rsidP="009F124E">
      <w:pPr>
        <w:ind w:left="360"/>
        <w:jc w:val="both"/>
        <w:rPr>
          <w:sz w:val="22"/>
          <w:szCs w:val="22"/>
          <w:lang w:eastAsia="en-US"/>
        </w:rPr>
      </w:pPr>
      <w:r w:rsidRPr="009F124E">
        <w:rPr>
          <w:sz w:val="22"/>
          <w:szCs w:val="22"/>
          <w:lang w:eastAsia="en-US"/>
        </w:rPr>
        <w:t xml:space="preserve">  </w:t>
      </w:r>
    </w:p>
    <w:p w14:paraId="0444B9D5" w14:textId="77777777" w:rsidR="009F124E" w:rsidRPr="009F124E" w:rsidRDefault="009F124E" w:rsidP="00354A9C">
      <w:pPr>
        <w:numPr>
          <w:ilvl w:val="0"/>
          <w:numId w:val="38"/>
        </w:numPr>
        <w:jc w:val="both"/>
        <w:rPr>
          <w:sz w:val="22"/>
          <w:szCs w:val="22"/>
          <w:lang w:eastAsia="en-US"/>
        </w:rPr>
      </w:pPr>
      <w:r w:rsidRPr="009F124E">
        <w:rPr>
          <w:sz w:val="22"/>
          <w:szCs w:val="22"/>
          <w:lang w:eastAsia="en-US"/>
        </w:rPr>
        <w:t>Renta de la propiedad</w:t>
      </w:r>
    </w:p>
    <w:p w14:paraId="5B99C0E5" w14:textId="77777777" w:rsidR="009F124E" w:rsidRPr="009F124E" w:rsidRDefault="009F124E" w:rsidP="00354A9C">
      <w:pPr>
        <w:numPr>
          <w:ilvl w:val="0"/>
          <w:numId w:val="38"/>
        </w:numPr>
        <w:jc w:val="both"/>
        <w:rPr>
          <w:sz w:val="22"/>
          <w:szCs w:val="22"/>
          <w:lang w:eastAsia="en-US"/>
        </w:rPr>
      </w:pPr>
      <w:r w:rsidRPr="009F124E">
        <w:rPr>
          <w:sz w:val="22"/>
          <w:szCs w:val="22"/>
          <w:lang w:eastAsia="en-US"/>
        </w:rPr>
        <w:t>Ventas de bienes y servicios</w:t>
      </w:r>
    </w:p>
    <w:p w14:paraId="348A0AF3" w14:textId="77777777" w:rsidR="009F124E" w:rsidRPr="009F124E" w:rsidRDefault="009F124E" w:rsidP="00354A9C">
      <w:pPr>
        <w:numPr>
          <w:ilvl w:val="0"/>
          <w:numId w:val="38"/>
        </w:numPr>
        <w:jc w:val="both"/>
        <w:rPr>
          <w:sz w:val="22"/>
          <w:szCs w:val="22"/>
          <w:lang w:eastAsia="en-US"/>
        </w:rPr>
      </w:pPr>
      <w:r w:rsidRPr="009F124E">
        <w:rPr>
          <w:sz w:val="22"/>
          <w:szCs w:val="22"/>
          <w:lang w:eastAsia="en-US"/>
        </w:rPr>
        <w:t>Multas, sanciones pecuniarias y depósitos en caución transferidos</w:t>
      </w:r>
    </w:p>
    <w:p w14:paraId="2ED2EC7D" w14:textId="77777777" w:rsidR="009F124E" w:rsidRPr="009F124E" w:rsidRDefault="009F124E" w:rsidP="00354A9C">
      <w:pPr>
        <w:numPr>
          <w:ilvl w:val="0"/>
          <w:numId w:val="38"/>
        </w:numPr>
        <w:jc w:val="both"/>
        <w:rPr>
          <w:sz w:val="22"/>
          <w:szCs w:val="22"/>
          <w:lang w:eastAsia="en-US"/>
        </w:rPr>
      </w:pPr>
      <w:r w:rsidRPr="009F124E">
        <w:rPr>
          <w:sz w:val="22"/>
          <w:szCs w:val="22"/>
          <w:lang w:eastAsia="en-US"/>
        </w:rPr>
        <w:t>Transferencias no clasificadas en otra partida</w:t>
      </w:r>
    </w:p>
    <w:p w14:paraId="6CC73393" w14:textId="77777777" w:rsidR="009F124E" w:rsidRPr="009F124E" w:rsidRDefault="009F124E" w:rsidP="00354A9C">
      <w:pPr>
        <w:numPr>
          <w:ilvl w:val="0"/>
          <w:numId w:val="38"/>
        </w:numPr>
        <w:jc w:val="both"/>
        <w:rPr>
          <w:sz w:val="22"/>
          <w:szCs w:val="22"/>
          <w:lang w:eastAsia="en-US"/>
        </w:rPr>
      </w:pPr>
      <w:r w:rsidRPr="009F124E">
        <w:rPr>
          <w:sz w:val="22"/>
          <w:szCs w:val="22"/>
          <w:lang w:eastAsia="en-US"/>
        </w:rPr>
        <w:t>Primas, tasas e indemnizaciones relacionadas con seguros no de vida y sistemas de garantías estandarizadas</w:t>
      </w:r>
    </w:p>
    <w:p w14:paraId="31128923" w14:textId="77777777" w:rsidR="009F124E" w:rsidRPr="009F124E" w:rsidRDefault="009F124E" w:rsidP="009F124E">
      <w:pPr>
        <w:spacing w:line="256" w:lineRule="auto"/>
        <w:jc w:val="both"/>
        <w:rPr>
          <w:sz w:val="22"/>
          <w:szCs w:val="22"/>
          <w:lang w:eastAsia="en-US"/>
        </w:rPr>
      </w:pPr>
    </w:p>
    <w:p w14:paraId="2F23CB93" w14:textId="77777777" w:rsidR="009F124E" w:rsidRPr="009F124E" w:rsidRDefault="009F124E" w:rsidP="009F124E">
      <w:pPr>
        <w:ind w:left="360"/>
        <w:jc w:val="both"/>
        <w:rPr>
          <w:sz w:val="22"/>
          <w:szCs w:val="22"/>
          <w:lang w:eastAsia="en-US"/>
        </w:rPr>
      </w:pPr>
      <w:r w:rsidRPr="009F124E">
        <w:rPr>
          <w:sz w:val="22"/>
          <w:szCs w:val="22"/>
          <w:lang w:eastAsia="en-US"/>
        </w:rPr>
        <w:t>Los ingresos clasificados como Otros Ingresos son equivalentes al 0.32% del PIB para el Gobierno Central Presupuestario y estos provienen de la venta de bienes y servicios (0.12% del PIB), las Multas, sanciones pecuniarias y depósitos en caución transferidos (0.10% del PIB), las rentas de la propiedad (0.08% del PIB) y las Transferencias no Clasificadas en otra partida (0.02% del PIB).</w:t>
      </w:r>
    </w:p>
    <w:p w14:paraId="0B45814D" w14:textId="77777777" w:rsidR="009F124E" w:rsidRPr="009F124E" w:rsidRDefault="009F124E" w:rsidP="009F124E">
      <w:pPr>
        <w:jc w:val="both"/>
        <w:rPr>
          <w:sz w:val="22"/>
          <w:szCs w:val="22"/>
          <w:lang w:eastAsia="en-US"/>
        </w:rPr>
      </w:pPr>
    </w:p>
    <w:p w14:paraId="047E119C" w14:textId="77777777" w:rsidR="009F124E" w:rsidRPr="009F124E" w:rsidRDefault="009F124E" w:rsidP="00354A9C">
      <w:pPr>
        <w:numPr>
          <w:ilvl w:val="0"/>
          <w:numId w:val="37"/>
        </w:numPr>
        <w:ind w:left="360"/>
        <w:jc w:val="both"/>
        <w:rPr>
          <w:sz w:val="22"/>
          <w:szCs w:val="22"/>
          <w:lang w:eastAsia="en-US"/>
        </w:rPr>
      </w:pPr>
      <w:r w:rsidRPr="009F124E">
        <w:rPr>
          <w:sz w:val="22"/>
          <w:szCs w:val="22"/>
          <w:lang w:eastAsia="en-US"/>
        </w:rPr>
        <w:t xml:space="preserve">Otros cambios metodológicos que explican las variaciones entre metodología son la extinción de dominio y las ganancias por operaciones cambiarias dejan de formar parte de los ingresos y pasan a formar parte de la categoría de otros flujos económicos. Cabe mencionar que de momento aún no se ha implementado esta categoría en las EFP según Estándares Internacionales. </w:t>
      </w:r>
    </w:p>
    <w:p w14:paraId="73764EB5" w14:textId="77777777" w:rsidR="009F124E" w:rsidRPr="009F124E" w:rsidRDefault="009F124E" w:rsidP="009F124E">
      <w:pPr>
        <w:jc w:val="both"/>
        <w:rPr>
          <w:sz w:val="22"/>
          <w:szCs w:val="22"/>
          <w:lang w:eastAsia="en-US"/>
        </w:rPr>
      </w:pPr>
    </w:p>
    <w:p w14:paraId="1CB66912" w14:textId="729DBC03" w:rsidR="009F124E" w:rsidRPr="009F124E" w:rsidRDefault="009F124E" w:rsidP="00354A9C">
      <w:pPr>
        <w:numPr>
          <w:ilvl w:val="1"/>
          <w:numId w:val="36"/>
        </w:numPr>
        <w:jc w:val="both"/>
        <w:outlineLvl w:val="2"/>
        <w:rPr>
          <w:b/>
          <w:sz w:val="22"/>
          <w:szCs w:val="22"/>
          <w:lang w:eastAsia="en-US"/>
        </w:rPr>
      </w:pPr>
      <w:bookmarkStart w:id="290" w:name="_Toc143865877"/>
      <w:r w:rsidRPr="009F124E">
        <w:rPr>
          <w:b/>
          <w:sz w:val="22"/>
          <w:szCs w:val="22"/>
          <w:lang w:eastAsia="en-US"/>
        </w:rPr>
        <w:t xml:space="preserve">El gasto del </w:t>
      </w:r>
      <w:r w:rsidR="008D42A4">
        <w:rPr>
          <w:b/>
          <w:sz w:val="22"/>
          <w:szCs w:val="22"/>
          <w:lang w:eastAsia="en-US"/>
        </w:rPr>
        <w:t>g</w:t>
      </w:r>
      <w:r w:rsidRPr="009F124E">
        <w:rPr>
          <w:b/>
          <w:sz w:val="22"/>
          <w:szCs w:val="22"/>
          <w:lang w:eastAsia="en-US"/>
        </w:rPr>
        <w:t xml:space="preserve">obierno </w:t>
      </w:r>
      <w:r w:rsidR="008D42A4">
        <w:rPr>
          <w:b/>
          <w:sz w:val="22"/>
          <w:szCs w:val="22"/>
          <w:lang w:eastAsia="en-US"/>
        </w:rPr>
        <w:t>c</w:t>
      </w:r>
      <w:r w:rsidRPr="009F124E">
        <w:rPr>
          <w:b/>
          <w:sz w:val="22"/>
          <w:szCs w:val="22"/>
          <w:lang w:eastAsia="en-US"/>
        </w:rPr>
        <w:t xml:space="preserve">entral </w:t>
      </w:r>
      <w:r w:rsidR="008D42A4">
        <w:rPr>
          <w:b/>
          <w:sz w:val="22"/>
          <w:szCs w:val="22"/>
          <w:lang w:eastAsia="en-US"/>
        </w:rPr>
        <w:t>p</w:t>
      </w:r>
      <w:r w:rsidRPr="009F124E">
        <w:rPr>
          <w:b/>
          <w:sz w:val="22"/>
          <w:szCs w:val="22"/>
          <w:lang w:eastAsia="en-US"/>
        </w:rPr>
        <w:t>resupuestario</w:t>
      </w:r>
      <w:bookmarkEnd w:id="290"/>
    </w:p>
    <w:p w14:paraId="1CE99FFF" w14:textId="77777777" w:rsidR="009F124E" w:rsidRPr="009F124E" w:rsidRDefault="009F124E" w:rsidP="009F124E">
      <w:pPr>
        <w:jc w:val="both"/>
        <w:outlineLvl w:val="2"/>
        <w:rPr>
          <w:b/>
          <w:sz w:val="22"/>
          <w:szCs w:val="22"/>
          <w:lang w:eastAsia="en-US"/>
        </w:rPr>
      </w:pPr>
    </w:p>
    <w:p w14:paraId="49ABC5EA" w14:textId="77777777" w:rsidR="009F124E" w:rsidRPr="009F124E" w:rsidRDefault="009F124E" w:rsidP="009F124E">
      <w:pPr>
        <w:jc w:val="both"/>
        <w:rPr>
          <w:sz w:val="22"/>
          <w:szCs w:val="22"/>
          <w:lang w:eastAsia="en-US"/>
        </w:rPr>
      </w:pPr>
      <w:r w:rsidRPr="009F124E">
        <w:rPr>
          <w:sz w:val="22"/>
          <w:szCs w:val="22"/>
          <w:lang w:eastAsia="en-US"/>
        </w:rPr>
        <w:t xml:space="preserve">En los estándares internacionales, se considera como un gasto a toda transacción que genera una disminución en el patrimonio neto y esto plantea una diferencia conceptual importante respecto a la definición nacional, por lo tanto, estas cifras no pueden ser comparables entre sí. Según los lineamientos del MEFP 2014, el Gobierno Central Presupuestario para el año 2022 equivale al 14.03% del PIB y con forme a la metodología nacional este sería de 14.36% del PIB, sin embargo, esta última cifra incluye mayores elementos que no son considerados en los estándares internacionales y que serán explicados a continuación. </w:t>
      </w:r>
    </w:p>
    <w:p w14:paraId="5DD47866" w14:textId="77777777" w:rsidR="009F124E" w:rsidRPr="009F124E" w:rsidRDefault="009F124E" w:rsidP="009F124E">
      <w:pPr>
        <w:jc w:val="both"/>
        <w:rPr>
          <w:sz w:val="22"/>
          <w:szCs w:val="22"/>
          <w:lang w:eastAsia="en-US"/>
        </w:rPr>
      </w:pPr>
    </w:p>
    <w:p w14:paraId="3B1BCB74" w14:textId="77777777" w:rsidR="009F124E" w:rsidRPr="009F124E" w:rsidRDefault="009F124E" w:rsidP="009F124E">
      <w:pPr>
        <w:jc w:val="both"/>
        <w:rPr>
          <w:sz w:val="22"/>
          <w:szCs w:val="22"/>
          <w:lang w:eastAsia="en-US"/>
        </w:rPr>
      </w:pPr>
      <w:r w:rsidRPr="009F124E">
        <w:rPr>
          <w:sz w:val="22"/>
          <w:szCs w:val="22"/>
          <w:lang w:eastAsia="en-US"/>
        </w:rPr>
        <w:t xml:space="preserve">Las principales diferencias metodológicas en el gasto se pueden dividir así:  </w:t>
      </w:r>
    </w:p>
    <w:p w14:paraId="3458F849" w14:textId="77777777" w:rsidR="009F124E" w:rsidRPr="009F124E" w:rsidRDefault="009F124E" w:rsidP="009F124E">
      <w:pPr>
        <w:jc w:val="both"/>
        <w:rPr>
          <w:sz w:val="22"/>
          <w:szCs w:val="22"/>
          <w:lang w:eastAsia="en-US"/>
        </w:rPr>
      </w:pPr>
    </w:p>
    <w:p w14:paraId="5439C583" w14:textId="77777777" w:rsidR="009F124E" w:rsidRPr="009F124E" w:rsidRDefault="009F124E" w:rsidP="00354A9C">
      <w:pPr>
        <w:numPr>
          <w:ilvl w:val="0"/>
          <w:numId w:val="39"/>
        </w:numPr>
        <w:ind w:left="360"/>
        <w:jc w:val="both"/>
        <w:rPr>
          <w:sz w:val="22"/>
          <w:szCs w:val="22"/>
          <w:lang w:eastAsia="en-US"/>
        </w:rPr>
      </w:pPr>
      <w:r w:rsidRPr="009F124E">
        <w:rPr>
          <w:sz w:val="22"/>
          <w:szCs w:val="22"/>
          <w:u w:val="single"/>
          <w:lang w:eastAsia="en-US"/>
        </w:rPr>
        <w:t>La remuneración a los empleados</w:t>
      </w:r>
      <w:r w:rsidRPr="009F124E">
        <w:rPr>
          <w:sz w:val="22"/>
          <w:szCs w:val="22"/>
          <w:lang w:eastAsia="en-US"/>
        </w:rPr>
        <w:t xml:space="preserve"> incluye la remuneración total, en efectivo o especie, considerada en el período analizado, dada la relación empleador-empleado y excluye los montos relacionados con la formación de capital. Es oportuno mencionar que en esta categoría se incluyen gastos por contribuciones sociales imputadas de los empleadores </w:t>
      </w:r>
    </w:p>
    <w:p w14:paraId="475B06E2" w14:textId="77777777" w:rsidR="009F124E" w:rsidRPr="009F124E" w:rsidRDefault="009F124E" w:rsidP="009F124E">
      <w:pPr>
        <w:ind w:left="360"/>
        <w:jc w:val="both"/>
        <w:rPr>
          <w:sz w:val="22"/>
          <w:szCs w:val="22"/>
          <w:lang w:eastAsia="en-US"/>
        </w:rPr>
      </w:pPr>
    </w:p>
    <w:p w14:paraId="0A23F335" w14:textId="77777777" w:rsidR="009F124E" w:rsidRPr="009F124E" w:rsidRDefault="009F124E" w:rsidP="009F124E">
      <w:pPr>
        <w:ind w:left="360"/>
        <w:jc w:val="both"/>
        <w:rPr>
          <w:sz w:val="22"/>
          <w:szCs w:val="22"/>
          <w:lang w:eastAsia="en-US"/>
        </w:rPr>
      </w:pPr>
      <w:r w:rsidRPr="009F124E">
        <w:rPr>
          <w:sz w:val="22"/>
          <w:szCs w:val="22"/>
          <w:lang w:eastAsia="en-US"/>
        </w:rPr>
        <w:t>Las remuneraciones del Gobierno Central Presupuestario ascienden a 4.38% del PIB y delos cuales los sueldos y salarios son el 3.9% del PIB y las contribuciones sociales de empleadores el 0.47% del PIB (este último incluye un 0.33% del PIB por concepto de contribuciones sociales imputadas  que realizan los empleadores para pagar indemnizaciones, prestaciones póstumas, pago de vacaciones por retiro, la ayuda para funerales, las pensiones y las jubilaciones que forman parte de las prestaciones laborales de los trabajadores).</w:t>
      </w:r>
    </w:p>
    <w:p w14:paraId="2035E956" w14:textId="77777777" w:rsidR="009F124E" w:rsidRPr="009F124E" w:rsidRDefault="009F124E" w:rsidP="009F124E">
      <w:pPr>
        <w:ind w:left="360"/>
        <w:jc w:val="both"/>
        <w:rPr>
          <w:sz w:val="22"/>
          <w:szCs w:val="22"/>
          <w:lang w:eastAsia="en-US"/>
        </w:rPr>
      </w:pPr>
    </w:p>
    <w:p w14:paraId="4F453ABE" w14:textId="77777777" w:rsidR="009F124E" w:rsidRPr="009F124E" w:rsidRDefault="009F124E" w:rsidP="00354A9C">
      <w:pPr>
        <w:numPr>
          <w:ilvl w:val="0"/>
          <w:numId w:val="39"/>
        </w:numPr>
        <w:ind w:left="360"/>
        <w:jc w:val="both"/>
        <w:rPr>
          <w:sz w:val="22"/>
          <w:szCs w:val="22"/>
          <w:lang w:eastAsia="en-US"/>
        </w:rPr>
      </w:pPr>
      <w:r w:rsidRPr="009F124E">
        <w:rPr>
          <w:sz w:val="22"/>
          <w:szCs w:val="22"/>
          <w:u w:val="single"/>
          <w:lang w:eastAsia="en-US"/>
        </w:rPr>
        <w:t>El uso de bienes y servicios</w:t>
      </w:r>
      <w:r w:rsidRPr="009F124E">
        <w:rPr>
          <w:sz w:val="22"/>
          <w:szCs w:val="22"/>
          <w:lang w:eastAsia="en-US"/>
        </w:rPr>
        <w:t xml:space="preserve"> comprende el valor total de bienes y servicios utilizados para la producción de bienes y servicios de mercado y de no mercado, sin el consumo de capital fijo. En estos se incluye el uso de bienes y servicios en la formación de capital por cuenta propia, y bienes que el gobierno adquiere y distribuye sin transformación alguna. Entre las principales diferencias con la metodología nacional se encuentra la no inclusión de equipo militar, sentencias judiciales y las primas y gastos de seguros y fianzas.</w:t>
      </w:r>
    </w:p>
    <w:p w14:paraId="2DEB7533" w14:textId="77777777" w:rsidR="009F124E" w:rsidRPr="009F124E" w:rsidRDefault="009F124E" w:rsidP="009F124E">
      <w:pPr>
        <w:jc w:val="both"/>
        <w:rPr>
          <w:sz w:val="22"/>
          <w:szCs w:val="22"/>
          <w:lang w:eastAsia="en-US"/>
        </w:rPr>
      </w:pPr>
    </w:p>
    <w:p w14:paraId="3CFBE7C4" w14:textId="77777777" w:rsidR="009F124E" w:rsidRPr="009F124E" w:rsidRDefault="009F124E" w:rsidP="009F124E">
      <w:pPr>
        <w:ind w:left="360"/>
        <w:jc w:val="both"/>
        <w:rPr>
          <w:sz w:val="22"/>
          <w:szCs w:val="22"/>
          <w:lang w:eastAsia="en-US"/>
        </w:rPr>
      </w:pPr>
      <w:r w:rsidRPr="009F124E">
        <w:rPr>
          <w:sz w:val="22"/>
          <w:szCs w:val="22"/>
          <w:lang w:eastAsia="en-US"/>
        </w:rPr>
        <w:t>En materia de Uso de bienes y servicios, el Gobierno Central Presupuestario gasta el equivalente al 2.26% del PIB mientras que, desde la perspectiva del estándar nacional, este es de 2.40% del PIB.</w:t>
      </w:r>
    </w:p>
    <w:p w14:paraId="26F7138F" w14:textId="77777777" w:rsidR="009F124E" w:rsidRPr="009F124E" w:rsidRDefault="009F124E" w:rsidP="009F124E">
      <w:pPr>
        <w:jc w:val="both"/>
        <w:rPr>
          <w:sz w:val="22"/>
          <w:szCs w:val="22"/>
          <w:lang w:eastAsia="en-US"/>
        </w:rPr>
      </w:pPr>
    </w:p>
    <w:p w14:paraId="6FB6281E" w14:textId="77777777" w:rsidR="009F124E" w:rsidRPr="009F124E" w:rsidRDefault="009F124E" w:rsidP="00354A9C">
      <w:pPr>
        <w:numPr>
          <w:ilvl w:val="0"/>
          <w:numId w:val="39"/>
        </w:numPr>
        <w:ind w:left="360"/>
        <w:jc w:val="both"/>
        <w:rPr>
          <w:sz w:val="22"/>
          <w:szCs w:val="22"/>
          <w:lang w:eastAsia="en-US"/>
        </w:rPr>
      </w:pPr>
      <w:r w:rsidRPr="009F124E">
        <w:rPr>
          <w:sz w:val="22"/>
          <w:szCs w:val="22"/>
          <w:u w:val="single"/>
          <w:lang w:eastAsia="en-US"/>
        </w:rPr>
        <w:t>Consumo de capital fijo,</w:t>
      </w:r>
      <w:r w:rsidRPr="009F124E">
        <w:rPr>
          <w:sz w:val="22"/>
          <w:szCs w:val="22"/>
          <w:lang w:eastAsia="en-US"/>
        </w:rPr>
        <w:t xml:space="preserve"> este se define como el consumo o disminución de activos fijos para la producción de un bien o servicio, el cual causa deterioro, pérdida de valor o daños en el activo. Cabe resaltar que actualmente aún no se presenta información de esta cuenta y la misma se estará incorporando conforme se progrese la implementación de los estándares internacionales.</w:t>
      </w:r>
    </w:p>
    <w:p w14:paraId="3A2DF891" w14:textId="77777777" w:rsidR="009F124E" w:rsidRPr="009F124E" w:rsidRDefault="009F124E" w:rsidP="009F124E">
      <w:pPr>
        <w:jc w:val="both"/>
        <w:rPr>
          <w:sz w:val="22"/>
          <w:szCs w:val="22"/>
          <w:lang w:eastAsia="en-US"/>
        </w:rPr>
      </w:pPr>
    </w:p>
    <w:p w14:paraId="10A59B49" w14:textId="77777777" w:rsidR="009F124E" w:rsidRPr="009F124E" w:rsidRDefault="009F124E" w:rsidP="00354A9C">
      <w:pPr>
        <w:numPr>
          <w:ilvl w:val="0"/>
          <w:numId w:val="39"/>
        </w:numPr>
        <w:ind w:left="360"/>
        <w:jc w:val="both"/>
        <w:rPr>
          <w:sz w:val="22"/>
          <w:szCs w:val="22"/>
          <w:lang w:eastAsia="en-US"/>
        </w:rPr>
      </w:pPr>
      <w:r w:rsidRPr="009F124E">
        <w:rPr>
          <w:sz w:val="22"/>
          <w:szCs w:val="22"/>
          <w:u w:val="single"/>
          <w:lang w:eastAsia="en-US"/>
        </w:rPr>
        <w:t>Los intereses</w:t>
      </w:r>
      <w:r w:rsidRPr="009F124E">
        <w:rPr>
          <w:sz w:val="22"/>
          <w:szCs w:val="22"/>
          <w:lang w:eastAsia="en-US"/>
        </w:rPr>
        <w:t xml:space="preserve"> son el retorno que reciben los propietarios de cierto tipo de activos financieros por poner a disposición de otros activos. En los estándares internacionales los descuentos de deuda no forman parte de la categoría de intereses, estos pasan a formar parte de la sección de transacciones en activos y pasivos. </w:t>
      </w:r>
    </w:p>
    <w:p w14:paraId="3C42F35F" w14:textId="77777777" w:rsidR="009F124E" w:rsidRPr="009F124E" w:rsidRDefault="009F124E" w:rsidP="009F124E">
      <w:pPr>
        <w:spacing w:after="160" w:line="259" w:lineRule="auto"/>
        <w:ind w:left="720"/>
        <w:contextualSpacing/>
        <w:rPr>
          <w:sz w:val="22"/>
          <w:szCs w:val="22"/>
          <w:lang w:eastAsia="en-US"/>
        </w:rPr>
      </w:pPr>
    </w:p>
    <w:p w14:paraId="6F7F51A9" w14:textId="77777777" w:rsidR="009F124E" w:rsidRPr="009F124E" w:rsidRDefault="009F124E" w:rsidP="009F124E">
      <w:pPr>
        <w:ind w:left="360"/>
        <w:jc w:val="both"/>
        <w:rPr>
          <w:sz w:val="22"/>
          <w:szCs w:val="22"/>
          <w:lang w:eastAsia="en-US"/>
        </w:rPr>
      </w:pPr>
      <w:r w:rsidRPr="009F124E">
        <w:rPr>
          <w:sz w:val="22"/>
          <w:szCs w:val="22"/>
          <w:lang w:eastAsia="en-US"/>
        </w:rPr>
        <w:t>El gasto realizado para el pago de intereses Gobierno Central Presupuestario son de 1.65% del PIB en 2022 acorde al MEFP 2014.</w:t>
      </w:r>
    </w:p>
    <w:p w14:paraId="026CAB8C" w14:textId="77777777" w:rsidR="009F124E" w:rsidRPr="009F124E" w:rsidRDefault="009F124E" w:rsidP="009F124E">
      <w:pPr>
        <w:jc w:val="both"/>
        <w:rPr>
          <w:sz w:val="22"/>
          <w:szCs w:val="22"/>
          <w:lang w:eastAsia="en-US"/>
        </w:rPr>
      </w:pPr>
    </w:p>
    <w:p w14:paraId="1DFDC3BF" w14:textId="77777777" w:rsidR="009F124E" w:rsidRPr="009F124E" w:rsidRDefault="009F124E" w:rsidP="00354A9C">
      <w:pPr>
        <w:numPr>
          <w:ilvl w:val="0"/>
          <w:numId w:val="39"/>
        </w:numPr>
        <w:ind w:left="360"/>
        <w:jc w:val="both"/>
        <w:rPr>
          <w:sz w:val="22"/>
          <w:szCs w:val="22"/>
          <w:lang w:eastAsia="en-US"/>
        </w:rPr>
      </w:pPr>
      <w:r w:rsidRPr="009F124E">
        <w:rPr>
          <w:sz w:val="22"/>
          <w:szCs w:val="22"/>
          <w:u w:val="single"/>
          <w:lang w:eastAsia="en-US"/>
        </w:rPr>
        <w:t>El subsidio</w:t>
      </w:r>
      <w:r w:rsidRPr="009F124E">
        <w:rPr>
          <w:sz w:val="22"/>
          <w:szCs w:val="22"/>
          <w:lang w:eastAsia="en-US"/>
        </w:rPr>
        <w:t xml:space="preserve"> muestra las transferencias sin contrapartida que el gobierno hace a empresas de acuerdo con los niveles de su actividad productiva o según el nivel de bienes o servicios producidos. Esta categoría es exclusiva para los estándares internacionales.</w:t>
      </w:r>
    </w:p>
    <w:p w14:paraId="2B4B3E79" w14:textId="77777777" w:rsidR="009F124E" w:rsidRPr="009F124E" w:rsidRDefault="009F124E" w:rsidP="009F124E">
      <w:pPr>
        <w:jc w:val="both"/>
        <w:rPr>
          <w:sz w:val="22"/>
          <w:szCs w:val="22"/>
          <w:u w:val="single"/>
          <w:lang w:eastAsia="en-US"/>
        </w:rPr>
      </w:pPr>
    </w:p>
    <w:p w14:paraId="00A86866" w14:textId="77777777" w:rsidR="009F124E" w:rsidRPr="009F124E" w:rsidRDefault="009F124E" w:rsidP="009F124E">
      <w:pPr>
        <w:ind w:left="360"/>
        <w:jc w:val="both"/>
        <w:rPr>
          <w:sz w:val="22"/>
          <w:szCs w:val="22"/>
          <w:lang w:eastAsia="en-US"/>
        </w:rPr>
      </w:pPr>
      <w:r w:rsidRPr="009F124E">
        <w:rPr>
          <w:sz w:val="22"/>
          <w:szCs w:val="22"/>
          <w:lang w:eastAsia="en-US"/>
        </w:rPr>
        <w:t>Para el año 2022, los subsidios del Gobierno Central Presupuestario fueron equivalentes al 0.47% del PIB y en el estándar nacional, no existe una categoría específica para esta descripción.</w:t>
      </w:r>
    </w:p>
    <w:p w14:paraId="57B9CC9F" w14:textId="77777777" w:rsidR="009F124E" w:rsidRPr="009F124E" w:rsidRDefault="009F124E" w:rsidP="009F124E">
      <w:pPr>
        <w:ind w:left="-360" w:firstLine="108"/>
        <w:jc w:val="both"/>
        <w:rPr>
          <w:sz w:val="22"/>
          <w:szCs w:val="22"/>
          <w:lang w:eastAsia="en-US"/>
        </w:rPr>
      </w:pPr>
    </w:p>
    <w:p w14:paraId="0DEBD91E" w14:textId="77777777" w:rsidR="009F124E" w:rsidRPr="009F124E" w:rsidRDefault="009F124E" w:rsidP="00354A9C">
      <w:pPr>
        <w:numPr>
          <w:ilvl w:val="0"/>
          <w:numId w:val="39"/>
        </w:numPr>
        <w:ind w:left="360"/>
        <w:jc w:val="both"/>
        <w:rPr>
          <w:sz w:val="22"/>
          <w:szCs w:val="22"/>
          <w:lang w:eastAsia="en-US"/>
        </w:rPr>
      </w:pPr>
      <w:r w:rsidRPr="009F124E">
        <w:rPr>
          <w:sz w:val="22"/>
          <w:szCs w:val="22"/>
          <w:u w:val="single"/>
          <w:lang w:eastAsia="en-US"/>
        </w:rPr>
        <w:t xml:space="preserve">Las donaciones </w:t>
      </w:r>
      <w:r w:rsidRPr="009F124E">
        <w:rPr>
          <w:sz w:val="22"/>
          <w:szCs w:val="22"/>
          <w:lang w:eastAsia="en-US"/>
        </w:rPr>
        <w:t>son transferencias que se pagan a otras unidades de gobierno general, a gobiernos extranjeros o a organismos internacionales, que no encajan en la definición de impuesto, subsidio o contribución social.</w:t>
      </w:r>
    </w:p>
    <w:p w14:paraId="2BF4FB50" w14:textId="77777777" w:rsidR="009F124E" w:rsidRPr="009F124E" w:rsidRDefault="009F124E" w:rsidP="009F124E">
      <w:pPr>
        <w:jc w:val="both"/>
        <w:rPr>
          <w:sz w:val="22"/>
          <w:szCs w:val="22"/>
          <w:lang w:eastAsia="en-US"/>
        </w:rPr>
      </w:pPr>
    </w:p>
    <w:p w14:paraId="7059F45E" w14:textId="77777777" w:rsidR="009F124E" w:rsidRPr="009F124E" w:rsidRDefault="009F124E" w:rsidP="009F124E">
      <w:pPr>
        <w:ind w:left="360"/>
        <w:jc w:val="both"/>
        <w:rPr>
          <w:sz w:val="22"/>
          <w:szCs w:val="22"/>
          <w:lang w:eastAsia="en-US"/>
        </w:rPr>
      </w:pPr>
      <w:r w:rsidRPr="009F124E">
        <w:rPr>
          <w:sz w:val="22"/>
          <w:szCs w:val="22"/>
          <w:lang w:eastAsia="en-US"/>
        </w:rPr>
        <w:t>Las donaciones que realiza el Gobierno Central Presupuestario equivalen al 3.38% del PIB y des estas, la mayoría se realizan a entidades públicas que pertenecen al Gobierno General las cuales incluye a los aportes que se brindan a la Universidad San Carlos de Guatemala, las Municipalidades y otras entidades descentralizadas y autónomas.</w:t>
      </w:r>
    </w:p>
    <w:p w14:paraId="46009EDA" w14:textId="77777777" w:rsidR="009F124E" w:rsidRPr="009F124E" w:rsidRDefault="009F124E" w:rsidP="009F124E">
      <w:pPr>
        <w:jc w:val="both"/>
        <w:rPr>
          <w:sz w:val="22"/>
          <w:szCs w:val="22"/>
          <w:lang w:eastAsia="en-US"/>
        </w:rPr>
      </w:pPr>
    </w:p>
    <w:p w14:paraId="20DAEFD5" w14:textId="77777777" w:rsidR="009F124E" w:rsidRPr="009F124E" w:rsidRDefault="009F124E" w:rsidP="00354A9C">
      <w:pPr>
        <w:numPr>
          <w:ilvl w:val="0"/>
          <w:numId w:val="39"/>
        </w:numPr>
        <w:ind w:left="360"/>
        <w:jc w:val="both"/>
        <w:rPr>
          <w:sz w:val="22"/>
          <w:szCs w:val="22"/>
          <w:lang w:eastAsia="en-US"/>
        </w:rPr>
      </w:pPr>
      <w:r w:rsidRPr="009F124E">
        <w:rPr>
          <w:sz w:val="22"/>
          <w:szCs w:val="22"/>
          <w:u w:val="single"/>
          <w:lang w:eastAsia="en-US"/>
        </w:rPr>
        <w:t>Las prestaciones sociales</w:t>
      </w:r>
      <w:r w:rsidRPr="009F124E">
        <w:rPr>
          <w:sz w:val="22"/>
          <w:szCs w:val="22"/>
          <w:lang w:eastAsia="en-US"/>
        </w:rPr>
        <w:t xml:space="preserve"> son las transferencias que reciben los hogares y los trabajadores de las entidades públicas, con el fin de atender las necesidades que surgen por los riesgos sociales, como son las enfermedades, el desempleo, la vejez, la vivienda, la educación y circunstancias similares.  </w:t>
      </w:r>
    </w:p>
    <w:p w14:paraId="0A2F81AB" w14:textId="77777777" w:rsidR="009F124E" w:rsidRPr="009F124E" w:rsidRDefault="009F124E" w:rsidP="009F124E">
      <w:pPr>
        <w:jc w:val="both"/>
        <w:rPr>
          <w:sz w:val="22"/>
          <w:szCs w:val="22"/>
          <w:lang w:eastAsia="en-US"/>
        </w:rPr>
      </w:pPr>
    </w:p>
    <w:p w14:paraId="5B8E34F1" w14:textId="77777777" w:rsidR="009F124E" w:rsidRPr="009F124E" w:rsidRDefault="009F124E" w:rsidP="009F124E">
      <w:pPr>
        <w:ind w:left="360"/>
        <w:jc w:val="both"/>
        <w:rPr>
          <w:sz w:val="22"/>
          <w:szCs w:val="22"/>
          <w:lang w:eastAsia="en-US"/>
        </w:rPr>
      </w:pPr>
      <w:r w:rsidRPr="009F124E">
        <w:rPr>
          <w:sz w:val="22"/>
          <w:szCs w:val="22"/>
          <w:lang w:eastAsia="en-US"/>
        </w:rPr>
        <w:t>El total de prestaciones sociales que otorgó el Gobierno Central Presupuestario en 2022, equivalen a 0.87% del PIB de los cuales el 0.17% del PIB se produce por prestaciones de asistencia social y 0.70% del PIB en prestaciones sociales relacionadas con el empleo.</w:t>
      </w:r>
    </w:p>
    <w:p w14:paraId="7991E7C0" w14:textId="77777777" w:rsidR="009F124E" w:rsidRPr="009F124E" w:rsidRDefault="009F124E" w:rsidP="009F124E">
      <w:pPr>
        <w:jc w:val="both"/>
        <w:rPr>
          <w:sz w:val="22"/>
          <w:szCs w:val="22"/>
          <w:lang w:eastAsia="en-US"/>
        </w:rPr>
      </w:pPr>
    </w:p>
    <w:p w14:paraId="6D74A7A9" w14:textId="77777777" w:rsidR="009F124E" w:rsidRPr="009F124E" w:rsidRDefault="009F124E" w:rsidP="00354A9C">
      <w:pPr>
        <w:numPr>
          <w:ilvl w:val="0"/>
          <w:numId w:val="39"/>
        </w:numPr>
        <w:ind w:left="360"/>
        <w:jc w:val="both"/>
        <w:rPr>
          <w:sz w:val="22"/>
          <w:szCs w:val="22"/>
          <w:lang w:eastAsia="en-US"/>
        </w:rPr>
      </w:pPr>
      <w:r w:rsidRPr="009F124E">
        <w:rPr>
          <w:sz w:val="22"/>
          <w:szCs w:val="22"/>
          <w:u w:val="single"/>
          <w:lang w:eastAsia="en-US"/>
        </w:rPr>
        <w:t>Otros Gastos,</w:t>
      </w:r>
      <w:r w:rsidRPr="009F124E">
        <w:rPr>
          <w:sz w:val="22"/>
          <w:szCs w:val="22"/>
          <w:lang w:eastAsia="en-US"/>
        </w:rPr>
        <w:t xml:space="preserve"> en este se incluyen los gastos de propiedad diferentes de intereses, como, gasto en arriendo o inversión de recursos naturales o de activos financieros; también considera las transferencias no incluidas en otras partidas, y primas, tasas e indemnizaciones pagaderas por seguros no de vida y sistemas de garantías estandarizadas.  </w:t>
      </w:r>
    </w:p>
    <w:p w14:paraId="2F50E26D" w14:textId="77777777" w:rsidR="009F124E" w:rsidRPr="009F124E" w:rsidRDefault="009F124E" w:rsidP="009F124E">
      <w:pPr>
        <w:jc w:val="both"/>
        <w:rPr>
          <w:sz w:val="22"/>
          <w:szCs w:val="22"/>
          <w:lang w:eastAsia="en-US"/>
        </w:rPr>
      </w:pPr>
    </w:p>
    <w:p w14:paraId="4D0B35F4" w14:textId="77777777" w:rsidR="009F124E" w:rsidRPr="009F124E" w:rsidRDefault="009F124E" w:rsidP="009F124E">
      <w:pPr>
        <w:ind w:left="360"/>
        <w:jc w:val="both"/>
        <w:rPr>
          <w:sz w:val="22"/>
          <w:szCs w:val="22"/>
          <w:lang w:eastAsia="en-US"/>
        </w:rPr>
      </w:pPr>
      <w:r w:rsidRPr="009F124E">
        <w:rPr>
          <w:sz w:val="22"/>
          <w:szCs w:val="22"/>
          <w:lang w:eastAsia="en-US"/>
        </w:rPr>
        <w:t>Para el 2022, el gasto en esta categoría ascienda a 1.02% del PIB y principalmente es producto de las transferencias no clasificadas en otra partida que equivale al 0.95% del PIB.</w:t>
      </w:r>
    </w:p>
    <w:p w14:paraId="4221C0FC" w14:textId="77777777" w:rsidR="009F124E" w:rsidRPr="009F124E" w:rsidRDefault="009F124E" w:rsidP="009F124E">
      <w:pPr>
        <w:spacing w:after="160" w:line="259" w:lineRule="auto"/>
        <w:jc w:val="both"/>
        <w:rPr>
          <w:sz w:val="22"/>
          <w:szCs w:val="22"/>
          <w:lang w:eastAsia="en-US"/>
        </w:rPr>
      </w:pPr>
    </w:p>
    <w:p w14:paraId="23F55A3E" w14:textId="10942289" w:rsidR="009F124E" w:rsidRPr="009F124E" w:rsidRDefault="009F124E" w:rsidP="00354A9C">
      <w:pPr>
        <w:numPr>
          <w:ilvl w:val="1"/>
          <w:numId w:val="36"/>
        </w:numPr>
        <w:jc w:val="both"/>
        <w:outlineLvl w:val="2"/>
        <w:rPr>
          <w:b/>
          <w:sz w:val="22"/>
          <w:szCs w:val="22"/>
          <w:lang w:eastAsia="en-US"/>
        </w:rPr>
      </w:pPr>
      <w:bookmarkStart w:id="291" w:name="_Toc143865878"/>
      <w:r w:rsidRPr="009F124E">
        <w:rPr>
          <w:b/>
          <w:sz w:val="22"/>
          <w:szCs w:val="22"/>
          <w:lang w:eastAsia="en-US"/>
        </w:rPr>
        <w:t xml:space="preserve">Transacciones en </w:t>
      </w:r>
      <w:r w:rsidR="008D42A4">
        <w:rPr>
          <w:b/>
          <w:sz w:val="22"/>
          <w:szCs w:val="22"/>
          <w:lang w:eastAsia="en-US"/>
        </w:rPr>
        <w:t>a</w:t>
      </w:r>
      <w:r w:rsidRPr="009F124E">
        <w:rPr>
          <w:b/>
          <w:sz w:val="22"/>
          <w:szCs w:val="22"/>
          <w:lang w:eastAsia="en-US"/>
        </w:rPr>
        <w:t xml:space="preserve">ctivos no </w:t>
      </w:r>
      <w:r w:rsidR="008D42A4">
        <w:rPr>
          <w:b/>
          <w:sz w:val="22"/>
          <w:szCs w:val="22"/>
          <w:lang w:eastAsia="en-US"/>
        </w:rPr>
        <w:t>f</w:t>
      </w:r>
      <w:r w:rsidRPr="009F124E">
        <w:rPr>
          <w:b/>
          <w:sz w:val="22"/>
          <w:szCs w:val="22"/>
          <w:lang w:eastAsia="en-US"/>
        </w:rPr>
        <w:t xml:space="preserve">inancieros del </w:t>
      </w:r>
      <w:r w:rsidR="008D42A4">
        <w:rPr>
          <w:b/>
          <w:sz w:val="22"/>
          <w:szCs w:val="22"/>
          <w:lang w:eastAsia="en-US"/>
        </w:rPr>
        <w:t>g</w:t>
      </w:r>
      <w:r w:rsidRPr="009F124E">
        <w:rPr>
          <w:b/>
          <w:sz w:val="22"/>
          <w:szCs w:val="22"/>
          <w:lang w:eastAsia="en-US"/>
        </w:rPr>
        <w:t xml:space="preserve">obierno </w:t>
      </w:r>
      <w:r w:rsidR="008D42A4">
        <w:rPr>
          <w:b/>
          <w:sz w:val="22"/>
          <w:szCs w:val="22"/>
          <w:lang w:eastAsia="en-US"/>
        </w:rPr>
        <w:t>c</w:t>
      </w:r>
      <w:r w:rsidRPr="009F124E">
        <w:rPr>
          <w:b/>
          <w:sz w:val="22"/>
          <w:szCs w:val="22"/>
          <w:lang w:eastAsia="en-US"/>
        </w:rPr>
        <w:t xml:space="preserve">entral </w:t>
      </w:r>
      <w:r w:rsidR="008D42A4">
        <w:rPr>
          <w:b/>
          <w:sz w:val="22"/>
          <w:szCs w:val="22"/>
          <w:lang w:eastAsia="en-US"/>
        </w:rPr>
        <w:t>p</w:t>
      </w:r>
      <w:r w:rsidRPr="009F124E">
        <w:rPr>
          <w:b/>
          <w:sz w:val="22"/>
          <w:szCs w:val="22"/>
          <w:lang w:eastAsia="en-US"/>
        </w:rPr>
        <w:t>resupuestario</w:t>
      </w:r>
      <w:bookmarkEnd w:id="291"/>
    </w:p>
    <w:p w14:paraId="1693B612" w14:textId="77777777" w:rsidR="009F124E" w:rsidRPr="009F124E" w:rsidRDefault="009F124E" w:rsidP="009F124E">
      <w:pPr>
        <w:spacing w:after="120" w:line="259" w:lineRule="auto"/>
        <w:jc w:val="both"/>
        <w:rPr>
          <w:sz w:val="22"/>
          <w:szCs w:val="22"/>
          <w:lang w:eastAsia="en-US"/>
        </w:rPr>
      </w:pPr>
    </w:p>
    <w:p w14:paraId="3BBC9732" w14:textId="77777777" w:rsidR="009F124E" w:rsidRPr="009F124E" w:rsidRDefault="009F124E" w:rsidP="009F124E">
      <w:pPr>
        <w:spacing w:after="120" w:line="259" w:lineRule="auto"/>
        <w:jc w:val="both"/>
        <w:rPr>
          <w:sz w:val="22"/>
          <w:szCs w:val="22"/>
          <w:lang w:eastAsia="en-US"/>
        </w:rPr>
      </w:pPr>
      <w:r w:rsidRPr="009F124E">
        <w:rPr>
          <w:sz w:val="22"/>
          <w:szCs w:val="22"/>
          <w:lang w:eastAsia="en-US"/>
        </w:rPr>
        <w:t>Las transacciones en activos y pasivos son todas aquellas que no generan una variación en el patrimonio neto, sobre este concepto se puede presentar tanto información de saldos como flujos y a su vez, estos pueden corresponder a lo que se considera como unas transacciones o a la clasificación de otros flujos económicos. Cabe resaltar que, estos no pueden compararse directamente con la metodología nacional dado que no existe esta clasificación y las operaciones solamente son clasificadas por ingreso o gasto.</w:t>
      </w:r>
    </w:p>
    <w:p w14:paraId="4D013E04" w14:textId="77777777" w:rsidR="009F124E" w:rsidRPr="009F124E" w:rsidRDefault="009F124E" w:rsidP="009F124E">
      <w:pPr>
        <w:spacing w:after="120" w:line="259" w:lineRule="auto"/>
        <w:jc w:val="both"/>
        <w:rPr>
          <w:sz w:val="22"/>
          <w:szCs w:val="22"/>
          <w:lang w:eastAsia="en-US"/>
        </w:rPr>
      </w:pPr>
      <w:r w:rsidRPr="009F124E">
        <w:rPr>
          <w:sz w:val="22"/>
          <w:szCs w:val="22"/>
          <w:lang w:eastAsia="en-US"/>
        </w:rPr>
        <w:t>Las transacciones se dividen en activos no financieros y activos y pasivos financieros, siendo en estos dos últimos donde se presenta la información sobre los mecanismos financiamiento para cubrir el endeudamiento o bien para reflejar los préstamos que se otorga ante un resultado superavitario en el estado de operaciones. En los activos no Financieros se puede dividir en los producidos y los no producidos.</w:t>
      </w:r>
    </w:p>
    <w:p w14:paraId="43B50C06" w14:textId="77777777" w:rsidR="009F124E" w:rsidRPr="009F124E" w:rsidRDefault="009F124E" w:rsidP="009F124E">
      <w:pPr>
        <w:jc w:val="both"/>
        <w:rPr>
          <w:sz w:val="22"/>
          <w:szCs w:val="22"/>
          <w:lang w:eastAsia="en-US"/>
        </w:rPr>
      </w:pPr>
      <w:r w:rsidRPr="009F124E">
        <w:rPr>
          <w:sz w:val="22"/>
          <w:szCs w:val="22"/>
          <w:lang w:eastAsia="en-US"/>
        </w:rPr>
        <w:t>Los activos producidos, abarcan:</w:t>
      </w:r>
    </w:p>
    <w:p w14:paraId="139B2397" w14:textId="77777777" w:rsidR="009F124E" w:rsidRPr="009F124E" w:rsidRDefault="009F124E" w:rsidP="009F124E">
      <w:pPr>
        <w:jc w:val="both"/>
        <w:rPr>
          <w:sz w:val="22"/>
          <w:szCs w:val="22"/>
          <w:lang w:eastAsia="en-US"/>
        </w:rPr>
      </w:pPr>
    </w:p>
    <w:p w14:paraId="41B1106D" w14:textId="77777777" w:rsidR="009F124E" w:rsidRPr="009F124E" w:rsidRDefault="009F124E" w:rsidP="00354A9C">
      <w:pPr>
        <w:numPr>
          <w:ilvl w:val="0"/>
          <w:numId w:val="40"/>
        </w:numPr>
        <w:jc w:val="both"/>
        <w:rPr>
          <w:sz w:val="22"/>
          <w:szCs w:val="22"/>
          <w:lang w:eastAsia="en-US"/>
        </w:rPr>
      </w:pPr>
      <w:r w:rsidRPr="009F124E">
        <w:rPr>
          <w:sz w:val="22"/>
          <w:szCs w:val="22"/>
          <w:u w:val="single"/>
          <w:lang w:eastAsia="en-US"/>
        </w:rPr>
        <w:t>Activos fijos:</w:t>
      </w:r>
      <w:r w:rsidRPr="009F124E">
        <w:rPr>
          <w:sz w:val="22"/>
          <w:szCs w:val="22"/>
          <w:lang w:eastAsia="en-US"/>
        </w:rPr>
        <w:t xml:space="preserve"> son activos producidos utilizados en el proceso productivo por más de un año y se clasifican en edificios y estructuras, maquinaria y equipo, otros activos fijos y sistemas de armamentos.  </w:t>
      </w:r>
    </w:p>
    <w:p w14:paraId="40D004C2" w14:textId="77777777" w:rsidR="009F124E" w:rsidRPr="009F124E" w:rsidRDefault="009F124E" w:rsidP="009F124E">
      <w:pPr>
        <w:ind w:left="360"/>
        <w:jc w:val="both"/>
        <w:rPr>
          <w:sz w:val="22"/>
          <w:szCs w:val="22"/>
          <w:lang w:eastAsia="en-US"/>
        </w:rPr>
      </w:pPr>
    </w:p>
    <w:p w14:paraId="0753542E" w14:textId="77777777" w:rsidR="009F124E" w:rsidRPr="009F124E" w:rsidRDefault="009F124E" w:rsidP="009F124E">
      <w:pPr>
        <w:ind w:left="360"/>
        <w:jc w:val="both"/>
        <w:rPr>
          <w:sz w:val="22"/>
          <w:szCs w:val="22"/>
          <w:lang w:eastAsia="en-US"/>
        </w:rPr>
      </w:pPr>
      <w:r w:rsidRPr="009F124E">
        <w:rPr>
          <w:sz w:val="22"/>
          <w:szCs w:val="22"/>
          <w:lang w:eastAsia="en-US"/>
        </w:rPr>
        <w:t>Los Activos Fijos adquiridos por el Gobierno Central Presupuestario equivalen al 0.63% del PIB en 2022 y representa practicante la totalidad de la inversión bruta en activos no financieros. Este está conformado por la adquisición de edificios y estructuras (incluye la construcción de carreteras) que equivale el 0.46% del PIB y maquinaria y equipo por 0.16% del PIB.</w:t>
      </w:r>
    </w:p>
    <w:p w14:paraId="22D12A0D" w14:textId="77777777" w:rsidR="009F124E" w:rsidRPr="009F124E" w:rsidRDefault="009F124E" w:rsidP="009F124E">
      <w:pPr>
        <w:jc w:val="both"/>
        <w:rPr>
          <w:sz w:val="22"/>
          <w:szCs w:val="22"/>
          <w:lang w:eastAsia="en-US"/>
        </w:rPr>
      </w:pPr>
    </w:p>
    <w:p w14:paraId="4D46F72F" w14:textId="77777777" w:rsidR="009F124E" w:rsidRPr="009F124E" w:rsidRDefault="009F124E" w:rsidP="00354A9C">
      <w:pPr>
        <w:numPr>
          <w:ilvl w:val="0"/>
          <w:numId w:val="40"/>
        </w:numPr>
        <w:jc w:val="both"/>
        <w:rPr>
          <w:sz w:val="22"/>
          <w:szCs w:val="22"/>
          <w:lang w:eastAsia="en-US"/>
        </w:rPr>
      </w:pPr>
      <w:r w:rsidRPr="009F124E">
        <w:rPr>
          <w:sz w:val="22"/>
          <w:szCs w:val="22"/>
          <w:u w:val="single"/>
          <w:lang w:eastAsia="en-US"/>
        </w:rPr>
        <w:t>Existencias:</w:t>
      </w:r>
      <w:r w:rsidRPr="009F124E">
        <w:rPr>
          <w:sz w:val="22"/>
          <w:szCs w:val="22"/>
          <w:lang w:eastAsia="en-US"/>
        </w:rPr>
        <w:t xml:space="preserve"> son bienes y servicios producidos y que se mantienen ya sea para ser vendidos, ser utilizados en la producción o ser destinados a otro uso en una fecha posterior. Entre estos se encuentran materiales y suministros, trabajos en curso, productos terminados, bienes para reventa y existencias militares</w:t>
      </w:r>
    </w:p>
    <w:p w14:paraId="3685A456" w14:textId="77777777" w:rsidR="009F124E" w:rsidRPr="009F124E" w:rsidRDefault="009F124E" w:rsidP="009F124E">
      <w:pPr>
        <w:jc w:val="both"/>
        <w:rPr>
          <w:sz w:val="22"/>
          <w:szCs w:val="22"/>
          <w:lang w:eastAsia="en-US"/>
        </w:rPr>
      </w:pPr>
    </w:p>
    <w:p w14:paraId="3FFE3E0D" w14:textId="77777777" w:rsidR="009F124E" w:rsidRPr="009F124E" w:rsidRDefault="009F124E" w:rsidP="00354A9C">
      <w:pPr>
        <w:numPr>
          <w:ilvl w:val="0"/>
          <w:numId w:val="41"/>
        </w:numPr>
        <w:jc w:val="both"/>
        <w:rPr>
          <w:sz w:val="22"/>
          <w:szCs w:val="22"/>
          <w:lang w:eastAsia="en-US"/>
        </w:rPr>
      </w:pPr>
      <w:r w:rsidRPr="009F124E">
        <w:rPr>
          <w:sz w:val="22"/>
          <w:szCs w:val="22"/>
          <w:u w:val="single"/>
          <w:lang w:eastAsia="en-US"/>
        </w:rPr>
        <w:t>Los objetos de valor</w:t>
      </w:r>
      <w:r w:rsidRPr="009F124E">
        <w:rPr>
          <w:sz w:val="22"/>
          <w:szCs w:val="22"/>
          <w:lang w:eastAsia="en-US"/>
        </w:rPr>
        <w:t xml:space="preserve"> son activos producidos que no son utilizados principalmente para producción o consumo, se espera aumente su valor o se mantenga y no se deterioren. Incluye pinturas, esculturas, joyas, oro monetario y otros. Las transferencias de objetos de valor se relacionan con la adquisición o disposición del bien al precio de venta o compra y considerando cualquier costo adicional de la transacción.  </w:t>
      </w:r>
    </w:p>
    <w:p w14:paraId="179F4527" w14:textId="77777777" w:rsidR="009F124E" w:rsidRPr="009F124E" w:rsidRDefault="009F124E" w:rsidP="009F124E">
      <w:pPr>
        <w:jc w:val="both"/>
        <w:rPr>
          <w:sz w:val="22"/>
          <w:szCs w:val="22"/>
          <w:lang w:eastAsia="en-US"/>
        </w:rPr>
      </w:pPr>
    </w:p>
    <w:p w14:paraId="4ADC5C10" w14:textId="77777777" w:rsidR="009F124E" w:rsidRPr="009F124E" w:rsidRDefault="009F124E" w:rsidP="009F124E">
      <w:pPr>
        <w:jc w:val="both"/>
        <w:rPr>
          <w:sz w:val="22"/>
          <w:szCs w:val="22"/>
          <w:lang w:eastAsia="en-US"/>
        </w:rPr>
      </w:pPr>
      <w:r w:rsidRPr="009F124E">
        <w:rPr>
          <w:sz w:val="22"/>
          <w:szCs w:val="22"/>
          <w:lang w:eastAsia="en-US"/>
        </w:rPr>
        <w:t>Los activos no producidos son:</w:t>
      </w:r>
    </w:p>
    <w:p w14:paraId="02C4BCBD" w14:textId="77777777" w:rsidR="009F124E" w:rsidRPr="009F124E" w:rsidRDefault="009F124E" w:rsidP="009F124E">
      <w:pPr>
        <w:jc w:val="both"/>
        <w:rPr>
          <w:sz w:val="22"/>
          <w:szCs w:val="22"/>
          <w:lang w:eastAsia="en-US"/>
        </w:rPr>
      </w:pPr>
    </w:p>
    <w:p w14:paraId="508959DA" w14:textId="77777777" w:rsidR="009F124E" w:rsidRPr="009F124E" w:rsidRDefault="009F124E" w:rsidP="00354A9C">
      <w:pPr>
        <w:numPr>
          <w:ilvl w:val="0"/>
          <w:numId w:val="41"/>
        </w:numPr>
        <w:jc w:val="both"/>
        <w:rPr>
          <w:sz w:val="22"/>
          <w:szCs w:val="22"/>
          <w:lang w:eastAsia="en-US"/>
        </w:rPr>
      </w:pPr>
      <w:r w:rsidRPr="009F124E">
        <w:rPr>
          <w:sz w:val="22"/>
          <w:szCs w:val="22"/>
          <w:u w:val="single"/>
          <w:lang w:eastAsia="en-US"/>
        </w:rPr>
        <w:t>Tierras y terrenos</w:t>
      </w:r>
      <w:r w:rsidRPr="009F124E">
        <w:rPr>
          <w:sz w:val="22"/>
          <w:szCs w:val="22"/>
          <w:lang w:eastAsia="en-US"/>
        </w:rPr>
        <w:t xml:space="preserve"> incluye el suelo sobre el cual se ha adquirido derecho de propiedad y del cual es posible generar beneficios económicos. Para este rubro no se consideran terrenos donde se encuentran construcciones como edificios o carreteras, cultivos o plantaciones de árboles o animales, recursos hídricos del subsuelo y el subsuelo.</w:t>
      </w:r>
    </w:p>
    <w:p w14:paraId="4048ED12" w14:textId="77777777" w:rsidR="009F124E" w:rsidRPr="009F124E" w:rsidRDefault="009F124E" w:rsidP="009F124E">
      <w:pPr>
        <w:ind w:left="360"/>
        <w:jc w:val="both"/>
        <w:rPr>
          <w:sz w:val="22"/>
          <w:szCs w:val="22"/>
          <w:lang w:eastAsia="en-US"/>
        </w:rPr>
      </w:pPr>
    </w:p>
    <w:p w14:paraId="48BB9318" w14:textId="77777777" w:rsidR="009F124E" w:rsidRPr="009F124E" w:rsidRDefault="009F124E" w:rsidP="00354A9C">
      <w:pPr>
        <w:numPr>
          <w:ilvl w:val="0"/>
          <w:numId w:val="41"/>
        </w:numPr>
        <w:jc w:val="both"/>
        <w:rPr>
          <w:sz w:val="22"/>
          <w:szCs w:val="22"/>
          <w:lang w:eastAsia="en-US"/>
        </w:rPr>
      </w:pPr>
      <w:r w:rsidRPr="009F124E">
        <w:rPr>
          <w:sz w:val="22"/>
          <w:szCs w:val="22"/>
          <w:u w:val="single"/>
          <w:lang w:eastAsia="en-US"/>
        </w:rPr>
        <w:t>Los recursos minerales y energéticos</w:t>
      </w:r>
      <w:r w:rsidRPr="009F124E">
        <w:rPr>
          <w:sz w:val="22"/>
          <w:szCs w:val="22"/>
          <w:lang w:eastAsia="en-US"/>
        </w:rPr>
        <w:t xml:space="preserve"> reflejan las reservas minerales y energéticas que son explotables económicamente. Las transacciones se dan por traspaso de la propiedad de estos recursos. En el caso del gobierno (presupuestario), no adquiere o dispone de este activo, ya que siempre es el propietario legal y únicamente arrienda su uso; por ello, al encontrar un nuevo yacimiento o mina o recurso, se registra una variación en el volumen (OFE) de este activo.  </w:t>
      </w:r>
    </w:p>
    <w:p w14:paraId="5F06EB77" w14:textId="77777777" w:rsidR="009F124E" w:rsidRPr="009F124E" w:rsidRDefault="009F124E" w:rsidP="009F124E">
      <w:pPr>
        <w:jc w:val="both"/>
        <w:rPr>
          <w:sz w:val="22"/>
          <w:szCs w:val="22"/>
          <w:lang w:eastAsia="en-US"/>
        </w:rPr>
      </w:pPr>
    </w:p>
    <w:p w14:paraId="278415B7" w14:textId="77777777" w:rsidR="009F124E" w:rsidRPr="009F124E" w:rsidRDefault="009F124E" w:rsidP="00354A9C">
      <w:pPr>
        <w:numPr>
          <w:ilvl w:val="0"/>
          <w:numId w:val="41"/>
        </w:numPr>
        <w:jc w:val="both"/>
        <w:rPr>
          <w:sz w:val="22"/>
          <w:szCs w:val="22"/>
          <w:lang w:eastAsia="en-US"/>
        </w:rPr>
      </w:pPr>
      <w:r w:rsidRPr="009F124E">
        <w:rPr>
          <w:sz w:val="22"/>
          <w:szCs w:val="22"/>
          <w:u w:val="single"/>
          <w:lang w:eastAsia="en-US"/>
        </w:rPr>
        <w:t>Otros activos de origen natural</w:t>
      </w:r>
      <w:r w:rsidRPr="009F124E">
        <w:rPr>
          <w:sz w:val="22"/>
          <w:szCs w:val="22"/>
          <w:lang w:eastAsia="en-US"/>
        </w:rPr>
        <w:t xml:space="preserve"> consideran los recursos biológicos no cultivados como animales y plantas cuyo crecimiento o regeneración no se controla, como bosques vírgenes; también incluye recursos hídricos utilizados para la extracción y otros recursos naturales como el espectro electromagnético. Las transacciones de estos activos se dan por la transferencia de la propiedad de estos activos a otras entidades.  </w:t>
      </w:r>
    </w:p>
    <w:p w14:paraId="1141CD06" w14:textId="77777777" w:rsidR="009F124E" w:rsidRPr="009F124E" w:rsidRDefault="009F124E" w:rsidP="009F124E">
      <w:pPr>
        <w:jc w:val="both"/>
        <w:rPr>
          <w:sz w:val="22"/>
          <w:szCs w:val="22"/>
          <w:lang w:eastAsia="en-US"/>
        </w:rPr>
      </w:pPr>
    </w:p>
    <w:p w14:paraId="246313DB" w14:textId="77777777" w:rsidR="009F124E" w:rsidRPr="009F124E" w:rsidRDefault="009F124E" w:rsidP="00354A9C">
      <w:pPr>
        <w:numPr>
          <w:ilvl w:val="0"/>
          <w:numId w:val="41"/>
        </w:numPr>
        <w:jc w:val="both"/>
        <w:rPr>
          <w:sz w:val="22"/>
          <w:szCs w:val="22"/>
          <w:lang w:eastAsia="en-US"/>
        </w:rPr>
      </w:pPr>
      <w:r w:rsidRPr="009F124E">
        <w:rPr>
          <w:sz w:val="22"/>
          <w:szCs w:val="22"/>
          <w:u w:val="single"/>
          <w:lang w:eastAsia="en-US"/>
        </w:rPr>
        <w:t>Los activos intangibles</w:t>
      </w:r>
      <w:r w:rsidRPr="009F124E">
        <w:rPr>
          <w:sz w:val="22"/>
          <w:szCs w:val="22"/>
          <w:lang w:eastAsia="en-US"/>
        </w:rPr>
        <w:t xml:space="preserve"> no producidos abarcan contratos, arriendos, licencias, fondos de comercio y activos de comercialización.  </w:t>
      </w:r>
    </w:p>
    <w:p w14:paraId="07FD86A3" w14:textId="77777777" w:rsidR="009F124E" w:rsidRPr="009F124E" w:rsidRDefault="009F124E" w:rsidP="009F124E">
      <w:pPr>
        <w:spacing w:after="120" w:line="259" w:lineRule="auto"/>
        <w:jc w:val="both"/>
        <w:rPr>
          <w:sz w:val="22"/>
          <w:szCs w:val="22"/>
          <w:lang w:eastAsia="en-US"/>
        </w:rPr>
      </w:pPr>
    </w:p>
    <w:p w14:paraId="2422D908" w14:textId="725C4084" w:rsidR="009F124E" w:rsidRPr="009F124E" w:rsidRDefault="009F124E" w:rsidP="00354A9C">
      <w:pPr>
        <w:numPr>
          <w:ilvl w:val="1"/>
          <w:numId w:val="36"/>
        </w:numPr>
        <w:jc w:val="both"/>
        <w:outlineLvl w:val="2"/>
        <w:rPr>
          <w:b/>
          <w:sz w:val="22"/>
          <w:szCs w:val="22"/>
          <w:lang w:eastAsia="en-US"/>
        </w:rPr>
      </w:pPr>
      <w:bookmarkStart w:id="292" w:name="_Toc143865879"/>
      <w:r w:rsidRPr="009F124E">
        <w:rPr>
          <w:b/>
          <w:sz w:val="22"/>
          <w:szCs w:val="22"/>
          <w:lang w:eastAsia="en-US"/>
        </w:rPr>
        <w:t xml:space="preserve">Erogación del </w:t>
      </w:r>
      <w:r w:rsidR="008D42A4">
        <w:rPr>
          <w:b/>
          <w:sz w:val="22"/>
          <w:szCs w:val="22"/>
          <w:lang w:eastAsia="en-US"/>
        </w:rPr>
        <w:t>g</w:t>
      </w:r>
      <w:r w:rsidRPr="009F124E">
        <w:rPr>
          <w:b/>
          <w:sz w:val="22"/>
          <w:szCs w:val="22"/>
          <w:lang w:eastAsia="en-US"/>
        </w:rPr>
        <w:t xml:space="preserve">obierno </w:t>
      </w:r>
      <w:r w:rsidR="008D42A4">
        <w:rPr>
          <w:b/>
          <w:sz w:val="22"/>
          <w:szCs w:val="22"/>
          <w:lang w:eastAsia="en-US"/>
        </w:rPr>
        <w:t>c</w:t>
      </w:r>
      <w:r w:rsidRPr="009F124E">
        <w:rPr>
          <w:b/>
          <w:sz w:val="22"/>
          <w:szCs w:val="22"/>
          <w:lang w:eastAsia="en-US"/>
        </w:rPr>
        <w:t xml:space="preserve">entral </w:t>
      </w:r>
      <w:r w:rsidR="008D42A4">
        <w:rPr>
          <w:b/>
          <w:sz w:val="22"/>
          <w:szCs w:val="22"/>
          <w:lang w:eastAsia="en-US"/>
        </w:rPr>
        <w:t>p</w:t>
      </w:r>
      <w:r w:rsidRPr="009F124E">
        <w:rPr>
          <w:b/>
          <w:sz w:val="22"/>
          <w:szCs w:val="22"/>
          <w:lang w:eastAsia="en-US"/>
        </w:rPr>
        <w:t>resupuestario</w:t>
      </w:r>
      <w:bookmarkEnd w:id="292"/>
    </w:p>
    <w:p w14:paraId="67ECDC20" w14:textId="77777777" w:rsidR="009F124E" w:rsidRPr="009F124E" w:rsidRDefault="009F124E" w:rsidP="009F124E">
      <w:pPr>
        <w:jc w:val="both"/>
        <w:outlineLvl w:val="2"/>
        <w:rPr>
          <w:b/>
          <w:sz w:val="22"/>
          <w:szCs w:val="22"/>
          <w:lang w:eastAsia="en-US"/>
        </w:rPr>
      </w:pPr>
    </w:p>
    <w:p w14:paraId="04C597C3" w14:textId="77777777" w:rsidR="009F124E" w:rsidRPr="009F124E" w:rsidRDefault="009F124E" w:rsidP="009F124E">
      <w:pPr>
        <w:spacing w:after="160" w:line="259" w:lineRule="auto"/>
        <w:jc w:val="both"/>
        <w:rPr>
          <w:sz w:val="22"/>
          <w:szCs w:val="22"/>
          <w:lang w:eastAsia="en-US"/>
        </w:rPr>
      </w:pPr>
      <w:r w:rsidRPr="009F124E">
        <w:rPr>
          <w:sz w:val="22"/>
          <w:szCs w:val="22"/>
          <w:lang w:eastAsia="en-US"/>
        </w:rPr>
        <w:t>La erogación en los estándares internacionales se define como la suma de los gastos y la inversión realizada en activos no financieros. Cabe resaltar que este concepto tiene mayor parecido lo que se conoce como gasto total en la metodología nacional, aunque poseen algunas diferencias que no les permiten ser perfectamente comparables.</w:t>
      </w:r>
    </w:p>
    <w:p w14:paraId="2B5BC90A" w14:textId="77777777" w:rsidR="009F124E" w:rsidRPr="009F124E" w:rsidRDefault="009F124E" w:rsidP="009F124E">
      <w:pPr>
        <w:spacing w:after="160" w:line="259" w:lineRule="auto"/>
        <w:jc w:val="both"/>
        <w:rPr>
          <w:sz w:val="22"/>
          <w:szCs w:val="22"/>
          <w:lang w:eastAsia="en-US"/>
        </w:rPr>
      </w:pPr>
      <w:r w:rsidRPr="009F124E">
        <w:rPr>
          <w:sz w:val="22"/>
          <w:szCs w:val="22"/>
          <w:lang w:eastAsia="en-US"/>
        </w:rPr>
        <w:t>El Gobierno Central Presupuestario para 2022 tuvo una erogación del 14.66% del PIB y esta cifra es superior en 0.30 puntos porcentuales respecto a la metodología nacional en el cual el gasto público es de 14.36% del PIB. En buena medida, esta diferencia se explica principalmente por qué en los estándares internacionales, las devoluciones de impuestos dejan de formar parte de los gastos para pasar a disminuir a los ingresos, las inversiones financieras se consideran como parte de los activos financieros y no son parte del gasto, además de la inclusión de las contribuciones sociales imputadas de los empleadores.</w:t>
      </w:r>
    </w:p>
    <w:p w14:paraId="7B3C5D1F" w14:textId="2006434F" w:rsidR="009F124E" w:rsidRPr="009F124E" w:rsidRDefault="009F124E" w:rsidP="00354A9C">
      <w:pPr>
        <w:numPr>
          <w:ilvl w:val="1"/>
          <w:numId w:val="36"/>
        </w:numPr>
        <w:jc w:val="both"/>
        <w:outlineLvl w:val="2"/>
        <w:rPr>
          <w:b/>
          <w:sz w:val="22"/>
          <w:szCs w:val="22"/>
          <w:lang w:eastAsia="en-US"/>
        </w:rPr>
      </w:pPr>
      <w:bookmarkStart w:id="293" w:name="_Toc143865880"/>
      <w:r w:rsidRPr="009F124E">
        <w:rPr>
          <w:b/>
          <w:sz w:val="22"/>
          <w:szCs w:val="22"/>
          <w:lang w:eastAsia="en-US"/>
        </w:rPr>
        <w:t xml:space="preserve">Transacciones en </w:t>
      </w:r>
      <w:r w:rsidR="008D42A4">
        <w:rPr>
          <w:b/>
          <w:sz w:val="22"/>
          <w:szCs w:val="22"/>
          <w:lang w:eastAsia="en-US"/>
        </w:rPr>
        <w:t>a</w:t>
      </w:r>
      <w:r w:rsidRPr="009F124E">
        <w:rPr>
          <w:b/>
          <w:sz w:val="22"/>
          <w:szCs w:val="22"/>
          <w:lang w:eastAsia="en-US"/>
        </w:rPr>
        <w:t xml:space="preserve">ctivos y </w:t>
      </w:r>
      <w:r w:rsidR="008D42A4">
        <w:rPr>
          <w:b/>
          <w:sz w:val="22"/>
          <w:szCs w:val="22"/>
          <w:lang w:eastAsia="en-US"/>
        </w:rPr>
        <w:t>p</w:t>
      </w:r>
      <w:r w:rsidRPr="009F124E">
        <w:rPr>
          <w:b/>
          <w:sz w:val="22"/>
          <w:szCs w:val="22"/>
          <w:lang w:eastAsia="en-US"/>
        </w:rPr>
        <w:t xml:space="preserve">asivos </w:t>
      </w:r>
      <w:r w:rsidR="008D42A4">
        <w:rPr>
          <w:b/>
          <w:sz w:val="22"/>
          <w:szCs w:val="22"/>
          <w:lang w:eastAsia="en-US"/>
        </w:rPr>
        <w:t>f</w:t>
      </w:r>
      <w:r w:rsidRPr="009F124E">
        <w:rPr>
          <w:b/>
          <w:sz w:val="22"/>
          <w:szCs w:val="22"/>
          <w:lang w:eastAsia="en-US"/>
        </w:rPr>
        <w:t>inancieros (Financiamiento)</w:t>
      </w:r>
      <w:bookmarkEnd w:id="293"/>
    </w:p>
    <w:p w14:paraId="55CD5BF5" w14:textId="77777777" w:rsidR="009F124E" w:rsidRPr="009F124E" w:rsidRDefault="009F124E" w:rsidP="009F124E">
      <w:pPr>
        <w:jc w:val="both"/>
        <w:outlineLvl w:val="2"/>
        <w:rPr>
          <w:b/>
          <w:sz w:val="22"/>
          <w:szCs w:val="22"/>
          <w:lang w:eastAsia="en-US"/>
        </w:rPr>
      </w:pPr>
    </w:p>
    <w:p w14:paraId="424D9CD9" w14:textId="77777777" w:rsidR="009F124E" w:rsidRPr="009F124E" w:rsidRDefault="009F124E" w:rsidP="009F124E">
      <w:pPr>
        <w:spacing w:after="160" w:line="259" w:lineRule="auto"/>
        <w:jc w:val="both"/>
        <w:rPr>
          <w:sz w:val="22"/>
          <w:szCs w:val="22"/>
          <w:lang w:eastAsia="en-US"/>
        </w:rPr>
      </w:pPr>
      <w:r w:rsidRPr="009F124E">
        <w:rPr>
          <w:sz w:val="22"/>
          <w:szCs w:val="22"/>
          <w:lang w:eastAsia="en-US"/>
        </w:rPr>
        <w:t>Las transacciones en activos y pasivos financieros reflejan los instrumentos utilizados para financiar o invertir (dependiendo de la diferencia que existe entre los ingresos y las erogaciones). En caso de tener una diferencia negativa, quiere decir que existe un déficit el cual debe de financiarse por medio del aumento de pasivos financieros o la reducción de activos financieros, mientras que una diferencia positiva, permite tener una posición superavitaria que puede utilizarse para otorgar préstamos (aumento de activos) o reducir cuentas de pasivos.</w:t>
      </w:r>
    </w:p>
    <w:p w14:paraId="3686F851" w14:textId="77777777" w:rsidR="009F124E" w:rsidRPr="009F124E" w:rsidRDefault="009F124E" w:rsidP="009F124E">
      <w:pPr>
        <w:spacing w:after="160" w:line="259" w:lineRule="auto"/>
        <w:jc w:val="both"/>
        <w:rPr>
          <w:sz w:val="22"/>
          <w:szCs w:val="22"/>
          <w:lang w:eastAsia="en-US"/>
        </w:rPr>
      </w:pPr>
      <w:r w:rsidRPr="009F124E">
        <w:rPr>
          <w:sz w:val="22"/>
          <w:szCs w:val="22"/>
          <w:lang w:eastAsia="en-US"/>
        </w:rPr>
        <w:t>Los activos financieros del Gobierno Central Presupuestario en 2022 se redujeron en 0.46% del PIB, explicado principalmente por el uso de la cuenta Billetes y Monedas y Depósitos (la disponibilidad en la caja y bancos) por el 0.45 del PIB y los prestamos se redujeron en 0.01% del PIB.</w:t>
      </w:r>
    </w:p>
    <w:p w14:paraId="72F0F9D7" w14:textId="77777777" w:rsidR="009F124E" w:rsidRPr="009F124E" w:rsidRDefault="009F124E" w:rsidP="009F124E">
      <w:pPr>
        <w:spacing w:after="160" w:line="259" w:lineRule="auto"/>
        <w:jc w:val="both"/>
        <w:rPr>
          <w:sz w:val="22"/>
          <w:szCs w:val="22"/>
          <w:lang w:eastAsia="en-US"/>
        </w:rPr>
      </w:pPr>
      <w:r w:rsidRPr="009F124E">
        <w:rPr>
          <w:sz w:val="22"/>
          <w:szCs w:val="22"/>
          <w:lang w:eastAsia="en-US"/>
        </w:rPr>
        <w:t>En cuento a los pasivos financieros, estos se incrementaron en 1.21% del PIB derivado de un aumento de títulos de deuda (bonos del tesoro) por 0.94% del PIB, un aumento de los préstamos por 0.23% del PIB y las otras cuentas por pagar por 0.04% del PIB.</w:t>
      </w:r>
    </w:p>
    <w:p w14:paraId="21AD92B6" w14:textId="77777777" w:rsidR="009F124E" w:rsidRPr="009F124E" w:rsidRDefault="009F124E" w:rsidP="009F124E">
      <w:pPr>
        <w:spacing w:after="160" w:line="259" w:lineRule="auto"/>
        <w:jc w:val="both"/>
        <w:rPr>
          <w:sz w:val="22"/>
          <w:szCs w:val="22"/>
          <w:lang w:eastAsia="en-US"/>
        </w:rPr>
      </w:pPr>
      <w:r w:rsidRPr="009F124E">
        <w:rPr>
          <w:sz w:val="22"/>
          <w:szCs w:val="22"/>
          <w:lang w:eastAsia="en-US"/>
        </w:rPr>
        <w:t>Cabe resaltar que dentro de los estándares internacionales existe un indicador denominado como discrepancias estadísticas, el cual representa la diferencia entre las cuentas de financiamiento y el endeudamiento (ingresos menos erogaciones). Estas discrepancias se producen derivado a diversas razones, entre la que se puede mencionar el momento de registro, la cobertura de las cifras y la metodología para determinar la información en la cuenta de Billetes y Moneda y Depósitos (la cual se obtiene como una variación de entre las cifras de la cuenta de caja y bancos según los datos del balance de general) y en 2022 este se sitúa entorno 0.04% del PIB.</w:t>
      </w:r>
    </w:p>
    <w:p w14:paraId="1AE20F49" w14:textId="77777777" w:rsidR="009F124E" w:rsidRPr="009F124E" w:rsidRDefault="009F124E" w:rsidP="009F124E">
      <w:pPr>
        <w:jc w:val="center"/>
        <w:rPr>
          <w:b/>
          <w:sz w:val="22"/>
          <w:szCs w:val="22"/>
          <w:lang w:eastAsia="en-US"/>
        </w:rPr>
      </w:pPr>
      <w:r w:rsidRPr="009F124E">
        <w:rPr>
          <w:b/>
          <w:sz w:val="22"/>
          <w:szCs w:val="22"/>
          <w:lang w:eastAsia="en-US"/>
        </w:rPr>
        <w:t>Diferencia entre metodología nacional y los estándares internacionales</w:t>
      </w:r>
    </w:p>
    <w:p w14:paraId="6D711BB7" w14:textId="4F97F3C7" w:rsidR="009F124E" w:rsidRPr="009F124E" w:rsidRDefault="008D42A4" w:rsidP="009F124E">
      <w:pPr>
        <w:jc w:val="center"/>
        <w:rPr>
          <w:b/>
          <w:sz w:val="22"/>
          <w:szCs w:val="22"/>
          <w:lang w:eastAsia="en-US"/>
        </w:rPr>
      </w:pPr>
      <w:r>
        <w:rPr>
          <w:b/>
          <w:sz w:val="22"/>
          <w:szCs w:val="22"/>
          <w:lang w:eastAsia="en-US"/>
        </w:rPr>
        <w:t>d</w:t>
      </w:r>
      <w:r w:rsidR="009F124E" w:rsidRPr="009F124E">
        <w:rPr>
          <w:b/>
          <w:sz w:val="22"/>
          <w:szCs w:val="22"/>
          <w:lang w:eastAsia="en-US"/>
        </w:rPr>
        <w:t xml:space="preserve">el </w:t>
      </w:r>
      <w:r>
        <w:rPr>
          <w:b/>
          <w:sz w:val="22"/>
          <w:szCs w:val="22"/>
          <w:lang w:eastAsia="en-US"/>
        </w:rPr>
        <w:t>g</w:t>
      </w:r>
      <w:r w:rsidR="009F124E" w:rsidRPr="009F124E">
        <w:rPr>
          <w:b/>
          <w:sz w:val="22"/>
          <w:szCs w:val="22"/>
          <w:lang w:eastAsia="en-US"/>
        </w:rPr>
        <w:t xml:space="preserve">obierno </w:t>
      </w:r>
      <w:r>
        <w:rPr>
          <w:b/>
          <w:sz w:val="22"/>
          <w:szCs w:val="22"/>
          <w:lang w:eastAsia="en-US"/>
        </w:rPr>
        <w:t>c</w:t>
      </w:r>
      <w:r w:rsidR="009F124E" w:rsidRPr="009F124E">
        <w:rPr>
          <w:b/>
          <w:sz w:val="22"/>
          <w:szCs w:val="22"/>
          <w:lang w:eastAsia="en-US"/>
        </w:rPr>
        <w:t xml:space="preserve">entral </w:t>
      </w:r>
      <w:r>
        <w:rPr>
          <w:b/>
          <w:sz w:val="22"/>
          <w:szCs w:val="22"/>
          <w:lang w:eastAsia="en-US"/>
        </w:rPr>
        <w:t>p</w:t>
      </w:r>
      <w:r w:rsidR="009F124E" w:rsidRPr="009F124E">
        <w:rPr>
          <w:b/>
          <w:sz w:val="22"/>
          <w:szCs w:val="22"/>
          <w:lang w:eastAsia="en-US"/>
        </w:rPr>
        <w:t>resupuestario</w:t>
      </w:r>
    </w:p>
    <w:p w14:paraId="27411E2A" w14:textId="77777777" w:rsidR="009F124E" w:rsidRPr="009F124E" w:rsidRDefault="009F124E" w:rsidP="009F124E">
      <w:pPr>
        <w:jc w:val="center"/>
        <w:rPr>
          <w:b/>
          <w:i/>
          <w:sz w:val="22"/>
          <w:szCs w:val="22"/>
          <w:lang w:eastAsia="en-US"/>
        </w:rPr>
      </w:pPr>
      <w:r w:rsidRPr="009F124E">
        <w:rPr>
          <w:b/>
          <w:sz w:val="22"/>
          <w:szCs w:val="22"/>
          <w:lang w:eastAsia="en-US"/>
        </w:rPr>
        <w:t>Porcentajes del PIB</w:t>
      </w:r>
    </w:p>
    <w:p w14:paraId="082EED47" w14:textId="77777777" w:rsidR="009F124E" w:rsidRPr="009F124E" w:rsidRDefault="009F124E" w:rsidP="009F124E">
      <w:pPr>
        <w:jc w:val="center"/>
        <w:rPr>
          <w:sz w:val="16"/>
          <w:szCs w:val="22"/>
          <w:lang w:eastAsia="en-US"/>
        </w:rPr>
      </w:pPr>
      <w:r w:rsidRPr="009F124E">
        <w:rPr>
          <w:sz w:val="22"/>
          <w:szCs w:val="22"/>
          <w:lang w:eastAsia="en-US"/>
        </w:rPr>
        <w:t>Año 2022</w:t>
      </w:r>
    </w:p>
    <w:tbl>
      <w:tblPr>
        <w:tblW w:w="4859" w:type="pct"/>
        <w:jc w:val="center"/>
        <w:tblCellMar>
          <w:left w:w="70" w:type="dxa"/>
          <w:right w:w="70" w:type="dxa"/>
        </w:tblCellMar>
        <w:tblLook w:val="04A0" w:firstRow="1" w:lastRow="0" w:firstColumn="1" w:lastColumn="0" w:noHBand="0" w:noVBand="1"/>
      </w:tblPr>
      <w:tblGrid>
        <w:gridCol w:w="740"/>
        <w:gridCol w:w="1815"/>
        <w:gridCol w:w="780"/>
        <w:gridCol w:w="780"/>
        <w:gridCol w:w="744"/>
        <w:gridCol w:w="3710"/>
      </w:tblGrid>
      <w:tr w:rsidR="009F124E" w:rsidRPr="009F124E" w14:paraId="4A8DE3D0" w14:textId="77777777" w:rsidTr="00B24770">
        <w:trPr>
          <w:trHeight w:val="416"/>
          <w:jc w:val="center"/>
        </w:trPr>
        <w:tc>
          <w:tcPr>
            <w:tcW w:w="432" w:type="pct"/>
            <w:tcBorders>
              <w:top w:val="single" w:sz="8" w:space="0" w:color="auto"/>
              <w:left w:val="single" w:sz="8" w:space="0" w:color="auto"/>
              <w:bottom w:val="single" w:sz="8" w:space="0" w:color="auto"/>
              <w:right w:val="single" w:sz="8" w:space="0" w:color="auto"/>
            </w:tcBorders>
            <w:shd w:val="clear" w:color="000000" w:fill="44546A"/>
            <w:vAlign w:val="center"/>
            <w:hideMark/>
          </w:tcPr>
          <w:p w14:paraId="51241805" w14:textId="77777777" w:rsidR="009F124E" w:rsidRPr="009F124E" w:rsidRDefault="009F124E" w:rsidP="009F124E">
            <w:pPr>
              <w:jc w:val="center"/>
              <w:rPr>
                <w:b/>
                <w:bCs/>
                <w:color w:val="FFFFFF"/>
                <w:sz w:val="12"/>
                <w:szCs w:val="12"/>
              </w:rPr>
            </w:pPr>
            <w:r w:rsidRPr="009F124E">
              <w:rPr>
                <w:b/>
                <w:bCs/>
                <w:color w:val="FFFFFF"/>
                <w:sz w:val="12"/>
                <w:szCs w:val="12"/>
              </w:rPr>
              <w:t>Código MEFP</w:t>
            </w:r>
          </w:p>
        </w:tc>
        <w:tc>
          <w:tcPr>
            <w:tcW w:w="1059" w:type="pct"/>
            <w:tcBorders>
              <w:top w:val="single" w:sz="8" w:space="0" w:color="auto"/>
              <w:left w:val="nil"/>
              <w:bottom w:val="single" w:sz="8" w:space="0" w:color="auto"/>
              <w:right w:val="single" w:sz="8" w:space="0" w:color="auto"/>
            </w:tcBorders>
            <w:shd w:val="clear" w:color="000000" w:fill="44546A"/>
            <w:vAlign w:val="center"/>
            <w:hideMark/>
          </w:tcPr>
          <w:p w14:paraId="70BA4A62" w14:textId="77777777" w:rsidR="009F124E" w:rsidRPr="009F124E" w:rsidRDefault="009F124E" w:rsidP="009F124E">
            <w:pPr>
              <w:jc w:val="center"/>
              <w:rPr>
                <w:b/>
                <w:bCs/>
                <w:color w:val="FFFFFF"/>
                <w:sz w:val="12"/>
                <w:szCs w:val="12"/>
              </w:rPr>
            </w:pPr>
            <w:r w:rsidRPr="009F124E">
              <w:rPr>
                <w:b/>
                <w:bCs/>
                <w:color w:val="FFFFFF"/>
                <w:sz w:val="12"/>
                <w:szCs w:val="12"/>
              </w:rPr>
              <w:t>Descripción</w:t>
            </w:r>
          </w:p>
        </w:tc>
        <w:tc>
          <w:tcPr>
            <w:tcW w:w="455" w:type="pct"/>
            <w:tcBorders>
              <w:top w:val="single" w:sz="8" w:space="0" w:color="auto"/>
              <w:left w:val="nil"/>
              <w:bottom w:val="single" w:sz="8" w:space="0" w:color="auto"/>
              <w:right w:val="single" w:sz="8" w:space="0" w:color="auto"/>
            </w:tcBorders>
            <w:shd w:val="clear" w:color="000000" w:fill="44546A"/>
            <w:vAlign w:val="center"/>
            <w:hideMark/>
          </w:tcPr>
          <w:p w14:paraId="35C49840" w14:textId="77777777" w:rsidR="009F124E" w:rsidRPr="009F124E" w:rsidRDefault="009F124E" w:rsidP="009F124E">
            <w:pPr>
              <w:jc w:val="center"/>
              <w:rPr>
                <w:b/>
                <w:bCs/>
                <w:color w:val="FFFFFF"/>
                <w:sz w:val="12"/>
                <w:szCs w:val="12"/>
              </w:rPr>
            </w:pPr>
            <w:r w:rsidRPr="009F124E">
              <w:rPr>
                <w:b/>
                <w:bCs/>
                <w:color w:val="FFFFFF"/>
                <w:sz w:val="12"/>
                <w:szCs w:val="12"/>
              </w:rPr>
              <w:t>Metodología MFP2014</w:t>
            </w:r>
          </w:p>
        </w:tc>
        <w:tc>
          <w:tcPr>
            <w:tcW w:w="455" w:type="pct"/>
            <w:tcBorders>
              <w:top w:val="single" w:sz="8" w:space="0" w:color="auto"/>
              <w:left w:val="nil"/>
              <w:bottom w:val="single" w:sz="8" w:space="0" w:color="auto"/>
              <w:right w:val="single" w:sz="8" w:space="0" w:color="auto"/>
            </w:tcBorders>
            <w:shd w:val="clear" w:color="000000" w:fill="44546A"/>
            <w:vAlign w:val="center"/>
            <w:hideMark/>
          </w:tcPr>
          <w:p w14:paraId="52119276" w14:textId="77777777" w:rsidR="009F124E" w:rsidRPr="009F124E" w:rsidRDefault="009F124E" w:rsidP="009F124E">
            <w:pPr>
              <w:jc w:val="center"/>
              <w:rPr>
                <w:b/>
                <w:bCs/>
                <w:color w:val="FFFFFF"/>
                <w:sz w:val="12"/>
                <w:szCs w:val="12"/>
              </w:rPr>
            </w:pPr>
            <w:r w:rsidRPr="009F124E">
              <w:rPr>
                <w:b/>
                <w:bCs/>
                <w:color w:val="FFFFFF"/>
                <w:sz w:val="12"/>
                <w:szCs w:val="12"/>
              </w:rPr>
              <w:t>Metodología nacional</w:t>
            </w:r>
          </w:p>
        </w:tc>
        <w:tc>
          <w:tcPr>
            <w:tcW w:w="434" w:type="pct"/>
            <w:tcBorders>
              <w:top w:val="single" w:sz="8" w:space="0" w:color="auto"/>
              <w:left w:val="nil"/>
              <w:bottom w:val="single" w:sz="8" w:space="0" w:color="auto"/>
              <w:right w:val="single" w:sz="8" w:space="0" w:color="auto"/>
            </w:tcBorders>
            <w:shd w:val="clear" w:color="000000" w:fill="44546A"/>
            <w:vAlign w:val="center"/>
            <w:hideMark/>
          </w:tcPr>
          <w:p w14:paraId="072C9016" w14:textId="77777777" w:rsidR="009F124E" w:rsidRPr="009F124E" w:rsidRDefault="009F124E" w:rsidP="009F124E">
            <w:pPr>
              <w:jc w:val="center"/>
              <w:rPr>
                <w:b/>
                <w:bCs/>
                <w:color w:val="FFFFFF"/>
                <w:sz w:val="12"/>
                <w:szCs w:val="12"/>
              </w:rPr>
            </w:pPr>
            <w:r w:rsidRPr="009F124E">
              <w:rPr>
                <w:b/>
                <w:bCs/>
                <w:color w:val="FFFFFF"/>
                <w:sz w:val="12"/>
                <w:szCs w:val="12"/>
              </w:rPr>
              <w:t>Diferencia</w:t>
            </w:r>
          </w:p>
        </w:tc>
        <w:tc>
          <w:tcPr>
            <w:tcW w:w="2165" w:type="pct"/>
            <w:tcBorders>
              <w:top w:val="single" w:sz="8" w:space="0" w:color="auto"/>
              <w:left w:val="nil"/>
              <w:bottom w:val="single" w:sz="8" w:space="0" w:color="auto"/>
              <w:right w:val="single" w:sz="8" w:space="0" w:color="auto"/>
            </w:tcBorders>
            <w:shd w:val="clear" w:color="000000" w:fill="44546A"/>
            <w:vAlign w:val="center"/>
            <w:hideMark/>
          </w:tcPr>
          <w:p w14:paraId="53A05FF4" w14:textId="77777777" w:rsidR="009F124E" w:rsidRPr="009F124E" w:rsidRDefault="009F124E" w:rsidP="009F124E">
            <w:pPr>
              <w:jc w:val="center"/>
              <w:rPr>
                <w:b/>
                <w:bCs/>
                <w:color w:val="FFFFFF"/>
                <w:sz w:val="12"/>
                <w:szCs w:val="12"/>
              </w:rPr>
            </w:pPr>
            <w:r w:rsidRPr="009F124E">
              <w:rPr>
                <w:b/>
                <w:bCs/>
                <w:color w:val="FFFFFF"/>
                <w:sz w:val="12"/>
                <w:szCs w:val="12"/>
              </w:rPr>
              <w:t>Explicación de diferencia</w:t>
            </w:r>
          </w:p>
        </w:tc>
      </w:tr>
      <w:tr w:rsidR="009F124E" w:rsidRPr="009F124E" w14:paraId="2BE1758E" w14:textId="77777777" w:rsidTr="00207D0F">
        <w:trPr>
          <w:trHeight w:val="302"/>
          <w:jc w:val="center"/>
        </w:trPr>
        <w:tc>
          <w:tcPr>
            <w:tcW w:w="5000" w:type="pct"/>
            <w:gridSpan w:val="6"/>
            <w:tcBorders>
              <w:top w:val="single" w:sz="8" w:space="0" w:color="auto"/>
              <w:left w:val="single" w:sz="8" w:space="0" w:color="auto"/>
              <w:bottom w:val="single" w:sz="8" w:space="0" w:color="auto"/>
              <w:right w:val="single" w:sz="8" w:space="0" w:color="000000"/>
            </w:tcBorders>
            <w:shd w:val="clear" w:color="000000" w:fill="A6A6A6"/>
            <w:vAlign w:val="center"/>
            <w:hideMark/>
          </w:tcPr>
          <w:p w14:paraId="40698A0A" w14:textId="77777777" w:rsidR="009F124E" w:rsidRPr="009F124E" w:rsidRDefault="009F124E" w:rsidP="009F124E">
            <w:pPr>
              <w:jc w:val="center"/>
              <w:rPr>
                <w:b/>
                <w:bCs/>
                <w:color w:val="000000"/>
                <w:sz w:val="12"/>
                <w:szCs w:val="12"/>
              </w:rPr>
            </w:pPr>
            <w:r w:rsidRPr="009F124E">
              <w:rPr>
                <w:b/>
                <w:bCs/>
                <w:color w:val="000000"/>
                <w:sz w:val="12"/>
                <w:szCs w:val="12"/>
              </w:rPr>
              <w:t>Transacciones que afectan el patrimonio neto</w:t>
            </w:r>
          </w:p>
        </w:tc>
      </w:tr>
      <w:tr w:rsidR="009F124E" w:rsidRPr="009F124E" w14:paraId="1A5252FC" w14:textId="77777777" w:rsidTr="00B24770">
        <w:trPr>
          <w:trHeight w:val="68"/>
          <w:jc w:val="center"/>
        </w:trPr>
        <w:tc>
          <w:tcPr>
            <w:tcW w:w="432" w:type="pct"/>
            <w:vMerge w:val="restart"/>
            <w:tcBorders>
              <w:top w:val="nil"/>
              <w:left w:val="single" w:sz="8" w:space="0" w:color="auto"/>
              <w:bottom w:val="single" w:sz="4" w:space="0" w:color="000000"/>
              <w:right w:val="single" w:sz="4" w:space="0" w:color="auto"/>
            </w:tcBorders>
            <w:shd w:val="clear" w:color="000000" w:fill="8496B0"/>
            <w:noWrap/>
            <w:vAlign w:val="center"/>
            <w:hideMark/>
          </w:tcPr>
          <w:p w14:paraId="03678CDA" w14:textId="77777777" w:rsidR="009F124E" w:rsidRPr="009F124E" w:rsidRDefault="009F124E" w:rsidP="009F124E">
            <w:pPr>
              <w:jc w:val="center"/>
              <w:rPr>
                <w:b/>
                <w:bCs/>
                <w:i/>
                <w:iCs/>
                <w:color w:val="FFFFFF"/>
                <w:sz w:val="12"/>
                <w:szCs w:val="12"/>
              </w:rPr>
            </w:pPr>
            <w:r w:rsidRPr="009F124E">
              <w:rPr>
                <w:b/>
                <w:bCs/>
                <w:i/>
                <w:iCs/>
                <w:color w:val="FFFFFF"/>
                <w:sz w:val="12"/>
                <w:szCs w:val="12"/>
              </w:rPr>
              <w:t>1</w:t>
            </w:r>
          </w:p>
        </w:tc>
        <w:tc>
          <w:tcPr>
            <w:tcW w:w="1059" w:type="pct"/>
            <w:vMerge w:val="restart"/>
            <w:tcBorders>
              <w:top w:val="nil"/>
              <w:left w:val="single" w:sz="4" w:space="0" w:color="auto"/>
              <w:bottom w:val="single" w:sz="4" w:space="0" w:color="auto"/>
              <w:right w:val="single" w:sz="4" w:space="0" w:color="auto"/>
            </w:tcBorders>
            <w:vAlign w:val="center"/>
            <w:hideMark/>
          </w:tcPr>
          <w:p w14:paraId="36932684" w14:textId="77777777" w:rsidR="009F124E" w:rsidRPr="009F124E" w:rsidRDefault="009F124E" w:rsidP="009F124E">
            <w:pPr>
              <w:rPr>
                <w:b/>
                <w:bCs/>
                <w:i/>
                <w:iCs/>
                <w:color w:val="000000"/>
                <w:sz w:val="12"/>
                <w:szCs w:val="12"/>
              </w:rPr>
            </w:pPr>
            <w:r w:rsidRPr="009F124E">
              <w:rPr>
                <w:b/>
                <w:bCs/>
                <w:i/>
                <w:iCs/>
                <w:color w:val="000000"/>
                <w:sz w:val="12"/>
                <w:szCs w:val="12"/>
              </w:rPr>
              <w:t>Ingreso</w:t>
            </w:r>
          </w:p>
        </w:tc>
        <w:tc>
          <w:tcPr>
            <w:tcW w:w="455" w:type="pct"/>
            <w:vMerge w:val="restart"/>
            <w:tcBorders>
              <w:top w:val="nil"/>
              <w:left w:val="single" w:sz="4" w:space="0" w:color="auto"/>
              <w:bottom w:val="single" w:sz="4" w:space="0" w:color="auto"/>
              <w:right w:val="single" w:sz="4" w:space="0" w:color="auto"/>
            </w:tcBorders>
            <w:vAlign w:val="center"/>
          </w:tcPr>
          <w:p w14:paraId="46396CF2" w14:textId="77777777" w:rsidR="009F124E" w:rsidRPr="009F124E" w:rsidRDefault="009F124E" w:rsidP="009F124E">
            <w:pPr>
              <w:jc w:val="center"/>
              <w:rPr>
                <w:b/>
                <w:bCs/>
                <w:i/>
                <w:iCs/>
                <w:color w:val="000000"/>
                <w:sz w:val="12"/>
                <w:szCs w:val="12"/>
              </w:rPr>
            </w:pPr>
            <w:r w:rsidRPr="009F124E">
              <w:rPr>
                <w:b/>
                <w:bCs/>
                <w:sz w:val="12"/>
                <w:szCs w:val="12"/>
                <w:lang w:eastAsia="en-US"/>
              </w:rPr>
              <w:t>12.94</w:t>
            </w:r>
          </w:p>
          <w:p w14:paraId="24155556" w14:textId="77777777" w:rsidR="009F124E" w:rsidRPr="009F124E" w:rsidRDefault="009F124E" w:rsidP="009F124E">
            <w:pPr>
              <w:jc w:val="center"/>
              <w:rPr>
                <w:b/>
                <w:bCs/>
                <w:i/>
                <w:iCs/>
                <w:color w:val="000000"/>
                <w:sz w:val="12"/>
                <w:szCs w:val="12"/>
              </w:rPr>
            </w:pPr>
          </w:p>
        </w:tc>
        <w:tc>
          <w:tcPr>
            <w:tcW w:w="455" w:type="pct"/>
            <w:vMerge w:val="restart"/>
            <w:tcBorders>
              <w:top w:val="nil"/>
              <w:left w:val="single" w:sz="4" w:space="0" w:color="auto"/>
              <w:bottom w:val="single" w:sz="4" w:space="0" w:color="auto"/>
              <w:right w:val="single" w:sz="4" w:space="0" w:color="auto"/>
            </w:tcBorders>
            <w:vAlign w:val="center"/>
          </w:tcPr>
          <w:p w14:paraId="61777A6A" w14:textId="77777777" w:rsidR="009F124E" w:rsidRPr="009F124E" w:rsidRDefault="009F124E" w:rsidP="009F124E">
            <w:pPr>
              <w:jc w:val="center"/>
              <w:rPr>
                <w:b/>
                <w:bCs/>
                <w:i/>
                <w:iCs/>
                <w:color w:val="000000"/>
                <w:sz w:val="12"/>
                <w:szCs w:val="12"/>
              </w:rPr>
            </w:pPr>
            <w:r w:rsidRPr="009F124E">
              <w:rPr>
                <w:b/>
                <w:bCs/>
                <w:sz w:val="12"/>
                <w:szCs w:val="12"/>
                <w:lang w:eastAsia="en-US"/>
              </w:rPr>
              <w:t>12.66</w:t>
            </w:r>
          </w:p>
          <w:p w14:paraId="3FA01ADC" w14:textId="77777777" w:rsidR="009F124E" w:rsidRPr="009F124E" w:rsidRDefault="009F124E" w:rsidP="009F124E">
            <w:pPr>
              <w:jc w:val="center"/>
              <w:rPr>
                <w:b/>
                <w:bCs/>
                <w:i/>
                <w:iCs/>
                <w:color w:val="000000"/>
                <w:sz w:val="12"/>
                <w:szCs w:val="12"/>
              </w:rPr>
            </w:pPr>
          </w:p>
        </w:tc>
        <w:tc>
          <w:tcPr>
            <w:tcW w:w="434" w:type="pct"/>
            <w:vMerge w:val="restart"/>
            <w:tcBorders>
              <w:top w:val="nil"/>
              <w:left w:val="single" w:sz="4" w:space="0" w:color="auto"/>
              <w:bottom w:val="single" w:sz="4" w:space="0" w:color="auto"/>
              <w:right w:val="nil"/>
            </w:tcBorders>
            <w:vAlign w:val="center"/>
          </w:tcPr>
          <w:p w14:paraId="7C334867" w14:textId="77777777" w:rsidR="009F124E" w:rsidRPr="009F124E" w:rsidRDefault="009F124E" w:rsidP="009F124E">
            <w:pPr>
              <w:jc w:val="center"/>
              <w:rPr>
                <w:b/>
                <w:bCs/>
                <w:i/>
                <w:iCs/>
                <w:color w:val="000000"/>
                <w:sz w:val="12"/>
                <w:szCs w:val="12"/>
              </w:rPr>
            </w:pPr>
            <w:r w:rsidRPr="009F124E">
              <w:rPr>
                <w:b/>
                <w:bCs/>
                <w:sz w:val="12"/>
                <w:szCs w:val="12"/>
                <w:lang w:eastAsia="en-US"/>
              </w:rPr>
              <w:t>0.29</w:t>
            </w:r>
          </w:p>
          <w:p w14:paraId="566D997E" w14:textId="77777777" w:rsidR="009F124E" w:rsidRPr="009F124E" w:rsidRDefault="009F124E" w:rsidP="009F124E">
            <w:pPr>
              <w:jc w:val="center"/>
              <w:rPr>
                <w:b/>
                <w:bCs/>
                <w:i/>
                <w:iCs/>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45A65D33" w14:textId="77777777" w:rsidR="009F124E" w:rsidRPr="009F124E" w:rsidRDefault="009F124E" w:rsidP="009F124E">
            <w:pPr>
              <w:rPr>
                <w:i/>
                <w:iCs/>
                <w:color w:val="000000"/>
                <w:sz w:val="10"/>
                <w:szCs w:val="10"/>
              </w:rPr>
            </w:pPr>
            <w:r w:rsidRPr="009F124E">
              <w:rPr>
                <w:i/>
                <w:iCs/>
                <w:color w:val="000000"/>
                <w:sz w:val="10"/>
                <w:szCs w:val="10"/>
              </w:rPr>
              <w:t>(-) Devoluciones</w:t>
            </w:r>
          </w:p>
        </w:tc>
      </w:tr>
      <w:tr w:rsidR="009F124E" w:rsidRPr="009F124E" w14:paraId="1633BD33"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63463EC6" w14:textId="77777777" w:rsidR="009F124E" w:rsidRPr="009F124E" w:rsidRDefault="009F124E" w:rsidP="009F124E">
            <w:pPr>
              <w:rPr>
                <w:b/>
                <w:bCs/>
                <w:i/>
                <w:i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18E318BC" w14:textId="77777777" w:rsidR="009F124E" w:rsidRPr="009F124E" w:rsidRDefault="009F124E" w:rsidP="009F124E">
            <w:pPr>
              <w:rPr>
                <w:b/>
                <w:bCs/>
                <w:i/>
                <w:iCs/>
                <w:color w:val="000000"/>
                <w:sz w:val="12"/>
                <w:szCs w:val="12"/>
              </w:rPr>
            </w:pPr>
          </w:p>
        </w:tc>
        <w:tc>
          <w:tcPr>
            <w:tcW w:w="455" w:type="pct"/>
            <w:vMerge/>
            <w:tcBorders>
              <w:top w:val="nil"/>
              <w:left w:val="single" w:sz="4" w:space="0" w:color="auto"/>
              <w:bottom w:val="single" w:sz="4" w:space="0" w:color="auto"/>
              <w:right w:val="single" w:sz="4" w:space="0" w:color="auto"/>
            </w:tcBorders>
            <w:vAlign w:val="center"/>
          </w:tcPr>
          <w:p w14:paraId="5B389FDD" w14:textId="77777777" w:rsidR="009F124E" w:rsidRPr="009F124E" w:rsidRDefault="009F124E" w:rsidP="009F124E">
            <w:pPr>
              <w:jc w:val="center"/>
              <w:rPr>
                <w:b/>
                <w:bCs/>
                <w:i/>
                <w:iCs/>
                <w:color w:val="000000"/>
                <w:sz w:val="12"/>
                <w:szCs w:val="12"/>
              </w:rPr>
            </w:pPr>
          </w:p>
        </w:tc>
        <w:tc>
          <w:tcPr>
            <w:tcW w:w="455" w:type="pct"/>
            <w:vMerge/>
            <w:tcBorders>
              <w:top w:val="nil"/>
              <w:left w:val="single" w:sz="4" w:space="0" w:color="auto"/>
              <w:bottom w:val="single" w:sz="4" w:space="0" w:color="auto"/>
              <w:right w:val="single" w:sz="4" w:space="0" w:color="auto"/>
            </w:tcBorders>
            <w:vAlign w:val="center"/>
          </w:tcPr>
          <w:p w14:paraId="2659CAA3" w14:textId="77777777" w:rsidR="009F124E" w:rsidRPr="009F124E" w:rsidRDefault="009F124E" w:rsidP="009F124E">
            <w:pPr>
              <w:jc w:val="center"/>
              <w:rPr>
                <w:b/>
                <w:bCs/>
                <w:i/>
                <w:iCs/>
                <w:color w:val="000000"/>
                <w:sz w:val="12"/>
                <w:szCs w:val="12"/>
              </w:rPr>
            </w:pPr>
          </w:p>
        </w:tc>
        <w:tc>
          <w:tcPr>
            <w:tcW w:w="434" w:type="pct"/>
            <w:vMerge/>
            <w:tcBorders>
              <w:top w:val="nil"/>
              <w:left w:val="single" w:sz="4" w:space="0" w:color="auto"/>
              <w:bottom w:val="single" w:sz="4" w:space="0" w:color="auto"/>
              <w:right w:val="nil"/>
            </w:tcBorders>
            <w:vAlign w:val="center"/>
          </w:tcPr>
          <w:p w14:paraId="5DBF9186" w14:textId="77777777" w:rsidR="009F124E" w:rsidRPr="009F124E" w:rsidRDefault="009F124E" w:rsidP="009F124E">
            <w:pPr>
              <w:jc w:val="center"/>
              <w:rPr>
                <w:b/>
                <w:bCs/>
                <w:i/>
                <w:iCs/>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193EB85E" w14:textId="77777777" w:rsidR="009F124E" w:rsidRPr="009F124E" w:rsidRDefault="009F124E" w:rsidP="009F124E">
            <w:pPr>
              <w:rPr>
                <w:i/>
                <w:iCs/>
                <w:color w:val="000000"/>
                <w:sz w:val="10"/>
                <w:szCs w:val="10"/>
              </w:rPr>
            </w:pPr>
            <w:r w:rsidRPr="009F124E">
              <w:rPr>
                <w:i/>
                <w:iCs/>
                <w:color w:val="000000"/>
                <w:sz w:val="10"/>
                <w:szCs w:val="10"/>
              </w:rPr>
              <w:t>(-) Ingresos de capital (exceptuando transferencias de capital de la Administración Central)</w:t>
            </w:r>
          </w:p>
        </w:tc>
      </w:tr>
      <w:tr w:rsidR="009F124E" w:rsidRPr="009F124E" w14:paraId="7195633B"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59EE1934" w14:textId="77777777" w:rsidR="009F124E" w:rsidRPr="009F124E" w:rsidRDefault="009F124E" w:rsidP="009F124E">
            <w:pPr>
              <w:rPr>
                <w:b/>
                <w:bCs/>
                <w:i/>
                <w:i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1E49CB44" w14:textId="77777777" w:rsidR="009F124E" w:rsidRPr="009F124E" w:rsidRDefault="009F124E" w:rsidP="009F124E">
            <w:pPr>
              <w:rPr>
                <w:b/>
                <w:bCs/>
                <w:i/>
                <w:iCs/>
                <w:color w:val="000000"/>
                <w:sz w:val="12"/>
                <w:szCs w:val="12"/>
              </w:rPr>
            </w:pPr>
          </w:p>
        </w:tc>
        <w:tc>
          <w:tcPr>
            <w:tcW w:w="455" w:type="pct"/>
            <w:vMerge/>
            <w:tcBorders>
              <w:top w:val="nil"/>
              <w:left w:val="single" w:sz="4" w:space="0" w:color="auto"/>
              <w:bottom w:val="single" w:sz="4" w:space="0" w:color="auto"/>
              <w:right w:val="single" w:sz="4" w:space="0" w:color="auto"/>
            </w:tcBorders>
            <w:vAlign w:val="center"/>
          </w:tcPr>
          <w:p w14:paraId="1007AE59" w14:textId="77777777" w:rsidR="009F124E" w:rsidRPr="009F124E" w:rsidRDefault="009F124E" w:rsidP="009F124E">
            <w:pPr>
              <w:jc w:val="center"/>
              <w:rPr>
                <w:b/>
                <w:bCs/>
                <w:i/>
                <w:iCs/>
                <w:color w:val="000000"/>
                <w:sz w:val="12"/>
                <w:szCs w:val="12"/>
              </w:rPr>
            </w:pPr>
          </w:p>
        </w:tc>
        <w:tc>
          <w:tcPr>
            <w:tcW w:w="455" w:type="pct"/>
            <w:vMerge/>
            <w:tcBorders>
              <w:top w:val="nil"/>
              <w:left w:val="single" w:sz="4" w:space="0" w:color="auto"/>
              <w:bottom w:val="single" w:sz="4" w:space="0" w:color="auto"/>
              <w:right w:val="single" w:sz="4" w:space="0" w:color="auto"/>
            </w:tcBorders>
            <w:vAlign w:val="center"/>
          </w:tcPr>
          <w:p w14:paraId="11B83A1E" w14:textId="77777777" w:rsidR="009F124E" w:rsidRPr="009F124E" w:rsidRDefault="009F124E" w:rsidP="009F124E">
            <w:pPr>
              <w:jc w:val="center"/>
              <w:rPr>
                <w:b/>
                <w:bCs/>
                <w:i/>
                <w:iCs/>
                <w:color w:val="000000"/>
                <w:sz w:val="12"/>
                <w:szCs w:val="12"/>
              </w:rPr>
            </w:pPr>
          </w:p>
        </w:tc>
        <w:tc>
          <w:tcPr>
            <w:tcW w:w="434" w:type="pct"/>
            <w:vMerge/>
            <w:tcBorders>
              <w:top w:val="nil"/>
              <w:left w:val="single" w:sz="4" w:space="0" w:color="auto"/>
              <w:bottom w:val="single" w:sz="4" w:space="0" w:color="auto"/>
              <w:right w:val="nil"/>
            </w:tcBorders>
            <w:vAlign w:val="center"/>
          </w:tcPr>
          <w:p w14:paraId="639A43B3" w14:textId="77777777" w:rsidR="009F124E" w:rsidRPr="009F124E" w:rsidRDefault="009F124E" w:rsidP="009F124E">
            <w:pPr>
              <w:jc w:val="center"/>
              <w:rPr>
                <w:b/>
                <w:bCs/>
                <w:i/>
                <w:iCs/>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302409B6" w14:textId="77777777" w:rsidR="009F124E" w:rsidRPr="009F124E" w:rsidRDefault="009F124E" w:rsidP="009F124E">
            <w:pPr>
              <w:rPr>
                <w:i/>
                <w:iCs/>
                <w:color w:val="000000"/>
                <w:sz w:val="10"/>
                <w:szCs w:val="10"/>
              </w:rPr>
            </w:pPr>
            <w:r w:rsidRPr="009F124E">
              <w:rPr>
                <w:i/>
                <w:iCs/>
                <w:color w:val="000000"/>
                <w:sz w:val="10"/>
                <w:szCs w:val="10"/>
              </w:rPr>
              <w:t>(-) Diferencias por fluctuaciones cambiarias</w:t>
            </w:r>
          </w:p>
        </w:tc>
      </w:tr>
      <w:tr w:rsidR="009F124E" w:rsidRPr="009F124E" w14:paraId="4547C69D"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0B0CBFA7" w14:textId="77777777" w:rsidR="009F124E" w:rsidRPr="009F124E" w:rsidRDefault="009F124E" w:rsidP="009F124E">
            <w:pPr>
              <w:rPr>
                <w:b/>
                <w:bCs/>
                <w:i/>
                <w:i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03212ED5" w14:textId="77777777" w:rsidR="009F124E" w:rsidRPr="009F124E" w:rsidRDefault="009F124E" w:rsidP="009F124E">
            <w:pPr>
              <w:rPr>
                <w:b/>
                <w:bCs/>
                <w:i/>
                <w:iCs/>
                <w:color w:val="000000"/>
                <w:sz w:val="12"/>
                <w:szCs w:val="12"/>
              </w:rPr>
            </w:pPr>
          </w:p>
        </w:tc>
        <w:tc>
          <w:tcPr>
            <w:tcW w:w="455" w:type="pct"/>
            <w:vMerge/>
            <w:tcBorders>
              <w:top w:val="nil"/>
              <w:left w:val="single" w:sz="4" w:space="0" w:color="auto"/>
              <w:bottom w:val="single" w:sz="4" w:space="0" w:color="auto"/>
              <w:right w:val="single" w:sz="4" w:space="0" w:color="auto"/>
            </w:tcBorders>
            <w:vAlign w:val="center"/>
          </w:tcPr>
          <w:p w14:paraId="2B0E4798" w14:textId="77777777" w:rsidR="009F124E" w:rsidRPr="009F124E" w:rsidRDefault="009F124E" w:rsidP="009F124E">
            <w:pPr>
              <w:jc w:val="center"/>
              <w:rPr>
                <w:b/>
                <w:bCs/>
                <w:i/>
                <w:iCs/>
                <w:color w:val="000000"/>
                <w:sz w:val="12"/>
                <w:szCs w:val="12"/>
              </w:rPr>
            </w:pPr>
          </w:p>
        </w:tc>
        <w:tc>
          <w:tcPr>
            <w:tcW w:w="455" w:type="pct"/>
            <w:vMerge/>
            <w:tcBorders>
              <w:top w:val="nil"/>
              <w:left w:val="single" w:sz="4" w:space="0" w:color="auto"/>
              <w:bottom w:val="single" w:sz="4" w:space="0" w:color="auto"/>
              <w:right w:val="single" w:sz="4" w:space="0" w:color="auto"/>
            </w:tcBorders>
            <w:vAlign w:val="center"/>
          </w:tcPr>
          <w:p w14:paraId="5DDD5E1F" w14:textId="77777777" w:rsidR="009F124E" w:rsidRPr="009F124E" w:rsidRDefault="009F124E" w:rsidP="009F124E">
            <w:pPr>
              <w:jc w:val="center"/>
              <w:rPr>
                <w:b/>
                <w:bCs/>
                <w:i/>
                <w:iCs/>
                <w:color w:val="000000"/>
                <w:sz w:val="12"/>
                <w:szCs w:val="12"/>
              </w:rPr>
            </w:pPr>
          </w:p>
        </w:tc>
        <w:tc>
          <w:tcPr>
            <w:tcW w:w="434" w:type="pct"/>
            <w:vMerge/>
            <w:tcBorders>
              <w:top w:val="nil"/>
              <w:left w:val="single" w:sz="4" w:space="0" w:color="auto"/>
              <w:bottom w:val="single" w:sz="4" w:space="0" w:color="auto"/>
              <w:right w:val="nil"/>
            </w:tcBorders>
            <w:vAlign w:val="center"/>
          </w:tcPr>
          <w:p w14:paraId="1070BC2F" w14:textId="77777777" w:rsidR="009F124E" w:rsidRPr="009F124E" w:rsidRDefault="009F124E" w:rsidP="009F124E">
            <w:pPr>
              <w:jc w:val="center"/>
              <w:rPr>
                <w:b/>
                <w:bCs/>
                <w:i/>
                <w:iCs/>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4FF00049" w14:textId="77777777" w:rsidR="009F124E" w:rsidRPr="009F124E" w:rsidRDefault="009F124E" w:rsidP="009F124E">
            <w:pPr>
              <w:rPr>
                <w:i/>
                <w:iCs/>
                <w:color w:val="000000"/>
                <w:sz w:val="10"/>
                <w:szCs w:val="10"/>
              </w:rPr>
            </w:pPr>
            <w:r w:rsidRPr="009F124E">
              <w:rPr>
                <w:i/>
                <w:iCs/>
                <w:color w:val="000000"/>
                <w:sz w:val="10"/>
                <w:szCs w:val="10"/>
              </w:rPr>
              <w:t>(-) Recursos provenientes de la extinción de dominio</w:t>
            </w:r>
          </w:p>
        </w:tc>
      </w:tr>
      <w:tr w:rsidR="009F124E" w:rsidRPr="009F124E" w14:paraId="7B238C5E"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6D9B438F" w14:textId="77777777" w:rsidR="009F124E" w:rsidRPr="009F124E" w:rsidRDefault="009F124E" w:rsidP="009F124E">
            <w:pPr>
              <w:rPr>
                <w:b/>
                <w:bCs/>
                <w:i/>
                <w:i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787BAC92" w14:textId="77777777" w:rsidR="009F124E" w:rsidRPr="009F124E" w:rsidRDefault="009F124E" w:rsidP="009F124E">
            <w:pPr>
              <w:rPr>
                <w:b/>
                <w:bCs/>
                <w:i/>
                <w:iCs/>
                <w:color w:val="000000"/>
                <w:sz w:val="12"/>
                <w:szCs w:val="12"/>
              </w:rPr>
            </w:pPr>
          </w:p>
        </w:tc>
        <w:tc>
          <w:tcPr>
            <w:tcW w:w="455" w:type="pct"/>
            <w:vMerge/>
            <w:tcBorders>
              <w:top w:val="nil"/>
              <w:left w:val="single" w:sz="4" w:space="0" w:color="auto"/>
              <w:bottom w:val="single" w:sz="4" w:space="0" w:color="auto"/>
              <w:right w:val="single" w:sz="4" w:space="0" w:color="auto"/>
            </w:tcBorders>
            <w:vAlign w:val="center"/>
          </w:tcPr>
          <w:p w14:paraId="3B986556" w14:textId="77777777" w:rsidR="009F124E" w:rsidRPr="009F124E" w:rsidRDefault="009F124E" w:rsidP="009F124E">
            <w:pPr>
              <w:jc w:val="center"/>
              <w:rPr>
                <w:b/>
                <w:bCs/>
                <w:i/>
                <w:iCs/>
                <w:color w:val="000000"/>
                <w:sz w:val="12"/>
                <w:szCs w:val="12"/>
              </w:rPr>
            </w:pPr>
          </w:p>
        </w:tc>
        <w:tc>
          <w:tcPr>
            <w:tcW w:w="455" w:type="pct"/>
            <w:vMerge/>
            <w:tcBorders>
              <w:top w:val="nil"/>
              <w:left w:val="single" w:sz="4" w:space="0" w:color="auto"/>
              <w:bottom w:val="single" w:sz="4" w:space="0" w:color="auto"/>
              <w:right w:val="single" w:sz="4" w:space="0" w:color="auto"/>
            </w:tcBorders>
            <w:vAlign w:val="center"/>
          </w:tcPr>
          <w:p w14:paraId="6074574D" w14:textId="77777777" w:rsidR="009F124E" w:rsidRPr="009F124E" w:rsidRDefault="009F124E" w:rsidP="009F124E">
            <w:pPr>
              <w:jc w:val="center"/>
              <w:rPr>
                <w:b/>
                <w:bCs/>
                <w:i/>
                <w:iCs/>
                <w:color w:val="000000"/>
                <w:sz w:val="12"/>
                <w:szCs w:val="12"/>
              </w:rPr>
            </w:pPr>
          </w:p>
        </w:tc>
        <w:tc>
          <w:tcPr>
            <w:tcW w:w="434" w:type="pct"/>
            <w:vMerge/>
            <w:tcBorders>
              <w:top w:val="nil"/>
              <w:left w:val="single" w:sz="4" w:space="0" w:color="auto"/>
              <w:bottom w:val="single" w:sz="4" w:space="0" w:color="auto"/>
              <w:right w:val="nil"/>
            </w:tcBorders>
            <w:vAlign w:val="center"/>
          </w:tcPr>
          <w:p w14:paraId="6A46149D" w14:textId="77777777" w:rsidR="009F124E" w:rsidRPr="009F124E" w:rsidRDefault="009F124E" w:rsidP="009F124E">
            <w:pPr>
              <w:jc w:val="center"/>
              <w:rPr>
                <w:b/>
                <w:bCs/>
                <w:i/>
                <w:iCs/>
                <w:color w:val="000000"/>
                <w:sz w:val="12"/>
                <w:szCs w:val="12"/>
              </w:rPr>
            </w:pPr>
          </w:p>
        </w:tc>
        <w:tc>
          <w:tcPr>
            <w:tcW w:w="2165" w:type="pct"/>
            <w:tcBorders>
              <w:top w:val="nil"/>
              <w:left w:val="single" w:sz="4" w:space="0" w:color="auto"/>
              <w:bottom w:val="single" w:sz="4" w:space="0" w:color="auto"/>
              <w:right w:val="single" w:sz="8" w:space="0" w:color="auto"/>
            </w:tcBorders>
            <w:shd w:val="clear" w:color="000000" w:fill="FFFFFF"/>
            <w:vAlign w:val="center"/>
            <w:hideMark/>
          </w:tcPr>
          <w:p w14:paraId="1D91BD9A" w14:textId="77777777" w:rsidR="009F124E" w:rsidRPr="009F124E" w:rsidRDefault="009F124E" w:rsidP="009F124E">
            <w:pPr>
              <w:rPr>
                <w:i/>
                <w:iCs/>
                <w:color w:val="000000"/>
                <w:sz w:val="10"/>
                <w:szCs w:val="10"/>
              </w:rPr>
            </w:pPr>
            <w:r w:rsidRPr="009F124E">
              <w:rPr>
                <w:i/>
                <w:iCs/>
                <w:color w:val="000000"/>
                <w:sz w:val="10"/>
                <w:szCs w:val="10"/>
              </w:rPr>
              <w:t>(+) Contribuciones Sociales Imputadas</w:t>
            </w:r>
          </w:p>
        </w:tc>
      </w:tr>
      <w:tr w:rsidR="009F124E" w:rsidRPr="009F124E" w14:paraId="749C82F1" w14:textId="77777777" w:rsidTr="00B24770">
        <w:trPr>
          <w:trHeight w:val="68"/>
          <w:jc w:val="center"/>
        </w:trPr>
        <w:tc>
          <w:tcPr>
            <w:tcW w:w="432" w:type="pct"/>
            <w:vMerge w:val="restart"/>
            <w:tcBorders>
              <w:top w:val="nil"/>
              <w:left w:val="single" w:sz="8" w:space="0" w:color="auto"/>
              <w:bottom w:val="single" w:sz="4" w:space="0" w:color="000000"/>
              <w:right w:val="single" w:sz="4" w:space="0" w:color="auto"/>
            </w:tcBorders>
            <w:shd w:val="clear" w:color="000000" w:fill="8496B0"/>
            <w:noWrap/>
            <w:vAlign w:val="center"/>
            <w:hideMark/>
          </w:tcPr>
          <w:p w14:paraId="1DCCE0AC" w14:textId="77777777" w:rsidR="009F124E" w:rsidRPr="009F124E" w:rsidRDefault="009F124E" w:rsidP="009F124E">
            <w:pPr>
              <w:jc w:val="center"/>
              <w:rPr>
                <w:b/>
                <w:bCs/>
                <w:color w:val="FFFFFF"/>
                <w:sz w:val="12"/>
                <w:szCs w:val="12"/>
              </w:rPr>
            </w:pPr>
            <w:r w:rsidRPr="009F124E">
              <w:rPr>
                <w:b/>
                <w:bCs/>
                <w:color w:val="FFFFFF"/>
                <w:sz w:val="12"/>
                <w:szCs w:val="12"/>
              </w:rPr>
              <w:t>11</w:t>
            </w:r>
          </w:p>
        </w:tc>
        <w:tc>
          <w:tcPr>
            <w:tcW w:w="1059" w:type="pct"/>
            <w:vMerge w:val="restart"/>
            <w:tcBorders>
              <w:top w:val="nil"/>
              <w:left w:val="single" w:sz="4" w:space="0" w:color="auto"/>
              <w:bottom w:val="single" w:sz="4" w:space="0" w:color="auto"/>
              <w:right w:val="single" w:sz="4" w:space="0" w:color="auto"/>
            </w:tcBorders>
            <w:shd w:val="clear" w:color="000000" w:fill="EDEDED"/>
            <w:vAlign w:val="center"/>
            <w:hideMark/>
          </w:tcPr>
          <w:p w14:paraId="57D3D6F6" w14:textId="77777777" w:rsidR="009F124E" w:rsidRPr="009F124E" w:rsidRDefault="009F124E" w:rsidP="009F124E">
            <w:pPr>
              <w:ind w:firstLineChars="100" w:firstLine="120"/>
              <w:rPr>
                <w:color w:val="000000"/>
                <w:sz w:val="12"/>
                <w:szCs w:val="12"/>
              </w:rPr>
            </w:pPr>
            <w:r w:rsidRPr="009F124E">
              <w:rPr>
                <w:color w:val="000000"/>
                <w:sz w:val="12"/>
                <w:szCs w:val="12"/>
              </w:rPr>
              <w:t>Impuestos</w:t>
            </w:r>
          </w:p>
        </w:tc>
        <w:tc>
          <w:tcPr>
            <w:tcW w:w="455" w:type="pct"/>
            <w:vMerge w:val="restart"/>
            <w:tcBorders>
              <w:top w:val="nil"/>
              <w:left w:val="single" w:sz="4" w:space="0" w:color="auto"/>
              <w:bottom w:val="single" w:sz="4" w:space="0" w:color="auto"/>
              <w:right w:val="single" w:sz="4" w:space="0" w:color="auto"/>
            </w:tcBorders>
            <w:shd w:val="clear" w:color="000000" w:fill="EDEDED"/>
            <w:vAlign w:val="center"/>
            <w:hideMark/>
          </w:tcPr>
          <w:p w14:paraId="74EA8936" w14:textId="77777777" w:rsidR="009F124E" w:rsidRPr="009F124E" w:rsidRDefault="009F124E" w:rsidP="009F124E">
            <w:pPr>
              <w:jc w:val="center"/>
              <w:rPr>
                <w:color w:val="000000"/>
                <w:sz w:val="12"/>
                <w:szCs w:val="12"/>
              </w:rPr>
            </w:pPr>
            <w:r w:rsidRPr="009F124E">
              <w:rPr>
                <w:sz w:val="12"/>
                <w:szCs w:val="12"/>
                <w:lang w:eastAsia="en-US"/>
              </w:rPr>
              <w:t>11.90</w:t>
            </w:r>
          </w:p>
          <w:p w14:paraId="649EC165" w14:textId="77777777" w:rsidR="009F124E" w:rsidRPr="009F124E" w:rsidRDefault="009F124E" w:rsidP="009F124E">
            <w:pPr>
              <w:jc w:val="center"/>
              <w:rPr>
                <w:color w:val="000000"/>
                <w:sz w:val="12"/>
                <w:szCs w:val="12"/>
              </w:rPr>
            </w:pPr>
          </w:p>
        </w:tc>
        <w:tc>
          <w:tcPr>
            <w:tcW w:w="455" w:type="pct"/>
            <w:vMerge w:val="restart"/>
            <w:tcBorders>
              <w:top w:val="nil"/>
              <w:left w:val="single" w:sz="4" w:space="0" w:color="auto"/>
              <w:bottom w:val="single" w:sz="4" w:space="0" w:color="auto"/>
              <w:right w:val="single" w:sz="4" w:space="0" w:color="auto"/>
            </w:tcBorders>
            <w:shd w:val="clear" w:color="000000" w:fill="EDEDED"/>
            <w:vAlign w:val="center"/>
            <w:hideMark/>
          </w:tcPr>
          <w:p w14:paraId="396E255F" w14:textId="77777777" w:rsidR="009F124E" w:rsidRPr="009F124E" w:rsidRDefault="009F124E" w:rsidP="009F124E">
            <w:pPr>
              <w:jc w:val="center"/>
              <w:rPr>
                <w:color w:val="000000"/>
                <w:sz w:val="12"/>
                <w:szCs w:val="12"/>
              </w:rPr>
            </w:pPr>
            <w:r w:rsidRPr="009F124E">
              <w:rPr>
                <w:sz w:val="12"/>
                <w:szCs w:val="12"/>
                <w:lang w:eastAsia="en-US"/>
              </w:rPr>
              <w:t>12.03</w:t>
            </w:r>
          </w:p>
          <w:p w14:paraId="519C73A5" w14:textId="77777777" w:rsidR="009F124E" w:rsidRPr="009F124E" w:rsidRDefault="009F124E" w:rsidP="009F124E">
            <w:pPr>
              <w:jc w:val="center"/>
              <w:rPr>
                <w:color w:val="000000"/>
                <w:sz w:val="12"/>
                <w:szCs w:val="12"/>
              </w:rPr>
            </w:pPr>
          </w:p>
        </w:tc>
        <w:tc>
          <w:tcPr>
            <w:tcW w:w="434" w:type="pct"/>
            <w:vMerge w:val="restart"/>
            <w:tcBorders>
              <w:top w:val="nil"/>
              <w:left w:val="single" w:sz="4" w:space="0" w:color="auto"/>
              <w:bottom w:val="single" w:sz="4" w:space="0" w:color="auto"/>
              <w:right w:val="nil"/>
            </w:tcBorders>
            <w:shd w:val="clear" w:color="000000" w:fill="EDEDED"/>
            <w:vAlign w:val="center"/>
            <w:hideMark/>
          </w:tcPr>
          <w:p w14:paraId="7A0D5B60" w14:textId="77777777" w:rsidR="009F124E" w:rsidRPr="009F124E" w:rsidRDefault="009F124E" w:rsidP="009F124E">
            <w:pPr>
              <w:jc w:val="center"/>
              <w:rPr>
                <w:color w:val="000000"/>
                <w:sz w:val="12"/>
                <w:szCs w:val="12"/>
              </w:rPr>
            </w:pPr>
            <w:r w:rsidRPr="009F124E">
              <w:rPr>
                <w:sz w:val="12"/>
                <w:szCs w:val="12"/>
                <w:lang w:eastAsia="en-US"/>
              </w:rPr>
              <w:t>-0.14</w:t>
            </w:r>
          </w:p>
          <w:p w14:paraId="6D777B4B"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EDEDED"/>
            <w:vAlign w:val="center"/>
            <w:hideMark/>
          </w:tcPr>
          <w:p w14:paraId="1BC1CB2F" w14:textId="77777777" w:rsidR="009F124E" w:rsidRPr="009F124E" w:rsidRDefault="009F124E" w:rsidP="009F124E">
            <w:pPr>
              <w:rPr>
                <w:i/>
                <w:iCs/>
                <w:color w:val="000000"/>
                <w:sz w:val="10"/>
                <w:szCs w:val="10"/>
              </w:rPr>
            </w:pPr>
            <w:r w:rsidRPr="009F124E">
              <w:rPr>
                <w:i/>
                <w:iCs/>
                <w:color w:val="000000"/>
                <w:sz w:val="10"/>
                <w:szCs w:val="10"/>
              </w:rPr>
              <w:t>(-) Devoluciones</w:t>
            </w:r>
          </w:p>
        </w:tc>
      </w:tr>
      <w:tr w:rsidR="009F124E" w:rsidRPr="009F124E" w14:paraId="3E3A2540"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33585296"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5E6501DB"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640525B1"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3483F029"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vAlign w:val="center"/>
            <w:hideMark/>
          </w:tcPr>
          <w:p w14:paraId="44A12E36"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EDEDED"/>
            <w:vAlign w:val="center"/>
            <w:hideMark/>
          </w:tcPr>
          <w:p w14:paraId="767694DF" w14:textId="77777777" w:rsidR="009F124E" w:rsidRPr="009F124E" w:rsidRDefault="009F124E" w:rsidP="009F124E">
            <w:pPr>
              <w:rPr>
                <w:i/>
                <w:iCs/>
                <w:color w:val="000000"/>
                <w:sz w:val="10"/>
                <w:szCs w:val="10"/>
              </w:rPr>
            </w:pPr>
            <w:r w:rsidRPr="009F124E">
              <w:rPr>
                <w:i/>
                <w:iCs/>
                <w:color w:val="000000"/>
                <w:sz w:val="10"/>
                <w:szCs w:val="10"/>
              </w:rPr>
              <w:t>(-) Regalías</w:t>
            </w:r>
          </w:p>
        </w:tc>
      </w:tr>
      <w:tr w:rsidR="009F124E" w:rsidRPr="009F124E" w14:paraId="4ACCAF74"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57B3D400"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28D8F658"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266F487D"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163CB7EF"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vAlign w:val="center"/>
            <w:hideMark/>
          </w:tcPr>
          <w:p w14:paraId="3268FB1B"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EDEDED"/>
            <w:vAlign w:val="center"/>
            <w:hideMark/>
          </w:tcPr>
          <w:p w14:paraId="007605E4" w14:textId="77777777" w:rsidR="009F124E" w:rsidRPr="009F124E" w:rsidRDefault="009F124E" w:rsidP="009F124E">
            <w:pPr>
              <w:rPr>
                <w:i/>
                <w:iCs/>
                <w:color w:val="000000"/>
                <w:sz w:val="10"/>
                <w:szCs w:val="10"/>
              </w:rPr>
            </w:pPr>
            <w:r w:rsidRPr="009F124E">
              <w:rPr>
                <w:i/>
                <w:iCs/>
                <w:color w:val="000000"/>
                <w:sz w:val="10"/>
                <w:szCs w:val="10"/>
              </w:rPr>
              <w:t>(-) Intereses, Multas y Mora</w:t>
            </w:r>
          </w:p>
        </w:tc>
      </w:tr>
      <w:tr w:rsidR="009F124E" w:rsidRPr="009F124E" w14:paraId="2710F756"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2973D4C1"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5BB5A65C"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62BC04BE"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620EC763"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vAlign w:val="center"/>
            <w:hideMark/>
          </w:tcPr>
          <w:p w14:paraId="6C03FD0D"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single" w:sz="4" w:space="0" w:color="auto"/>
              <w:right w:val="single" w:sz="8" w:space="0" w:color="auto"/>
            </w:tcBorders>
            <w:shd w:val="clear" w:color="000000" w:fill="EDEDED"/>
            <w:vAlign w:val="center"/>
            <w:hideMark/>
          </w:tcPr>
          <w:p w14:paraId="700FBEA0" w14:textId="77777777" w:rsidR="009F124E" w:rsidRPr="009F124E" w:rsidRDefault="009F124E" w:rsidP="009F124E">
            <w:pPr>
              <w:rPr>
                <w:i/>
                <w:iCs/>
                <w:color w:val="000000"/>
                <w:sz w:val="10"/>
                <w:szCs w:val="10"/>
              </w:rPr>
            </w:pPr>
            <w:r w:rsidRPr="009F124E">
              <w:rPr>
                <w:i/>
                <w:iCs/>
                <w:color w:val="000000"/>
                <w:sz w:val="10"/>
                <w:szCs w:val="10"/>
              </w:rPr>
              <w:t>(+) Tasas consideradas como impuestos</w:t>
            </w:r>
          </w:p>
        </w:tc>
      </w:tr>
      <w:tr w:rsidR="009F124E" w:rsidRPr="009F124E" w14:paraId="372AD1AE" w14:textId="77777777" w:rsidTr="00B24770">
        <w:trPr>
          <w:trHeight w:val="68"/>
          <w:jc w:val="center"/>
        </w:trPr>
        <w:tc>
          <w:tcPr>
            <w:tcW w:w="432" w:type="pct"/>
            <w:tcBorders>
              <w:top w:val="nil"/>
              <w:left w:val="single" w:sz="8" w:space="0" w:color="auto"/>
              <w:bottom w:val="single" w:sz="4" w:space="0" w:color="auto"/>
              <w:right w:val="single" w:sz="4" w:space="0" w:color="auto"/>
            </w:tcBorders>
            <w:shd w:val="clear" w:color="000000" w:fill="8496B0"/>
            <w:noWrap/>
            <w:vAlign w:val="center"/>
            <w:hideMark/>
          </w:tcPr>
          <w:p w14:paraId="50ED77C8" w14:textId="77777777" w:rsidR="009F124E" w:rsidRPr="009F124E" w:rsidRDefault="009F124E" w:rsidP="009F124E">
            <w:pPr>
              <w:jc w:val="center"/>
              <w:rPr>
                <w:b/>
                <w:bCs/>
                <w:color w:val="FFFFFF"/>
                <w:sz w:val="12"/>
                <w:szCs w:val="12"/>
              </w:rPr>
            </w:pPr>
            <w:r w:rsidRPr="009F124E">
              <w:rPr>
                <w:b/>
                <w:bCs/>
                <w:color w:val="FFFFFF"/>
                <w:sz w:val="12"/>
                <w:szCs w:val="12"/>
              </w:rPr>
              <w:t>12</w:t>
            </w:r>
          </w:p>
        </w:tc>
        <w:tc>
          <w:tcPr>
            <w:tcW w:w="1059" w:type="pct"/>
            <w:tcBorders>
              <w:top w:val="nil"/>
              <w:left w:val="nil"/>
              <w:bottom w:val="single" w:sz="4" w:space="0" w:color="auto"/>
              <w:right w:val="single" w:sz="4" w:space="0" w:color="auto"/>
            </w:tcBorders>
            <w:shd w:val="clear" w:color="000000" w:fill="FFFFFF"/>
            <w:vAlign w:val="center"/>
            <w:hideMark/>
          </w:tcPr>
          <w:p w14:paraId="41190FD1" w14:textId="77777777" w:rsidR="009F124E" w:rsidRPr="009F124E" w:rsidRDefault="009F124E" w:rsidP="009F124E">
            <w:pPr>
              <w:ind w:firstLineChars="100" w:firstLine="120"/>
              <w:rPr>
                <w:color w:val="000000"/>
                <w:sz w:val="12"/>
                <w:szCs w:val="12"/>
              </w:rPr>
            </w:pPr>
            <w:r w:rsidRPr="009F124E">
              <w:rPr>
                <w:color w:val="000000"/>
                <w:sz w:val="12"/>
                <w:szCs w:val="12"/>
              </w:rPr>
              <w:t xml:space="preserve">Contribuciones sociales </w:t>
            </w:r>
          </w:p>
        </w:tc>
        <w:tc>
          <w:tcPr>
            <w:tcW w:w="455" w:type="pct"/>
            <w:tcBorders>
              <w:top w:val="nil"/>
              <w:left w:val="nil"/>
              <w:bottom w:val="single" w:sz="4" w:space="0" w:color="auto"/>
              <w:right w:val="single" w:sz="4" w:space="0" w:color="auto"/>
            </w:tcBorders>
            <w:shd w:val="clear" w:color="000000" w:fill="FFFFFF"/>
            <w:vAlign w:val="center"/>
            <w:hideMark/>
          </w:tcPr>
          <w:p w14:paraId="7980AECC" w14:textId="77777777" w:rsidR="009F124E" w:rsidRPr="009F124E" w:rsidRDefault="009F124E" w:rsidP="009F124E">
            <w:pPr>
              <w:jc w:val="center"/>
              <w:rPr>
                <w:color w:val="000000"/>
                <w:sz w:val="12"/>
                <w:szCs w:val="12"/>
              </w:rPr>
            </w:pPr>
            <w:r w:rsidRPr="009F124E">
              <w:rPr>
                <w:sz w:val="12"/>
                <w:szCs w:val="12"/>
                <w:lang w:eastAsia="en-US"/>
              </w:rPr>
              <w:t>0.70</w:t>
            </w:r>
          </w:p>
        </w:tc>
        <w:tc>
          <w:tcPr>
            <w:tcW w:w="455" w:type="pct"/>
            <w:tcBorders>
              <w:top w:val="nil"/>
              <w:left w:val="nil"/>
              <w:bottom w:val="single" w:sz="4" w:space="0" w:color="auto"/>
              <w:right w:val="single" w:sz="4" w:space="0" w:color="auto"/>
            </w:tcBorders>
            <w:shd w:val="clear" w:color="000000" w:fill="FFFFFF"/>
            <w:vAlign w:val="center"/>
            <w:hideMark/>
          </w:tcPr>
          <w:p w14:paraId="58BEBB33" w14:textId="77777777" w:rsidR="009F124E" w:rsidRPr="009F124E" w:rsidRDefault="009F124E" w:rsidP="009F124E">
            <w:pPr>
              <w:jc w:val="center"/>
              <w:rPr>
                <w:color w:val="000000"/>
                <w:sz w:val="12"/>
                <w:szCs w:val="12"/>
              </w:rPr>
            </w:pPr>
            <w:r w:rsidRPr="009F124E">
              <w:rPr>
                <w:sz w:val="12"/>
                <w:szCs w:val="12"/>
                <w:lang w:eastAsia="en-US"/>
              </w:rPr>
              <w:t>0.37</w:t>
            </w:r>
          </w:p>
        </w:tc>
        <w:tc>
          <w:tcPr>
            <w:tcW w:w="434" w:type="pct"/>
            <w:tcBorders>
              <w:top w:val="nil"/>
              <w:left w:val="nil"/>
              <w:bottom w:val="single" w:sz="4" w:space="0" w:color="auto"/>
              <w:right w:val="nil"/>
            </w:tcBorders>
            <w:shd w:val="clear" w:color="000000" w:fill="FFFFFF"/>
            <w:vAlign w:val="center"/>
            <w:hideMark/>
          </w:tcPr>
          <w:p w14:paraId="28206D5E" w14:textId="77777777" w:rsidR="009F124E" w:rsidRPr="009F124E" w:rsidRDefault="009F124E" w:rsidP="009F124E">
            <w:pPr>
              <w:jc w:val="center"/>
              <w:rPr>
                <w:color w:val="000000"/>
                <w:sz w:val="12"/>
                <w:szCs w:val="12"/>
              </w:rPr>
            </w:pPr>
            <w:r w:rsidRPr="009F124E">
              <w:rPr>
                <w:sz w:val="12"/>
                <w:szCs w:val="12"/>
                <w:lang w:eastAsia="en-US"/>
              </w:rPr>
              <w:t>0.33</w:t>
            </w:r>
          </w:p>
        </w:tc>
        <w:tc>
          <w:tcPr>
            <w:tcW w:w="2165" w:type="pct"/>
            <w:tcBorders>
              <w:top w:val="nil"/>
              <w:left w:val="single" w:sz="4" w:space="0" w:color="auto"/>
              <w:bottom w:val="single" w:sz="4" w:space="0" w:color="auto"/>
              <w:right w:val="single" w:sz="8" w:space="0" w:color="auto"/>
            </w:tcBorders>
            <w:shd w:val="clear" w:color="000000" w:fill="FFFFFF"/>
            <w:vAlign w:val="center"/>
            <w:hideMark/>
          </w:tcPr>
          <w:p w14:paraId="7F1080D1" w14:textId="77777777" w:rsidR="009F124E" w:rsidRPr="009F124E" w:rsidRDefault="009F124E" w:rsidP="009F124E">
            <w:pPr>
              <w:rPr>
                <w:i/>
                <w:iCs/>
                <w:color w:val="000000"/>
                <w:sz w:val="10"/>
                <w:szCs w:val="10"/>
              </w:rPr>
            </w:pPr>
            <w:r w:rsidRPr="009F124E">
              <w:rPr>
                <w:i/>
                <w:iCs/>
                <w:color w:val="000000"/>
                <w:sz w:val="10"/>
                <w:szCs w:val="10"/>
              </w:rPr>
              <w:t>(+) Contribuciones Sociales Imputadas</w:t>
            </w:r>
          </w:p>
        </w:tc>
      </w:tr>
      <w:tr w:rsidR="009F124E" w:rsidRPr="009F124E" w14:paraId="1AE797CD" w14:textId="77777777" w:rsidTr="00B24770">
        <w:trPr>
          <w:trHeight w:val="68"/>
          <w:jc w:val="center"/>
        </w:trPr>
        <w:tc>
          <w:tcPr>
            <w:tcW w:w="432" w:type="pct"/>
            <w:tcBorders>
              <w:top w:val="nil"/>
              <w:left w:val="single" w:sz="8" w:space="0" w:color="auto"/>
              <w:bottom w:val="single" w:sz="4" w:space="0" w:color="auto"/>
              <w:right w:val="single" w:sz="4" w:space="0" w:color="auto"/>
            </w:tcBorders>
            <w:shd w:val="clear" w:color="000000" w:fill="8496B0"/>
            <w:noWrap/>
            <w:vAlign w:val="center"/>
            <w:hideMark/>
          </w:tcPr>
          <w:p w14:paraId="00BACE84" w14:textId="77777777" w:rsidR="009F124E" w:rsidRPr="009F124E" w:rsidRDefault="009F124E" w:rsidP="009F124E">
            <w:pPr>
              <w:jc w:val="center"/>
              <w:rPr>
                <w:b/>
                <w:bCs/>
                <w:color w:val="FFFFFF"/>
                <w:sz w:val="12"/>
                <w:szCs w:val="12"/>
              </w:rPr>
            </w:pPr>
            <w:r w:rsidRPr="009F124E">
              <w:rPr>
                <w:b/>
                <w:bCs/>
                <w:color w:val="FFFFFF"/>
                <w:sz w:val="12"/>
                <w:szCs w:val="12"/>
              </w:rPr>
              <w:t>13</w:t>
            </w:r>
          </w:p>
        </w:tc>
        <w:tc>
          <w:tcPr>
            <w:tcW w:w="1059" w:type="pct"/>
            <w:tcBorders>
              <w:top w:val="nil"/>
              <w:left w:val="nil"/>
              <w:bottom w:val="single" w:sz="4" w:space="0" w:color="auto"/>
              <w:right w:val="single" w:sz="4" w:space="0" w:color="auto"/>
            </w:tcBorders>
            <w:shd w:val="clear" w:color="000000" w:fill="EDEDED"/>
            <w:vAlign w:val="center"/>
            <w:hideMark/>
          </w:tcPr>
          <w:p w14:paraId="19914A50" w14:textId="77777777" w:rsidR="009F124E" w:rsidRPr="009F124E" w:rsidRDefault="009F124E" w:rsidP="009F124E">
            <w:pPr>
              <w:ind w:firstLineChars="100" w:firstLine="120"/>
              <w:rPr>
                <w:color w:val="000000"/>
                <w:sz w:val="12"/>
                <w:szCs w:val="12"/>
              </w:rPr>
            </w:pPr>
            <w:r w:rsidRPr="009F124E">
              <w:rPr>
                <w:color w:val="000000"/>
                <w:sz w:val="12"/>
                <w:szCs w:val="12"/>
              </w:rPr>
              <w:t>Donaciones</w:t>
            </w:r>
          </w:p>
        </w:tc>
        <w:tc>
          <w:tcPr>
            <w:tcW w:w="455" w:type="pct"/>
            <w:tcBorders>
              <w:top w:val="nil"/>
              <w:left w:val="nil"/>
              <w:bottom w:val="single" w:sz="4" w:space="0" w:color="auto"/>
              <w:right w:val="single" w:sz="4" w:space="0" w:color="auto"/>
            </w:tcBorders>
            <w:shd w:val="clear" w:color="000000" w:fill="EDEDED"/>
            <w:vAlign w:val="center"/>
            <w:hideMark/>
          </w:tcPr>
          <w:p w14:paraId="75DCA6EB" w14:textId="77777777" w:rsidR="009F124E" w:rsidRPr="009F124E" w:rsidRDefault="009F124E" w:rsidP="009F124E">
            <w:pPr>
              <w:jc w:val="center"/>
              <w:rPr>
                <w:color w:val="000000"/>
                <w:sz w:val="12"/>
                <w:szCs w:val="12"/>
              </w:rPr>
            </w:pPr>
            <w:r w:rsidRPr="009F124E">
              <w:rPr>
                <w:sz w:val="12"/>
                <w:szCs w:val="12"/>
                <w:lang w:eastAsia="en-US"/>
              </w:rPr>
              <w:t>0.02</w:t>
            </w:r>
          </w:p>
        </w:tc>
        <w:tc>
          <w:tcPr>
            <w:tcW w:w="455" w:type="pct"/>
            <w:tcBorders>
              <w:top w:val="nil"/>
              <w:left w:val="nil"/>
              <w:bottom w:val="single" w:sz="4" w:space="0" w:color="auto"/>
              <w:right w:val="single" w:sz="4" w:space="0" w:color="auto"/>
            </w:tcBorders>
            <w:shd w:val="clear" w:color="000000" w:fill="EDEDED"/>
            <w:vAlign w:val="center"/>
            <w:hideMark/>
          </w:tcPr>
          <w:p w14:paraId="2CFC7222" w14:textId="77777777" w:rsidR="009F124E" w:rsidRPr="009F124E" w:rsidRDefault="009F124E" w:rsidP="009F124E">
            <w:pPr>
              <w:jc w:val="center"/>
              <w:rPr>
                <w:color w:val="000000"/>
                <w:sz w:val="12"/>
                <w:szCs w:val="12"/>
              </w:rPr>
            </w:pPr>
            <w:r w:rsidRPr="009F124E">
              <w:rPr>
                <w:sz w:val="12"/>
                <w:szCs w:val="12"/>
                <w:lang w:eastAsia="en-US"/>
              </w:rPr>
              <w:t>0.01</w:t>
            </w:r>
          </w:p>
        </w:tc>
        <w:tc>
          <w:tcPr>
            <w:tcW w:w="434" w:type="pct"/>
            <w:tcBorders>
              <w:top w:val="nil"/>
              <w:left w:val="nil"/>
              <w:bottom w:val="single" w:sz="4" w:space="0" w:color="auto"/>
              <w:right w:val="nil"/>
            </w:tcBorders>
            <w:shd w:val="clear" w:color="000000" w:fill="EDEDED"/>
            <w:vAlign w:val="center"/>
            <w:hideMark/>
          </w:tcPr>
          <w:p w14:paraId="6BB33BAB" w14:textId="77777777" w:rsidR="009F124E" w:rsidRPr="009F124E" w:rsidRDefault="009F124E" w:rsidP="009F124E">
            <w:pPr>
              <w:jc w:val="center"/>
              <w:rPr>
                <w:color w:val="000000"/>
                <w:sz w:val="12"/>
                <w:szCs w:val="12"/>
              </w:rPr>
            </w:pPr>
            <w:r w:rsidRPr="009F124E">
              <w:rPr>
                <w:sz w:val="12"/>
                <w:szCs w:val="12"/>
                <w:lang w:eastAsia="en-US"/>
              </w:rPr>
              <w:t>0.01</w:t>
            </w:r>
          </w:p>
        </w:tc>
        <w:tc>
          <w:tcPr>
            <w:tcW w:w="2165" w:type="pct"/>
            <w:tcBorders>
              <w:top w:val="nil"/>
              <w:left w:val="single" w:sz="4" w:space="0" w:color="auto"/>
              <w:bottom w:val="single" w:sz="4" w:space="0" w:color="auto"/>
              <w:right w:val="single" w:sz="8" w:space="0" w:color="auto"/>
            </w:tcBorders>
            <w:shd w:val="clear" w:color="000000" w:fill="EDEDED"/>
            <w:vAlign w:val="center"/>
            <w:hideMark/>
          </w:tcPr>
          <w:p w14:paraId="56050D99" w14:textId="77777777" w:rsidR="009F124E" w:rsidRPr="009F124E" w:rsidRDefault="009F124E" w:rsidP="009F124E">
            <w:pPr>
              <w:rPr>
                <w:i/>
                <w:iCs/>
                <w:color w:val="000000"/>
                <w:sz w:val="10"/>
                <w:szCs w:val="10"/>
              </w:rPr>
            </w:pPr>
            <w:r w:rsidRPr="009F124E">
              <w:rPr>
                <w:i/>
                <w:iCs/>
                <w:color w:val="000000"/>
                <w:sz w:val="10"/>
                <w:szCs w:val="10"/>
              </w:rPr>
              <w:t>(+) Transferencias corrientes y de capital, Recibidas de Entidades Públicas u Organismos internacionales</w:t>
            </w:r>
          </w:p>
        </w:tc>
      </w:tr>
      <w:tr w:rsidR="009F124E" w:rsidRPr="009F124E" w14:paraId="5F34D4EB" w14:textId="77777777" w:rsidTr="00B24770">
        <w:trPr>
          <w:trHeight w:val="68"/>
          <w:jc w:val="center"/>
        </w:trPr>
        <w:tc>
          <w:tcPr>
            <w:tcW w:w="432" w:type="pct"/>
            <w:vMerge w:val="restart"/>
            <w:tcBorders>
              <w:top w:val="nil"/>
              <w:left w:val="single" w:sz="8" w:space="0" w:color="auto"/>
              <w:bottom w:val="single" w:sz="4" w:space="0" w:color="000000"/>
              <w:right w:val="single" w:sz="4" w:space="0" w:color="auto"/>
            </w:tcBorders>
            <w:shd w:val="clear" w:color="000000" w:fill="8496B0"/>
            <w:noWrap/>
            <w:vAlign w:val="center"/>
            <w:hideMark/>
          </w:tcPr>
          <w:p w14:paraId="41B7588F" w14:textId="77777777" w:rsidR="009F124E" w:rsidRPr="009F124E" w:rsidRDefault="009F124E" w:rsidP="009F124E">
            <w:pPr>
              <w:jc w:val="center"/>
              <w:rPr>
                <w:b/>
                <w:bCs/>
                <w:color w:val="FFFFFF"/>
                <w:sz w:val="12"/>
                <w:szCs w:val="12"/>
              </w:rPr>
            </w:pPr>
            <w:r w:rsidRPr="009F124E">
              <w:rPr>
                <w:b/>
                <w:bCs/>
                <w:color w:val="FFFFFF"/>
                <w:sz w:val="12"/>
                <w:szCs w:val="12"/>
              </w:rPr>
              <w:t>14</w:t>
            </w:r>
          </w:p>
        </w:tc>
        <w:tc>
          <w:tcPr>
            <w:tcW w:w="1059" w:type="pct"/>
            <w:vMerge w:val="restart"/>
            <w:tcBorders>
              <w:top w:val="nil"/>
              <w:left w:val="single" w:sz="4" w:space="0" w:color="auto"/>
              <w:bottom w:val="single" w:sz="4" w:space="0" w:color="auto"/>
              <w:right w:val="single" w:sz="4" w:space="0" w:color="auto"/>
            </w:tcBorders>
            <w:shd w:val="clear" w:color="000000" w:fill="FFFFFF"/>
            <w:vAlign w:val="center"/>
            <w:hideMark/>
          </w:tcPr>
          <w:p w14:paraId="31CD2B8F" w14:textId="77777777" w:rsidR="009F124E" w:rsidRPr="009F124E" w:rsidRDefault="009F124E" w:rsidP="009F124E">
            <w:pPr>
              <w:ind w:firstLineChars="100" w:firstLine="120"/>
              <w:rPr>
                <w:color w:val="000000"/>
                <w:sz w:val="12"/>
                <w:szCs w:val="12"/>
              </w:rPr>
            </w:pPr>
            <w:r w:rsidRPr="009F124E">
              <w:rPr>
                <w:color w:val="000000"/>
                <w:sz w:val="12"/>
                <w:szCs w:val="12"/>
              </w:rPr>
              <w:t>Otros ingresos</w:t>
            </w:r>
          </w:p>
        </w:tc>
        <w:tc>
          <w:tcPr>
            <w:tcW w:w="455" w:type="pct"/>
            <w:vMerge w:val="restart"/>
            <w:tcBorders>
              <w:top w:val="nil"/>
              <w:left w:val="single" w:sz="4" w:space="0" w:color="auto"/>
              <w:bottom w:val="single" w:sz="4" w:space="0" w:color="auto"/>
              <w:right w:val="single" w:sz="4" w:space="0" w:color="auto"/>
            </w:tcBorders>
            <w:shd w:val="clear" w:color="000000" w:fill="FFFFFF"/>
            <w:vAlign w:val="center"/>
            <w:hideMark/>
          </w:tcPr>
          <w:p w14:paraId="270CDCF9" w14:textId="77777777" w:rsidR="009F124E" w:rsidRPr="009F124E" w:rsidRDefault="009F124E" w:rsidP="009F124E">
            <w:pPr>
              <w:jc w:val="center"/>
              <w:rPr>
                <w:color w:val="000000"/>
                <w:sz w:val="12"/>
                <w:szCs w:val="12"/>
              </w:rPr>
            </w:pPr>
            <w:r w:rsidRPr="009F124E">
              <w:rPr>
                <w:sz w:val="12"/>
                <w:szCs w:val="12"/>
                <w:lang w:eastAsia="en-US"/>
              </w:rPr>
              <w:t>0.32</w:t>
            </w:r>
          </w:p>
          <w:p w14:paraId="338615FF" w14:textId="77777777" w:rsidR="009F124E" w:rsidRPr="009F124E" w:rsidRDefault="009F124E" w:rsidP="009F124E">
            <w:pPr>
              <w:jc w:val="center"/>
              <w:rPr>
                <w:color w:val="000000"/>
                <w:sz w:val="12"/>
                <w:szCs w:val="12"/>
              </w:rPr>
            </w:pPr>
          </w:p>
        </w:tc>
        <w:tc>
          <w:tcPr>
            <w:tcW w:w="455" w:type="pct"/>
            <w:vMerge w:val="restart"/>
            <w:tcBorders>
              <w:top w:val="nil"/>
              <w:left w:val="single" w:sz="4" w:space="0" w:color="auto"/>
              <w:bottom w:val="single" w:sz="4" w:space="0" w:color="auto"/>
              <w:right w:val="single" w:sz="4" w:space="0" w:color="auto"/>
            </w:tcBorders>
            <w:shd w:val="clear" w:color="000000" w:fill="FFFFFF"/>
            <w:vAlign w:val="center"/>
            <w:hideMark/>
          </w:tcPr>
          <w:p w14:paraId="3A06B3CD" w14:textId="77777777" w:rsidR="009F124E" w:rsidRPr="009F124E" w:rsidRDefault="009F124E" w:rsidP="009F124E">
            <w:pPr>
              <w:jc w:val="center"/>
              <w:rPr>
                <w:color w:val="000000"/>
                <w:sz w:val="12"/>
                <w:szCs w:val="12"/>
              </w:rPr>
            </w:pPr>
            <w:r w:rsidRPr="009F124E">
              <w:rPr>
                <w:sz w:val="12"/>
                <w:szCs w:val="12"/>
                <w:lang w:eastAsia="en-US"/>
              </w:rPr>
              <w:t>0.22</w:t>
            </w:r>
          </w:p>
          <w:p w14:paraId="2E2C82FC" w14:textId="77777777" w:rsidR="009F124E" w:rsidRPr="009F124E" w:rsidRDefault="009F124E" w:rsidP="009F124E">
            <w:pPr>
              <w:jc w:val="center"/>
              <w:rPr>
                <w:color w:val="000000"/>
                <w:sz w:val="12"/>
                <w:szCs w:val="12"/>
              </w:rPr>
            </w:pPr>
          </w:p>
        </w:tc>
        <w:tc>
          <w:tcPr>
            <w:tcW w:w="434" w:type="pct"/>
            <w:vMerge w:val="restart"/>
            <w:tcBorders>
              <w:top w:val="nil"/>
              <w:left w:val="single" w:sz="4" w:space="0" w:color="auto"/>
              <w:bottom w:val="single" w:sz="4" w:space="0" w:color="auto"/>
              <w:right w:val="nil"/>
            </w:tcBorders>
            <w:shd w:val="clear" w:color="000000" w:fill="FFFFFF"/>
            <w:vAlign w:val="center"/>
            <w:hideMark/>
          </w:tcPr>
          <w:p w14:paraId="7CA9CA45" w14:textId="77777777" w:rsidR="009F124E" w:rsidRPr="009F124E" w:rsidRDefault="009F124E" w:rsidP="009F124E">
            <w:pPr>
              <w:jc w:val="center"/>
              <w:rPr>
                <w:color w:val="000000"/>
                <w:sz w:val="12"/>
                <w:szCs w:val="12"/>
              </w:rPr>
            </w:pPr>
            <w:r w:rsidRPr="009F124E">
              <w:rPr>
                <w:sz w:val="12"/>
                <w:szCs w:val="12"/>
                <w:lang w:eastAsia="en-US"/>
              </w:rPr>
              <w:t>0.10</w:t>
            </w:r>
          </w:p>
          <w:p w14:paraId="18C1B945"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5AED5DD0" w14:textId="77777777" w:rsidR="009F124E" w:rsidRPr="009F124E" w:rsidRDefault="009F124E" w:rsidP="009F124E">
            <w:pPr>
              <w:rPr>
                <w:i/>
                <w:iCs/>
                <w:color w:val="000000"/>
                <w:sz w:val="10"/>
                <w:szCs w:val="10"/>
              </w:rPr>
            </w:pPr>
            <w:r w:rsidRPr="009F124E">
              <w:rPr>
                <w:i/>
                <w:iCs/>
                <w:color w:val="000000"/>
                <w:sz w:val="10"/>
                <w:szCs w:val="10"/>
              </w:rPr>
              <w:t>(+) Regalías</w:t>
            </w:r>
          </w:p>
        </w:tc>
      </w:tr>
      <w:tr w:rsidR="009F124E" w:rsidRPr="009F124E" w14:paraId="29CAC02B"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08D92BD8"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0E73A33C"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0549FD42"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028572E5"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vAlign w:val="center"/>
            <w:hideMark/>
          </w:tcPr>
          <w:p w14:paraId="54956B38"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033F2DC0" w14:textId="77777777" w:rsidR="009F124E" w:rsidRPr="009F124E" w:rsidRDefault="009F124E" w:rsidP="009F124E">
            <w:pPr>
              <w:rPr>
                <w:i/>
                <w:iCs/>
                <w:color w:val="000000"/>
                <w:sz w:val="10"/>
                <w:szCs w:val="10"/>
              </w:rPr>
            </w:pPr>
            <w:r w:rsidRPr="009F124E">
              <w:rPr>
                <w:i/>
                <w:iCs/>
                <w:color w:val="000000"/>
                <w:sz w:val="10"/>
                <w:szCs w:val="10"/>
              </w:rPr>
              <w:t>(+) Intereses, Multas y Mora</w:t>
            </w:r>
          </w:p>
        </w:tc>
      </w:tr>
      <w:tr w:rsidR="009F124E" w:rsidRPr="009F124E" w14:paraId="71C63C44"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623B0BE9"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0E44D5C5"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01C99E2B"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2EC5828E"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vAlign w:val="center"/>
            <w:hideMark/>
          </w:tcPr>
          <w:p w14:paraId="6A2E5E7F"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0FEC27F9" w14:textId="77777777" w:rsidR="009F124E" w:rsidRPr="009F124E" w:rsidRDefault="009F124E" w:rsidP="009F124E">
            <w:pPr>
              <w:rPr>
                <w:i/>
                <w:iCs/>
                <w:color w:val="000000"/>
                <w:sz w:val="10"/>
                <w:szCs w:val="10"/>
              </w:rPr>
            </w:pPr>
            <w:r w:rsidRPr="009F124E">
              <w:rPr>
                <w:i/>
                <w:iCs/>
                <w:color w:val="000000"/>
                <w:sz w:val="10"/>
                <w:szCs w:val="10"/>
              </w:rPr>
              <w:t>(-) Tasas consideradas como impuestos</w:t>
            </w:r>
          </w:p>
        </w:tc>
      </w:tr>
      <w:tr w:rsidR="009F124E" w:rsidRPr="009F124E" w14:paraId="47140453"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5D030179"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575C7A10"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11C3A25D"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19388881"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vAlign w:val="center"/>
            <w:hideMark/>
          </w:tcPr>
          <w:p w14:paraId="28D9719D"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38E86914" w14:textId="77777777" w:rsidR="009F124E" w:rsidRPr="009F124E" w:rsidRDefault="009F124E" w:rsidP="009F124E">
            <w:pPr>
              <w:rPr>
                <w:i/>
                <w:iCs/>
                <w:color w:val="000000"/>
                <w:sz w:val="10"/>
                <w:szCs w:val="10"/>
              </w:rPr>
            </w:pPr>
            <w:r w:rsidRPr="009F124E">
              <w:rPr>
                <w:i/>
                <w:iCs/>
                <w:color w:val="000000"/>
                <w:sz w:val="10"/>
                <w:szCs w:val="10"/>
              </w:rPr>
              <w:t>(-) Diferencias por fluctuaciones cambiarias</w:t>
            </w:r>
          </w:p>
        </w:tc>
      </w:tr>
      <w:tr w:rsidR="009F124E" w:rsidRPr="009F124E" w14:paraId="10936B3E"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65F6B8BF"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451A5400"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1E154AF6"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31E9735E"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vAlign w:val="center"/>
            <w:hideMark/>
          </w:tcPr>
          <w:p w14:paraId="63FBB93C"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4AFE15B4" w14:textId="77777777" w:rsidR="009F124E" w:rsidRPr="009F124E" w:rsidRDefault="009F124E" w:rsidP="009F124E">
            <w:pPr>
              <w:rPr>
                <w:i/>
                <w:iCs/>
                <w:color w:val="000000"/>
                <w:sz w:val="10"/>
                <w:szCs w:val="10"/>
              </w:rPr>
            </w:pPr>
            <w:r w:rsidRPr="009F124E">
              <w:rPr>
                <w:i/>
                <w:iCs/>
                <w:color w:val="000000"/>
                <w:sz w:val="10"/>
                <w:szCs w:val="10"/>
              </w:rPr>
              <w:t>(-) Transferencias corrientes de Entidades Públicas</w:t>
            </w:r>
          </w:p>
        </w:tc>
      </w:tr>
      <w:tr w:rsidR="009F124E" w:rsidRPr="009F124E" w14:paraId="0C920ABA"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0285DCA1"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646DBB51"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60B8006C"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0DF51298"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vAlign w:val="center"/>
            <w:hideMark/>
          </w:tcPr>
          <w:p w14:paraId="0DD6FF27"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single" w:sz="4" w:space="0" w:color="auto"/>
              <w:right w:val="single" w:sz="8" w:space="0" w:color="auto"/>
            </w:tcBorders>
            <w:shd w:val="clear" w:color="000000" w:fill="FFFFFF"/>
            <w:vAlign w:val="center"/>
            <w:hideMark/>
          </w:tcPr>
          <w:p w14:paraId="0C073BE9" w14:textId="77777777" w:rsidR="009F124E" w:rsidRPr="009F124E" w:rsidRDefault="009F124E" w:rsidP="009F124E">
            <w:pPr>
              <w:rPr>
                <w:i/>
                <w:iCs/>
                <w:color w:val="000000"/>
                <w:sz w:val="10"/>
                <w:szCs w:val="10"/>
              </w:rPr>
            </w:pPr>
            <w:r w:rsidRPr="009F124E">
              <w:rPr>
                <w:i/>
                <w:iCs/>
                <w:color w:val="000000"/>
                <w:sz w:val="10"/>
                <w:szCs w:val="10"/>
              </w:rPr>
              <w:t>(-) Recursos provenientes de la extinción de dominio</w:t>
            </w:r>
          </w:p>
        </w:tc>
      </w:tr>
      <w:tr w:rsidR="009F124E" w:rsidRPr="009F124E" w14:paraId="1887F43A" w14:textId="77777777" w:rsidTr="00B24770">
        <w:trPr>
          <w:trHeight w:val="68"/>
          <w:jc w:val="center"/>
        </w:trPr>
        <w:tc>
          <w:tcPr>
            <w:tcW w:w="432" w:type="pct"/>
            <w:tcBorders>
              <w:top w:val="nil"/>
              <w:left w:val="single" w:sz="8" w:space="0" w:color="auto"/>
              <w:bottom w:val="single" w:sz="4" w:space="0" w:color="auto"/>
              <w:right w:val="single" w:sz="4" w:space="0" w:color="auto"/>
            </w:tcBorders>
            <w:shd w:val="clear" w:color="000000" w:fill="8496B0"/>
            <w:noWrap/>
            <w:vAlign w:val="center"/>
            <w:hideMark/>
          </w:tcPr>
          <w:p w14:paraId="59B23412" w14:textId="77777777" w:rsidR="009F124E" w:rsidRPr="009F124E" w:rsidRDefault="009F124E" w:rsidP="009F124E">
            <w:pPr>
              <w:jc w:val="center"/>
              <w:rPr>
                <w:b/>
                <w:bCs/>
                <w:color w:val="FFFFFF"/>
                <w:sz w:val="12"/>
                <w:szCs w:val="12"/>
              </w:rPr>
            </w:pPr>
            <w:r w:rsidRPr="009F124E">
              <w:rPr>
                <w:b/>
                <w:bCs/>
                <w:color w:val="FFFFFF"/>
                <w:sz w:val="12"/>
                <w:szCs w:val="12"/>
              </w:rPr>
              <w:t>N/A</w:t>
            </w:r>
          </w:p>
        </w:tc>
        <w:tc>
          <w:tcPr>
            <w:tcW w:w="1059" w:type="pct"/>
            <w:tcBorders>
              <w:top w:val="nil"/>
              <w:left w:val="nil"/>
              <w:bottom w:val="single" w:sz="4" w:space="0" w:color="auto"/>
              <w:right w:val="single" w:sz="4" w:space="0" w:color="auto"/>
            </w:tcBorders>
            <w:shd w:val="clear" w:color="000000" w:fill="EDEDED"/>
            <w:vAlign w:val="center"/>
            <w:hideMark/>
          </w:tcPr>
          <w:p w14:paraId="248480B7" w14:textId="77777777" w:rsidR="009F124E" w:rsidRPr="009F124E" w:rsidRDefault="009F124E" w:rsidP="009F124E">
            <w:pPr>
              <w:ind w:firstLineChars="100" w:firstLine="120"/>
              <w:rPr>
                <w:color w:val="000000"/>
                <w:sz w:val="12"/>
                <w:szCs w:val="12"/>
              </w:rPr>
            </w:pPr>
            <w:r w:rsidRPr="009F124E">
              <w:rPr>
                <w:color w:val="000000"/>
                <w:sz w:val="12"/>
                <w:szCs w:val="12"/>
              </w:rPr>
              <w:t xml:space="preserve">Ingresos de capital </w:t>
            </w:r>
            <w:r w:rsidRPr="009F124E">
              <w:rPr>
                <w:color w:val="000000"/>
                <w:sz w:val="12"/>
                <w:szCs w:val="12"/>
                <w:vertAlign w:val="superscript"/>
              </w:rPr>
              <w:t>1/</w:t>
            </w:r>
          </w:p>
        </w:tc>
        <w:tc>
          <w:tcPr>
            <w:tcW w:w="455" w:type="pct"/>
            <w:tcBorders>
              <w:top w:val="nil"/>
              <w:left w:val="nil"/>
              <w:bottom w:val="single" w:sz="4" w:space="0" w:color="auto"/>
              <w:right w:val="single" w:sz="4" w:space="0" w:color="auto"/>
            </w:tcBorders>
            <w:shd w:val="clear" w:color="000000" w:fill="EDEDED"/>
            <w:vAlign w:val="center"/>
            <w:hideMark/>
          </w:tcPr>
          <w:p w14:paraId="0A4AAEB8" w14:textId="77777777" w:rsidR="009F124E" w:rsidRPr="009F124E" w:rsidRDefault="009F124E" w:rsidP="009F124E">
            <w:pPr>
              <w:jc w:val="center"/>
              <w:rPr>
                <w:color w:val="000000"/>
                <w:sz w:val="12"/>
                <w:szCs w:val="12"/>
              </w:rPr>
            </w:pPr>
            <w:r w:rsidRPr="009F124E">
              <w:rPr>
                <w:sz w:val="12"/>
                <w:szCs w:val="12"/>
                <w:lang w:eastAsia="en-US"/>
              </w:rPr>
              <w:t>0.00</w:t>
            </w:r>
          </w:p>
        </w:tc>
        <w:tc>
          <w:tcPr>
            <w:tcW w:w="455" w:type="pct"/>
            <w:tcBorders>
              <w:top w:val="nil"/>
              <w:left w:val="nil"/>
              <w:bottom w:val="single" w:sz="4" w:space="0" w:color="auto"/>
              <w:right w:val="single" w:sz="4" w:space="0" w:color="auto"/>
            </w:tcBorders>
            <w:shd w:val="clear" w:color="000000" w:fill="EDEDED"/>
            <w:vAlign w:val="center"/>
            <w:hideMark/>
          </w:tcPr>
          <w:p w14:paraId="6E1D9232" w14:textId="77777777" w:rsidR="009F124E" w:rsidRPr="009F124E" w:rsidRDefault="009F124E" w:rsidP="009F124E">
            <w:pPr>
              <w:jc w:val="center"/>
              <w:rPr>
                <w:color w:val="000000"/>
                <w:sz w:val="12"/>
                <w:szCs w:val="12"/>
              </w:rPr>
            </w:pPr>
            <w:r w:rsidRPr="009F124E">
              <w:rPr>
                <w:sz w:val="12"/>
                <w:szCs w:val="12"/>
                <w:lang w:eastAsia="en-US"/>
              </w:rPr>
              <w:t>0.02</w:t>
            </w:r>
          </w:p>
        </w:tc>
        <w:tc>
          <w:tcPr>
            <w:tcW w:w="434" w:type="pct"/>
            <w:tcBorders>
              <w:top w:val="nil"/>
              <w:left w:val="nil"/>
              <w:bottom w:val="single" w:sz="4" w:space="0" w:color="auto"/>
              <w:right w:val="nil"/>
            </w:tcBorders>
            <w:shd w:val="clear" w:color="000000" w:fill="EDEDED"/>
            <w:vAlign w:val="center"/>
            <w:hideMark/>
          </w:tcPr>
          <w:p w14:paraId="7F7E81B2" w14:textId="77777777" w:rsidR="009F124E" w:rsidRPr="009F124E" w:rsidRDefault="009F124E" w:rsidP="009F124E">
            <w:pPr>
              <w:jc w:val="center"/>
              <w:rPr>
                <w:color w:val="000000"/>
                <w:sz w:val="12"/>
                <w:szCs w:val="12"/>
              </w:rPr>
            </w:pPr>
            <w:r w:rsidRPr="009F124E">
              <w:rPr>
                <w:sz w:val="12"/>
                <w:szCs w:val="12"/>
                <w:lang w:eastAsia="en-US"/>
              </w:rPr>
              <w:t>-0.02</w:t>
            </w:r>
          </w:p>
        </w:tc>
        <w:tc>
          <w:tcPr>
            <w:tcW w:w="2165" w:type="pct"/>
            <w:tcBorders>
              <w:top w:val="nil"/>
              <w:left w:val="single" w:sz="4" w:space="0" w:color="auto"/>
              <w:bottom w:val="single" w:sz="4" w:space="0" w:color="auto"/>
              <w:right w:val="single" w:sz="8" w:space="0" w:color="auto"/>
            </w:tcBorders>
            <w:shd w:val="clear" w:color="000000" w:fill="EDEDED"/>
            <w:vAlign w:val="center"/>
            <w:hideMark/>
          </w:tcPr>
          <w:p w14:paraId="33427B7B" w14:textId="77777777" w:rsidR="009F124E" w:rsidRPr="009F124E" w:rsidRDefault="009F124E" w:rsidP="009F124E">
            <w:pPr>
              <w:rPr>
                <w:i/>
                <w:iCs/>
                <w:color w:val="000000"/>
                <w:sz w:val="10"/>
                <w:szCs w:val="10"/>
              </w:rPr>
            </w:pPr>
            <w:r w:rsidRPr="009F124E">
              <w:rPr>
                <w:i/>
                <w:iCs/>
                <w:color w:val="000000"/>
                <w:sz w:val="10"/>
                <w:szCs w:val="10"/>
              </w:rPr>
              <w:t>(-) Ingresos de capital</w:t>
            </w:r>
          </w:p>
        </w:tc>
      </w:tr>
      <w:tr w:rsidR="009F124E" w:rsidRPr="009F124E" w14:paraId="0E5A6545" w14:textId="77777777" w:rsidTr="00B24770">
        <w:trPr>
          <w:trHeight w:val="68"/>
          <w:jc w:val="center"/>
        </w:trPr>
        <w:tc>
          <w:tcPr>
            <w:tcW w:w="432" w:type="pct"/>
            <w:vMerge w:val="restart"/>
            <w:tcBorders>
              <w:top w:val="nil"/>
              <w:left w:val="single" w:sz="8" w:space="0" w:color="auto"/>
              <w:bottom w:val="single" w:sz="4" w:space="0" w:color="000000"/>
              <w:right w:val="single" w:sz="4" w:space="0" w:color="auto"/>
            </w:tcBorders>
            <w:shd w:val="clear" w:color="000000" w:fill="8496B0"/>
            <w:noWrap/>
            <w:vAlign w:val="center"/>
            <w:hideMark/>
          </w:tcPr>
          <w:p w14:paraId="32B1270B" w14:textId="77777777" w:rsidR="009F124E" w:rsidRPr="009F124E" w:rsidRDefault="009F124E" w:rsidP="009F124E">
            <w:pPr>
              <w:jc w:val="center"/>
              <w:rPr>
                <w:b/>
                <w:bCs/>
                <w:i/>
                <w:iCs/>
                <w:color w:val="FFFFFF"/>
                <w:sz w:val="12"/>
                <w:szCs w:val="12"/>
              </w:rPr>
            </w:pPr>
            <w:r w:rsidRPr="009F124E">
              <w:rPr>
                <w:b/>
                <w:bCs/>
                <w:i/>
                <w:iCs/>
                <w:color w:val="FFFFFF"/>
                <w:sz w:val="12"/>
                <w:szCs w:val="12"/>
              </w:rPr>
              <w:t>2</w:t>
            </w:r>
          </w:p>
        </w:tc>
        <w:tc>
          <w:tcPr>
            <w:tcW w:w="1059" w:type="pct"/>
            <w:vMerge w:val="restart"/>
            <w:tcBorders>
              <w:top w:val="nil"/>
              <w:left w:val="single" w:sz="4" w:space="0" w:color="auto"/>
              <w:bottom w:val="single" w:sz="4" w:space="0" w:color="auto"/>
              <w:right w:val="single" w:sz="4" w:space="0" w:color="auto"/>
            </w:tcBorders>
            <w:shd w:val="clear" w:color="000000" w:fill="FFFFFF"/>
            <w:vAlign w:val="center"/>
            <w:hideMark/>
          </w:tcPr>
          <w:p w14:paraId="51339FE5" w14:textId="77777777" w:rsidR="009F124E" w:rsidRPr="009F124E" w:rsidRDefault="009F124E" w:rsidP="009F124E">
            <w:pPr>
              <w:rPr>
                <w:b/>
                <w:bCs/>
                <w:i/>
                <w:iCs/>
                <w:color w:val="000000"/>
                <w:sz w:val="12"/>
                <w:szCs w:val="12"/>
              </w:rPr>
            </w:pPr>
            <w:r w:rsidRPr="009F124E">
              <w:rPr>
                <w:b/>
                <w:bCs/>
                <w:i/>
                <w:iCs/>
                <w:color w:val="000000"/>
                <w:sz w:val="12"/>
                <w:szCs w:val="12"/>
              </w:rPr>
              <w:t>Gasto</w:t>
            </w:r>
          </w:p>
        </w:tc>
        <w:tc>
          <w:tcPr>
            <w:tcW w:w="455" w:type="pct"/>
            <w:vMerge w:val="restart"/>
            <w:tcBorders>
              <w:top w:val="nil"/>
              <w:left w:val="single" w:sz="4" w:space="0" w:color="auto"/>
              <w:bottom w:val="single" w:sz="4" w:space="0" w:color="auto"/>
              <w:right w:val="single" w:sz="4" w:space="0" w:color="auto"/>
            </w:tcBorders>
            <w:shd w:val="clear" w:color="000000" w:fill="FFFFFF"/>
            <w:vAlign w:val="center"/>
            <w:hideMark/>
          </w:tcPr>
          <w:p w14:paraId="4489F84C" w14:textId="77777777" w:rsidR="009F124E" w:rsidRPr="009F124E" w:rsidRDefault="009F124E" w:rsidP="009F124E">
            <w:pPr>
              <w:jc w:val="center"/>
              <w:rPr>
                <w:b/>
                <w:bCs/>
                <w:i/>
                <w:iCs/>
                <w:color w:val="000000"/>
                <w:sz w:val="12"/>
                <w:szCs w:val="12"/>
              </w:rPr>
            </w:pPr>
            <w:r w:rsidRPr="009F124E">
              <w:rPr>
                <w:b/>
                <w:bCs/>
                <w:sz w:val="12"/>
                <w:szCs w:val="12"/>
                <w:lang w:eastAsia="en-US"/>
              </w:rPr>
              <w:t>14.03</w:t>
            </w:r>
          </w:p>
          <w:p w14:paraId="7C0748DB" w14:textId="77777777" w:rsidR="009F124E" w:rsidRPr="009F124E" w:rsidRDefault="009F124E" w:rsidP="009F124E">
            <w:pPr>
              <w:jc w:val="center"/>
              <w:rPr>
                <w:b/>
                <w:bCs/>
                <w:i/>
                <w:iCs/>
                <w:color w:val="000000"/>
                <w:sz w:val="12"/>
                <w:szCs w:val="12"/>
              </w:rPr>
            </w:pPr>
          </w:p>
        </w:tc>
        <w:tc>
          <w:tcPr>
            <w:tcW w:w="455" w:type="pct"/>
            <w:vMerge w:val="restart"/>
            <w:tcBorders>
              <w:top w:val="nil"/>
              <w:left w:val="single" w:sz="4" w:space="0" w:color="auto"/>
              <w:bottom w:val="single" w:sz="4" w:space="0" w:color="auto"/>
              <w:right w:val="single" w:sz="4" w:space="0" w:color="auto"/>
            </w:tcBorders>
            <w:shd w:val="clear" w:color="000000" w:fill="FFFFFF"/>
            <w:vAlign w:val="center"/>
            <w:hideMark/>
          </w:tcPr>
          <w:p w14:paraId="3E83042D" w14:textId="77777777" w:rsidR="009F124E" w:rsidRPr="009F124E" w:rsidRDefault="009F124E" w:rsidP="009F124E">
            <w:pPr>
              <w:jc w:val="center"/>
              <w:rPr>
                <w:b/>
                <w:bCs/>
                <w:color w:val="000000"/>
                <w:sz w:val="12"/>
                <w:szCs w:val="12"/>
              </w:rPr>
            </w:pPr>
            <w:r w:rsidRPr="009F124E">
              <w:rPr>
                <w:b/>
                <w:bCs/>
                <w:sz w:val="12"/>
                <w:szCs w:val="12"/>
                <w:lang w:eastAsia="en-US"/>
              </w:rPr>
              <w:t>14.36</w:t>
            </w:r>
          </w:p>
          <w:p w14:paraId="43440DAF" w14:textId="77777777" w:rsidR="009F124E" w:rsidRPr="009F124E" w:rsidRDefault="009F124E" w:rsidP="009F124E">
            <w:pPr>
              <w:jc w:val="center"/>
              <w:rPr>
                <w:b/>
                <w:bCs/>
                <w:color w:val="000000"/>
                <w:sz w:val="12"/>
                <w:szCs w:val="12"/>
              </w:rPr>
            </w:pPr>
          </w:p>
        </w:tc>
        <w:tc>
          <w:tcPr>
            <w:tcW w:w="434" w:type="pct"/>
            <w:vMerge w:val="restart"/>
            <w:tcBorders>
              <w:top w:val="nil"/>
              <w:left w:val="single" w:sz="4" w:space="0" w:color="auto"/>
              <w:bottom w:val="single" w:sz="4" w:space="0" w:color="auto"/>
              <w:right w:val="nil"/>
            </w:tcBorders>
            <w:shd w:val="clear" w:color="000000" w:fill="FFFFFF"/>
            <w:vAlign w:val="center"/>
            <w:hideMark/>
          </w:tcPr>
          <w:p w14:paraId="24CDDC86" w14:textId="77777777" w:rsidR="009F124E" w:rsidRPr="009F124E" w:rsidRDefault="009F124E" w:rsidP="009F124E">
            <w:pPr>
              <w:jc w:val="center"/>
              <w:rPr>
                <w:b/>
                <w:bCs/>
                <w:i/>
                <w:iCs/>
                <w:color w:val="000000"/>
                <w:sz w:val="12"/>
                <w:szCs w:val="12"/>
              </w:rPr>
            </w:pPr>
            <w:r w:rsidRPr="009F124E">
              <w:rPr>
                <w:b/>
                <w:bCs/>
                <w:sz w:val="12"/>
                <w:szCs w:val="12"/>
                <w:lang w:eastAsia="en-US"/>
              </w:rPr>
              <w:t>-0.33</w:t>
            </w:r>
          </w:p>
          <w:p w14:paraId="0891D461" w14:textId="77777777" w:rsidR="009F124E" w:rsidRPr="009F124E" w:rsidRDefault="009F124E" w:rsidP="009F124E">
            <w:pPr>
              <w:jc w:val="center"/>
              <w:rPr>
                <w:b/>
                <w:bCs/>
                <w:i/>
                <w:iCs/>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5D8D3C97" w14:textId="77777777" w:rsidR="009F124E" w:rsidRPr="009F124E" w:rsidRDefault="009F124E" w:rsidP="009F124E">
            <w:pPr>
              <w:rPr>
                <w:i/>
                <w:iCs/>
                <w:color w:val="000000"/>
                <w:sz w:val="10"/>
                <w:szCs w:val="10"/>
              </w:rPr>
            </w:pPr>
            <w:r w:rsidRPr="009F124E">
              <w:rPr>
                <w:i/>
                <w:iCs/>
                <w:color w:val="000000"/>
                <w:sz w:val="10"/>
                <w:szCs w:val="10"/>
              </w:rPr>
              <w:t>(-) Equipo militar y de Seguridad</w:t>
            </w:r>
          </w:p>
        </w:tc>
      </w:tr>
      <w:tr w:rsidR="009F124E" w:rsidRPr="009F124E" w14:paraId="5F2480A2"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3CEBB792" w14:textId="77777777" w:rsidR="009F124E" w:rsidRPr="009F124E" w:rsidRDefault="009F124E" w:rsidP="009F124E">
            <w:pPr>
              <w:rPr>
                <w:b/>
                <w:bCs/>
                <w:i/>
                <w:i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39EE3C06" w14:textId="77777777" w:rsidR="009F124E" w:rsidRPr="009F124E" w:rsidRDefault="009F124E" w:rsidP="009F124E">
            <w:pPr>
              <w:rPr>
                <w:b/>
                <w:bCs/>
                <w:i/>
                <w:iCs/>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03817FCF" w14:textId="77777777" w:rsidR="009F124E" w:rsidRPr="009F124E" w:rsidRDefault="009F124E" w:rsidP="009F124E">
            <w:pPr>
              <w:jc w:val="center"/>
              <w:rPr>
                <w:b/>
                <w:bCs/>
                <w:i/>
                <w:iCs/>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1A10E292" w14:textId="77777777" w:rsidR="009F124E" w:rsidRPr="009F124E" w:rsidRDefault="009F124E" w:rsidP="009F124E">
            <w:pPr>
              <w:jc w:val="center"/>
              <w:rPr>
                <w:b/>
                <w:bCs/>
                <w:color w:val="000000"/>
                <w:sz w:val="12"/>
                <w:szCs w:val="12"/>
              </w:rPr>
            </w:pPr>
          </w:p>
        </w:tc>
        <w:tc>
          <w:tcPr>
            <w:tcW w:w="434" w:type="pct"/>
            <w:vMerge/>
            <w:tcBorders>
              <w:top w:val="nil"/>
              <w:left w:val="single" w:sz="4" w:space="0" w:color="auto"/>
              <w:bottom w:val="single" w:sz="4" w:space="0" w:color="auto"/>
              <w:right w:val="nil"/>
            </w:tcBorders>
            <w:vAlign w:val="center"/>
            <w:hideMark/>
          </w:tcPr>
          <w:p w14:paraId="14D0C1A0" w14:textId="77777777" w:rsidR="009F124E" w:rsidRPr="009F124E" w:rsidRDefault="009F124E" w:rsidP="009F124E">
            <w:pPr>
              <w:jc w:val="center"/>
              <w:rPr>
                <w:b/>
                <w:bCs/>
                <w:i/>
                <w:iCs/>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27A0CEA6" w14:textId="77777777" w:rsidR="009F124E" w:rsidRPr="009F124E" w:rsidRDefault="009F124E" w:rsidP="009F124E">
            <w:pPr>
              <w:rPr>
                <w:i/>
                <w:iCs/>
                <w:color w:val="000000"/>
                <w:sz w:val="10"/>
                <w:szCs w:val="10"/>
              </w:rPr>
            </w:pPr>
            <w:r w:rsidRPr="009F124E">
              <w:rPr>
                <w:i/>
                <w:iCs/>
                <w:color w:val="000000"/>
                <w:sz w:val="10"/>
                <w:szCs w:val="10"/>
              </w:rPr>
              <w:t>(-) Devoluciones</w:t>
            </w:r>
          </w:p>
        </w:tc>
      </w:tr>
      <w:tr w:rsidR="009F124E" w:rsidRPr="009F124E" w14:paraId="3E3E985C"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1667A7E3" w14:textId="77777777" w:rsidR="009F124E" w:rsidRPr="009F124E" w:rsidRDefault="009F124E" w:rsidP="009F124E">
            <w:pPr>
              <w:rPr>
                <w:b/>
                <w:bCs/>
                <w:i/>
                <w:i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21A06B8F" w14:textId="77777777" w:rsidR="009F124E" w:rsidRPr="009F124E" w:rsidRDefault="009F124E" w:rsidP="009F124E">
            <w:pPr>
              <w:rPr>
                <w:b/>
                <w:bCs/>
                <w:i/>
                <w:iCs/>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224B1A5A" w14:textId="77777777" w:rsidR="009F124E" w:rsidRPr="009F124E" w:rsidRDefault="009F124E" w:rsidP="009F124E">
            <w:pPr>
              <w:jc w:val="center"/>
              <w:rPr>
                <w:b/>
                <w:bCs/>
                <w:i/>
                <w:iCs/>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363EBA86" w14:textId="77777777" w:rsidR="009F124E" w:rsidRPr="009F124E" w:rsidRDefault="009F124E" w:rsidP="009F124E">
            <w:pPr>
              <w:jc w:val="center"/>
              <w:rPr>
                <w:b/>
                <w:bCs/>
                <w:color w:val="000000"/>
                <w:sz w:val="12"/>
                <w:szCs w:val="12"/>
              </w:rPr>
            </w:pPr>
          </w:p>
        </w:tc>
        <w:tc>
          <w:tcPr>
            <w:tcW w:w="434" w:type="pct"/>
            <w:vMerge/>
            <w:tcBorders>
              <w:top w:val="nil"/>
              <w:left w:val="single" w:sz="4" w:space="0" w:color="auto"/>
              <w:bottom w:val="single" w:sz="4" w:space="0" w:color="auto"/>
              <w:right w:val="nil"/>
            </w:tcBorders>
            <w:vAlign w:val="center"/>
            <w:hideMark/>
          </w:tcPr>
          <w:p w14:paraId="1F8679A1" w14:textId="77777777" w:rsidR="009F124E" w:rsidRPr="009F124E" w:rsidRDefault="009F124E" w:rsidP="009F124E">
            <w:pPr>
              <w:jc w:val="center"/>
              <w:rPr>
                <w:b/>
                <w:bCs/>
                <w:i/>
                <w:iCs/>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04F4CBE4" w14:textId="77777777" w:rsidR="009F124E" w:rsidRPr="009F124E" w:rsidRDefault="009F124E" w:rsidP="009F124E">
            <w:pPr>
              <w:rPr>
                <w:i/>
                <w:iCs/>
                <w:color w:val="000000"/>
                <w:sz w:val="10"/>
                <w:szCs w:val="10"/>
              </w:rPr>
            </w:pPr>
            <w:r w:rsidRPr="009F124E">
              <w:rPr>
                <w:i/>
                <w:iCs/>
                <w:color w:val="000000"/>
                <w:sz w:val="10"/>
                <w:szCs w:val="10"/>
              </w:rPr>
              <w:t>(-) Descuentos de deuda</w:t>
            </w:r>
          </w:p>
        </w:tc>
      </w:tr>
      <w:tr w:rsidR="009F124E" w:rsidRPr="009F124E" w14:paraId="0717C022"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0267D38C" w14:textId="77777777" w:rsidR="009F124E" w:rsidRPr="009F124E" w:rsidRDefault="009F124E" w:rsidP="009F124E">
            <w:pPr>
              <w:rPr>
                <w:b/>
                <w:bCs/>
                <w:i/>
                <w:i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642B5855" w14:textId="77777777" w:rsidR="009F124E" w:rsidRPr="009F124E" w:rsidRDefault="009F124E" w:rsidP="009F124E">
            <w:pPr>
              <w:rPr>
                <w:b/>
                <w:bCs/>
                <w:i/>
                <w:iCs/>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6DE890BE" w14:textId="77777777" w:rsidR="009F124E" w:rsidRPr="009F124E" w:rsidRDefault="009F124E" w:rsidP="009F124E">
            <w:pPr>
              <w:jc w:val="center"/>
              <w:rPr>
                <w:b/>
                <w:bCs/>
                <w:i/>
                <w:iCs/>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0E05AE08" w14:textId="77777777" w:rsidR="009F124E" w:rsidRPr="009F124E" w:rsidRDefault="009F124E" w:rsidP="009F124E">
            <w:pPr>
              <w:jc w:val="center"/>
              <w:rPr>
                <w:b/>
                <w:bCs/>
                <w:color w:val="000000"/>
                <w:sz w:val="12"/>
                <w:szCs w:val="12"/>
              </w:rPr>
            </w:pPr>
          </w:p>
        </w:tc>
        <w:tc>
          <w:tcPr>
            <w:tcW w:w="434" w:type="pct"/>
            <w:vMerge/>
            <w:tcBorders>
              <w:top w:val="nil"/>
              <w:left w:val="single" w:sz="4" w:space="0" w:color="auto"/>
              <w:bottom w:val="single" w:sz="4" w:space="0" w:color="auto"/>
              <w:right w:val="nil"/>
            </w:tcBorders>
            <w:vAlign w:val="center"/>
            <w:hideMark/>
          </w:tcPr>
          <w:p w14:paraId="0AF216B1" w14:textId="77777777" w:rsidR="009F124E" w:rsidRPr="009F124E" w:rsidRDefault="009F124E" w:rsidP="009F124E">
            <w:pPr>
              <w:jc w:val="center"/>
              <w:rPr>
                <w:b/>
                <w:bCs/>
                <w:i/>
                <w:iCs/>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045D371B" w14:textId="77777777" w:rsidR="009F124E" w:rsidRPr="009F124E" w:rsidRDefault="009F124E" w:rsidP="009F124E">
            <w:pPr>
              <w:rPr>
                <w:i/>
                <w:iCs/>
                <w:color w:val="000000"/>
                <w:sz w:val="10"/>
                <w:szCs w:val="10"/>
              </w:rPr>
            </w:pPr>
            <w:r w:rsidRPr="009F124E">
              <w:rPr>
                <w:i/>
                <w:iCs/>
                <w:color w:val="000000"/>
                <w:sz w:val="10"/>
                <w:szCs w:val="10"/>
              </w:rPr>
              <w:t>(-) Inversión Real Directa y Financiera</w:t>
            </w:r>
          </w:p>
        </w:tc>
      </w:tr>
      <w:tr w:rsidR="009F124E" w:rsidRPr="009F124E" w14:paraId="6A84B6B1"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35328A1B" w14:textId="77777777" w:rsidR="009F124E" w:rsidRPr="009F124E" w:rsidRDefault="009F124E" w:rsidP="009F124E">
            <w:pPr>
              <w:rPr>
                <w:b/>
                <w:bCs/>
                <w:i/>
                <w:i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6EE8F8A9" w14:textId="77777777" w:rsidR="009F124E" w:rsidRPr="009F124E" w:rsidRDefault="009F124E" w:rsidP="009F124E">
            <w:pPr>
              <w:rPr>
                <w:b/>
                <w:bCs/>
                <w:i/>
                <w:iCs/>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7A9856D7" w14:textId="77777777" w:rsidR="009F124E" w:rsidRPr="009F124E" w:rsidRDefault="009F124E" w:rsidP="009F124E">
            <w:pPr>
              <w:jc w:val="center"/>
              <w:rPr>
                <w:b/>
                <w:bCs/>
                <w:i/>
                <w:iCs/>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4148623A" w14:textId="77777777" w:rsidR="009F124E" w:rsidRPr="009F124E" w:rsidRDefault="009F124E" w:rsidP="009F124E">
            <w:pPr>
              <w:jc w:val="center"/>
              <w:rPr>
                <w:b/>
                <w:bCs/>
                <w:color w:val="000000"/>
                <w:sz w:val="12"/>
                <w:szCs w:val="12"/>
              </w:rPr>
            </w:pPr>
          </w:p>
        </w:tc>
        <w:tc>
          <w:tcPr>
            <w:tcW w:w="434" w:type="pct"/>
            <w:vMerge/>
            <w:tcBorders>
              <w:top w:val="nil"/>
              <w:left w:val="single" w:sz="4" w:space="0" w:color="auto"/>
              <w:bottom w:val="single" w:sz="4" w:space="0" w:color="auto"/>
              <w:right w:val="nil"/>
            </w:tcBorders>
            <w:vAlign w:val="center"/>
            <w:hideMark/>
          </w:tcPr>
          <w:p w14:paraId="10ED291C" w14:textId="77777777" w:rsidR="009F124E" w:rsidRPr="009F124E" w:rsidRDefault="009F124E" w:rsidP="009F124E">
            <w:pPr>
              <w:jc w:val="center"/>
              <w:rPr>
                <w:b/>
                <w:bCs/>
                <w:i/>
                <w:iCs/>
                <w:color w:val="000000"/>
                <w:sz w:val="12"/>
                <w:szCs w:val="12"/>
              </w:rPr>
            </w:pPr>
          </w:p>
        </w:tc>
        <w:tc>
          <w:tcPr>
            <w:tcW w:w="2165" w:type="pct"/>
            <w:tcBorders>
              <w:top w:val="nil"/>
              <w:left w:val="single" w:sz="4" w:space="0" w:color="auto"/>
              <w:bottom w:val="single" w:sz="4" w:space="0" w:color="auto"/>
              <w:right w:val="single" w:sz="8" w:space="0" w:color="auto"/>
            </w:tcBorders>
            <w:shd w:val="clear" w:color="000000" w:fill="FFFFFF"/>
            <w:vAlign w:val="center"/>
            <w:hideMark/>
          </w:tcPr>
          <w:p w14:paraId="754EC912" w14:textId="77777777" w:rsidR="009F124E" w:rsidRPr="009F124E" w:rsidRDefault="009F124E" w:rsidP="009F124E">
            <w:pPr>
              <w:rPr>
                <w:i/>
                <w:iCs/>
                <w:color w:val="000000"/>
                <w:sz w:val="10"/>
                <w:szCs w:val="10"/>
              </w:rPr>
            </w:pPr>
            <w:r w:rsidRPr="009F124E">
              <w:rPr>
                <w:i/>
                <w:iCs/>
                <w:color w:val="000000"/>
                <w:sz w:val="10"/>
                <w:szCs w:val="10"/>
              </w:rPr>
              <w:t>(+) Contribuciones Sociales Imputadas</w:t>
            </w:r>
          </w:p>
        </w:tc>
      </w:tr>
      <w:tr w:rsidR="009F124E" w:rsidRPr="009F124E" w14:paraId="40E90DD0" w14:textId="77777777" w:rsidTr="00B24770">
        <w:trPr>
          <w:trHeight w:val="68"/>
          <w:jc w:val="center"/>
        </w:trPr>
        <w:tc>
          <w:tcPr>
            <w:tcW w:w="432" w:type="pct"/>
            <w:vMerge w:val="restart"/>
            <w:tcBorders>
              <w:top w:val="nil"/>
              <w:left w:val="single" w:sz="8" w:space="0" w:color="auto"/>
              <w:bottom w:val="single" w:sz="4" w:space="0" w:color="000000"/>
              <w:right w:val="single" w:sz="4" w:space="0" w:color="auto"/>
            </w:tcBorders>
            <w:shd w:val="clear" w:color="000000" w:fill="8496B0"/>
            <w:noWrap/>
            <w:vAlign w:val="center"/>
            <w:hideMark/>
          </w:tcPr>
          <w:p w14:paraId="00618796" w14:textId="77777777" w:rsidR="009F124E" w:rsidRPr="009F124E" w:rsidRDefault="009F124E" w:rsidP="009F124E">
            <w:pPr>
              <w:jc w:val="center"/>
              <w:rPr>
                <w:b/>
                <w:bCs/>
                <w:color w:val="FFFFFF"/>
                <w:sz w:val="12"/>
                <w:szCs w:val="12"/>
              </w:rPr>
            </w:pPr>
            <w:r w:rsidRPr="009F124E">
              <w:rPr>
                <w:b/>
                <w:bCs/>
                <w:color w:val="FFFFFF"/>
                <w:sz w:val="12"/>
                <w:szCs w:val="12"/>
              </w:rPr>
              <w:t>21</w:t>
            </w:r>
          </w:p>
        </w:tc>
        <w:tc>
          <w:tcPr>
            <w:tcW w:w="1059" w:type="pct"/>
            <w:vMerge w:val="restart"/>
            <w:tcBorders>
              <w:top w:val="nil"/>
              <w:left w:val="single" w:sz="4" w:space="0" w:color="auto"/>
              <w:bottom w:val="single" w:sz="4" w:space="0" w:color="auto"/>
              <w:right w:val="single" w:sz="4" w:space="0" w:color="auto"/>
            </w:tcBorders>
            <w:shd w:val="clear" w:color="000000" w:fill="EDEDED"/>
            <w:vAlign w:val="center"/>
            <w:hideMark/>
          </w:tcPr>
          <w:p w14:paraId="389B2C75" w14:textId="77777777" w:rsidR="009F124E" w:rsidRPr="009F124E" w:rsidRDefault="009F124E" w:rsidP="009F124E">
            <w:pPr>
              <w:ind w:firstLineChars="100" w:firstLine="120"/>
              <w:rPr>
                <w:color w:val="000000"/>
                <w:sz w:val="12"/>
                <w:szCs w:val="12"/>
              </w:rPr>
            </w:pPr>
            <w:r w:rsidRPr="009F124E">
              <w:rPr>
                <w:color w:val="000000"/>
                <w:sz w:val="12"/>
                <w:szCs w:val="12"/>
              </w:rPr>
              <w:t xml:space="preserve">Remuneración a los empleados </w:t>
            </w:r>
          </w:p>
        </w:tc>
        <w:tc>
          <w:tcPr>
            <w:tcW w:w="455" w:type="pct"/>
            <w:vMerge w:val="restart"/>
            <w:tcBorders>
              <w:top w:val="nil"/>
              <w:left w:val="single" w:sz="4" w:space="0" w:color="auto"/>
              <w:bottom w:val="single" w:sz="4" w:space="0" w:color="auto"/>
              <w:right w:val="single" w:sz="4" w:space="0" w:color="auto"/>
            </w:tcBorders>
            <w:shd w:val="clear" w:color="000000" w:fill="EDEDED"/>
            <w:vAlign w:val="center"/>
            <w:hideMark/>
          </w:tcPr>
          <w:p w14:paraId="3405495E" w14:textId="77777777" w:rsidR="009F124E" w:rsidRPr="009F124E" w:rsidRDefault="009F124E" w:rsidP="009F124E">
            <w:pPr>
              <w:jc w:val="center"/>
              <w:rPr>
                <w:color w:val="000000"/>
                <w:sz w:val="12"/>
                <w:szCs w:val="12"/>
              </w:rPr>
            </w:pPr>
            <w:r w:rsidRPr="009F124E">
              <w:rPr>
                <w:sz w:val="12"/>
                <w:szCs w:val="12"/>
                <w:lang w:eastAsia="en-US"/>
              </w:rPr>
              <w:t>4.38</w:t>
            </w:r>
          </w:p>
          <w:p w14:paraId="49DC5A3D" w14:textId="77777777" w:rsidR="009F124E" w:rsidRPr="009F124E" w:rsidRDefault="009F124E" w:rsidP="009F124E">
            <w:pPr>
              <w:jc w:val="center"/>
              <w:rPr>
                <w:color w:val="000000"/>
                <w:sz w:val="12"/>
                <w:szCs w:val="12"/>
              </w:rPr>
            </w:pPr>
          </w:p>
        </w:tc>
        <w:tc>
          <w:tcPr>
            <w:tcW w:w="455" w:type="pct"/>
            <w:vMerge w:val="restart"/>
            <w:tcBorders>
              <w:top w:val="nil"/>
              <w:left w:val="single" w:sz="4" w:space="0" w:color="auto"/>
              <w:bottom w:val="single" w:sz="4" w:space="0" w:color="auto"/>
              <w:right w:val="single" w:sz="4" w:space="0" w:color="auto"/>
            </w:tcBorders>
            <w:shd w:val="clear" w:color="000000" w:fill="EDEDED"/>
            <w:vAlign w:val="center"/>
            <w:hideMark/>
          </w:tcPr>
          <w:p w14:paraId="257EADC1" w14:textId="77777777" w:rsidR="009F124E" w:rsidRPr="009F124E" w:rsidRDefault="009F124E" w:rsidP="009F124E">
            <w:pPr>
              <w:jc w:val="center"/>
              <w:rPr>
                <w:color w:val="000000"/>
                <w:sz w:val="12"/>
                <w:szCs w:val="12"/>
              </w:rPr>
            </w:pPr>
            <w:r w:rsidRPr="009F124E">
              <w:rPr>
                <w:sz w:val="12"/>
                <w:szCs w:val="12"/>
                <w:lang w:eastAsia="en-US"/>
              </w:rPr>
              <w:t>4.07</w:t>
            </w:r>
          </w:p>
          <w:p w14:paraId="07DC858E" w14:textId="77777777" w:rsidR="009F124E" w:rsidRPr="009F124E" w:rsidRDefault="009F124E" w:rsidP="009F124E">
            <w:pPr>
              <w:jc w:val="center"/>
              <w:rPr>
                <w:color w:val="000000"/>
                <w:sz w:val="12"/>
                <w:szCs w:val="12"/>
              </w:rPr>
            </w:pPr>
          </w:p>
        </w:tc>
        <w:tc>
          <w:tcPr>
            <w:tcW w:w="434" w:type="pct"/>
            <w:vMerge w:val="restart"/>
            <w:tcBorders>
              <w:top w:val="nil"/>
              <w:left w:val="single" w:sz="4" w:space="0" w:color="auto"/>
              <w:bottom w:val="single" w:sz="4" w:space="0" w:color="auto"/>
              <w:right w:val="nil"/>
            </w:tcBorders>
            <w:shd w:val="clear" w:color="000000" w:fill="EDEDED"/>
            <w:vAlign w:val="center"/>
            <w:hideMark/>
          </w:tcPr>
          <w:p w14:paraId="31FC5428" w14:textId="77777777" w:rsidR="009F124E" w:rsidRPr="009F124E" w:rsidRDefault="009F124E" w:rsidP="009F124E">
            <w:pPr>
              <w:jc w:val="center"/>
              <w:rPr>
                <w:color w:val="000000"/>
                <w:sz w:val="12"/>
                <w:szCs w:val="12"/>
              </w:rPr>
            </w:pPr>
            <w:r w:rsidRPr="009F124E">
              <w:rPr>
                <w:sz w:val="12"/>
                <w:szCs w:val="12"/>
                <w:lang w:eastAsia="en-US"/>
              </w:rPr>
              <w:t>0.31</w:t>
            </w:r>
          </w:p>
          <w:p w14:paraId="38354585"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EDEDED"/>
            <w:vAlign w:val="center"/>
            <w:hideMark/>
          </w:tcPr>
          <w:p w14:paraId="6EB8C1A0" w14:textId="77777777" w:rsidR="009F124E" w:rsidRPr="009F124E" w:rsidRDefault="009F124E" w:rsidP="009F124E">
            <w:pPr>
              <w:rPr>
                <w:i/>
                <w:iCs/>
                <w:color w:val="000000"/>
                <w:sz w:val="10"/>
                <w:szCs w:val="10"/>
              </w:rPr>
            </w:pPr>
            <w:r w:rsidRPr="009F124E">
              <w:rPr>
                <w:i/>
                <w:iCs/>
                <w:color w:val="000000"/>
                <w:sz w:val="10"/>
                <w:szCs w:val="10"/>
              </w:rPr>
              <w:t>(-) Indemnizaciones</w:t>
            </w:r>
          </w:p>
        </w:tc>
      </w:tr>
      <w:tr w:rsidR="009F124E" w:rsidRPr="009F124E" w14:paraId="7C7B3A0F"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47C3B39D"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39CE59B7"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3C54867D"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11B84E6B"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vAlign w:val="center"/>
            <w:hideMark/>
          </w:tcPr>
          <w:p w14:paraId="66A50CA6"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EDEDED"/>
            <w:vAlign w:val="center"/>
            <w:hideMark/>
          </w:tcPr>
          <w:p w14:paraId="64E33BD5" w14:textId="77777777" w:rsidR="009F124E" w:rsidRPr="009F124E" w:rsidRDefault="009F124E" w:rsidP="009F124E">
            <w:pPr>
              <w:rPr>
                <w:i/>
                <w:iCs/>
                <w:color w:val="000000"/>
                <w:sz w:val="10"/>
                <w:szCs w:val="10"/>
              </w:rPr>
            </w:pPr>
            <w:r w:rsidRPr="009F124E">
              <w:rPr>
                <w:i/>
                <w:iCs/>
                <w:color w:val="000000"/>
                <w:sz w:val="10"/>
                <w:szCs w:val="10"/>
              </w:rPr>
              <w:t>(-) Vacaciones pagados por retiro</w:t>
            </w:r>
          </w:p>
        </w:tc>
      </w:tr>
      <w:tr w:rsidR="009F124E" w:rsidRPr="009F124E" w14:paraId="07EF6E01"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1E6F4FEE"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2F5A2851"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30C97083"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3AEE1733"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vAlign w:val="center"/>
            <w:hideMark/>
          </w:tcPr>
          <w:p w14:paraId="5AFCCF8D"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single" w:sz="4" w:space="0" w:color="auto"/>
              <w:right w:val="single" w:sz="8" w:space="0" w:color="auto"/>
            </w:tcBorders>
            <w:shd w:val="clear" w:color="000000" w:fill="EDEDED"/>
            <w:vAlign w:val="center"/>
            <w:hideMark/>
          </w:tcPr>
          <w:p w14:paraId="2FB32DC3" w14:textId="77777777" w:rsidR="009F124E" w:rsidRPr="009F124E" w:rsidRDefault="009F124E" w:rsidP="009F124E">
            <w:pPr>
              <w:rPr>
                <w:i/>
                <w:iCs/>
                <w:color w:val="000000"/>
                <w:sz w:val="10"/>
                <w:szCs w:val="10"/>
              </w:rPr>
            </w:pPr>
            <w:r w:rsidRPr="009F124E">
              <w:rPr>
                <w:i/>
                <w:iCs/>
                <w:color w:val="000000"/>
                <w:sz w:val="10"/>
                <w:szCs w:val="10"/>
              </w:rPr>
              <w:t>(+) Contribuciones Sociales Imputadas</w:t>
            </w:r>
          </w:p>
        </w:tc>
      </w:tr>
      <w:tr w:rsidR="009F124E" w:rsidRPr="009F124E" w14:paraId="5FDAD048" w14:textId="77777777" w:rsidTr="00B24770">
        <w:trPr>
          <w:trHeight w:val="68"/>
          <w:jc w:val="center"/>
        </w:trPr>
        <w:tc>
          <w:tcPr>
            <w:tcW w:w="432" w:type="pct"/>
            <w:vMerge w:val="restart"/>
            <w:tcBorders>
              <w:top w:val="nil"/>
              <w:left w:val="single" w:sz="8" w:space="0" w:color="auto"/>
              <w:bottom w:val="single" w:sz="4" w:space="0" w:color="000000"/>
              <w:right w:val="single" w:sz="4" w:space="0" w:color="auto"/>
            </w:tcBorders>
            <w:shd w:val="clear" w:color="000000" w:fill="8496B0"/>
            <w:noWrap/>
            <w:vAlign w:val="center"/>
            <w:hideMark/>
          </w:tcPr>
          <w:p w14:paraId="075BDFE1" w14:textId="77777777" w:rsidR="009F124E" w:rsidRPr="009F124E" w:rsidRDefault="009F124E" w:rsidP="009F124E">
            <w:pPr>
              <w:jc w:val="center"/>
              <w:rPr>
                <w:b/>
                <w:bCs/>
                <w:color w:val="FFFFFF"/>
                <w:sz w:val="12"/>
                <w:szCs w:val="12"/>
              </w:rPr>
            </w:pPr>
            <w:r w:rsidRPr="009F124E">
              <w:rPr>
                <w:b/>
                <w:bCs/>
                <w:color w:val="FFFFFF"/>
                <w:sz w:val="12"/>
                <w:szCs w:val="12"/>
              </w:rPr>
              <w:t>22</w:t>
            </w:r>
          </w:p>
        </w:tc>
        <w:tc>
          <w:tcPr>
            <w:tcW w:w="1059" w:type="pct"/>
            <w:vMerge w:val="restart"/>
            <w:tcBorders>
              <w:top w:val="nil"/>
              <w:left w:val="single" w:sz="4" w:space="0" w:color="auto"/>
              <w:bottom w:val="single" w:sz="4" w:space="0" w:color="auto"/>
              <w:right w:val="single" w:sz="4" w:space="0" w:color="auto"/>
            </w:tcBorders>
            <w:shd w:val="clear" w:color="000000" w:fill="FFFFFF"/>
            <w:vAlign w:val="center"/>
            <w:hideMark/>
          </w:tcPr>
          <w:p w14:paraId="6AA86119" w14:textId="77777777" w:rsidR="009F124E" w:rsidRPr="009F124E" w:rsidRDefault="009F124E" w:rsidP="009F124E">
            <w:pPr>
              <w:ind w:firstLineChars="100" w:firstLine="120"/>
              <w:rPr>
                <w:color w:val="000000"/>
                <w:sz w:val="12"/>
                <w:szCs w:val="12"/>
              </w:rPr>
            </w:pPr>
            <w:r w:rsidRPr="009F124E">
              <w:rPr>
                <w:color w:val="000000"/>
                <w:sz w:val="12"/>
                <w:szCs w:val="12"/>
              </w:rPr>
              <w:t>Uso de bienes y servicios</w:t>
            </w:r>
          </w:p>
        </w:tc>
        <w:tc>
          <w:tcPr>
            <w:tcW w:w="455" w:type="pct"/>
            <w:vMerge w:val="restart"/>
            <w:tcBorders>
              <w:top w:val="nil"/>
              <w:left w:val="single" w:sz="4" w:space="0" w:color="auto"/>
              <w:bottom w:val="single" w:sz="4" w:space="0" w:color="auto"/>
              <w:right w:val="single" w:sz="4" w:space="0" w:color="auto"/>
            </w:tcBorders>
            <w:shd w:val="clear" w:color="000000" w:fill="FFFFFF"/>
            <w:vAlign w:val="center"/>
            <w:hideMark/>
          </w:tcPr>
          <w:p w14:paraId="58A1FC48" w14:textId="77777777" w:rsidR="009F124E" w:rsidRPr="009F124E" w:rsidRDefault="009F124E" w:rsidP="009F124E">
            <w:pPr>
              <w:jc w:val="center"/>
              <w:rPr>
                <w:color w:val="000000"/>
                <w:sz w:val="12"/>
                <w:szCs w:val="12"/>
              </w:rPr>
            </w:pPr>
            <w:r w:rsidRPr="009F124E">
              <w:rPr>
                <w:sz w:val="12"/>
                <w:szCs w:val="12"/>
                <w:lang w:eastAsia="en-US"/>
              </w:rPr>
              <w:t>2.26</w:t>
            </w:r>
          </w:p>
          <w:p w14:paraId="59584E31" w14:textId="77777777" w:rsidR="009F124E" w:rsidRPr="009F124E" w:rsidRDefault="009F124E" w:rsidP="009F124E">
            <w:pPr>
              <w:jc w:val="center"/>
              <w:rPr>
                <w:color w:val="000000"/>
                <w:sz w:val="12"/>
                <w:szCs w:val="12"/>
              </w:rPr>
            </w:pPr>
          </w:p>
        </w:tc>
        <w:tc>
          <w:tcPr>
            <w:tcW w:w="455" w:type="pct"/>
            <w:vMerge w:val="restart"/>
            <w:tcBorders>
              <w:top w:val="nil"/>
              <w:left w:val="single" w:sz="4" w:space="0" w:color="auto"/>
              <w:bottom w:val="single" w:sz="4" w:space="0" w:color="auto"/>
              <w:right w:val="single" w:sz="4" w:space="0" w:color="auto"/>
            </w:tcBorders>
            <w:shd w:val="clear" w:color="000000" w:fill="FFFFFF"/>
            <w:vAlign w:val="center"/>
            <w:hideMark/>
          </w:tcPr>
          <w:p w14:paraId="2BBC8731" w14:textId="77777777" w:rsidR="009F124E" w:rsidRPr="009F124E" w:rsidRDefault="009F124E" w:rsidP="009F124E">
            <w:pPr>
              <w:jc w:val="center"/>
              <w:rPr>
                <w:color w:val="000000"/>
                <w:sz w:val="12"/>
                <w:szCs w:val="12"/>
              </w:rPr>
            </w:pPr>
            <w:r w:rsidRPr="009F124E">
              <w:rPr>
                <w:sz w:val="12"/>
                <w:szCs w:val="12"/>
                <w:lang w:eastAsia="en-US"/>
              </w:rPr>
              <w:t>2.40</w:t>
            </w:r>
          </w:p>
          <w:p w14:paraId="7A9B3106" w14:textId="77777777" w:rsidR="009F124E" w:rsidRPr="009F124E" w:rsidRDefault="009F124E" w:rsidP="009F124E">
            <w:pPr>
              <w:jc w:val="center"/>
              <w:rPr>
                <w:color w:val="000000"/>
                <w:sz w:val="12"/>
                <w:szCs w:val="12"/>
              </w:rPr>
            </w:pPr>
          </w:p>
        </w:tc>
        <w:tc>
          <w:tcPr>
            <w:tcW w:w="434" w:type="pct"/>
            <w:vMerge w:val="restart"/>
            <w:tcBorders>
              <w:top w:val="nil"/>
              <w:left w:val="single" w:sz="4" w:space="0" w:color="auto"/>
              <w:bottom w:val="single" w:sz="4" w:space="0" w:color="auto"/>
              <w:right w:val="nil"/>
            </w:tcBorders>
            <w:shd w:val="clear" w:color="000000" w:fill="FFFFFF"/>
            <w:vAlign w:val="center"/>
            <w:hideMark/>
          </w:tcPr>
          <w:p w14:paraId="2EB4A54C" w14:textId="77777777" w:rsidR="009F124E" w:rsidRPr="009F124E" w:rsidRDefault="009F124E" w:rsidP="009F124E">
            <w:pPr>
              <w:jc w:val="center"/>
              <w:rPr>
                <w:color w:val="000000"/>
                <w:sz w:val="12"/>
                <w:szCs w:val="12"/>
              </w:rPr>
            </w:pPr>
            <w:r w:rsidRPr="009F124E">
              <w:rPr>
                <w:sz w:val="12"/>
                <w:szCs w:val="12"/>
                <w:lang w:eastAsia="en-US"/>
              </w:rPr>
              <w:t>-0.13</w:t>
            </w:r>
          </w:p>
          <w:p w14:paraId="633620A9"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2E8FDB3F" w14:textId="77777777" w:rsidR="009F124E" w:rsidRPr="009F124E" w:rsidRDefault="009F124E" w:rsidP="009F124E">
            <w:pPr>
              <w:rPr>
                <w:i/>
                <w:iCs/>
                <w:color w:val="000000"/>
                <w:sz w:val="10"/>
                <w:szCs w:val="10"/>
              </w:rPr>
            </w:pPr>
            <w:r w:rsidRPr="009F124E">
              <w:rPr>
                <w:i/>
                <w:iCs/>
                <w:color w:val="000000"/>
                <w:sz w:val="10"/>
                <w:szCs w:val="10"/>
              </w:rPr>
              <w:t>(-) Primas y gastos de seguros y fianzas</w:t>
            </w:r>
          </w:p>
        </w:tc>
      </w:tr>
      <w:tr w:rsidR="009F124E" w:rsidRPr="009F124E" w14:paraId="7BF5F3C1"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68755689"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7885B3B0"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3C4B52AF"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30AFE535"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vAlign w:val="center"/>
            <w:hideMark/>
          </w:tcPr>
          <w:p w14:paraId="66F8EFBA"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7711ABBA" w14:textId="77777777" w:rsidR="009F124E" w:rsidRPr="009F124E" w:rsidRDefault="009F124E" w:rsidP="009F124E">
            <w:pPr>
              <w:rPr>
                <w:i/>
                <w:iCs/>
                <w:color w:val="000000"/>
                <w:sz w:val="10"/>
                <w:szCs w:val="10"/>
              </w:rPr>
            </w:pPr>
            <w:r w:rsidRPr="009F124E">
              <w:rPr>
                <w:i/>
                <w:iCs/>
                <w:color w:val="000000"/>
                <w:sz w:val="10"/>
                <w:szCs w:val="10"/>
              </w:rPr>
              <w:t>(-) Equipo militar y de Seguridad</w:t>
            </w:r>
          </w:p>
        </w:tc>
      </w:tr>
      <w:tr w:rsidR="009F124E" w:rsidRPr="009F124E" w14:paraId="362324DC"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2595369D"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685CF67B"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5168B788"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3955B6FF"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vAlign w:val="center"/>
            <w:hideMark/>
          </w:tcPr>
          <w:p w14:paraId="285A1F44"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246E4A3F" w14:textId="77777777" w:rsidR="009F124E" w:rsidRPr="009F124E" w:rsidRDefault="009F124E" w:rsidP="009F124E">
            <w:pPr>
              <w:rPr>
                <w:i/>
                <w:iCs/>
                <w:color w:val="000000"/>
                <w:sz w:val="10"/>
                <w:szCs w:val="10"/>
              </w:rPr>
            </w:pPr>
            <w:r w:rsidRPr="009F124E">
              <w:rPr>
                <w:i/>
                <w:iCs/>
                <w:color w:val="000000"/>
                <w:sz w:val="10"/>
                <w:szCs w:val="10"/>
              </w:rPr>
              <w:t>(+) Arrendamiento de Tierra y Terrenos</w:t>
            </w:r>
          </w:p>
        </w:tc>
      </w:tr>
      <w:tr w:rsidR="009F124E" w:rsidRPr="009F124E" w14:paraId="033251BE"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7D49DAD1"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155C8E65"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1ACF85F2"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265252CF"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vAlign w:val="center"/>
            <w:hideMark/>
          </w:tcPr>
          <w:p w14:paraId="3F3F8406"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02B8B632" w14:textId="77777777" w:rsidR="009F124E" w:rsidRPr="009F124E" w:rsidRDefault="009F124E" w:rsidP="009F124E">
            <w:pPr>
              <w:rPr>
                <w:i/>
                <w:iCs/>
                <w:color w:val="000000"/>
                <w:sz w:val="10"/>
                <w:szCs w:val="10"/>
              </w:rPr>
            </w:pPr>
            <w:r w:rsidRPr="009F124E">
              <w:rPr>
                <w:i/>
                <w:iCs/>
                <w:color w:val="000000"/>
                <w:sz w:val="10"/>
                <w:szCs w:val="10"/>
              </w:rPr>
              <w:t>(+) Derechos sobre Bienes Intangibles</w:t>
            </w:r>
          </w:p>
        </w:tc>
      </w:tr>
      <w:tr w:rsidR="009F124E" w:rsidRPr="009F124E" w14:paraId="5C38EB91"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3C7694A2"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2C30D494"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6857F9C5"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1215E9C3"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vAlign w:val="center"/>
            <w:hideMark/>
          </w:tcPr>
          <w:p w14:paraId="6DB5A698"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6CC4FD5E" w14:textId="77777777" w:rsidR="009F124E" w:rsidRPr="009F124E" w:rsidRDefault="009F124E" w:rsidP="009F124E">
            <w:pPr>
              <w:rPr>
                <w:i/>
                <w:iCs/>
                <w:color w:val="000000"/>
                <w:sz w:val="10"/>
                <w:szCs w:val="10"/>
              </w:rPr>
            </w:pPr>
            <w:r w:rsidRPr="009F124E">
              <w:rPr>
                <w:i/>
                <w:iCs/>
                <w:color w:val="000000"/>
                <w:sz w:val="10"/>
                <w:szCs w:val="10"/>
              </w:rPr>
              <w:t>(-) Gastos por Emergencias y Calamidades</w:t>
            </w:r>
          </w:p>
        </w:tc>
      </w:tr>
      <w:tr w:rsidR="009F124E" w:rsidRPr="009F124E" w14:paraId="2B54523F"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0EB21396"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60A62946"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618A3CB7"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0F4833F7"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vAlign w:val="center"/>
            <w:hideMark/>
          </w:tcPr>
          <w:p w14:paraId="5FFE4B64"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399F322A" w14:textId="77777777" w:rsidR="009F124E" w:rsidRPr="009F124E" w:rsidRDefault="009F124E" w:rsidP="009F124E">
            <w:pPr>
              <w:rPr>
                <w:i/>
                <w:iCs/>
                <w:color w:val="000000"/>
                <w:sz w:val="10"/>
                <w:szCs w:val="10"/>
              </w:rPr>
            </w:pPr>
            <w:r w:rsidRPr="009F124E">
              <w:rPr>
                <w:i/>
                <w:iCs/>
                <w:color w:val="000000"/>
                <w:sz w:val="10"/>
                <w:szCs w:val="10"/>
              </w:rPr>
              <w:t>(-) Sentencias Judiciales</w:t>
            </w:r>
          </w:p>
        </w:tc>
      </w:tr>
      <w:tr w:rsidR="009F124E" w:rsidRPr="009F124E" w14:paraId="389C2A1E"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5CE3FE52"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31A07BE9"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74BE779A"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49FF469B"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vAlign w:val="center"/>
            <w:hideMark/>
          </w:tcPr>
          <w:p w14:paraId="6144854B"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single" w:sz="4" w:space="0" w:color="auto"/>
              <w:right w:val="single" w:sz="8" w:space="0" w:color="auto"/>
            </w:tcBorders>
            <w:shd w:val="clear" w:color="000000" w:fill="FFFFFF"/>
            <w:vAlign w:val="center"/>
            <w:hideMark/>
          </w:tcPr>
          <w:p w14:paraId="1CBA780C" w14:textId="77777777" w:rsidR="009F124E" w:rsidRPr="009F124E" w:rsidRDefault="009F124E" w:rsidP="009F124E">
            <w:pPr>
              <w:rPr>
                <w:i/>
                <w:iCs/>
                <w:color w:val="000000"/>
                <w:sz w:val="10"/>
                <w:szCs w:val="10"/>
              </w:rPr>
            </w:pPr>
            <w:r w:rsidRPr="009F124E">
              <w:rPr>
                <w:i/>
                <w:iCs/>
                <w:color w:val="000000"/>
                <w:sz w:val="10"/>
                <w:szCs w:val="10"/>
              </w:rPr>
              <w:t>(-) Gastos no previstos (para funcionamiento)</w:t>
            </w:r>
          </w:p>
        </w:tc>
      </w:tr>
      <w:tr w:rsidR="009F124E" w:rsidRPr="009F124E" w14:paraId="660FBD03" w14:textId="77777777" w:rsidTr="00B24770">
        <w:trPr>
          <w:trHeight w:val="68"/>
          <w:jc w:val="center"/>
        </w:trPr>
        <w:tc>
          <w:tcPr>
            <w:tcW w:w="432" w:type="pct"/>
            <w:tcBorders>
              <w:top w:val="nil"/>
              <w:left w:val="single" w:sz="8" w:space="0" w:color="auto"/>
              <w:bottom w:val="single" w:sz="4" w:space="0" w:color="auto"/>
              <w:right w:val="single" w:sz="4" w:space="0" w:color="auto"/>
            </w:tcBorders>
            <w:shd w:val="clear" w:color="000000" w:fill="8496B0"/>
            <w:noWrap/>
            <w:vAlign w:val="center"/>
            <w:hideMark/>
          </w:tcPr>
          <w:p w14:paraId="5A089EDB" w14:textId="77777777" w:rsidR="009F124E" w:rsidRPr="009F124E" w:rsidRDefault="009F124E" w:rsidP="009F124E">
            <w:pPr>
              <w:jc w:val="center"/>
              <w:rPr>
                <w:b/>
                <w:bCs/>
                <w:color w:val="FFFFFF"/>
                <w:sz w:val="12"/>
                <w:szCs w:val="12"/>
              </w:rPr>
            </w:pPr>
            <w:r w:rsidRPr="009F124E">
              <w:rPr>
                <w:b/>
                <w:bCs/>
                <w:color w:val="FFFFFF"/>
                <w:sz w:val="12"/>
                <w:szCs w:val="12"/>
              </w:rPr>
              <w:t>24</w:t>
            </w:r>
          </w:p>
        </w:tc>
        <w:tc>
          <w:tcPr>
            <w:tcW w:w="1059" w:type="pct"/>
            <w:tcBorders>
              <w:top w:val="nil"/>
              <w:left w:val="nil"/>
              <w:bottom w:val="single" w:sz="4" w:space="0" w:color="auto"/>
              <w:right w:val="single" w:sz="4" w:space="0" w:color="auto"/>
            </w:tcBorders>
            <w:shd w:val="clear" w:color="000000" w:fill="EDEDED"/>
            <w:vAlign w:val="center"/>
            <w:hideMark/>
          </w:tcPr>
          <w:p w14:paraId="17C32F39" w14:textId="77777777" w:rsidR="009F124E" w:rsidRPr="009F124E" w:rsidRDefault="009F124E" w:rsidP="009F124E">
            <w:pPr>
              <w:ind w:firstLineChars="100" w:firstLine="120"/>
              <w:rPr>
                <w:color w:val="000000"/>
                <w:sz w:val="12"/>
                <w:szCs w:val="12"/>
              </w:rPr>
            </w:pPr>
            <w:r w:rsidRPr="009F124E">
              <w:rPr>
                <w:color w:val="000000"/>
                <w:sz w:val="12"/>
                <w:szCs w:val="12"/>
              </w:rPr>
              <w:t>Intereses</w:t>
            </w:r>
          </w:p>
        </w:tc>
        <w:tc>
          <w:tcPr>
            <w:tcW w:w="455" w:type="pct"/>
            <w:tcBorders>
              <w:top w:val="nil"/>
              <w:left w:val="nil"/>
              <w:bottom w:val="single" w:sz="4" w:space="0" w:color="auto"/>
              <w:right w:val="single" w:sz="4" w:space="0" w:color="auto"/>
            </w:tcBorders>
            <w:shd w:val="clear" w:color="000000" w:fill="EDEDED"/>
            <w:vAlign w:val="center"/>
            <w:hideMark/>
          </w:tcPr>
          <w:p w14:paraId="35F75441" w14:textId="77777777" w:rsidR="009F124E" w:rsidRPr="009F124E" w:rsidRDefault="009F124E" w:rsidP="009F124E">
            <w:pPr>
              <w:jc w:val="center"/>
              <w:rPr>
                <w:color w:val="000000"/>
                <w:sz w:val="12"/>
                <w:szCs w:val="12"/>
              </w:rPr>
            </w:pPr>
            <w:r w:rsidRPr="009F124E">
              <w:rPr>
                <w:sz w:val="12"/>
                <w:szCs w:val="12"/>
                <w:lang w:eastAsia="en-US"/>
              </w:rPr>
              <w:t>1.65</w:t>
            </w:r>
          </w:p>
        </w:tc>
        <w:tc>
          <w:tcPr>
            <w:tcW w:w="455" w:type="pct"/>
            <w:tcBorders>
              <w:top w:val="nil"/>
              <w:left w:val="nil"/>
              <w:bottom w:val="single" w:sz="4" w:space="0" w:color="auto"/>
              <w:right w:val="single" w:sz="4" w:space="0" w:color="auto"/>
            </w:tcBorders>
            <w:shd w:val="clear" w:color="000000" w:fill="EDEDED"/>
            <w:vAlign w:val="center"/>
            <w:hideMark/>
          </w:tcPr>
          <w:p w14:paraId="6C682471" w14:textId="77777777" w:rsidR="009F124E" w:rsidRPr="009F124E" w:rsidRDefault="009F124E" w:rsidP="009F124E">
            <w:pPr>
              <w:jc w:val="center"/>
              <w:rPr>
                <w:color w:val="000000"/>
                <w:sz w:val="12"/>
                <w:szCs w:val="12"/>
              </w:rPr>
            </w:pPr>
            <w:r w:rsidRPr="009F124E">
              <w:rPr>
                <w:sz w:val="12"/>
                <w:szCs w:val="12"/>
                <w:lang w:eastAsia="en-US"/>
              </w:rPr>
              <w:t>1.67</w:t>
            </w:r>
          </w:p>
        </w:tc>
        <w:tc>
          <w:tcPr>
            <w:tcW w:w="434" w:type="pct"/>
            <w:tcBorders>
              <w:top w:val="nil"/>
              <w:left w:val="nil"/>
              <w:bottom w:val="single" w:sz="4" w:space="0" w:color="auto"/>
              <w:right w:val="nil"/>
            </w:tcBorders>
            <w:shd w:val="clear" w:color="000000" w:fill="EDEDED"/>
            <w:vAlign w:val="center"/>
            <w:hideMark/>
          </w:tcPr>
          <w:p w14:paraId="724AF34A" w14:textId="77777777" w:rsidR="009F124E" w:rsidRPr="009F124E" w:rsidRDefault="009F124E" w:rsidP="009F124E">
            <w:pPr>
              <w:jc w:val="center"/>
              <w:rPr>
                <w:color w:val="000000"/>
                <w:sz w:val="12"/>
                <w:szCs w:val="12"/>
              </w:rPr>
            </w:pPr>
            <w:r w:rsidRPr="009F124E">
              <w:rPr>
                <w:sz w:val="12"/>
                <w:szCs w:val="12"/>
                <w:lang w:eastAsia="en-US"/>
              </w:rPr>
              <w:t>-0.02</w:t>
            </w:r>
          </w:p>
        </w:tc>
        <w:tc>
          <w:tcPr>
            <w:tcW w:w="2165" w:type="pct"/>
            <w:tcBorders>
              <w:top w:val="nil"/>
              <w:left w:val="single" w:sz="4" w:space="0" w:color="auto"/>
              <w:bottom w:val="single" w:sz="4" w:space="0" w:color="auto"/>
              <w:right w:val="single" w:sz="8" w:space="0" w:color="auto"/>
            </w:tcBorders>
            <w:shd w:val="clear" w:color="000000" w:fill="EDEDED"/>
            <w:vAlign w:val="center"/>
            <w:hideMark/>
          </w:tcPr>
          <w:p w14:paraId="406461FB" w14:textId="77777777" w:rsidR="009F124E" w:rsidRPr="009F124E" w:rsidRDefault="009F124E" w:rsidP="009F124E">
            <w:pPr>
              <w:rPr>
                <w:i/>
                <w:iCs/>
                <w:color w:val="000000"/>
                <w:sz w:val="10"/>
                <w:szCs w:val="10"/>
              </w:rPr>
            </w:pPr>
            <w:r w:rsidRPr="009F124E">
              <w:rPr>
                <w:i/>
                <w:iCs/>
                <w:color w:val="000000"/>
                <w:sz w:val="10"/>
                <w:szCs w:val="10"/>
              </w:rPr>
              <w:t>(-) Descuentos de deuda</w:t>
            </w:r>
          </w:p>
        </w:tc>
      </w:tr>
      <w:tr w:rsidR="009F124E" w:rsidRPr="009F124E" w14:paraId="3A269A6A" w14:textId="77777777" w:rsidTr="00B24770">
        <w:trPr>
          <w:trHeight w:val="68"/>
          <w:jc w:val="center"/>
        </w:trPr>
        <w:tc>
          <w:tcPr>
            <w:tcW w:w="432" w:type="pct"/>
            <w:tcBorders>
              <w:top w:val="nil"/>
              <w:left w:val="single" w:sz="8" w:space="0" w:color="auto"/>
              <w:bottom w:val="single" w:sz="4" w:space="0" w:color="auto"/>
              <w:right w:val="single" w:sz="4" w:space="0" w:color="auto"/>
            </w:tcBorders>
            <w:shd w:val="clear" w:color="000000" w:fill="8496B0"/>
            <w:noWrap/>
            <w:vAlign w:val="center"/>
            <w:hideMark/>
          </w:tcPr>
          <w:p w14:paraId="04D30C56" w14:textId="77777777" w:rsidR="009F124E" w:rsidRPr="009F124E" w:rsidRDefault="009F124E" w:rsidP="009F124E">
            <w:pPr>
              <w:jc w:val="center"/>
              <w:rPr>
                <w:b/>
                <w:bCs/>
                <w:color w:val="FFFFFF"/>
                <w:sz w:val="12"/>
                <w:szCs w:val="12"/>
              </w:rPr>
            </w:pPr>
            <w:r w:rsidRPr="009F124E">
              <w:rPr>
                <w:b/>
                <w:bCs/>
                <w:color w:val="FFFFFF"/>
                <w:sz w:val="12"/>
                <w:szCs w:val="12"/>
              </w:rPr>
              <w:t>25</w:t>
            </w:r>
          </w:p>
        </w:tc>
        <w:tc>
          <w:tcPr>
            <w:tcW w:w="1059" w:type="pct"/>
            <w:tcBorders>
              <w:top w:val="nil"/>
              <w:left w:val="nil"/>
              <w:bottom w:val="single" w:sz="4" w:space="0" w:color="auto"/>
              <w:right w:val="single" w:sz="4" w:space="0" w:color="auto"/>
            </w:tcBorders>
            <w:shd w:val="clear" w:color="000000" w:fill="FFFFFF"/>
            <w:vAlign w:val="center"/>
            <w:hideMark/>
          </w:tcPr>
          <w:p w14:paraId="2F8CF677" w14:textId="77777777" w:rsidR="009F124E" w:rsidRPr="009F124E" w:rsidRDefault="009F124E" w:rsidP="009F124E">
            <w:pPr>
              <w:ind w:firstLineChars="100" w:firstLine="120"/>
              <w:rPr>
                <w:color w:val="000000"/>
                <w:sz w:val="12"/>
                <w:szCs w:val="12"/>
              </w:rPr>
            </w:pPr>
            <w:r w:rsidRPr="009F124E">
              <w:rPr>
                <w:color w:val="000000"/>
                <w:sz w:val="12"/>
                <w:szCs w:val="12"/>
              </w:rPr>
              <w:t>Subsidios</w:t>
            </w:r>
          </w:p>
        </w:tc>
        <w:tc>
          <w:tcPr>
            <w:tcW w:w="455" w:type="pct"/>
            <w:tcBorders>
              <w:top w:val="nil"/>
              <w:left w:val="nil"/>
              <w:bottom w:val="single" w:sz="4" w:space="0" w:color="auto"/>
              <w:right w:val="single" w:sz="4" w:space="0" w:color="auto"/>
            </w:tcBorders>
            <w:shd w:val="clear" w:color="000000" w:fill="FFFFFF"/>
            <w:vAlign w:val="center"/>
            <w:hideMark/>
          </w:tcPr>
          <w:p w14:paraId="4DD8080C" w14:textId="77777777" w:rsidR="009F124E" w:rsidRPr="009F124E" w:rsidRDefault="009F124E" w:rsidP="009F124E">
            <w:pPr>
              <w:jc w:val="center"/>
              <w:rPr>
                <w:color w:val="000000"/>
                <w:sz w:val="12"/>
                <w:szCs w:val="12"/>
              </w:rPr>
            </w:pPr>
            <w:r w:rsidRPr="009F124E">
              <w:rPr>
                <w:sz w:val="12"/>
                <w:szCs w:val="12"/>
                <w:lang w:eastAsia="en-US"/>
              </w:rPr>
              <w:t>0.47</w:t>
            </w:r>
          </w:p>
        </w:tc>
        <w:tc>
          <w:tcPr>
            <w:tcW w:w="455" w:type="pct"/>
            <w:tcBorders>
              <w:top w:val="nil"/>
              <w:left w:val="nil"/>
              <w:bottom w:val="single" w:sz="4" w:space="0" w:color="auto"/>
              <w:right w:val="single" w:sz="4" w:space="0" w:color="auto"/>
            </w:tcBorders>
            <w:shd w:val="clear" w:color="000000" w:fill="FFFFFF"/>
            <w:vAlign w:val="center"/>
          </w:tcPr>
          <w:p w14:paraId="73B9A5DF" w14:textId="77777777" w:rsidR="009F124E" w:rsidRPr="009F124E" w:rsidRDefault="009F124E" w:rsidP="009F124E">
            <w:pPr>
              <w:jc w:val="center"/>
              <w:rPr>
                <w:color w:val="000000"/>
                <w:sz w:val="12"/>
                <w:szCs w:val="12"/>
              </w:rPr>
            </w:pPr>
            <w:r w:rsidRPr="009F124E">
              <w:rPr>
                <w:sz w:val="12"/>
                <w:szCs w:val="12"/>
                <w:lang w:eastAsia="en-US"/>
              </w:rPr>
              <w:t>0.00</w:t>
            </w:r>
          </w:p>
        </w:tc>
        <w:tc>
          <w:tcPr>
            <w:tcW w:w="434" w:type="pct"/>
            <w:tcBorders>
              <w:top w:val="nil"/>
              <w:left w:val="nil"/>
              <w:bottom w:val="single" w:sz="4" w:space="0" w:color="auto"/>
              <w:right w:val="nil"/>
            </w:tcBorders>
            <w:shd w:val="clear" w:color="000000" w:fill="FFFFFF"/>
            <w:vAlign w:val="center"/>
            <w:hideMark/>
          </w:tcPr>
          <w:p w14:paraId="341D6355" w14:textId="77777777" w:rsidR="009F124E" w:rsidRPr="009F124E" w:rsidRDefault="009F124E" w:rsidP="009F124E">
            <w:pPr>
              <w:jc w:val="center"/>
              <w:rPr>
                <w:color w:val="000000"/>
                <w:sz w:val="12"/>
                <w:szCs w:val="12"/>
              </w:rPr>
            </w:pPr>
            <w:r w:rsidRPr="009F124E">
              <w:rPr>
                <w:sz w:val="12"/>
                <w:szCs w:val="12"/>
                <w:lang w:eastAsia="en-US"/>
              </w:rPr>
              <w:t>0.47</w:t>
            </w:r>
          </w:p>
        </w:tc>
        <w:tc>
          <w:tcPr>
            <w:tcW w:w="2165" w:type="pct"/>
            <w:tcBorders>
              <w:top w:val="nil"/>
              <w:left w:val="single" w:sz="4" w:space="0" w:color="auto"/>
              <w:bottom w:val="single" w:sz="4" w:space="0" w:color="auto"/>
              <w:right w:val="single" w:sz="8" w:space="0" w:color="auto"/>
            </w:tcBorders>
            <w:shd w:val="clear" w:color="000000" w:fill="FFFFFF"/>
            <w:vAlign w:val="center"/>
            <w:hideMark/>
          </w:tcPr>
          <w:p w14:paraId="66788F84" w14:textId="77777777" w:rsidR="009F124E" w:rsidRPr="009F124E" w:rsidRDefault="009F124E" w:rsidP="009F124E">
            <w:pPr>
              <w:rPr>
                <w:i/>
                <w:iCs/>
                <w:color w:val="000000"/>
                <w:sz w:val="10"/>
                <w:szCs w:val="10"/>
              </w:rPr>
            </w:pPr>
            <w:r w:rsidRPr="009F124E">
              <w:rPr>
                <w:i/>
                <w:iCs/>
                <w:color w:val="000000"/>
                <w:sz w:val="10"/>
                <w:szCs w:val="10"/>
              </w:rPr>
              <w:t>(+) Transferencias corrientes y de capital a Empresas</w:t>
            </w:r>
          </w:p>
        </w:tc>
      </w:tr>
      <w:tr w:rsidR="009F124E" w:rsidRPr="009F124E" w14:paraId="474BD64D" w14:textId="77777777" w:rsidTr="00B24770">
        <w:trPr>
          <w:trHeight w:val="68"/>
          <w:jc w:val="center"/>
        </w:trPr>
        <w:tc>
          <w:tcPr>
            <w:tcW w:w="432" w:type="pct"/>
            <w:vMerge w:val="restart"/>
            <w:tcBorders>
              <w:top w:val="nil"/>
              <w:left w:val="single" w:sz="8" w:space="0" w:color="auto"/>
              <w:bottom w:val="single" w:sz="4" w:space="0" w:color="000000"/>
              <w:right w:val="single" w:sz="4" w:space="0" w:color="auto"/>
            </w:tcBorders>
            <w:shd w:val="clear" w:color="000000" w:fill="8496B0"/>
            <w:noWrap/>
            <w:vAlign w:val="center"/>
            <w:hideMark/>
          </w:tcPr>
          <w:p w14:paraId="75FE97B7" w14:textId="77777777" w:rsidR="009F124E" w:rsidRPr="009F124E" w:rsidRDefault="009F124E" w:rsidP="009F124E">
            <w:pPr>
              <w:jc w:val="center"/>
              <w:rPr>
                <w:b/>
                <w:bCs/>
                <w:color w:val="FFFFFF"/>
                <w:sz w:val="12"/>
                <w:szCs w:val="12"/>
              </w:rPr>
            </w:pPr>
            <w:r w:rsidRPr="009F124E">
              <w:rPr>
                <w:b/>
                <w:bCs/>
                <w:color w:val="FFFFFF"/>
                <w:sz w:val="12"/>
                <w:szCs w:val="12"/>
              </w:rPr>
              <w:t>26</w:t>
            </w:r>
          </w:p>
        </w:tc>
        <w:tc>
          <w:tcPr>
            <w:tcW w:w="1059" w:type="pct"/>
            <w:vMerge w:val="restart"/>
            <w:tcBorders>
              <w:top w:val="nil"/>
              <w:left w:val="single" w:sz="4" w:space="0" w:color="auto"/>
              <w:bottom w:val="single" w:sz="4" w:space="0" w:color="auto"/>
              <w:right w:val="single" w:sz="4" w:space="0" w:color="auto"/>
            </w:tcBorders>
            <w:shd w:val="clear" w:color="000000" w:fill="EDEDED"/>
            <w:vAlign w:val="center"/>
            <w:hideMark/>
          </w:tcPr>
          <w:p w14:paraId="430F450F" w14:textId="77777777" w:rsidR="009F124E" w:rsidRPr="009F124E" w:rsidRDefault="009F124E" w:rsidP="009F124E">
            <w:pPr>
              <w:ind w:firstLineChars="100" w:firstLine="120"/>
              <w:rPr>
                <w:color w:val="000000"/>
                <w:sz w:val="12"/>
                <w:szCs w:val="12"/>
              </w:rPr>
            </w:pPr>
            <w:r w:rsidRPr="009F124E">
              <w:rPr>
                <w:color w:val="000000"/>
                <w:sz w:val="12"/>
                <w:szCs w:val="12"/>
              </w:rPr>
              <w:t>Donaciones</w:t>
            </w:r>
          </w:p>
        </w:tc>
        <w:tc>
          <w:tcPr>
            <w:tcW w:w="455" w:type="pct"/>
            <w:vMerge w:val="restart"/>
            <w:tcBorders>
              <w:top w:val="nil"/>
              <w:left w:val="single" w:sz="4" w:space="0" w:color="auto"/>
              <w:bottom w:val="single" w:sz="4" w:space="0" w:color="auto"/>
              <w:right w:val="single" w:sz="4" w:space="0" w:color="auto"/>
            </w:tcBorders>
            <w:shd w:val="clear" w:color="000000" w:fill="EDEDED"/>
            <w:vAlign w:val="center"/>
            <w:hideMark/>
          </w:tcPr>
          <w:p w14:paraId="3BD93AC6" w14:textId="77777777" w:rsidR="009F124E" w:rsidRPr="009F124E" w:rsidRDefault="009F124E" w:rsidP="009F124E">
            <w:pPr>
              <w:jc w:val="center"/>
              <w:rPr>
                <w:color w:val="000000"/>
                <w:sz w:val="12"/>
                <w:szCs w:val="12"/>
              </w:rPr>
            </w:pPr>
            <w:r w:rsidRPr="009F124E">
              <w:rPr>
                <w:sz w:val="12"/>
                <w:szCs w:val="12"/>
                <w:lang w:eastAsia="en-US"/>
              </w:rPr>
              <w:t>3.38</w:t>
            </w:r>
          </w:p>
          <w:p w14:paraId="17B08E1B" w14:textId="77777777" w:rsidR="009F124E" w:rsidRPr="009F124E" w:rsidRDefault="009F124E" w:rsidP="009F124E">
            <w:pPr>
              <w:jc w:val="center"/>
              <w:rPr>
                <w:color w:val="000000"/>
                <w:sz w:val="12"/>
                <w:szCs w:val="12"/>
              </w:rPr>
            </w:pPr>
          </w:p>
        </w:tc>
        <w:tc>
          <w:tcPr>
            <w:tcW w:w="455" w:type="pct"/>
            <w:vMerge w:val="restart"/>
            <w:tcBorders>
              <w:top w:val="nil"/>
              <w:left w:val="single" w:sz="4" w:space="0" w:color="auto"/>
              <w:bottom w:val="single" w:sz="4" w:space="0" w:color="auto"/>
              <w:right w:val="single" w:sz="4" w:space="0" w:color="auto"/>
            </w:tcBorders>
            <w:shd w:val="clear" w:color="000000" w:fill="EDEDED"/>
            <w:vAlign w:val="center"/>
          </w:tcPr>
          <w:p w14:paraId="6B4862EB" w14:textId="77777777" w:rsidR="009F124E" w:rsidRPr="009F124E" w:rsidRDefault="009F124E" w:rsidP="009F124E">
            <w:pPr>
              <w:jc w:val="center"/>
              <w:rPr>
                <w:color w:val="000000"/>
                <w:sz w:val="12"/>
                <w:szCs w:val="12"/>
              </w:rPr>
            </w:pPr>
            <w:r w:rsidRPr="009F124E">
              <w:rPr>
                <w:sz w:val="12"/>
                <w:szCs w:val="12"/>
                <w:lang w:eastAsia="en-US"/>
              </w:rPr>
              <w:t>0.00</w:t>
            </w:r>
          </w:p>
          <w:p w14:paraId="5307CBA7" w14:textId="77777777" w:rsidR="009F124E" w:rsidRPr="009F124E" w:rsidRDefault="009F124E" w:rsidP="009F124E">
            <w:pPr>
              <w:jc w:val="center"/>
              <w:rPr>
                <w:color w:val="000000"/>
                <w:sz w:val="12"/>
                <w:szCs w:val="12"/>
              </w:rPr>
            </w:pPr>
          </w:p>
        </w:tc>
        <w:tc>
          <w:tcPr>
            <w:tcW w:w="434" w:type="pct"/>
            <w:vMerge w:val="restart"/>
            <w:tcBorders>
              <w:top w:val="nil"/>
              <w:left w:val="single" w:sz="4" w:space="0" w:color="auto"/>
              <w:bottom w:val="single" w:sz="4" w:space="0" w:color="auto"/>
              <w:right w:val="nil"/>
            </w:tcBorders>
            <w:shd w:val="clear" w:color="000000" w:fill="EDEDED"/>
            <w:vAlign w:val="center"/>
            <w:hideMark/>
          </w:tcPr>
          <w:p w14:paraId="6D1CB04A" w14:textId="77777777" w:rsidR="009F124E" w:rsidRPr="009F124E" w:rsidRDefault="009F124E" w:rsidP="009F124E">
            <w:pPr>
              <w:jc w:val="center"/>
              <w:rPr>
                <w:color w:val="000000"/>
                <w:sz w:val="12"/>
                <w:szCs w:val="12"/>
              </w:rPr>
            </w:pPr>
            <w:r w:rsidRPr="009F124E">
              <w:rPr>
                <w:sz w:val="12"/>
                <w:szCs w:val="12"/>
                <w:lang w:eastAsia="en-US"/>
              </w:rPr>
              <w:t>3.38</w:t>
            </w:r>
          </w:p>
          <w:p w14:paraId="00A3F2EF"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EDEDED"/>
            <w:vAlign w:val="center"/>
            <w:hideMark/>
          </w:tcPr>
          <w:p w14:paraId="2CAB6B9B" w14:textId="77777777" w:rsidR="009F124E" w:rsidRPr="009F124E" w:rsidRDefault="009F124E" w:rsidP="009F124E">
            <w:pPr>
              <w:rPr>
                <w:i/>
                <w:iCs/>
                <w:color w:val="000000"/>
                <w:sz w:val="10"/>
                <w:szCs w:val="10"/>
              </w:rPr>
            </w:pPr>
            <w:r w:rsidRPr="009F124E">
              <w:rPr>
                <w:i/>
                <w:iCs/>
                <w:color w:val="000000"/>
                <w:sz w:val="10"/>
                <w:szCs w:val="10"/>
              </w:rPr>
              <w:t>(+) Transferencias corrientes y de capital al Resto del Sector Público</w:t>
            </w:r>
          </w:p>
        </w:tc>
      </w:tr>
      <w:tr w:rsidR="009F124E" w:rsidRPr="009F124E" w14:paraId="5AC5234A"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436927C5"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34277FFE"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6A65FB6D"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tcPr>
          <w:p w14:paraId="656B81BA"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vAlign w:val="center"/>
            <w:hideMark/>
          </w:tcPr>
          <w:p w14:paraId="685CA372"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EDEDED"/>
            <w:vAlign w:val="center"/>
            <w:hideMark/>
          </w:tcPr>
          <w:p w14:paraId="44F73550" w14:textId="77777777" w:rsidR="009F124E" w:rsidRPr="009F124E" w:rsidRDefault="009F124E" w:rsidP="009F124E">
            <w:pPr>
              <w:rPr>
                <w:i/>
                <w:iCs/>
                <w:color w:val="000000"/>
                <w:sz w:val="10"/>
                <w:szCs w:val="10"/>
              </w:rPr>
            </w:pPr>
            <w:r w:rsidRPr="009F124E">
              <w:rPr>
                <w:i/>
                <w:iCs/>
                <w:color w:val="000000"/>
                <w:sz w:val="10"/>
                <w:szCs w:val="10"/>
              </w:rPr>
              <w:t>(-) Transferencias corrientes y de capital a algunas Entidades Públicas</w:t>
            </w:r>
          </w:p>
        </w:tc>
      </w:tr>
      <w:tr w:rsidR="009F124E" w:rsidRPr="009F124E" w14:paraId="224A18AB"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57E7B6EE"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6F61BBA0"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1367C9EF"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tcPr>
          <w:p w14:paraId="0FBAA361"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vAlign w:val="center"/>
            <w:hideMark/>
          </w:tcPr>
          <w:p w14:paraId="061A73A5"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EDEDED"/>
            <w:vAlign w:val="center"/>
            <w:hideMark/>
          </w:tcPr>
          <w:p w14:paraId="3FD32548" w14:textId="77777777" w:rsidR="009F124E" w:rsidRPr="009F124E" w:rsidRDefault="009F124E" w:rsidP="009F124E">
            <w:pPr>
              <w:rPr>
                <w:i/>
                <w:iCs/>
                <w:color w:val="000000"/>
                <w:sz w:val="10"/>
                <w:szCs w:val="10"/>
              </w:rPr>
            </w:pPr>
            <w:r w:rsidRPr="009F124E">
              <w:rPr>
                <w:i/>
                <w:iCs/>
                <w:color w:val="000000"/>
                <w:sz w:val="10"/>
                <w:szCs w:val="10"/>
              </w:rPr>
              <w:t>(+) Gastos por Emergencias y Calamidades</w:t>
            </w:r>
          </w:p>
        </w:tc>
      </w:tr>
      <w:tr w:rsidR="009F124E" w:rsidRPr="009F124E" w14:paraId="3AFEB08E"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0FA125FA"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343A90BB"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45CF3684"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tcPr>
          <w:p w14:paraId="396B44F7"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vAlign w:val="center"/>
            <w:hideMark/>
          </w:tcPr>
          <w:p w14:paraId="6341777E"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single" w:sz="4" w:space="0" w:color="auto"/>
              <w:right w:val="single" w:sz="8" w:space="0" w:color="auto"/>
            </w:tcBorders>
            <w:shd w:val="clear" w:color="000000" w:fill="EDEDED"/>
            <w:vAlign w:val="center"/>
            <w:hideMark/>
          </w:tcPr>
          <w:p w14:paraId="61920CB7" w14:textId="77777777" w:rsidR="009F124E" w:rsidRPr="009F124E" w:rsidRDefault="009F124E" w:rsidP="009F124E">
            <w:pPr>
              <w:rPr>
                <w:i/>
                <w:iCs/>
                <w:color w:val="000000"/>
                <w:sz w:val="10"/>
                <w:szCs w:val="10"/>
              </w:rPr>
            </w:pPr>
            <w:r w:rsidRPr="009F124E">
              <w:rPr>
                <w:i/>
                <w:iCs/>
                <w:color w:val="000000"/>
                <w:sz w:val="10"/>
                <w:szCs w:val="10"/>
              </w:rPr>
              <w:t>(+) Transferencias al Sector Externo</w:t>
            </w:r>
          </w:p>
        </w:tc>
      </w:tr>
      <w:tr w:rsidR="009F124E" w:rsidRPr="009F124E" w14:paraId="47B50AB1" w14:textId="77777777" w:rsidTr="00B24770">
        <w:trPr>
          <w:trHeight w:val="68"/>
          <w:jc w:val="center"/>
        </w:trPr>
        <w:tc>
          <w:tcPr>
            <w:tcW w:w="432" w:type="pct"/>
            <w:tcBorders>
              <w:top w:val="nil"/>
              <w:left w:val="single" w:sz="8" w:space="0" w:color="auto"/>
              <w:bottom w:val="single" w:sz="4" w:space="0" w:color="auto"/>
              <w:right w:val="single" w:sz="4" w:space="0" w:color="auto"/>
            </w:tcBorders>
            <w:shd w:val="clear" w:color="000000" w:fill="8496B0"/>
            <w:noWrap/>
            <w:vAlign w:val="center"/>
            <w:hideMark/>
          </w:tcPr>
          <w:p w14:paraId="57C81CE3" w14:textId="77777777" w:rsidR="009F124E" w:rsidRPr="009F124E" w:rsidRDefault="009F124E" w:rsidP="009F124E">
            <w:pPr>
              <w:jc w:val="center"/>
              <w:rPr>
                <w:b/>
                <w:bCs/>
                <w:color w:val="FFFFFF"/>
                <w:sz w:val="12"/>
                <w:szCs w:val="12"/>
              </w:rPr>
            </w:pPr>
            <w:r w:rsidRPr="009F124E">
              <w:rPr>
                <w:b/>
                <w:bCs/>
                <w:color w:val="FFFFFF"/>
                <w:sz w:val="12"/>
                <w:szCs w:val="12"/>
              </w:rPr>
              <w:t>N/A</w:t>
            </w:r>
          </w:p>
        </w:tc>
        <w:tc>
          <w:tcPr>
            <w:tcW w:w="1059" w:type="pct"/>
            <w:tcBorders>
              <w:top w:val="nil"/>
              <w:left w:val="nil"/>
              <w:bottom w:val="single" w:sz="4" w:space="0" w:color="auto"/>
              <w:right w:val="single" w:sz="4" w:space="0" w:color="auto"/>
            </w:tcBorders>
            <w:shd w:val="clear" w:color="000000" w:fill="FFFFFF"/>
            <w:vAlign w:val="center"/>
            <w:hideMark/>
          </w:tcPr>
          <w:p w14:paraId="3309207C" w14:textId="77777777" w:rsidR="009F124E" w:rsidRPr="009F124E" w:rsidRDefault="009F124E" w:rsidP="009F124E">
            <w:pPr>
              <w:ind w:left="173"/>
              <w:rPr>
                <w:color w:val="000000"/>
                <w:sz w:val="12"/>
                <w:szCs w:val="12"/>
              </w:rPr>
            </w:pPr>
            <w:r w:rsidRPr="009F124E">
              <w:rPr>
                <w:color w:val="000000"/>
                <w:sz w:val="12"/>
                <w:szCs w:val="12"/>
              </w:rPr>
              <w:t xml:space="preserve">Transferencias corrientes y de capital </w:t>
            </w:r>
            <w:r w:rsidRPr="009F124E">
              <w:rPr>
                <w:color w:val="000000"/>
                <w:sz w:val="12"/>
                <w:szCs w:val="12"/>
                <w:vertAlign w:val="superscript"/>
              </w:rPr>
              <w:t>1/</w:t>
            </w:r>
          </w:p>
        </w:tc>
        <w:tc>
          <w:tcPr>
            <w:tcW w:w="455" w:type="pct"/>
            <w:tcBorders>
              <w:top w:val="nil"/>
              <w:left w:val="nil"/>
              <w:bottom w:val="single" w:sz="4" w:space="0" w:color="auto"/>
              <w:right w:val="single" w:sz="4" w:space="0" w:color="auto"/>
            </w:tcBorders>
            <w:shd w:val="clear" w:color="000000" w:fill="FFFFFF"/>
            <w:vAlign w:val="center"/>
            <w:hideMark/>
          </w:tcPr>
          <w:p w14:paraId="002FFDBB" w14:textId="77777777" w:rsidR="009F124E" w:rsidRPr="009F124E" w:rsidRDefault="009F124E" w:rsidP="009F124E">
            <w:pPr>
              <w:jc w:val="center"/>
              <w:rPr>
                <w:color w:val="000000"/>
                <w:sz w:val="12"/>
                <w:szCs w:val="12"/>
              </w:rPr>
            </w:pPr>
            <w:r w:rsidRPr="009F124E">
              <w:rPr>
                <w:sz w:val="12"/>
                <w:szCs w:val="12"/>
                <w:lang w:eastAsia="en-US"/>
              </w:rPr>
              <w:t>0.00</w:t>
            </w:r>
          </w:p>
        </w:tc>
        <w:tc>
          <w:tcPr>
            <w:tcW w:w="455" w:type="pct"/>
            <w:tcBorders>
              <w:top w:val="nil"/>
              <w:left w:val="nil"/>
              <w:bottom w:val="single" w:sz="4" w:space="0" w:color="auto"/>
              <w:right w:val="single" w:sz="4" w:space="0" w:color="auto"/>
            </w:tcBorders>
            <w:shd w:val="clear" w:color="000000" w:fill="FFFFFF"/>
            <w:vAlign w:val="center"/>
            <w:hideMark/>
          </w:tcPr>
          <w:p w14:paraId="4C25A9C0" w14:textId="77777777" w:rsidR="009F124E" w:rsidRPr="009F124E" w:rsidRDefault="009F124E" w:rsidP="009F124E">
            <w:pPr>
              <w:jc w:val="center"/>
              <w:rPr>
                <w:color w:val="000000"/>
                <w:sz w:val="12"/>
                <w:szCs w:val="12"/>
              </w:rPr>
            </w:pPr>
            <w:r w:rsidRPr="009F124E">
              <w:rPr>
                <w:sz w:val="12"/>
                <w:szCs w:val="12"/>
                <w:lang w:eastAsia="en-US"/>
              </w:rPr>
              <w:t>4.78</w:t>
            </w:r>
          </w:p>
        </w:tc>
        <w:tc>
          <w:tcPr>
            <w:tcW w:w="434" w:type="pct"/>
            <w:tcBorders>
              <w:top w:val="nil"/>
              <w:left w:val="nil"/>
              <w:bottom w:val="single" w:sz="4" w:space="0" w:color="auto"/>
              <w:right w:val="nil"/>
            </w:tcBorders>
            <w:shd w:val="clear" w:color="000000" w:fill="FFFFFF"/>
            <w:vAlign w:val="center"/>
            <w:hideMark/>
          </w:tcPr>
          <w:p w14:paraId="5BEE1B24" w14:textId="77777777" w:rsidR="009F124E" w:rsidRPr="009F124E" w:rsidRDefault="009F124E" w:rsidP="009F124E">
            <w:pPr>
              <w:jc w:val="center"/>
              <w:rPr>
                <w:color w:val="000000"/>
                <w:sz w:val="12"/>
                <w:szCs w:val="12"/>
              </w:rPr>
            </w:pPr>
            <w:r w:rsidRPr="009F124E">
              <w:rPr>
                <w:sz w:val="12"/>
                <w:szCs w:val="12"/>
                <w:lang w:eastAsia="en-US"/>
              </w:rPr>
              <w:t>-4.78</w:t>
            </w:r>
          </w:p>
        </w:tc>
        <w:tc>
          <w:tcPr>
            <w:tcW w:w="2165" w:type="pct"/>
            <w:tcBorders>
              <w:top w:val="nil"/>
              <w:left w:val="single" w:sz="4" w:space="0" w:color="auto"/>
              <w:bottom w:val="single" w:sz="4" w:space="0" w:color="auto"/>
              <w:right w:val="single" w:sz="8" w:space="0" w:color="auto"/>
            </w:tcBorders>
            <w:shd w:val="clear" w:color="000000" w:fill="FFFFFF"/>
            <w:vAlign w:val="center"/>
            <w:hideMark/>
          </w:tcPr>
          <w:p w14:paraId="58942DFC" w14:textId="77777777" w:rsidR="009F124E" w:rsidRPr="009F124E" w:rsidRDefault="009F124E" w:rsidP="009F124E">
            <w:pPr>
              <w:rPr>
                <w:i/>
                <w:iCs/>
                <w:color w:val="000000"/>
                <w:sz w:val="10"/>
                <w:szCs w:val="10"/>
              </w:rPr>
            </w:pPr>
            <w:r w:rsidRPr="009F124E">
              <w:rPr>
                <w:i/>
                <w:iCs/>
                <w:color w:val="000000"/>
                <w:sz w:val="10"/>
                <w:szCs w:val="10"/>
              </w:rPr>
              <w:t> </w:t>
            </w:r>
          </w:p>
        </w:tc>
      </w:tr>
      <w:tr w:rsidR="009F124E" w:rsidRPr="009F124E" w14:paraId="1ADF8B1C" w14:textId="77777777" w:rsidTr="00B24770">
        <w:trPr>
          <w:trHeight w:val="68"/>
          <w:jc w:val="center"/>
        </w:trPr>
        <w:tc>
          <w:tcPr>
            <w:tcW w:w="432" w:type="pct"/>
            <w:vMerge w:val="restart"/>
            <w:tcBorders>
              <w:top w:val="nil"/>
              <w:left w:val="single" w:sz="8" w:space="0" w:color="auto"/>
              <w:bottom w:val="single" w:sz="4" w:space="0" w:color="000000"/>
              <w:right w:val="single" w:sz="4" w:space="0" w:color="auto"/>
            </w:tcBorders>
            <w:shd w:val="clear" w:color="000000" w:fill="8496B0"/>
            <w:noWrap/>
            <w:vAlign w:val="center"/>
            <w:hideMark/>
          </w:tcPr>
          <w:p w14:paraId="07680298" w14:textId="77777777" w:rsidR="009F124E" w:rsidRPr="009F124E" w:rsidRDefault="009F124E" w:rsidP="009F124E">
            <w:pPr>
              <w:jc w:val="center"/>
              <w:rPr>
                <w:b/>
                <w:bCs/>
                <w:color w:val="FFFFFF"/>
                <w:sz w:val="12"/>
                <w:szCs w:val="12"/>
              </w:rPr>
            </w:pPr>
            <w:r w:rsidRPr="009F124E">
              <w:rPr>
                <w:b/>
                <w:bCs/>
                <w:color w:val="FFFFFF"/>
                <w:sz w:val="12"/>
                <w:szCs w:val="12"/>
              </w:rPr>
              <w:t>27</w:t>
            </w:r>
          </w:p>
        </w:tc>
        <w:tc>
          <w:tcPr>
            <w:tcW w:w="1059" w:type="pct"/>
            <w:vMerge w:val="restart"/>
            <w:tcBorders>
              <w:top w:val="nil"/>
              <w:left w:val="single" w:sz="4" w:space="0" w:color="auto"/>
              <w:bottom w:val="single" w:sz="4" w:space="0" w:color="auto"/>
              <w:right w:val="single" w:sz="4" w:space="0" w:color="auto"/>
            </w:tcBorders>
            <w:shd w:val="clear" w:color="000000" w:fill="EDEDED"/>
            <w:vAlign w:val="center"/>
            <w:hideMark/>
          </w:tcPr>
          <w:p w14:paraId="3C382FF9" w14:textId="77777777" w:rsidR="009F124E" w:rsidRPr="009F124E" w:rsidRDefault="009F124E" w:rsidP="009F124E">
            <w:pPr>
              <w:ind w:firstLineChars="100" w:firstLine="120"/>
              <w:rPr>
                <w:color w:val="000000"/>
                <w:sz w:val="12"/>
                <w:szCs w:val="12"/>
              </w:rPr>
            </w:pPr>
            <w:r w:rsidRPr="009F124E">
              <w:rPr>
                <w:color w:val="000000"/>
                <w:sz w:val="12"/>
                <w:szCs w:val="12"/>
              </w:rPr>
              <w:t>Prestaciones sociales</w:t>
            </w:r>
          </w:p>
        </w:tc>
        <w:tc>
          <w:tcPr>
            <w:tcW w:w="455" w:type="pct"/>
            <w:vMerge w:val="restart"/>
            <w:tcBorders>
              <w:top w:val="nil"/>
              <w:left w:val="single" w:sz="4" w:space="0" w:color="auto"/>
              <w:bottom w:val="single" w:sz="4" w:space="0" w:color="auto"/>
              <w:right w:val="single" w:sz="4" w:space="0" w:color="auto"/>
            </w:tcBorders>
            <w:shd w:val="clear" w:color="000000" w:fill="EDEDED"/>
            <w:vAlign w:val="center"/>
            <w:hideMark/>
          </w:tcPr>
          <w:p w14:paraId="52954A7C" w14:textId="77777777" w:rsidR="009F124E" w:rsidRPr="009F124E" w:rsidRDefault="009F124E" w:rsidP="009F124E">
            <w:pPr>
              <w:jc w:val="center"/>
              <w:rPr>
                <w:color w:val="000000"/>
                <w:sz w:val="12"/>
                <w:szCs w:val="12"/>
              </w:rPr>
            </w:pPr>
            <w:r w:rsidRPr="009F124E">
              <w:rPr>
                <w:sz w:val="12"/>
                <w:szCs w:val="12"/>
                <w:lang w:eastAsia="en-US"/>
              </w:rPr>
              <w:t>0.87</w:t>
            </w:r>
          </w:p>
          <w:p w14:paraId="44574785" w14:textId="77777777" w:rsidR="009F124E" w:rsidRPr="009F124E" w:rsidRDefault="009F124E" w:rsidP="009F124E">
            <w:pPr>
              <w:jc w:val="center"/>
              <w:rPr>
                <w:color w:val="000000"/>
                <w:sz w:val="12"/>
                <w:szCs w:val="12"/>
              </w:rPr>
            </w:pPr>
          </w:p>
        </w:tc>
        <w:tc>
          <w:tcPr>
            <w:tcW w:w="455" w:type="pct"/>
            <w:vMerge w:val="restart"/>
            <w:tcBorders>
              <w:top w:val="nil"/>
              <w:left w:val="single" w:sz="4" w:space="0" w:color="auto"/>
              <w:bottom w:val="single" w:sz="4" w:space="0" w:color="auto"/>
              <w:right w:val="single" w:sz="4" w:space="0" w:color="auto"/>
            </w:tcBorders>
            <w:shd w:val="clear" w:color="000000" w:fill="EDEDED"/>
            <w:vAlign w:val="center"/>
            <w:hideMark/>
          </w:tcPr>
          <w:p w14:paraId="635F964D" w14:textId="77777777" w:rsidR="009F124E" w:rsidRPr="009F124E" w:rsidRDefault="009F124E" w:rsidP="009F124E">
            <w:pPr>
              <w:jc w:val="center"/>
              <w:rPr>
                <w:color w:val="000000"/>
                <w:sz w:val="12"/>
                <w:szCs w:val="12"/>
              </w:rPr>
            </w:pPr>
            <w:r w:rsidRPr="009F124E">
              <w:rPr>
                <w:sz w:val="12"/>
                <w:szCs w:val="12"/>
                <w:lang w:eastAsia="en-US"/>
              </w:rPr>
              <w:t>0.78</w:t>
            </w:r>
          </w:p>
          <w:p w14:paraId="6515F1C5" w14:textId="77777777" w:rsidR="009F124E" w:rsidRPr="009F124E" w:rsidRDefault="009F124E" w:rsidP="009F124E">
            <w:pPr>
              <w:jc w:val="center"/>
              <w:rPr>
                <w:color w:val="000000"/>
                <w:sz w:val="12"/>
                <w:szCs w:val="12"/>
              </w:rPr>
            </w:pPr>
          </w:p>
        </w:tc>
        <w:tc>
          <w:tcPr>
            <w:tcW w:w="434" w:type="pct"/>
            <w:vMerge w:val="restart"/>
            <w:tcBorders>
              <w:top w:val="nil"/>
              <w:left w:val="single" w:sz="4" w:space="0" w:color="auto"/>
              <w:bottom w:val="single" w:sz="4" w:space="0" w:color="auto"/>
              <w:right w:val="nil"/>
            </w:tcBorders>
            <w:shd w:val="clear" w:color="000000" w:fill="EDEDED"/>
            <w:vAlign w:val="center"/>
            <w:hideMark/>
          </w:tcPr>
          <w:p w14:paraId="15E8FEB1" w14:textId="77777777" w:rsidR="009F124E" w:rsidRPr="009F124E" w:rsidRDefault="009F124E" w:rsidP="009F124E">
            <w:pPr>
              <w:jc w:val="center"/>
              <w:rPr>
                <w:color w:val="000000"/>
                <w:sz w:val="12"/>
                <w:szCs w:val="12"/>
              </w:rPr>
            </w:pPr>
            <w:r w:rsidRPr="009F124E">
              <w:rPr>
                <w:sz w:val="12"/>
                <w:szCs w:val="12"/>
                <w:lang w:eastAsia="en-US"/>
              </w:rPr>
              <w:t>0.09</w:t>
            </w:r>
          </w:p>
          <w:p w14:paraId="267F83E6"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EDEDED"/>
            <w:vAlign w:val="center"/>
            <w:hideMark/>
          </w:tcPr>
          <w:p w14:paraId="04F3DFDB" w14:textId="77777777" w:rsidR="009F124E" w:rsidRPr="009F124E" w:rsidRDefault="009F124E" w:rsidP="009F124E">
            <w:pPr>
              <w:rPr>
                <w:i/>
                <w:iCs/>
                <w:color w:val="000000"/>
                <w:sz w:val="10"/>
                <w:szCs w:val="10"/>
              </w:rPr>
            </w:pPr>
            <w:r w:rsidRPr="009F124E">
              <w:rPr>
                <w:i/>
                <w:iCs/>
                <w:color w:val="000000"/>
                <w:sz w:val="10"/>
                <w:szCs w:val="10"/>
              </w:rPr>
              <w:t>(+) Indemnizaciones</w:t>
            </w:r>
          </w:p>
        </w:tc>
      </w:tr>
      <w:tr w:rsidR="009F124E" w:rsidRPr="009F124E" w14:paraId="0446AEDE"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0CE86DA4"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4BC2F675"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1175C418"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6DF07B2C"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vAlign w:val="center"/>
            <w:hideMark/>
          </w:tcPr>
          <w:p w14:paraId="3DB23880"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EDEDED"/>
            <w:vAlign w:val="center"/>
            <w:hideMark/>
          </w:tcPr>
          <w:p w14:paraId="792E6787" w14:textId="77777777" w:rsidR="009F124E" w:rsidRPr="009F124E" w:rsidRDefault="009F124E" w:rsidP="009F124E">
            <w:pPr>
              <w:rPr>
                <w:i/>
                <w:iCs/>
                <w:color w:val="000000"/>
                <w:sz w:val="10"/>
                <w:szCs w:val="10"/>
              </w:rPr>
            </w:pPr>
            <w:r w:rsidRPr="009F124E">
              <w:rPr>
                <w:i/>
                <w:iCs/>
                <w:color w:val="000000"/>
                <w:sz w:val="10"/>
                <w:szCs w:val="10"/>
              </w:rPr>
              <w:t>(+) Vacaciones pagadas por retiro</w:t>
            </w:r>
          </w:p>
        </w:tc>
      </w:tr>
      <w:tr w:rsidR="009F124E" w:rsidRPr="009F124E" w14:paraId="65BD700A"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26AF21D6"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27B1E882"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6F318DED"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5B1EC0F8"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vAlign w:val="center"/>
            <w:hideMark/>
          </w:tcPr>
          <w:p w14:paraId="45DDDE4F"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EDEDED"/>
            <w:vAlign w:val="center"/>
            <w:hideMark/>
          </w:tcPr>
          <w:p w14:paraId="6BA64BF9" w14:textId="77777777" w:rsidR="009F124E" w:rsidRPr="009F124E" w:rsidRDefault="009F124E" w:rsidP="009F124E">
            <w:pPr>
              <w:rPr>
                <w:i/>
                <w:iCs/>
                <w:color w:val="000000"/>
                <w:sz w:val="10"/>
                <w:szCs w:val="10"/>
              </w:rPr>
            </w:pPr>
            <w:r w:rsidRPr="009F124E">
              <w:rPr>
                <w:i/>
                <w:iCs/>
                <w:color w:val="000000"/>
                <w:sz w:val="10"/>
                <w:szCs w:val="10"/>
              </w:rPr>
              <w:t>(+) Ayuda a Funerales</w:t>
            </w:r>
          </w:p>
        </w:tc>
      </w:tr>
      <w:tr w:rsidR="009F124E" w:rsidRPr="009F124E" w14:paraId="568FCFDF"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2F800EB8"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5EC16F93"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3DE24639"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vAlign w:val="center"/>
            <w:hideMark/>
          </w:tcPr>
          <w:p w14:paraId="2CACE129"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vAlign w:val="center"/>
            <w:hideMark/>
          </w:tcPr>
          <w:p w14:paraId="7F469D4F"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single" w:sz="4" w:space="0" w:color="auto"/>
              <w:right w:val="single" w:sz="8" w:space="0" w:color="auto"/>
            </w:tcBorders>
            <w:shd w:val="clear" w:color="000000" w:fill="EDEDED"/>
            <w:vAlign w:val="center"/>
            <w:hideMark/>
          </w:tcPr>
          <w:p w14:paraId="530DE179" w14:textId="77777777" w:rsidR="009F124E" w:rsidRPr="009F124E" w:rsidRDefault="009F124E" w:rsidP="009F124E">
            <w:pPr>
              <w:rPr>
                <w:i/>
                <w:iCs/>
                <w:color w:val="000000"/>
                <w:sz w:val="10"/>
                <w:szCs w:val="10"/>
              </w:rPr>
            </w:pPr>
            <w:r w:rsidRPr="009F124E">
              <w:rPr>
                <w:i/>
                <w:iCs/>
                <w:color w:val="000000"/>
                <w:sz w:val="10"/>
                <w:szCs w:val="10"/>
              </w:rPr>
              <w:t>(+) Prestaciones Póstumas</w:t>
            </w:r>
          </w:p>
        </w:tc>
      </w:tr>
      <w:tr w:rsidR="009F124E" w:rsidRPr="009F124E" w14:paraId="00E6D067" w14:textId="77777777" w:rsidTr="00B24770">
        <w:trPr>
          <w:trHeight w:val="68"/>
          <w:jc w:val="center"/>
        </w:trPr>
        <w:tc>
          <w:tcPr>
            <w:tcW w:w="432" w:type="pct"/>
            <w:vMerge w:val="restart"/>
            <w:tcBorders>
              <w:top w:val="nil"/>
              <w:left w:val="single" w:sz="8" w:space="0" w:color="auto"/>
              <w:bottom w:val="single" w:sz="4" w:space="0" w:color="000000"/>
              <w:right w:val="single" w:sz="4" w:space="0" w:color="auto"/>
            </w:tcBorders>
            <w:shd w:val="clear" w:color="000000" w:fill="8496B0"/>
            <w:noWrap/>
            <w:vAlign w:val="center"/>
            <w:hideMark/>
          </w:tcPr>
          <w:p w14:paraId="662693F2" w14:textId="77777777" w:rsidR="009F124E" w:rsidRPr="009F124E" w:rsidRDefault="009F124E" w:rsidP="009F124E">
            <w:pPr>
              <w:jc w:val="center"/>
              <w:rPr>
                <w:b/>
                <w:bCs/>
                <w:color w:val="FFFFFF"/>
                <w:sz w:val="12"/>
                <w:szCs w:val="12"/>
              </w:rPr>
            </w:pPr>
            <w:r w:rsidRPr="009F124E">
              <w:rPr>
                <w:b/>
                <w:bCs/>
                <w:color w:val="FFFFFF"/>
                <w:sz w:val="12"/>
                <w:szCs w:val="12"/>
              </w:rPr>
              <w:t>28</w:t>
            </w:r>
          </w:p>
        </w:tc>
        <w:tc>
          <w:tcPr>
            <w:tcW w:w="1059" w:type="pct"/>
            <w:vMerge w:val="restart"/>
            <w:tcBorders>
              <w:top w:val="nil"/>
              <w:left w:val="single" w:sz="4" w:space="0" w:color="auto"/>
              <w:bottom w:val="single" w:sz="4" w:space="0" w:color="auto"/>
              <w:right w:val="single" w:sz="4" w:space="0" w:color="auto"/>
            </w:tcBorders>
            <w:shd w:val="clear" w:color="000000" w:fill="FFFFFF"/>
            <w:vAlign w:val="center"/>
            <w:hideMark/>
          </w:tcPr>
          <w:p w14:paraId="7106A75E" w14:textId="77777777" w:rsidR="009F124E" w:rsidRPr="009F124E" w:rsidRDefault="009F124E" w:rsidP="009F124E">
            <w:pPr>
              <w:ind w:firstLineChars="100" w:firstLine="120"/>
              <w:rPr>
                <w:color w:val="000000"/>
                <w:sz w:val="12"/>
                <w:szCs w:val="12"/>
              </w:rPr>
            </w:pPr>
            <w:r w:rsidRPr="009F124E">
              <w:rPr>
                <w:color w:val="000000"/>
                <w:sz w:val="12"/>
                <w:szCs w:val="12"/>
              </w:rPr>
              <w:t xml:space="preserve">Otros gastos </w:t>
            </w:r>
            <w:r w:rsidRPr="009F124E">
              <w:rPr>
                <w:color w:val="000000"/>
                <w:sz w:val="12"/>
                <w:szCs w:val="12"/>
                <w:vertAlign w:val="superscript"/>
              </w:rPr>
              <w:t>2/</w:t>
            </w:r>
          </w:p>
        </w:tc>
        <w:tc>
          <w:tcPr>
            <w:tcW w:w="455" w:type="pct"/>
            <w:vMerge w:val="restart"/>
            <w:tcBorders>
              <w:top w:val="nil"/>
              <w:left w:val="single" w:sz="4" w:space="0" w:color="auto"/>
              <w:bottom w:val="single" w:sz="4" w:space="0" w:color="auto"/>
              <w:right w:val="single" w:sz="4" w:space="0" w:color="auto"/>
            </w:tcBorders>
            <w:shd w:val="clear" w:color="000000" w:fill="FFFFFF"/>
            <w:vAlign w:val="center"/>
            <w:hideMark/>
          </w:tcPr>
          <w:p w14:paraId="274FB60A" w14:textId="77777777" w:rsidR="009F124E" w:rsidRPr="009F124E" w:rsidRDefault="009F124E" w:rsidP="009F124E">
            <w:pPr>
              <w:jc w:val="center"/>
              <w:rPr>
                <w:color w:val="000000"/>
                <w:sz w:val="12"/>
                <w:szCs w:val="12"/>
              </w:rPr>
            </w:pPr>
            <w:r w:rsidRPr="009F124E">
              <w:rPr>
                <w:sz w:val="12"/>
                <w:szCs w:val="12"/>
                <w:lang w:eastAsia="en-US"/>
              </w:rPr>
              <w:t>1.02</w:t>
            </w:r>
          </w:p>
          <w:p w14:paraId="38075EE5" w14:textId="77777777" w:rsidR="009F124E" w:rsidRPr="009F124E" w:rsidRDefault="009F124E" w:rsidP="009F124E">
            <w:pPr>
              <w:jc w:val="center"/>
              <w:rPr>
                <w:color w:val="000000"/>
                <w:sz w:val="12"/>
                <w:szCs w:val="12"/>
              </w:rPr>
            </w:pPr>
          </w:p>
        </w:tc>
        <w:tc>
          <w:tcPr>
            <w:tcW w:w="455" w:type="pct"/>
            <w:vMerge w:val="restart"/>
            <w:tcBorders>
              <w:top w:val="nil"/>
              <w:left w:val="single" w:sz="4" w:space="0" w:color="auto"/>
              <w:bottom w:val="single" w:sz="4" w:space="0" w:color="auto"/>
              <w:right w:val="single" w:sz="4" w:space="0" w:color="auto"/>
            </w:tcBorders>
            <w:shd w:val="clear" w:color="000000" w:fill="FFFFFF"/>
            <w:vAlign w:val="center"/>
            <w:hideMark/>
          </w:tcPr>
          <w:p w14:paraId="0DD0590D" w14:textId="77777777" w:rsidR="009F124E" w:rsidRPr="009F124E" w:rsidRDefault="009F124E" w:rsidP="009F124E">
            <w:pPr>
              <w:jc w:val="center"/>
              <w:rPr>
                <w:color w:val="000000"/>
                <w:sz w:val="12"/>
                <w:szCs w:val="12"/>
              </w:rPr>
            </w:pPr>
            <w:r w:rsidRPr="009F124E">
              <w:rPr>
                <w:sz w:val="12"/>
                <w:szCs w:val="12"/>
                <w:lang w:eastAsia="en-US"/>
              </w:rPr>
              <w:t>0.66</w:t>
            </w:r>
          </w:p>
          <w:p w14:paraId="0CF503BE" w14:textId="77777777" w:rsidR="009F124E" w:rsidRPr="009F124E" w:rsidRDefault="009F124E" w:rsidP="009F124E">
            <w:pPr>
              <w:jc w:val="center"/>
              <w:rPr>
                <w:color w:val="000000"/>
                <w:sz w:val="12"/>
                <w:szCs w:val="12"/>
              </w:rPr>
            </w:pPr>
          </w:p>
        </w:tc>
        <w:tc>
          <w:tcPr>
            <w:tcW w:w="434" w:type="pct"/>
            <w:vMerge w:val="restart"/>
            <w:tcBorders>
              <w:top w:val="nil"/>
              <w:left w:val="single" w:sz="4" w:space="0" w:color="auto"/>
              <w:bottom w:val="single" w:sz="4" w:space="0" w:color="auto"/>
              <w:right w:val="nil"/>
            </w:tcBorders>
            <w:shd w:val="clear" w:color="000000" w:fill="FFFFFF"/>
            <w:vAlign w:val="center"/>
            <w:hideMark/>
          </w:tcPr>
          <w:p w14:paraId="2E9D5675" w14:textId="77777777" w:rsidR="009F124E" w:rsidRPr="009F124E" w:rsidRDefault="009F124E" w:rsidP="009F124E">
            <w:pPr>
              <w:jc w:val="center"/>
              <w:rPr>
                <w:color w:val="000000"/>
                <w:sz w:val="12"/>
                <w:szCs w:val="12"/>
              </w:rPr>
            </w:pPr>
            <w:r w:rsidRPr="009F124E">
              <w:rPr>
                <w:sz w:val="12"/>
                <w:szCs w:val="12"/>
                <w:lang w:eastAsia="en-US"/>
              </w:rPr>
              <w:t>0.36</w:t>
            </w:r>
          </w:p>
          <w:p w14:paraId="650A9673"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623AB2B6" w14:textId="77777777" w:rsidR="009F124E" w:rsidRPr="009F124E" w:rsidRDefault="009F124E" w:rsidP="009F124E">
            <w:pPr>
              <w:rPr>
                <w:i/>
                <w:iCs/>
                <w:color w:val="000000"/>
                <w:sz w:val="10"/>
                <w:szCs w:val="10"/>
              </w:rPr>
            </w:pPr>
            <w:r w:rsidRPr="009F124E">
              <w:rPr>
                <w:i/>
                <w:iCs/>
                <w:color w:val="000000"/>
                <w:sz w:val="10"/>
                <w:szCs w:val="10"/>
              </w:rPr>
              <w:t>(-) Inversión Real Directa y Financiera</w:t>
            </w:r>
          </w:p>
        </w:tc>
      </w:tr>
      <w:tr w:rsidR="009F124E" w:rsidRPr="009F124E" w14:paraId="4F0CBC22"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31D5C28E"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709591D5"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hideMark/>
          </w:tcPr>
          <w:p w14:paraId="35089253"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hideMark/>
          </w:tcPr>
          <w:p w14:paraId="24E258A4"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hideMark/>
          </w:tcPr>
          <w:p w14:paraId="1A6F40EE"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391AAA86" w14:textId="77777777" w:rsidR="009F124E" w:rsidRPr="009F124E" w:rsidRDefault="009F124E" w:rsidP="009F124E">
            <w:pPr>
              <w:rPr>
                <w:i/>
                <w:iCs/>
                <w:color w:val="000000"/>
                <w:sz w:val="10"/>
                <w:szCs w:val="10"/>
              </w:rPr>
            </w:pPr>
            <w:r w:rsidRPr="009F124E">
              <w:rPr>
                <w:i/>
                <w:iCs/>
                <w:color w:val="000000"/>
                <w:sz w:val="10"/>
                <w:szCs w:val="10"/>
              </w:rPr>
              <w:t>(-) Arrendamiento de Tierra y Terrenos</w:t>
            </w:r>
          </w:p>
        </w:tc>
      </w:tr>
      <w:tr w:rsidR="009F124E" w:rsidRPr="009F124E" w14:paraId="42716666"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369A3BF2"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55FA735A"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hideMark/>
          </w:tcPr>
          <w:p w14:paraId="042825A1"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hideMark/>
          </w:tcPr>
          <w:p w14:paraId="1338547A"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hideMark/>
          </w:tcPr>
          <w:p w14:paraId="730D8EA1"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6A25AD2C" w14:textId="77777777" w:rsidR="009F124E" w:rsidRPr="009F124E" w:rsidRDefault="009F124E" w:rsidP="009F124E">
            <w:pPr>
              <w:rPr>
                <w:i/>
                <w:iCs/>
                <w:color w:val="000000"/>
                <w:sz w:val="10"/>
                <w:szCs w:val="10"/>
              </w:rPr>
            </w:pPr>
            <w:r w:rsidRPr="009F124E">
              <w:rPr>
                <w:i/>
                <w:iCs/>
                <w:color w:val="000000"/>
                <w:sz w:val="10"/>
                <w:szCs w:val="10"/>
              </w:rPr>
              <w:t>(-) Derechos sobre Bienes Intangibles</w:t>
            </w:r>
          </w:p>
        </w:tc>
      </w:tr>
      <w:tr w:rsidR="009F124E" w:rsidRPr="009F124E" w14:paraId="4CA16B4F"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137222BC"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1CAB4B4F"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hideMark/>
          </w:tcPr>
          <w:p w14:paraId="7274D456"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hideMark/>
          </w:tcPr>
          <w:p w14:paraId="0702E1C1"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hideMark/>
          </w:tcPr>
          <w:p w14:paraId="149B5BFE"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2724DF90" w14:textId="77777777" w:rsidR="009F124E" w:rsidRPr="009F124E" w:rsidRDefault="009F124E" w:rsidP="009F124E">
            <w:pPr>
              <w:rPr>
                <w:i/>
                <w:iCs/>
                <w:color w:val="000000"/>
                <w:sz w:val="10"/>
                <w:szCs w:val="10"/>
              </w:rPr>
            </w:pPr>
            <w:r w:rsidRPr="009F124E">
              <w:rPr>
                <w:i/>
                <w:iCs/>
                <w:color w:val="000000"/>
                <w:sz w:val="10"/>
                <w:szCs w:val="10"/>
              </w:rPr>
              <w:t>(+) Otras Transferencias corrientes y capital</w:t>
            </w:r>
          </w:p>
        </w:tc>
      </w:tr>
      <w:tr w:rsidR="009F124E" w:rsidRPr="009F124E" w14:paraId="68D2DC3D"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679E80ED"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46C4EC06"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hideMark/>
          </w:tcPr>
          <w:p w14:paraId="0B9F798D"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hideMark/>
          </w:tcPr>
          <w:p w14:paraId="0006C1C3"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hideMark/>
          </w:tcPr>
          <w:p w14:paraId="1E43F769"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30773902" w14:textId="77777777" w:rsidR="009F124E" w:rsidRPr="009F124E" w:rsidRDefault="009F124E" w:rsidP="009F124E">
            <w:pPr>
              <w:rPr>
                <w:i/>
                <w:iCs/>
                <w:color w:val="000000"/>
                <w:sz w:val="10"/>
                <w:szCs w:val="10"/>
              </w:rPr>
            </w:pPr>
            <w:r w:rsidRPr="009F124E">
              <w:rPr>
                <w:i/>
                <w:iCs/>
                <w:color w:val="000000"/>
                <w:sz w:val="10"/>
                <w:szCs w:val="10"/>
              </w:rPr>
              <w:t>(+) Impuestos y Tasas</w:t>
            </w:r>
          </w:p>
        </w:tc>
      </w:tr>
      <w:tr w:rsidR="009F124E" w:rsidRPr="009F124E" w14:paraId="395892C2"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7C57FA2E"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5625B7BD"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hideMark/>
          </w:tcPr>
          <w:p w14:paraId="00069F69"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hideMark/>
          </w:tcPr>
          <w:p w14:paraId="191E3924"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hideMark/>
          </w:tcPr>
          <w:p w14:paraId="3782E42F"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3378B8DC" w14:textId="77777777" w:rsidR="009F124E" w:rsidRPr="009F124E" w:rsidRDefault="009F124E" w:rsidP="009F124E">
            <w:pPr>
              <w:rPr>
                <w:i/>
                <w:iCs/>
                <w:color w:val="000000"/>
                <w:sz w:val="10"/>
                <w:szCs w:val="10"/>
              </w:rPr>
            </w:pPr>
            <w:r w:rsidRPr="009F124E">
              <w:rPr>
                <w:i/>
                <w:iCs/>
                <w:color w:val="000000"/>
                <w:sz w:val="10"/>
                <w:szCs w:val="10"/>
              </w:rPr>
              <w:t>(-) Devoluciones</w:t>
            </w:r>
          </w:p>
        </w:tc>
      </w:tr>
      <w:tr w:rsidR="009F124E" w:rsidRPr="009F124E" w14:paraId="034CE803"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1602F738"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0AD2D18D"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hideMark/>
          </w:tcPr>
          <w:p w14:paraId="54BDB629"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hideMark/>
          </w:tcPr>
          <w:p w14:paraId="0D02159E"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hideMark/>
          </w:tcPr>
          <w:p w14:paraId="24041642"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4BD69CDF" w14:textId="77777777" w:rsidR="009F124E" w:rsidRPr="009F124E" w:rsidRDefault="009F124E" w:rsidP="009F124E">
            <w:pPr>
              <w:rPr>
                <w:i/>
                <w:iCs/>
                <w:color w:val="000000"/>
                <w:sz w:val="10"/>
                <w:szCs w:val="10"/>
              </w:rPr>
            </w:pPr>
            <w:r w:rsidRPr="009F124E">
              <w:rPr>
                <w:i/>
                <w:iCs/>
                <w:color w:val="000000"/>
                <w:sz w:val="10"/>
                <w:szCs w:val="10"/>
              </w:rPr>
              <w:t>(+) Sentencias Judiciales</w:t>
            </w:r>
          </w:p>
        </w:tc>
      </w:tr>
      <w:tr w:rsidR="009F124E" w:rsidRPr="009F124E" w14:paraId="0E3BC6A6"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386D7C21"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5B3FCAF1"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hideMark/>
          </w:tcPr>
          <w:p w14:paraId="39595EEF"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hideMark/>
          </w:tcPr>
          <w:p w14:paraId="349BD96E"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hideMark/>
          </w:tcPr>
          <w:p w14:paraId="59F12C4C"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143D4990" w14:textId="77777777" w:rsidR="009F124E" w:rsidRPr="009F124E" w:rsidRDefault="009F124E" w:rsidP="009F124E">
            <w:pPr>
              <w:rPr>
                <w:i/>
                <w:iCs/>
                <w:color w:val="000000"/>
                <w:sz w:val="10"/>
                <w:szCs w:val="10"/>
              </w:rPr>
            </w:pPr>
            <w:r w:rsidRPr="009F124E">
              <w:rPr>
                <w:i/>
                <w:iCs/>
                <w:color w:val="000000"/>
                <w:sz w:val="10"/>
                <w:szCs w:val="10"/>
              </w:rPr>
              <w:t>(+) Gastos no previstos (totales)</w:t>
            </w:r>
          </w:p>
        </w:tc>
      </w:tr>
      <w:tr w:rsidR="009F124E" w:rsidRPr="009F124E" w14:paraId="2D04EC48"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26407DA9"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13218E72"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hideMark/>
          </w:tcPr>
          <w:p w14:paraId="09625AEC"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hideMark/>
          </w:tcPr>
          <w:p w14:paraId="1D46C95B"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hideMark/>
          </w:tcPr>
          <w:p w14:paraId="3FA775AF"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nil"/>
              <w:right w:val="single" w:sz="8" w:space="0" w:color="auto"/>
            </w:tcBorders>
            <w:shd w:val="clear" w:color="000000" w:fill="FFFFFF"/>
            <w:vAlign w:val="center"/>
            <w:hideMark/>
          </w:tcPr>
          <w:p w14:paraId="165A9B4F" w14:textId="77777777" w:rsidR="009F124E" w:rsidRPr="009F124E" w:rsidRDefault="009F124E" w:rsidP="009F124E">
            <w:pPr>
              <w:rPr>
                <w:i/>
                <w:iCs/>
                <w:color w:val="000000"/>
                <w:sz w:val="10"/>
                <w:szCs w:val="10"/>
              </w:rPr>
            </w:pPr>
            <w:r w:rsidRPr="009F124E">
              <w:rPr>
                <w:i/>
                <w:iCs/>
                <w:color w:val="000000"/>
                <w:sz w:val="10"/>
                <w:szCs w:val="10"/>
              </w:rPr>
              <w:t>(-) Ayuda a Funerales</w:t>
            </w:r>
          </w:p>
        </w:tc>
      </w:tr>
      <w:tr w:rsidR="009F124E" w:rsidRPr="009F124E" w14:paraId="1A78207E" w14:textId="77777777" w:rsidTr="00B24770">
        <w:trPr>
          <w:trHeight w:val="68"/>
          <w:jc w:val="center"/>
        </w:trPr>
        <w:tc>
          <w:tcPr>
            <w:tcW w:w="432" w:type="pct"/>
            <w:vMerge/>
            <w:tcBorders>
              <w:top w:val="nil"/>
              <w:left w:val="single" w:sz="8" w:space="0" w:color="auto"/>
              <w:bottom w:val="single" w:sz="4" w:space="0" w:color="000000"/>
              <w:right w:val="single" w:sz="4" w:space="0" w:color="auto"/>
            </w:tcBorders>
            <w:vAlign w:val="center"/>
            <w:hideMark/>
          </w:tcPr>
          <w:p w14:paraId="30E9640B" w14:textId="77777777" w:rsidR="009F124E" w:rsidRPr="009F124E" w:rsidRDefault="009F124E" w:rsidP="009F124E">
            <w:pPr>
              <w:rPr>
                <w:b/>
                <w:bCs/>
                <w:color w:val="FFFFFF"/>
                <w:sz w:val="12"/>
                <w:szCs w:val="12"/>
              </w:rPr>
            </w:pPr>
          </w:p>
        </w:tc>
        <w:tc>
          <w:tcPr>
            <w:tcW w:w="1059" w:type="pct"/>
            <w:vMerge/>
            <w:tcBorders>
              <w:top w:val="nil"/>
              <w:left w:val="single" w:sz="4" w:space="0" w:color="auto"/>
              <w:bottom w:val="single" w:sz="4" w:space="0" w:color="auto"/>
              <w:right w:val="single" w:sz="4" w:space="0" w:color="auto"/>
            </w:tcBorders>
            <w:vAlign w:val="center"/>
            <w:hideMark/>
          </w:tcPr>
          <w:p w14:paraId="04AFC454" w14:textId="77777777" w:rsidR="009F124E" w:rsidRPr="009F124E" w:rsidRDefault="009F124E" w:rsidP="009F124E">
            <w:pPr>
              <w:rPr>
                <w:color w:val="000000"/>
                <w:sz w:val="12"/>
                <w:szCs w:val="12"/>
              </w:rPr>
            </w:pPr>
          </w:p>
        </w:tc>
        <w:tc>
          <w:tcPr>
            <w:tcW w:w="455" w:type="pct"/>
            <w:vMerge/>
            <w:tcBorders>
              <w:top w:val="nil"/>
              <w:left w:val="single" w:sz="4" w:space="0" w:color="auto"/>
              <w:bottom w:val="single" w:sz="4" w:space="0" w:color="auto"/>
              <w:right w:val="single" w:sz="4" w:space="0" w:color="auto"/>
            </w:tcBorders>
            <w:hideMark/>
          </w:tcPr>
          <w:p w14:paraId="660B852F" w14:textId="77777777" w:rsidR="009F124E" w:rsidRPr="009F124E" w:rsidRDefault="009F124E" w:rsidP="009F124E">
            <w:pPr>
              <w:jc w:val="center"/>
              <w:rPr>
                <w:color w:val="000000"/>
                <w:sz w:val="12"/>
                <w:szCs w:val="12"/>
              </w:rPr>
            </w:pPr>
          </w:p>
        </w:tc>
        <w:tc>
          <w:tcPr>
            <w:tcW w:w="455" w:type="pct"/>
            <w:vMerge/>
            <w:tcBorders>
              <w:top w:val="nil"/>
              <w:left w:val="single" w:sz="4" w:space="0" w:color="auto"/>
              <w:bottom w:val="single" w:sz="4" w:space="0" w:color="auto"/>
              <w:right w:val="single" w:sz="4" w:space="0" w:color="auto"/>
            </w:tcBorders>
            <w:hideMark/>
          </w:tcPr>
          <w:p w14:paraId="63013E87" w14:textId="77777777" w:rsidR="009F124E" w:rsidRPr="009F124E" w:rsidRDefault="009F124E" w:rsidP="009F124E">
            <w:pPr>
              <w:jc w:val="center"/>
              <w:rPr>
                <w:color w:val="000000"/>
                <w:sz w:val="12"/>
                <w:szCs w:val="12"/>
              </w:rPr>
            </w:pPr>
          </w:p>
        </w:tc>
        <w:tc>
          <w:tcPr>
            <w:tcW w:w="434" w:type="pct"/>
            <w:vMerge/>
            <w:tcBorders>
              <w:top w:val="nil"/>
              <w:left w:val="single" w:sz="4" w:space="0" w:color="auto"/>
              <w:bottom w:val="single" w:sz="4" w:space="0" w:color="auto"/>
              <w:right w:val="nil"/>
            </w:tcBorders>
            <w:hideMark/>
          </w:tcPr>
          <w:p w14:paraId="41C8B4CF" w14:textId="77777777" w:rsidR="009F124E" w:rsidRPr="009F124E" w:rsidRDefault="009F124E" w:rsidP="009F124E">
            <w:pPr>
              <w:jc w:val="center"/>
              <w:rPr>
                <w:color w:val="000000"/>
                <w:sz w:val="12"/>
                <w:szCs w:val="12"/>
              </w:rPr>
            </w:pPr>
          </w:p>
        </w:tc>
        <w:tc>
          <w:tcPr>
            <w:tcW w:w="2165" w:type="pct"/>
            <w:tcBorders>
              <w:top w:val="nil"/>
              <w:left w:val="single" w:sz="4" w:space="0" w:color="auto"/>
              <w:bottom w:val="single" w:sz="4" w:space="0" w:color="auto"/>
              <w:right w:val="single" w:sz="8" w:space="0" w:color="auto"/>
            </w:tcBorders>
            <w:shd w:val="clear" w:color="000000" w:fill="FFFFFF"/>
            <w:vAlign w:val="center"/>
            <w:hideMark/>
          </w:tcPr>
          <w:p w14:paraId="4BCD3507" w14:textId="77777777" w:rsidR="009F124E" w:rsidRPr="009F124E" w:rsidRDefault="009F124E" w:rsidP="009F124E">
            <w:pPr>
              <w:rPr>
                <w:i/>
                <w:iCs/>
                <w:color w:val="000000"/>
                <w:sz w:val="10"/>
                <w:szCs w:val="10"/>
              </w:rPr>
            </w:pPr>
            <w:r w:rsidRPr="009F124E">
              <w:rPr>
                <w:i/>
                <w:iCs/>
                <w:color w:val="000000"/>
                <w:sz w:val="10"/>
                <w:szCs w:val="10"/>
              </w:rPr>
              <w:t>(-) Prestaciones Póstumas</w:t>
            </w:r>
          </w:p>
        </w:tc>
      </w:tr>
      <w:tr w:rsidR="009F124E" w:rsidRPr="009F124E" w14:paraId="03564144" w14:textId="77777777" w:rsidTr="00B24770">
        <w:trPr>
          <w:trHeight w:val="68"/>
          <w:jc w:val="center"/>
        </w:trPr>
        <w:tc>
          <w:tcPr>
            <w:tcW w:w="432" w:type="pct"/>
            <w:tcBorders>
              <w:top w:val="nil"/>
              <w:left w:val="single" w:sz="8" w:space="0" w:color="auto"/>
              <w:bottom w:val="single" w:sz="8" w:space="0" w:color="auto"/>
              <w:right w:val="single" w:sz="4" w:space="0" w:color="auto"/>
            </w:tcBorders>
            <w:shd w:val="clear" w:color="000000" w:fill="8496B0"/>
            <w:noWrap/>
            <w:vAlign w:val="center"/>
            <w:hideMark/>
          </w:tcPr>
          <w:p w14:paraId="0D83382D" w14:textId="77777777" w:rsidR="009F124E" w:rsidRPr="009F124E" w:rsidRDefault="009F124E" w:rsidP="009F124E">
            <w:pPr>
              <w:jc w:val="center"/>
              <w:rPr>
                <w:b/>
                <w:bCs/>
                <w:color w:val="FFFFFF"/>
                <w:sz w:val="12"/>
                <w:szCs w:val="12"/>
              </w:rPr>
            </w:pPr>
            <w:r w:rsidRPr="009F124E">
              <w:rPr>
                <w:b/>
                <w:bCs/>
                <w:color w:val="FFFFFF"/>
                <w:sz w:val="12"/>
                <w:szCs w:val="12"/>
              </w:rPr>
              <w:t>NOB</w:t>
            </w:r>
          </w:p>
        </w:tc>
        <w:tc>
          <w:tcPr>
            <w:tcW w:w="1059" w:type="pct"/>
            <w:tcBorders>
              <w:top w:val="nil"/>
              <w:left w:val="nil"/>
              <w:bottom w:val="single" w:sz="8" w:space="0" w:color="auto"/>
              <w:right w:val="single" w:sz="4" w:space="0" w:color="auto"/>
            </w:tcBorders>
            <w:shd w:val="clear" w:color="000000" w:fill="EDEDED"/>
            <w:vAlign w:val="center"/>
            <w:hideMark/>
          </w:tcPr>
          <w:p w14:paraId="7E0EC4E0" w14:textId="77777777" w:rsidR="009F124E" w:rsidRPr="009F124E" w:rsidRDefault="009F124E" w:rsidP="009F124E">
            <w:pPr>
              <w:rPr>
                <w:b/>
                <w:bCs/>
                <w:color w:val="000000"/>
                <w:sz w:val="12"/>
                <w:szCs w:val="12"/>
              </w:rPr>
            </w:pPr>
            <w:r w:rsidRPr="009F124E">
              <w:rPr>
                <w:b/>
                <w:bCs/>
                <w:color w:val="000000"/>
                <w:sz w:val="12"/>
                <w:szCs w:val="12"/>
              </w:rPr>
              <w:t>Resultado Operativo (1-2)</w:t>
            </w:r>
          </w:p>
        </w:tc>
        <w:tc>
          <w:tcPr>
            <w:tcW w:w="455" w:type="pct"/>
            <w:tcBorders>
              <w:top w:val="nil"/>
              <w:left w:val="nil"/>
              <w:bottom w:val="single" w:sz="8" w:space="0" w:color="auto"/>
              <w:right w:val="single" w:sz="4" w:space="0" w:color="auto"/>
            </w:tcBorders>
            <w:shd w:val="clear" w:color="000000" w:fill="EDEDED"/>
            <w:hideMark/>
          </w:tcPr>
          <w:p w14:paraId="17A3BDDD" w14:textId="77777777" w:rsidR="009F124E" w:rsidRPr="009F124E" w:rsidRDefault="009F124E" w:rsidP="009F124E">
            <w:pPr>
              <w:jc w:val="center"/>
              <w:rPr>
                <w:b/>
                <w:bCs/>
                <w:color w:val="000000"/>
                <w:sz w:val="12"/>
                <w:szCs w:val="12"/>
              </w:rPr>
            </w:pPr>
            <w:r w:rsidRPr="009F124E">
              <w:rPr>
                <w:b/>
                <w:bCs/>
                <w:sz w:val="12"/>
                <w:szCs w:val="12"/>
                <w:lang w:eastAsia="en-US"/>
              </w:rPr>
              <w:t>-1.09</w:t>
            </w:r>
          </w:p>
        </w:tc>
        <w:tc>
          <w:tcPr>
            <w:tcW w:w="455" w:type="pct"/>
            <w:tcBorders>
              <w:top w:val="nil"/>
              <w:left w:val="nil"/>
              <w:bottom w:val="single" w:sz="8" w:space="0" w:color="auto"/>
              <w:right w:val="single" w:sz="4" w:space="0" w:color="auto"/>
            </w:tcBorders>
            <w:shd w:val="clear" w:color="000000" w:fill="EDEDED"/>
            <w:hideMark/>
          </w:tcPr>
          <w:p w14:paraId="7FB77DC1" w14:textId="77777777" w:rsidR="009F124E" w:rsidRPr="009F124E" w:rsidRDefault="009F124E" w:rsidP="009F124E">
            <w:pPr>
              <w:jc w:val="center"/>
              <w:rPr>
                <w:b/>
                <w:bCs/>
                <w:color w:val="000000"/>
                <w:sz w:val="12"/>
                <w:szCs w:val="12"/>
              </w:rPr>
            </w:pPr>
            <w:r w:rsidRPr="009F124E">
              <w:rPr>
                <w:b/>
                <w:bCs/>
                <w:sz w:val="12"/>
                <w:szCs w:val="12"/>
                <w:lang w:eastAsia="en-US"/>
              </w:rPr>
              <w:t>-1.71</w:t>
            </w:r>
          </w:p>
        </w:tc>
        <w:tc>
          <w:tcPr>
            <w:tcW w:w="434" w:type="pct"/>
            <w:tcBorders>
              <w:top w:val="nil"/>
              <w:left w:val="nil"/>
              <w:bottom w:val="single" w:sz="8" w:space="0" w:color="auto"/>
              <w:right w:val="nil"/>
            </w:tcBorders>
            <w:shd w:val="clear" w:color="000000" w:fill="EDEDED"/>
            <w:hideMark/>
          </w:tcPr>
          <w:p w14:paraId="3D605757" w14:textId="77777777" w:rsidR="009F124E" w:rsidRPr="009F124E" w:rsidRDefault="009F124E" w:rsidP="009F124E">
            <w:pPr>
              <w:jc w:val="center"/>
              <w:rPr>
                <w:b/>
                <w:bCs/>
                <w:color w:val="000000"/>
                <w:sz w:val="12"/>
                <w:szCs w:val="12"/>
              </w:rPr>
            </w:pPr>
            <w:r w:rsidRPr="009F124E">
              <w:rPr>
                <w:b/>
                <w:bCs/>
                <w:sz w:val="12"/>
                <w:szCs w:val="12"/>
                <w:lang w:eastAsia="en-US"/>
              </w:rPr>
              <w:t>0.62</w:t>
            </w:r>
          </w:p>
        </w:tc>
        <w:tc>
          <w:tcPr>
            <w:tcW w:w="2165" w:type="pct"/>
            <w:tcBorders>
              <w:top w:val="nil"/>
              <w:left w:val="single" w:sz="4" w:space="0" w:color="auto"/>
              <w:bottom w:val="single" w:sz="8" w:space="0" w:color="auto"/>
              <w:right w:val="single" w:sz="8" w:space="0" w:color="auto"/>
            </w:tcBorders>
            <w:shd w:val="clear" w:color="000000" w:fill="EDEDED"/>
            <w:vAlign w:val="center"/>
            <w:hideMark/>
          </w:tcPr>
          <w:p w14:paraId="340372C2" w14:textId="77777777" w:rsidR="009F124E" w:rsidRPr="009F124E" w:rsidRDefault="009F124E" w:rsidP="009F124E">
            <w:pPr>
              <w:rPr>
                <w:b/>
                <w:bCs/>
                <w:i/>
                <w:iCs/>
                <w:color w:val="000000"/>
                <w:sz w:val="12"/>
                <w:szCs w:val="12"/>
              </w:rPr>
            </w:pPr>
            <w:r w:rsidRPr="009F124E">
              <w:rPr>
                <w:b/>
                <w:bCs/>
                <w:i/>
                <w:iCs/>
                <w:color w:val="000000"/>
                <w:sz w:val="12"/>
                <w:szCs w:val="12"/>
              </w:rPr>
              <w:t> </w:t>
            </w:r>
          </w:p>
        </w:tc>
      </w:tr>
    </w:tbl>
    <w:p w14:paraId="1F127771" w14:textId="77777777" w:rsidR="009F124E" w:rsidRPr="009F124E" w:rsidRDefault="009F124E" w:rsidP="009F124E">
      <w:pPr>
        <w:ind w:left="1134"/>
        <w:jc w:val="both"/>
        <w:rPr>
          <w:sz w:val="16"/>
          <w:szCs w:val="22"/>
          <w:lang w:eastAsia="en-US"/>
        </w:rPr>
      </w:pPr>
    </w:p>
    <w:tbl>
      <w:tblPr>
        <w:tblW w:w="8504" w:type="dxa"/>
        <w:tblCellMar>
          <w:left w:w="70" w:type="dxa"/>
          <w:right w:w="70" w:type="dxa"/>
        </w:tblCellMar>
        <w:tblLook w:val="04A0" w:firstRow="1" w:lastRow="0" w:firstColumn="1" w:lastColumn="0" w:noHBand="0" w:noVBand="1"/>
      </w:tblPr>
      <w:tblGrid>
        <w:gridCol w:w="750"/>
        <w:gridCol w:w="1758"/>
        <w:gridCol w:w="780"/>
        <w:gridCol w:w="780"/>
        <w:gridCol w:w="745"/>
        <w:gridCol w:w="3691"/>
      </w:tblGrid>
      <w:tr w:rsidR="009F124E" w:rsidRPr="009F124E" w14:paraId="735C283F" w14:textId="77777777" w:rsidTr="00207D0F">
        <w:trPr>
          <w:trHeight w:val="614"/>
        </w:trPr>
        <w:tc>
          <w:tcPr>
            <w:tcW w:w="750" w:type="dxa"/>
            <w:tcBorders>
              <w:top w:val="single" w:sz="8" w:space="0" w:color="auto"/>
              <w:left w:val="single" w:sz="8" w:space="0" w:color="auto"/>
              <w:bottom w:val="single" w:sz="8" w:space="0" w:color="auto"/>
              <w:right w:val="single" w:sz="8" w:space="0" w:color="auto"/>
            </w:tcBorders>
            <w:shd w:val="clear" w:color="000000" w:fill="44546A"/>
            <w:vAlign w:val="center"/>
            <w:hideMark/>
          </w:tcPr>
          <w:p w14:paraId="227CE433" w14:textId="77777777" w:rsidR="009F124E" w:rsidRPr="009F124E" w:rsidRDefault="009F124E" w:rsidP="009F124E">
            <w:pPr>
              <w:jc w:val="center"/>
              <w:rPr>
                <w:b/>
                <w:bCs/>
                <w:color w:val="FFFFFF"/>
                <w:sz w:val="12"/>
                <w:szCs w:val="12"/>
              </w:rPr>
            </w:pPr>
            <w:r w:rsidRPr="009F124E">
              <w:rPr>
                <w:b/>
                <w:bCs/>
                <w:color w:val="FFFFFF"/>
                <w:sz w:val="12"/>
                <w:szCs w:val="12"/>
              </w:rPr>
              <w:t>Código MEFP</w:t>
            </w:r>
          </w:p>
        </w:tc>
        <w:tc>
          <w:tcPr>
            <w:tcW w:w="1758" w:type="dxa"/>
            <w:tcBorders>
              <w:top w:val="single" w:sz="8" w:space="0" w:color="auto"/>
              <w:left w:val="nil"/>
              <w:bottom w:val="single" w:sz="8" w:space="0" w:color="auto"/>
              <w:right w:val="single" w:sz="8" w:space="0" w:color="auto"/>
            </w:tcBorders>
            <w:shd w:val="clear" w:color="000000" w:fill="44546A"/>
            <w:vAlign w:val="center"/>
            <w:hideMark/>
          </w:tcPr>
          <w:p w14:paraId="2C4B2A35" w14:textId="77777777" w:rsidR="009F124E" w:rsidRPr="009F124E" w:rsidRDefault="009F124E" w:rsidP="009F124E">
            <w:pPr>
              <w:jc w:val="center"/>
              <w:rPr>
                <w:b/>
                <w:bCs/>
                <w:color w:val="FFFFFF"/>
                <w:sz w:val="12"/>
                <w:szCs w:val="12"/>
              </w:rPr>
            </w:pPr>
            <w:r w:rsidRPr="009F124E">
              <w:rPr>
                <w:b/>
                <w:bCs/>
                <w:color w:val="FFFFFF"/>
                <w:sz w:val="12"/>
                <w:szCs w:val="12"/>
              </w:rPr>
              <w:t>Descripción</w:t>
            </w:r>
          </w:p>
        </w:tc>
        <w:tc>
          <w:tcPr>
            <w:tcW w:w="780" w:type="dxa"/>
            <w:tcBorders>
              <w:top w:val="single" w:sz="8" w:space="0" w:color="auto"/>
              <w:left w:val="nil"/>
              <w:bottom w:val="single" w:sz="8" w:space="0" w:color="auto"/>
              <w:right w:val="single" w:sz="8" w:space="0" w:color="auto"/>
            </w:tcBorders>
            <w:shd w:val="clear" w:color="000000" w:fill="44546A"/>
            <w:vAlign w:val="center"/>
            <w:hideMark/>
          </w:tcPr>
          <w:p w14:paraId="5A9EF723" w14:textId="77777777" w:rsidR="009F124E" w:rsidRPr="009F124E" w:rsidRDefault="009F124E" w:rsidP="009F124E">
            <w:pPr>
              <w:jc w:val="center"/>
              <w:rPr>
                <w:b/>
                <w:bCs/>
                <w:color w:val="FFFFFF"/>
                <w:sz w:val="12"/>
                <w:szCs w:val="12"/>
              </w:rPr>
            </w:pPr>
            <w:r w:rsidRPr="009F124E">
              <w:rPr>
                <w:b/>
                <w:bCs/>
                <w:color w:val="FFFFFF"/>
                <w:sz w:val="12"/>
                <w:szCs w:val="12"/>
              </w:rPr>
              <w:t>Metodología MFP2014</w:t>
            </w:r>
          </w:p>
        </w:tc>
        <w:tc>
          <w:tcPr>
            <w:tcW w:w="780" w:type="dxa"/>
            <w:tcBorders>
              <w:top w:val="single" w:sz="8" w:space="0" w:color="auto"/>
              <w:left w:val="nil"/>
              <w:bottom w:val="single" w:sz="8" w:space="0" w:color="auto"/>
              <w:right w:val="single" w:sz="8" w:space="0" w:color="auto"/>
            </w:tcBorders>
            <w:shd w:val="clear" w:color="000000" w:fill="44546A"/>
            <w:vAlign w:val="center"/>
            <w:hideMark/>
          </w:tcPr>
          <w:p w14:paraId="1F7BE949" w14:textId="77777777" w:rsidR="009F124E" w:rsidRPr="009F124E" w:rsidRDefault="009F124E" w:rsidP="009F124E">
            <w:pPr>
              <w:jc w:val="center"/>
              <w:rPr>
                <w:b/>
                <w:bCs/>
                <w:color w:val="FFFFFF"/>
                <w:sz w:val="12"/>
                <w:szCs w:val="12"/>
              </w:rPr>
            </w:pPr>
            <w:r w:rsidRPr="009F124E">
              <w:rPr>
                <w:b/>
                <w:bCs/>
                <w:color w:val="FFFFFF"/>
                <w:sz w:val="12"/>
                <w:szCs w:val="12"/>
              </w:rPr>
              <w:t>Metodología nacional</w:t>
            </w:r>
          </w:p>
        </w:tc>
        <w:tc>
          <w:tcPr>
            <w:tcW w:w="745" w:type="dxa"/>
            <w:tcBorders>
              <w:top w:val="single" w:sz="8" w:space="0" w:color="auto"/>
              <w:left w:val="nil"/>
              <w:bottom w:val="single" w:sz="8" w:space="0" w:color="auto"/>
              <w:right w:val="single" w:sz="8" w:space="0" w:color="auto"/>
            </w:tcBorders>
            <w:shd w:val="clear" w:color="000000" w:fill="44546A"/>
            <w:vAlign w:val="center"/>
            <w:hideMark/>
          </w:tcPr>
          <w:p w14:paraId="6FB15AC0" w14:textId="77777777" w:rsidR="009F124E" w:rsidRPr="009F124E" w:rsidRDefault="009F124E" w:rsidP="009F124E">
            <w:pPr>
              <w:jc w:val="center"/>
              <w:rPr>
                <w:b/>
                <w:bCs/>
                <w:color w:val="FFFFFF"/>
                <w:sz w:val="12"/>
                <w:szCs w:val="12"/>
              </w:rPr>
            </w:pPr>
            <w:r w:rsidRPr="009F124E">
              <w:rPr>
                <w:b/>
                <w:bCs/>
                <w:color w:val="FFFFFF"/>
                <w:sz w:val="12"/>
                <w:szCs w:val="12"/>
              </w:rPr>
              <w:t>Diferencia</w:t>
            </w:r>
          </w:p>
        </w:tc>
        <w:tc>
          <w:tcPr>
            <w:tcW w:w="3691" w:type="dxa"/>
            <w:tcBorders>
              <w:top w:val="single" w:sz="8" w:space="0" w:color="auto"/>
              <w:left w:val="nil"/>
              <w:bottom w:val="single" w:sz="8" w:space="0" w:color="auto"/>
              <w:right w:val="single" w:sz="8" w:space="0" w:color="auto"/>
            </w:tcBorders>
            <w:shd w:val="clear" w:color="000000" w:fill="44546A"/>
            <w:vAlign w:val="center"/>
            <w:hideMark/>
          </w:tcPr>
          <w:p w14:paraId="01F371AA" w14:textId="77777777" w:rsidR="009F124E" w:rsidRPr="009F124E" w:rsidRDefault="009F124E" w:rsidP="009F124E">
            <w:pPr>
              <w:jc w:val="center"/>
              <w:rPr>
                <w:b/>
                <w:bCs/>
                <w:color w:val="FFFFFF"/>
                <w:sz w:val="12"/>
                <w:szCs w:val="12"/>
              </w:rPr>
            </w:pPr>
            <w:r w:rsidRPr="009F124E">
              <w:rPr>
                <w:b/>
                <w:bCs/>
                <w:color w:val="FFFFFF"/>
                <w:sz w:val="12"/>
                <w:szCs w:val="12"/>
              </w:rPr>
              <w:t>Explicación de diferencia</w:t>
            </w:r>
          </w:p>
        </w:tc>
      </w:tr>
      <w:tr w:rsidR="009F124E" w:rsidRPr="009F124E" w14:paraId="3CFD634D" w14:textId="77777777" w:rsidTr="00207D0F">
        <w:trPr>
          <w:trHeight w:val="274"/>
        </w:trPr>
        <w:tc>
          <w:tcPr>
            <w:tcW w:w="8504" w:type="dxa"/>
            <w:gridSpan w:val="6"/>
            <w:tcBorders>
              <w:top w:val="single" w:sz="8" w:space="0" w:color="auto"/>
              <w:left w:val="single" w:sz="8" w:space="0" w:color="auto"/>
              <w:bottom w:val="nil"/>
              <w:right w:val="single" w:sz="8" w:space="0" w:color="000000"/>
            </w:tcBorders>
            <w:shd w:val="clear" w:color="000000" w:fill="A6A6A6"/>
            <w:vAlign w:val="center"/>
            <w:hideMark/>
          </w:tcPr>
          <w:p w14:paraId="31810083" w14:textId="77777777" w:rsidR="009F124E" w:rsidRPr="009F124E" w:rsidRDefault="009F124E" w:rsidP="009F124E">
            <w:pPr>
              <w:jc w:val="center"/>
              <w:rPr>
                <w:b/>
                <w:bCs/>
                <w:color w:val="000000"/>
                <w:sz w:val="12"/>
                <w:szCs w:val="12"/>
              </w:rPr>
            </w:pPr>
            <w:r w:rsidRPr="009F124E">
              <w:rPr>
                <w:b/>
                <w:bCs/>
                <w:color w:val="000000"/>
                <w:sz w:val="12"/>
                <w:szCs w:val="12"/>
              </w:rPr>
              <w:t xml:space="preserve">Transacciones en activos no financieros </w:t>
            </w:r>
            <w:r w:rsidRPr="009F124E">
              <w:rPr>
                <w:b/>
                <w:bCs/>
                <w:color w:val="000000"/>
                <w:sz w:val="12"/>
                <w:szCs w:val="12"/>
                <w:vertAlign w:val="superscript"/>
              </w:rPr>
              <w:t>3/</w:t>
            </w:r>
          </w:p>
        </w:tc>
      </w:tr>
      <w:tr w:rsidR="009F124E" w:rsidRPr="009F124E" w14:paraId="7F1ABE30" w14:textId="77777777" w:rsidTr="00207D0F">
        <w:trPr>
          <w:trHeight w:val="57"/>
        </w:trPr>
        <w:tc>
          <w:tcPr>
            <w:tcW w:w="750" w:type="dxa"/>
            <w:tcBorders>
              <w:top w:val="single" w:sz="8" w:space="0" w:color="auto"/>
              <w:left w:val="single" w:sz="8" w:space="0" w:color="auto"/>
              <w:bottom w:val="single" w:sz="4" w:space="0" w:color="auto"/>
              <w:right w:val="single" w:sz="4" w:space="0" w:color="auto"/>
            </w:tcBorders>
            <w:shd w:val="clear" w:color="000000" w:fill="8496B0"/>
            <w:noWrap/>
            <w:vAlign w:val="center"/>
            <w:hideMark/>
          </w:tcPr>
          <w:p w14:paraId="5FD76646" w14:textId="77777777" w:rsidR="009F124E" w:rsidRPr="009F124E" w:rsidRDefault="009F124E" w:rsidP="009F124E">
            <w:pPr>
              <w:jc w:val="center"/>
              <w:rPr>
                <w:b/>
                <w:bCs/>
                <w:i/>
                <w:iCs/>
                <w:color w:val="FFFFFF"/>
                <w:sz w:val="12"/>
                <w:szCs w:val="12"/>
              </w:rPr>
            </w:pPr>
            <w:r w:rsidRPr="009F124E">
              <w:rPr>
                <w:b/>
                <w:bCs/>
                <w:i/>
                <w:iCs/>
                <w:color w:val="FFFFFF"/>
                <w:sz w:val="12"/>
                <w:szCs w:val="12"/>
              </w:rPr>
              <w:t>31</w:t>
            </w:r>
          </w:p>
        </w:tc>
        <w:tc>
          <w:tcPr>
            <w:tcW w:w="1758" w:type="dxa"/>
            <w:tcBorders>
              <w:top w:val="single" w:sz="8" w:space="0" w:color="auto"/>
              <w:left w:val="nil"/>
              <w:bottom w:val="single" w:sz="4" w:space="0" w:color="auto"/>
              <w:right w:val="single" w:sz="4" w:space="0" w:color="auto"/>
            </w:tcBorders>
            <w:shd w:val="clear" w:color="000000" w:fill="FFFFFF"/>
            <w:vAlign w:val="center"/>
            <w:hideMark/>
          </w:tcPr>
          <w:p w14:paraId="657B7B72" w14:textId="77777777" w:rsidR="009F124E" w:rsidRPr="009F124E" w:rsidRDefault="009F124E" w:rsidP="009F124E">
            <w:pPr>
              <w:rPr>
                <w:b/>
                <w:bCs/>
                <w:i/>
                <w:iCs/>
                <w:color w:val="000000"/>
                <w:sz w:val="12"/>
                <w:szCs w:val="12"/>
              </w:rPr>
            </w:pPr>
            <w:r w:rsidRPr="009F124E">
              <w:rPr>
                <w:b/>
                <w:bCs/>
                <w:i/>
                <w:iCs/>
                <w:color w:val="000000"/>
                <w:sz w:val="12"/>
                <w:szCs w:val="12"/>
              </w:rPr>
              <w:t>Activos no financieros</w:t>
            </w:r>
          </w:p>
        </w:tc>
        <w:tc>
          <w:tcPr>
            <w:tcW w:w="780" w:type="dxa"/>
            <w:tcBorders>
              <w:top w:val="single" w:sz="8" w:space="0" w:color="auto"/>
              <w:left w:val="nil"/>
              <w:bottom w:val="single" w:sz="4" w:space="0" w:color="auto"/>
              <w:right w:val="single" w:sz="4" w:space="0" w:color="auto"/>
            </w:tcBorders>
            <w:shd w:val="clear" w:color="000000" w:fill="FFFFFF"/>
            <w:vAlign w:val="center"/>
            <w:hideMark/>
          </w:tcPr>
          <w:p w14:paraId="4D3BB375" w14:textId="77777777" w:rsidR="009F124E" w:rsidRPr="009F124E" w:rsidRDefault="009F124E" w:rsidP="009F124E">
            <w:pPr>
              <w:jc w:val="center"/>
              <w:rPr>
                <w:b/>
                <w:bCs/>
                <w:i/>
                <w:iCs/>
                <w:color w:val="000000"/>
                <w:sz w:val="12"/>
                <w:szCs w:val="12"/>
              </w:rPr>
            </w:pPr>
            <w:r w:rsidRPr="009F124E">
              <w:rPr>
                <w:sz w:val="12"/>
                <w:szCs w:val="12"/>
                <w:lang w:eastAsia="en-US"/>
              </w:rPr>
              <w:t>0.63</w:t>
            </w:r>
          </w:p>
        </w:tc>
        <w:tc>
          <w:tcPr>
            <w:tcW w:w="780" w:type="dxa"/>
            <w:tcBorders>
              <w:top w:val="single" w:sz="8" w:space="0" w:color="auto"/>
              <w:left w:val="nil"/>
              <w:bottom w:val="single" w:sz="4" w:space="0" w:color="auto"/>
              <w:right w:val="single" w:sz="4" w:space="0" w:color="auto"/>
            </w:tcBorders>
            <w:shd w:val="clear" w:color="000000" w:fill="FFFFFF"/>
            <w:vAlign w:val="center"/>
            <w:hideMark/>
          </w:tcPr>
          <w:p w14:paraId="066070B1" w14:textId="77777777" w:rsidR="009F124E" w:rsidRPr="009F124E" w:rsidRDefault="009F124E" w:rsidP="009F124E">
            <w:pPr>
              <w:jc w:val="center"/>
              <w:rPr>
                <w:b/>
                <w:bCs/>
                <w:color w:val="000000"/>
                <w:sz w:val="12"/>
                <w:szCs w:val="12"/>
              </w:rPr>
            </w:pPr>
          </w:p>
        </w:tc>
        <w:tc>
          <w:tcPr>
            <w:tcW w:w="745" w:type="dxa"/>
            <w:tcBorders>
              <w:top w:val="single" w:sz="8" w:space="0" w:color="auto"/>
              <w:left w:val="nil"/>
              <w:bottom w:val="single" w:sz="4" w:space="0" w:color="auto"/>
              <w:right w:val="single" w:sz="4" w:space="0" w:color="auto"/>
            </w:tcBorders>
            <w:shd w:val="clear" w:color="000000" w:fill="FFFFFF"/>
            <w:vAlign w:val="center"/>
            <w:hideMark/>
          </w:tcPr>
          <w:p w14:paraId="3CCFD9F8" w14:textId="77777777" w:rsidR="009F124E" w:rsidRPr="009F124E" w:rsidRDefault="009F124E" w:rsidP="009F124E">
            <w:pPr>
              <w:jc w:val="center"/>
              <w:rPr>
                <w:b/>
                <w:bCs/>
                <w:color w:val="000000"/>
                <w:sz w:val="12"/>
                <w:szCs w:val="12"/>
              </w:rPr>
            </w:pPr>
            <w:r w:rsidRPr="009F124E">
              <w:rPr>
                <w:sz w:val="12"/>
                <w:szCs w:val="12"/>
                <w:lang w:eastAsia="en-US"/>
              </w:rPr>
              <w:t>0.63</w:t>
            </w:r>
          </w:p>
        </w:tc>
        <w:tc>
          <w:tcPr>
            <w:tcW w:w="3691" w:type="dxa"/>
            <w:tcBorders>
              <w:top w:val="single" w:sz="8" w:space="0" w:color="auto"/>
              <w:left w:val="nil"/>
              <w:bottom w:val="nil"/>
              <w:right w:val="single" w:sz="8" w:space="0" w:color="auto"/>
            </w:tcBorders>
            <w:shd w:val="clear" w:color="000000" w:fill="FFFFFF"/>
            <w:noWrap/>
            <w:vAlign w:val="center"/>
            <w:hideMark/>
          </w:tcPr>
          <w:p w14:paraId="0CE9C442" w14:textId="77777777" w:rsidR="009F124E" w:rsidRPr="009F124E" w:rsidRDefault="009F124E" w:rsidP="009F124E">
            <w:pPr>
              <w:rPr>
                <w:b/>
                <w:bCs/>
                <w:i/>
                <w:iCs/>
                <w:color w:val="000000"/>
                <w:sz w:val="10"/>
                <w:szCs w:val="10"/>
              </w:rPr>
            </w:pPr>
            <w:r w:rsidRPr="009F124E">
              <w:rPr>
                <w:b/>
                <w:bCs/>
                <w:i/>
                <w:iCs/>
                <w:color w:val="000000"/>
                <w:sz w:val="10"/>
                <w:szCs w:val="10"/>
              </w:rPr>
              <w:t> </w:t>
            </w:r>
          </w:p>
        </w:tc>
      </w:tr>
      <w:tr w:rsidR="009F124E" w:rsidRPr="009F124E" w14:paraId="247C3521" w14:textId="77777777" w:rsidTr="00207D0F">
        <w:trPr>
          <w:trHeight w:val="57"/>
        </w:trPr>
        <w:tc>
          <w:tcPr>
            <w:tcW w:w="750" w:type="dxa"/>
            <w:vMerge w:val="restart"/>
            <w:tcBorders>
              <w:top w:val="nil"/>
              <w:left w:val="single" w:sz="8" w:space="0" w:color="auto"/>
              <w:bottom w:val="single" w:sz="4" w:space="0" w:color="000000"/>
              <w:right w:val="single" w:sz="4" w:space="0" w:color="auto"/>
            </w:tcBorders>
            <w:shd w:val="clear" w:color="000000" w:fill="8496B0"/>
            <w:noWrap/>
            <w:vAlign w:val="center"/>
            <w:hideMark/>
          </w:tcPr>
          <w:p w14:paraId="3FFF29B4" w14:textId="77777777" w:rsidR="009F124E" w:rsidRPr="009F124E" w:rsidRDefault="009F124E" w:rsidP="009F124E">
            <w:pPr>
              <w:jc w:val="center"/>
              <w:rPr>
                <w:b/>
                <w:bCs/>
                <w:i/>
                <w:iCs/>
                <w:color w:val="FFFFFF"/>
                <w:sz w:val="12"/>
                <w:szCs w:val="12"/>
              </w:rPr>
            </w:pPr>
            <w:r w:rsidRPr="009F124E">
              <w:rPr>
                <w:b/>
                <w:bCs/>
                <w:i/>
                <w:iCs/>
                <w:color w:val="FFFFFF"/>
                <w:sz w:val="12"/>
                <w:szCs w:val="12"/>
              </w:rPr>
              <w:t>311</w:t>
            </w:r>
          </w:p>
        </w:tc>
        <w:tc>
          <w:tcPr>
            <w:tcW w:w="1758" w:type="dxa"/>
            <w:vMerge w:val="restart"/>
            <w:tcBorders>
              <w:top w:val="nil"/>
              <w:left w:val="single" w:sz="4" w:space="0" w:color="auto"/>
              <w:bottom w:val="single" w:sz="4" w:space="0" w:color="000000"/>
              <w:right w:val="single" w:sz="4" w:space="0" w:color="auto"/>
            </w:tcBorders>
            <w:shd w:val="clear" w:color="000000" w:fill="EDEDED"/>
            <w:vAlign w:val="center"/>
            <w:hideMark/>
          </w:tcPr>
          <w:p w14:paraId="3AEFB861" w14:textId="77777777" w:rsidR="009F124E" w:rsidRPr="009F124E" w:rsidRDefault="009F124E" w:rsidP="009F124E">
            <w:pPr>
              <w:ind w:firstLineChars="100" w:firstLine="120"/>
              <w:rPr>
                <w:i/>
                <w:iCs/>
                <w:color w:val="000000"/>
                <w:sz w:val="12"/>
                <w:szCs w:val="12"/>
              </w:rPr>
            </w:pPr>
            <w:r w:rsidRPr="009F124E">
              <w:rPr>
                <w:i/>
                <w:iCs/>
                <w:color w:val="000000"/>
                <w:sz w:val="12"/>
                <w:szCs w:val="12"/>
              </w:rPr>
              <w:t>Activos fijos</w:t>
            </w:r>
          </w:p>
        </w:tc>
        <w:tc>
          <w:tcPr>
            <w:tcW w:w="780" w:type="dxa"/>
            <w:vMerge w:val="restart"/>
            <w:tcBorders>
              <w:top w:val="nil"/>
              <w:left w:val="single" w:sz="4" w:space="0" w:color="auto"/>
              <w:bottom w:val="single" w:sz="4" w:space="0" w:color="000000"/>
              <w:right w:val="single" w:sz="4" w:space="0" w:color="auto"/>
            </w:tcBorders>
            <w:shd w:val="clear" w:color="000000" w:fill="EDEDED"/>
            <w:vAlign w:val="center"/>
            <w:hideMark/>
          </w:tcPr>
          <w:p w14:paraId="198140D9" w14:textId="77777777" w:rsidR="009F124E" w:rsidRPr="009F124E" w:rsidRDefault="009F124E" w:rsidP="009F124E">
            <w:pPr>
              <w:jc w:val="center"/>
              <w:rPr>
                <w:i/>
                <w:iCs/>
                <w:color w:val="000000"/>
                <w:sz w:val="12"/>
                <w:szCs w:val="12"/>
              </w:rPr>
            </w:pPr>
            <w:r w:rsidRPr="009F124E">
              <w:rPr>
                <w:sz w:val="12"/>
                <w:szCs w:val="12"/>
                <w:lang w:eastAsia="en-US"/>
              </w:rPr>
              <w:t>0.51</w:t>
            </w:r>
          </w:p>
          <w:p w14:paraId="0EA195FC" w14:textId="77777777" w:rsidR="009F124E" w:rsidRPr="009F124E" w:rsidRDefault="009F124E" w:rsidP="009F124E">
            <w:pPr>
              <w:jc w:val="center"/>
              <w:rPr>
                <w:i/>
                <w:iCs/>
                <w:color w:val="000000"/>
                <w:sz w:val="12"/>
                <w:szCs w:val="12"/>
              </w:rPr>
            </w:pPr>
          </w:p>
        </w:tc>
        <w:tc>
          <w:tcPr>
            <w:tcW w:w="780" w:type="dxa"/>
            <w:vMerge w:val="restart"/>
            <w:tcBorders>
              <w:top w:val="nil"/>
              <w:left w:val="single" w:sz="4" w:space="0" w:color="auto"/>
              <w:bottom w:val="single" w:sz="4" w:space="0" w:color="000000"/>
              <w:right w:val="single" w:sz="4" w:space="0" w:color="auto"/>
            </w:tcBorders>
            <w:shd w:val="clear" w:color="000000" w:fill="EDEDED"/>
            <w:vAlign w:val="center"/>
            <w:hideMark/>
          </w:tcPr>
          <w:p w14:paraId="68038D28" w14:textId="77777777" w:rsidR="009F124E" w:rsidRPr="009F124E" w:rsidRDefault="009F124E" w:rsidP="009F124E">
            <w:pPr>
              <w:jc w:val="center"/>
              <w:rPr>
                <w:color w:val="000000"/>
                <w:sz w:val="12"/>
                <w:szCs w:val="12"/>
              </w:rPr>
            </w:pPr>
          </w:p>
          <w:p w14:paraId="6B4B229A" w14:textId="77777777" w:rsidR="009F124E" w:rsidRPr="009F124E" w:rsidRDefault="009F124E" w:rsidP="009F124E">
            <w:pPr>
              <w:jc w:val="center"/>
              <w:rPr>
                <w:color w:val="000000"/>
                <w:sz w:val="12"/>
                <w:szCs w:val="12"/>
              </w:rPr>
            </w:pPr>
          </w:p>
        </w:tc>
        <w:tc>
          <w:tcPr>
            <w:tcW w:w="745" w:type="dxa"/>
            <w:vMerge w:val="restart"/>
            <w:tcBorders>
              <w:top w:val="nil"/>
              <w:left w:val="single" w:sz="4" w:space="0" w:color="auto"/>
              <w:bottom w:val="single" w:sz="4" w:space="0" w:color="000000"/>
              <w:right w:val="nil"/>
            </w:tcBorders>
            <w:shd w:val="clear" w:color="000000" w:fill="EDEDED"/>
            <w:vAlign w:val="center"/>
            <w:hideMark/>
          </w:tcPr>
          <w:p w14:paraId="3C7B5D70" w14:textId="77777777" w:rsidR="009F124E" w:rsidRPr="009F124E" w:rsidRDefault="009F124E" w:rsidP="009F124E">
            <w:pPr>
              <w:jc w:val="center"/>
              <w:rPr>
                <w:color w:val="000000"/>
                <w:sz w:val="12"/>
                <w:szCs w:val="12"/>
              </w:rPr>
            </w:pPr>
            <w:r w:rsidRPr="009F124E">
              <w:rPr>
                <w:sz w:val="12"/>
                <w:szCs w:val="12"/>
                <w:lang w:eastAsia="en-US"/>
              </w:rPr>
              <w:t>0.51</w:t>
            </w:r>
          </w:p>
          <w:p w14:paraId="63BC7650" w14:textId="77777777" w:rsidR="009F124E" w:rsidRPr="009F124E" w:rsidRDefault="009F124E" w:rsidP="009F124E">
            <w:pPr>
              <w:jc w:val="center"/>
              <w:rPr>
                <w:color w:val="000000"/>
                <w:sz w:val="12"/>
                <w:szCs w:val="12"/>
              </w:rPr>
            </w:pPr>
          </w:p>
        </w:tc>
        <w:tc>
          <w:tcPr>
            <w:tcW w:w="3691" w:type="dxa"/>
            <w:tcBorders>
              <w:top w:val="single" w:sz="4" w:space="0" w:color="auto"/>
              <w:left w:val="single" w:sz="4" w:space="0" w:color="auto"/>
              <w:bottom w:val="nil"/>
              <w:right w:val="single" w:sz="8" w:space="0" w:color="auto"/>
            </w:tcBorders>
            <w:shd w:val="clear" w:color="000000" w:fill="EDEDED"/>
            <w:vAlign w:val="center"/>
            <w:hideMark/>
          </w:tcPr>
          <w:p w14:paraId="5013D917" w14:textId="77777777" w:rsidR="009F124E" w:rsidRPr="009F124E" w:rsidRDefault="009F124E" w:rsidP="009F124E">
            <w:pPr>
              <w:rPr>
                <w:i/>
                <w:iCs/>
                <w:color w:val="000000"/>
                <w:sz w:val="10"/>
                <w:szCs w:val="10"/>
              </w:rPr>
            </w:pPr>
            <w:r w:rsidRPr="009F124E">
              <w:rPr>
                <w:i/>
                <w:iCs/>
                <w:color w:val="000000"/>
                <w:sz w:val="10"/>
                <w:szCs w:val="10"/>
              </w:rPr>
              <w:t>(+) Inversión Real Directa y Financiera</w:t>
            </w:r>
          </w:p>
        </w:tc>
      </w:tr>
      <w:tr w:rsidR="009F124E" w:rsidRPr="009F124E" w14:paraId="463FA275" w14:textId="77777777" w:rsidTr="00207D0F">
        <w:trPr>
          <w:trHeight w:val="57"/>
        </w:trPr>
        <w:tc>
          <w:tcPr>
            <w:tcW w:w="750" w:type="dxa"/>
            <w:vMerge/>
            <w:tcBorders>
              <w:top w:val="nil"/>
              <w:left w:val="single" w:sz="8" w:space="0" w:color="auto"/>
              <w:bottom w:val="single" w:sz="4" w:space="0" w:color="000000"/>
              <w:right w:val="single" w:sz="4" w:space="0" w:color="auto"/>
            </w:tcBorders>
            <w:vAlign w:val="center"/>
            <w:hideMark/>
          </w:tcPr>
          <w:p w14:paraId="4C0EEA6F" w14:textId="77777777" w:rsidR="009F124E" w:rsidRPr="009F124E" w:rsidRDefault="009F124E" w:rsidP="009F124E">
            <w:pPr>
              <w:rPr>
                <w:b/>
                <w:bCs/>
                <w:i/>
                <w:iCs/>
                <w:color w:val="FFFFFF"/>
                <w:sz w:val="12"/>
                <w:szCs w:val="12"/>
              </w:rPr>
            </w:pPr>
          </w:p>
        </w:tc>
        <w:tc>
          <w:tcPr>
            <w:tcW w:w="1758" w:type="dxa"/>
            <w:vMerge/>
            <w:tcBorders>
              <w:top w:val="nil"/>
              <w:left w:val="single" w:sz="4" w:space="0" w:color="auto"/>
              <w:bottom w:val="single" w:sz="4" w:space="0" w:color="000000"/>
              <w:right w:val="single" w:sz="4" w:space="0" w:color="auto"/>
            </w:tcBorders>
            <w:vAlign w:val="center"/>
            <w:hideMark/>
          </w:tcPr>
          <w:p w14:paraId="73448E0C" w14:textId="77777777" w:rsidR="009F124E" w:rsidRPr="009F124E" w:rsidRDefault="009F124E" w:rsidP="009F124E">
            <w:pPr>
              <w:rPr>
                <w:i/>
                <w:iCs/>
                <w:color w:val="000000"/>
                <w:sz w:val="12"/>
                <w:szCs w:val="12"/>
              </w:rPr>
            </w:pPr>
          </w:p>
        </w:tc>
        <w:tc>
          <w:tcPr>
            <w:tcW w:w="780" w:type="dxa"/>
            <w:vMerge/>
            <w:tcBorders>
              <w:top w:val="nil"/>
              <w:left w:val="single" w:sz="4" w:space="0" w:color="auto"/>
              <w:bottom w:val="single" w:sz="4" w:space="0" w:color="000000"/>
              <w:right w:val="single" w:sz="4" w:space="0" w:color="auto"/>
            </w:tcBorders>
            <w:vAlign w:val="center"/>
            <w:hideMark/>
          </w:tcPr>
          <w:p w14:paraId="280A4784" w14:textId="77777777" w:rsidR="009F124E" w:rsidRPr="009F124E" w:rsidRDefault="009F124E" w:rsidP="009F124E">
            <w:pPr>
              <w:jc w:val="center"/>
              <w:rPr>
                <w:i/>
                <w:iCs/>
                <w:color w:val="000000"/>
                <w:sz w:val="12"/>
                <w:szCs w:val="12"/>
              </w:rPr>
            </w:pPr>
          </w:p>
        </w:tc>
        <w:tc>
          <w:tcPr>
            <w:tcW w:w="780" w:type="dxa"/>
            <w:vMerge/>
            <w:tcBorders>
              <w:top w:val="nil"/>
              <w:left w:val="single" w:sz="4" w:space="0" w:color="auto"/>
              <w:bottom w:val="single" w:sz="4" w:space="0" w:color="000000"/>
              <w:right w:val="single" w:sz="4" w:space="0" w:color="auto"/>
            </w:tcBorders>
            <w:vAlign w:val="center"/>
            <w:hideMark/>
          </w:tcPr>
          <w:p w14:paraId="2D664ED3" w14:textId="77777777" w:rsidR="009F124E" w:rsidRPr="009F124E" w:rsidRDefault="009F124E" w:rsidP="009F124E">
            <w:pPr>
              <w:jc w:val="center"/>
              <w:rPr>
                <w:color w:val="000000"/>
                <w:sz w:val="12"/>
                <w:szCs w:val="12"/>
              </w:rPr>
            </w:pPr>
          </w:p>
        </w:tc>
        <w:tc>
          <w:tcPr>
            <w:tcW w:w="745" w:type="dxa"/>
            <w:vMerge/>
            <w:tcBorders>
              <w:top w:val="nil"/>
              <w:left w:val="single" w:sz="4" w:space="0" w:color="auto"/>
              <w:bottom w:val="single" w:sz="4" w:space="0" w:color="000000"/>
              <w:right w:val="nil"/>
            </w:tcBorders>
            <w:vAlign w:val="center"/>
            <w:hideMark/>
          </w:tcPr>
          <w:p w14:paraId="48EAAD26" w14:textId="77777777" w:rsidR="009F124E" w:rsidRPr="009F124E" w:rsidRDefault="009F124E" w:rsidP="009F124E">
            <w:pPr>
              <w:jc w:val="center"/>
              <w:rPr>
                <w:color w:val="000000"/>
                <w:sz w:val="12"/>
                <w:szCs w:val="12"/>
              </w:rPr>
            </w:pPr>
          </w:p>
        </w:tc>
        <w:tc>
          <w:tcPr>
            <w:tcW w:w="3691" w:type="dxa"/>
            <w:tcBorders>
              <w:top w:val="nil"/>
              <w:left w:val="single" w:sz="4" w:space="0" w:color="auto"/>
              <w:bottom w:val="nil"/>
              <w:right w:val="single" w:sz="8" w:space="0" w:color="auto"/>
            </w:tcBorders>
            <w:shd w:val="clear" w:color="000000" w:fill="EDEDED"/>
            <w:vAlign w:val="center"/>
            <w:hideMark/>
          </w:tcPr>
          <w:p w14:paraId="6E0162FE" w14:textId="77777777" w:rsidR="009F124E" w:rsidRPr="009F124E" w:rsidRDefault="009F124E" w:rsidP="009F124E">
            <w:pPr>
              <w:rPr>
                <w:i/>
                <w:iCs/>
                <w:color w:val="000000"/>
                <w:sz w:val="10"/>
                <w:szCs w:val="10"/>
              </w:rPr>
            </w:pPr>
            <w:r w:rsidRPr="009F124E">
              <w:rPr>
                <w:i/>
                <w:iCs/>
                <w:color w:val="000000"/>
                <w:sz w:val="10"/>
                <w:szCs w:val="10"/>
              </w:rPr>
              <w:t>(+) Equipo militar y de Seguridad</w:t>
            </w:r>
          </w:p>
        </w:tc>
      </w:tr>
      <w:tr w:rsidR="009F124E" w:rsidRPr="009F124E" w14:paraId="2D83D8D9" w14:textId="77777777" w:rsidTr="00207D0F">
        <w:trPr>
          <w:trHeight w:val="57"/>
        </w:trPr>
        <w:tc>
          <w:tcPr>
            <w:tcW w:w="750" w:type="dxa"/>
            <w:vMerge/>
            <w:tcBorders>
              <w:top w:val="nil"/>
              <w:left w:val="single" w:sz="8" w:space="0" w:color="auto"/>
              <w:bottom w:val="single" w:sz="4" w:space="0" w:color="000000"/>
              <w:right w:val="single" w:sz="4" w:space="0" w:color="auto"/>
            </w:tcBorders>
            <w:vAlign w:val="center"/>
            <w:hideMark/>
          </w:tcPr>
          <w:p w14:paraId="124849D5" w14:textId="77777777" w:rsidR="009F124E" w:rsidRPr="009F124E" w:rsidRDefault="009F124E" w:rsidP="009F124E">
            <w:pPr>
              <w:rPr>
                <w:b/>
                <w:bCs/>
                <w:i/>
                <w:iCs/>
                <w:color w:val="FFFFFF"/>
                <w:sz w:val="12"/>
                <w:szCs w:val="12"/>
              </w:rPr>
            </w:pPr>
          </w:p>
        </w:tc>
        <w:tc>
          <w:tcPr>
            <w:tcW w:w="1758" w:type="dxa"/>
            <w:vMerge/>
            <w:tcBorders>
              <w:top w:val="nil"/>
              <w:left w:val="single" w:sz="4" w:space="0" w:color="auto"/>
              <w:bottom w:val="single" w:sz="4" w:space="0" w:color="000000"/>
              <w:right w:val="single" w:sz="4" w:space="0" w:color="auto"/>
            </w:tcBorders>
            <w:vAlign w:val="center"/>
            <w:hideMark/>
          </w:tcPr>
          <w:p w14:paraId="7A45365C" w14:textId="77777777" w:rsidR="009F124E" w:rsidRPr="009F124E" w:rsidRDefault="009F124E" w:rsidP="009F124E">
            <w:pPr>
              <w:rPr>
                <w:i/>
                <w:iCs/>
                <w:color w:val="000000"/>
                <w:sz w:val="12"/>
                <w:szCs w:val="12"/>
              </w:rPr>
            </w:pPr>
          </w:p>
        </w:tc>
        <w:tc>
          <w:tcPr>
            <w:tcW w:w="780" w:type="dxa"/>
            <w:vMerge/>
            <w:tcBorders>
              <w:top w:val="nil"/>
              <w:left w:val="single" w:sz="4" w:space="0" w:color="auto"/>
              <w:bottom w:val="single" w:sz="4" w:space="0" w:color="000000"/>
              <w:right w:val="single" w:sz="4" w:space="0" w:color="auto"/>
            </w:tcBorders>
            <w:vAlign w:val="center"/>
            <w:hideMark/>
          </w:tcPr>
          <w:p w14:paraId="4C435A49" w14:textId="77777777" w:rsidR="009F124E" w:rsidRPr="009F124E" w:rsidRDefault="009F124E" w:rsidP="009F124E">
            <w:pPr>
              <w:jc w:val="center"/>
              <w:rPr>
                <w:i/>
                <w:iCs/>
                <w:color w:val="000000"/>
                <w:sz w:val="12"/>
                <w:szCs w:val="12"/>
              </w:rPr>
            </w:pPr>
          </w:p>
        </w:tc>
        <w:tc>
          <w:tcPr>
            <w:tcW w:w="780" w:type="dxa"/>
            <w:vMerge/>
            <w:tcBorders>
              <w:top w:val="nil"/>
              <w:left w:val="single" w:sz="4" w:space="0" w:color="auto"/>
              <w:bottom w:val="single" w:sz="4" w:space="0" w:color="000000"/>
              <w:right w:val="single" w:sz="4" w:space="0" w:color="auto"/>
            </w:tcBorders>
            <w:vAlign w:val="center"/>
            <w:hideMark/>
          </w:tcPr>
          <w:p w14:paraId="4EEB8DE4" w14:textId="77777777" w:rsidR="009F124E" w:rsidRPr="009F124E" w:rsidRDefault="009F124E" w:rsidP="009F124E">
            <w:pPr>
              <w:jc w:val="center"/>
              <w:rPr>
                <w:color w:val="000000"/>
                <w:sz w:val="12"/>
                <w:szCs w:val="12"/>
              </w:rPr>
            </w:pPr>
          </w:p>
        </w:tc>
        <w:tc>
          <w:tcPr>
            <w:tcW w:w="745" w:type="dxa"/>
            <w:vMerge/>
            <w:tcBorders>
              <w:top w:val="nil"/>
              <w:left w:val="single" w:sz="4" w:space="0" w:color="auto"/>
              <w:bottom w:val="single" w:sz="4" w:space="0" w:color="000000"/>
              <w:right w:val="nil"/>
            </w:tcBorders>
            <w:vAlign w:val="center"/>
            <w:hideMark/>
          </w:tcPr>
          <w:p w14:paraId="3DAF48D5" w14:textId="77777777" w:rsidR="009F124E" w:rsidRPr="009F124E" w:rsidRDefault="009F124E" w:rsidP="009F124E">
            <w:pPr>
              <w:jc w:val="center"/>
              <w:rPr>
                <w:color w:val="000000"/>
                <w:sz w:val="12"/>
                <w:szCs w:val="12"/>
              </w:rPr>
            </w:pPr>
          </w:p>
        </w:tc>
        <w:tc>
          <w:tcPr>
            <w:tcW w:w="3691" w:type="dxa"/>
            <w:tcBorders>
              <w:top w:val="nil"/>
              <w:left w:val="single" w:sz="4" w:space="0" w:color="auto"/>
              <w:bottom w:val="nil"/>
              <w:right w:val="single" w:sz="8" w:space="0" w:color="auto"/>
            </w:tcBorders>
            <w:shd w:val="clear" w:color="000000" w:fill="EDEDED"/>
            <w:vAlign w:val="center"/>
            <w:hideMark/>
          </w:tcPr>
          <w:p w14:paraId="0889E787" w14:textId="77777777" w:rsidR="009F124E" w:rsidRPr="009F124E" w:rsidRDefault="009F124E" w:rsidP="009F124E">
            <w:pPr>
              <w:rPr>
                <w:i/>
                <w:iCs/>
                <w:color w:val="000000"/>
                <w:sz w:val="10"/>
                <w:szCs w:val="10"/>
              </w:rPr>
            </w:pPr>
            <w:r w:rsidRPr="009F124E">
              <w:rPr>
                <w:i/>
                <w:iCs/>
                <w:color w:val="000000"/>
                <w:sz w:val="10"/>
                <w:szCs w:val="10"/>
              </w:rPr>
              <w:t>(-) Tierras y Terrenos</w:t>
            </w:r>
          </w:p>
        </w:tc>
      </w:tr>
      <w:tr w:rsidR="009F124E" w:rsidRPr="009F124E" w14:paraId="35204C36" w14:textId="77777777" w:rsidTr="00207D0F">
        <w:trPr>
          <w:trHeight w:val="57"/>
        </w:trPr>
        <w:tc>
          <w:tcPr>
            <w:tcW w:w="750" w:type="dxa"/>
            <w:vMerge/>
            <w:tcBorders>
              <w:top w:val="nil"/>
              <w:left w:val="single" w:sz="8" w:space="0" w:color="auto"/>
              <w:bottom w:val="single" w:sz="4" w:space="0" w:color="000000"/>
              <w:right w:val="single" w:sz="4" w:space="0" w:color="auto"/>
            </w:tcBorders>
            <w:vAlign w:val="center"/>
            <w:hideMark/>
          </w:tcPr>
          <w:p w14:paraId="3622B627" w14:textId="77777777" w:rsidR="009F124E" w:rsidRPr="009F124E" w:rsidRDefault="009F124E" w:rsidP="009F124E">
            <w:pPr>
              <w:rPr>
                <w:b/>
                <w:bCs/>
                <w:i/>
                <w:iCs/>
                <w:color w:val="FFFFFF"/>
                <w:sz w:val="12"/>
                <w:szCs w:val="12"/>
              </w:rPr>
            </w:pPr>
          </w:p>
        </w:tc>
        <w:tc>
          <w:tcPr>
            <w:tcW w:w="1758" w:type="dxa"/>
            <w:vMerge/>
            <w:tcBorders>
              <w:top w:val="nil"/>
              <w:left w:val="single" w:sz="4" w:space="0" w:color="auto"/>
              <w:bottom w:val="single" w:sz="4" w:space="0" w:color="000000"/>
              <w:right w:val="single" w:sz="4" w:space="0" w:color="auto"/>
            </w:tcBorders>
            <w:vAlign w:val="center"/>
            <w:hideMark/>
          </w:tcPr>
          <w:p w14:paraId="6CB2CE48" w14:textId="77777777" w:rsidR="009F124E" w:rsidRPr="009F124E" w:rsidRDefault="009F124E" w:rsidP="009F124E">
            <w:pPr>
              <w:rPr>
                <w:i/>
                <w:iCs/>
                <w:color w:val="000000"/>
                <w:sz w:val="12"/>
                <w:szCs w:val="12"/>
              </w:rPr>
            </w:pPr>
          </w:p>
        </w:tc>
        <w:tc>
          <w:tcPr>
            <w:tcW w:w="780" w:type="dxa"/>
            <w:vMerge/>
            <w:tcBorders>
              <w:top w:val="nil"/>
              <w:left w:val="single" w:sz="4" w:space="0" w:color="auto"/>
              <w:bottom w:val="single" w:sz="4" w:space="0" w:color="000000"/>
              <w:right w:val="single" w:sz="4" w:space="0" w:color="auto"/>
            </w:tcBorders>
            <w:vAlign w:val="center"/>
            <w:hideMark/>
          </w:tcPr>
          <w:p w14:paraId="22A09160" w14:textId="77777777" w:rsidR="009F124E" w:rsidRPr="009F124E" w:rsidRDefault="009F124E" w:rsidP="009F124E">
            <w:pPr>
              <w:jc w:val="center"/>
              <w:rPr>
                <w:i/>
                <w:iCs/>
                <w:color w:val="000000"/>
                <w:sz w:val="12"/>
                <w:szCs w:val="12"/>
              </w:rPr>
            </w:pPr>
          </w:p>
        </w:tc>
        <w:tc>
          <w:tcPr>
            <w:tcW w:w="780" w:type="dxa"/>
            <w:vMerge/>
            <w:tcBorders>
              <w:top w:val="nil"/>
              <w:left w:val="single" w:sz="4" w:space="0" w:color="auto"/>
              <w:bottom w:val="single" w:sz="4" w:space="0" w:color="000000"/>
              <w:right w:val="single" w:sz="4" w:space="0" w:color="auto"/>
            </w:tcBorders>
            <w:vAlign w:val="center"/>
            <w:hideMark/>
          </w:tcPr>
          <w:p w14:paraId="04F5D50A" w14:textId="77777777" w:rsidR="009F124E" w:rsidRPr="009F124E" w:rsidRDefault="009F124E" w:rsidP="009F124E">
            <w:pPr>
              <w:jc w:val="center"/>
              <w:rPr>
                <w:color w:val="000000"/>
                <w:sz w:val="12"/>
                <w:szCs w:val="12"/>
              </w:rPr>
            </w:pPr>
          </w:p>
        </w:tc>
        <w:tc>
          <w:tcPr>
            <w:tcW w:w="745" w:type="dxa"/>
            <w:vMerge/>
            <w:tcBorders>
              <w:top w:val="nil"/>
              <w:left w:val="single" w:sz="4" w:space="0" w:color="auto"/>
              <w:bottom w:val="single" w:sz="4" w:space="0" w:color="000000"/>
              <w:right w:val="nil"/>
            </w:tcBorders>
            <w:vAlign w:val="center"/>
            <w:hideMark/>
          </w:tcPr>
          <w:p w14:paraId="65FA86D8" w14:textId="77777777" w:rsidR="009F124E" w:rsidRPr="009F124E" w:rsidRDefault="009F124E" w:rsidP="009F124E">
            <w:pPr>
              <w:jc w:val="center"/>
              <w:rPr>
                <w:color w:val="000000"/>
                <w:sz w:val="12"/>
                <w:szCs w:val="12"/>
              </w:rPr>
            </w:pPr>
          </w:p>
        </w:tc>
        <w:tc>
          <w:tcPr>
            <w:tcW w:w="3691" w:type="dxa"/>
            <w:tcBorders>
              <w:top w:val="nil"/>
              <w:left w:val="single" w:sz="4" w:space="0" w:color="auto"/>
              <w:bottom w:val="nil"/>
              <w:right w:val="single" w:sz="8" w:space="0" w:color="auto"/>
            </w:tcBorders>
            <w:shd w:val="clear" w:color="000000" w:fill="EDEDED"/>
            <w:vAlign w:val="center"/>
            <w:hideMark/>
          </w:tcPr>
          <w:p w14:paraId="5713FEBC" w14:textId="77777777" w:rsidR="009F124E" w:rsidRPr="009F124E" w:rsidRDefault="009F124E" w:rsidP="009F124E">
            <w:pPr>
              <w:rPr>
                <w:i/>
                <w:iCs/>
                <w:color w:val="000000"/>
                <w:sz w:val="10"/>
                <w:szCs w:val="10"/>
              </w:rPr>
            </w:pPr>
            <w:r w:rsidRPr="009F124E">
              <w:rPr>
                <w:i/>
                <w:iCs/>
                <w:color w:val="000000"/>
                <w:sz w:val="10"/>
                <w:szCs w:val="10"/>
              </w:rPr>
              <w:t>(-) Libros y objetos coleccionables</w:t>
            </w:r>
          </w:p>
        </w:tc>
      </w:tr>
      <w:tr w:rsidR="009F124E" w:rsidRPr="009F124E" w14:paraId="24A4E634" w14:textId="77777777" w:rsidTr="00207D0F">
        <w:trPr>
          <w:trHeight w:val="57"/>
        </w:trPr>
        <w:tc>
          <w:tcPr>
            <w:tcW w:w="750" w:type="dxa"/>
            <w:vMerge/>
            <w:tcBorders>
              <w:top w:val="nil"/>
              <w:left w:val="single" w:sz="8" w:space="0" w:color="auto"/>
              <w:bottom w:val="single" w:sz="4" w:space="0" w:color="000000"/>
              <w:right w:val="single" w:sz="4" w:space="0" w:color="auto"/>
            </w:tcBorders>
            <w:vAlign w:val="center"/>
            <w:hideMark/>
          </w:tcPr>
          <w:p w14:paraId="33188C42" w14:textId="77777777" w:rsidR="009F124E" w:rsidRPr="009F124E" w:rsidRDefault="009F124E" w:rsidP="009F124E">
            <w:pPr>
              <w:rPr>
                <w:b/>
                <w:bCs/>
                <w:i/>
                <w:iCs/>
                <w:color w:val="FFFFFF"/>
                <w:sz w:val="12"/>
                <w:szCs w:val="12"/>
              </w:rPr>
            </w:pPr>
          </w:p>
        </w:tc>
        <w:tc>
          <w:tcPr>
            <w:tcW w:w="1758" w:type="dxa"/>
            <w:vMerge/>
            <w:tcBorders>
              <w:top w:val="nil"/>
              <w:left w:val="single" w:sz="4" w:space="0" w:color="auto"/>
              <w:bottom w:val="single" w:sz="4" w:space="0" w:color="000000"/>
              <w:right w:val="single" w:sz="4" w:space="0" w:color="auto"/>
            </w:tcBorders>
            <w:vAlign w:val="center"/>
            <w:hideMark/>
          </w:tcPr>
          <w:p w14:paraId="4FC9953F" w14:textId="77777777" w:rsidR="009F124E" w:rsidRPr="009F124E" w:rsidRDefault="009F124E" w:rsidP="009F124E">
            <w:pPr>
              <w:rPr>
                <w:i/>
                <w:iCs/>
                <w:color w:val="000000"/>
                <w:sz w:val="12"/>
                <w:szCs w:val="12"/>
              </w:rPr>
            </w:pPr>
          </w:p>
        </w:tc>
        <w:tc>
          <w:tcPr>
            <w:tcW w:w="780" w:type="dxa"/>
            <w:vMerge/>
            <w:tcBorders>
              <w:top w:val="nil"/>
              <w:left w:val="single" w:sz="4" w:space="0" w:color="auto"/>
              <w:bottom w:val="single" w:sz="4" w:space="0" w:color="000000"/>
              <w:right w:val="single" w:sz="4" w:space="0" w:color="auto"/>
            </w:tcBorders>
            <w:vAlign w:val="center"/>
            <w:hideMark/>
          </w:tcPr>
          <w:p w14:paraId="036F607E" w14:textId="77777777" w:rsidR="009F124E" w:rsidRPr="009F124E" w:rsidRDefault="009F124E" w:rsidP="009F124E">
            <w:pPr>
              <w:jc w:val="center"/>
              <w:rPr>
                <w:i/>
                <w:iCs/>
                <w:color w:val="000000"/>
                <w:sz w:val="12"/>
                <w:szCs w:val="12"/>
              </w:rPr>
            </w:pPr>
          </w:p>
        </w:tc>
        <w:tc>
          <w:tcPr>
            <w:tcW w:w="780" w:type="dxa"/>
            <w:vMerge/>
            <w:tcBorders>
              <w:top w:val="nil"/>
              <w:left w:val="single" w:sz="4" w:space="0" w:color="auto"/>
              <w:bottom w:val="single" w:sz="4" w:space="0" w:color="000000"/>
              <w:right w:val="single" w:sz="4" w:space="0" w:color="auto"/>
            </w:tcBorders>
            <w:vAlign w:val="center"/>
            <w:hideMark/>
          </w:tcPr>
          <w:p w14:paraId="62D563A4" w14:textId="77777777" w:rsidR="009F124E" w:rsidRPr="009F124E" w:rsidRDefault="009F124E" w:rsidP="009F124E">
            <w:pPr>
              <w:jc w:val="center"/>
              <w:rPr>
                <w:color w:val="000000"/>
                <w:sz w:val="12"/>
                <w:szCs w:val="12"/>
              </w:rPr>
            </w:pPr>
          </w:p>
        </w:tc>
        <w:tc>
          <w:tcPr>
            <w:tcW w:w="745" w:type="dxa"/>
            <w:vMerge/>
            <w:tcBorders>
              <w:top w:val="nil"/>
              <w:left w:val="single" w:sz="4" w:space="0" w:color="auto"/>
              <w:bottom w:val="single" w:sz="4" w:space="0" w:color="000000"/>
              <w:right w:val="nil"/>
            </w:tcBorders>
            <w:vAlign w:val="center"/>
            <w:hideMark/>
          </w:tcPr>
          <w:p w14:paraId="2F5C6851" w14:textId="77777777" w:rsidR="009F124E" w:rsidRPr="009F124E" w:rsidRDefault="009F124E" w:rsidP="009F124E">
            <w:pPr>
              <w:jc w:val="center"/>
              <w:rPr>
                <w:color w:val="000000"/>
                <w:sz w:val="12"/>
                <w:szCs w:val="12"/>
              </w:rPr>
            </w:pPr>
          </w:p>
        </w:tc>
        <w:tc>
          <w:tcPr>
            <w:tcW w:w="3691" w:type="dxa"/>
            <w:tcBorders>
              <w:top w:val="nil"/>
              <w:left w:val="single" w:sz="4" w:space="0" w:color="auto"/>
              <w:bottom w:val="nil"/>
              <w:right w:val="single" w:sz="8" w:space="0" w:color="auto"/>
            </w:tcBorders>
            <w:shd w:val="clear" w:color="000000" w:fill="EDEDED"/>
            <w:vAlign w:val="center"/>
            <w:hideMark/>
          </w:tcPr>
          <w:p w14:paraId="071AA7D2" w14:textId="77777777" w:rsidR="009F124E" w:rsidRPr="009F124E" w:rsidRDefault="009F124E" w:rsidP="009F124E">
            <w:pPr>
              <w:rPr>
                <w:i/>
                <w:iCs/>
                <w:color w:val="000000"/>
                <w:sz w:val="10"/>
                <w:szCs w:val="10"/>
              </w:rPr>
            </w:pPr>
            <w:r w:rsidRPr="009F124E">
              <w:rPr>
                <w:i/>
                <w:iCs/>
                <w:color w:val="000000"/>
                <w:sz w:val="10"/>
                <w:szCs w:val="10"/>
              </w:rPr>
              <w:t>(-) Obras de arte</w:t>
            </w:r>
          </w:p>
        </w:tc>
      </w:tr>
      <w:tr w:rsidR="009F124E" w:rsidRPr="009F124E" w14:paraId="66596DA4" w14:textId="77777777" w:rsidTr="00207D0F">
        <w:trPr>
          <w:trHeight w:val="57"/>
        </w:trPr>
        <w:tc>
          <w:tcPr>
            <w:tcW w:w="750" w:type="dxa"/>
            <w:vMerge/>
            <w:tcBorders>
              <w:top w:val="nil"/>
              <w:left w:val="single" w:sz="8" w:space="0" w:color="auto"/>
              <w:bottom w:val="single" w:sz="4" w:space="0" w:color="000000"/>
              <w:right w:val="single" w:sz="4" w:space="0" w:color="auto"/>
            </w:tcBorders>
            <w:vAlign w:val="center"/>
            <w:hideMark/>
          </w:tcPr>
          <w:p w14:paraId="6520143B" w14:textId="77777777" w:rsidR="009F124E" w:rsidRPr="009F124E" w:rsidRDefault="009F124E" w:rsidP="009F124E">
            <w:pPr>
              <w:rPr>
                <w:b/>
                <w:bCs/>
                <w:i/>
                <w:iCs/>
                <w:color w:val="FFFFFF"/>
                <w:sz w:val="12"/>
                <w:szCs w:val="12"/>
              </w:rPr>
            </w:pPr>
          </w:p>
        </w:tc>
        <w:tc>
          <w:tcPr>
            <w:tcW w:w="1758" w:type="dxa"/>
            <w:vMerge/>
            <w:tcBorders>
              <w:top w:val="nil"/>
              <w:left w:val="single" w:sz="4" w:space="0" w:color="auto"/>
              <w:bottom w:val="single" w:sz="4" w:space="0" w:color="000000"/>
              <w:right w:val="single" w:sz="4" w:space="0" w:color="auto"/>
            </w:tcBorders>
            <w:vAlign w:val="center"/>
            <w:hideMark/>
          </w:tcPr>
          <w:p w14:paraId="1AB5163E" w14:textId="77777777" w:rsidR="009F124E" w:rsidRPr="009F124E" w:rsidRDefault="009F124E" w:rsidP="009F124E">
            <w:pPr>
              <w:rPr>
                <w:i/>
                <w:iCs/>
                <w:color w:val="000000"/>
                <w:sz w:val="12"/>
                <w:szCs w:val="12"/>
              </w:rPr>
            </w:pPr>
          </w:p>
        </w:tc>
        <w:tc>
          <w:tcPr>
            <w:tcW w:w="780" w:type="dxa"/>
            <w:vMerge/>
            <w:tcBorders>
              <w:top w:val="nil"/>
              <w:left w:val="single" w:sz="4" w:space="0" w:color="auto"/>
              <w:bottom w:val="single" w:sz="4" w:space="0" w:color="000000"/>
              <w:right w:val="single" w:sz="4" w:space="0" w:color="auto"/>
            </w:tcBorders>
            <w:vAlign w:val="center"/>
            <w:hideMark/>
          </w:tcPr>
          <w:p w14:paraId="30231733" w14:textId="77777777" w:rsidR="009F124E" w:rsidRPr="009F124E" w:rsidRDefault="009F124E" w:rsidP="009F124E">
            <w:pPr>
              <w:jc w:val="center"/>
              <w:rPr>
                <w:i/>
                <w:iCs/>
                <w:color w:val="000000"/>
                <w:sz w:val="12"/>
                <w:szCs w:val="12"/>
              </w:rPr>
            </w:pPr>
          </w:p>
        </w:tc>
        <w:tc>
          <w:tcPr>
            <w:tcW w:w="780" w:type="dxa"/>
            <w:vMerge/>
            <w:tcBorders>
              <w:top w:val="nil"/>
              <w:left w:val="single" w:sz="4" w:space="0" w:color="auto"/>
              <w:bottom w:val="single" w:sz="4" w:space="0" w:color="000000"/>
              <w:right w:val="single" w:sz="4" w:space="0" w:color="auto"/>
            </w:tcBorders>
            <w:vAlign w:val="center"/>
            <w:hideMark/>
          </w:tcPr>
          <w:p w14:paraId="4D3DCEBA" w14:textId="77777777" w:rsidR="009F124E" w:rsidRPr="009F124E" w:rsidRDefault="009F124E" w:rsidP="009F124E">
            <w:pPr>
              <w:jc w:val="center"/>
              <w:rPr>
                <w:color w:val="000000"/>
                <w:sz w:val="12"/>
                <w:szCs w:val="12"/>
              </w:rPr>
            </w:pPr>
          </w:p>
        </w:tc>
        <w:tc>
          <w:tcPr>
            <w:tcW w:w="745" w:type="dxa"/>
            <w:vMerge/>
            <w:tcBorders>
              <w:top w:val="nil"/>
              <w:left w:val="single" w:sz="4" w:space="0" w:color="auto"/>
              <w:bottom w:val="single" w:sz="4" w:space="0" w:color="000000"/>
              <w:right w:val="nil"/>
            </w:tcBorders>
            <w:vAlign w:val="center"/>
            <w:hideMark/>
          </w:tcPr>
          <w:p w14:paraId="57308F2F" w14:textId="77777777" w:rsidR="009F124E" w:rsidRPr="009F124E" w:rsidRDefault="009F124E" w:rsidP="009F124E">
            <w:pPr>
              <w:jc w:val="center"/>
              <w:rPr>
                <w:color w:val="000000"/>
                <w:sz w:val="12"/>
                <w:szCs w:val="12"/>
              </w:rPr>
            </w:pPr>
          </w:p>
        </w:tc>
        <w:tc>
          <w:tcPr>
            <w:tcW w:w="3691" w:type="dxa"/>
            <w:tcBorders>
              <w:top w:val="nil"/>
              <w:left w:val="single" w:sz="4" w:space="0" w:color="auto"/>
              <w:bottom w:val="single" w:sz="4" w:space="0" w:color="auto"/>
              <w:right w:val="single" w:sz="8" w:space="0" w:color="auto"/>
            </w:tcBorders>
            <w:shd w:val="clear" w:color="000000" w:fill="EDEDED"/>
            <w:vAlign w:val="center"/>
            <w:hideMark/>
          </w:tcPr>
          <w:p w14:paraId="7CF1E133" w14:textId="77777777" w:rsidR="009F124E" w:rsidRPr="009F124E" w:rsidRDefault="009F124E" w:rsidP="009F124E">
            <w:pPr>
              <w:rPr>
                <w:i/>
                <w:iCs/>
                <w:color w:val="000000"/>
                <w:sz w:val="10"/>
                <w:szCs w:val="10"/>
              </w:rPr>
            </w:pPr>
            <w:r w:rsidRPr="009F124E">
              <w:rPr>
                <w:i/>
                <w:iCs/>
                <w:color w:val="000000"/>
                <w:sz w:val="10"/>
                <w:szCs w:val="10"/>
              </w:rPr>
              <w:t>(-) Gastos no previstos (inversión)</w:t>
            </w:r>
          </w:p>
        </w:tc>
      </w:tr>
      <w:tr w:rsidR="009F124E" w:rsidRPr="009F124E" w14:paraId="03B4C278" w14:textId="77777777" w:rsidTr="00207D0F">
        <w:trPr>
          <w:trHeight w:val="57"/>
        </w:trPr>
        <w:tc>
          <w:tcPr>
            <w:tcW w:w="750" w:type="dxa"/>
            <w:vMerge w:val="restart"/>
            <w:tcBorders>
              <w:top w:val="nil"/>
              <w:left w:val="single" w:sz="8" w:space="0" w:color="auto"/>
              <w:bottom w:val="single" w:sz="4" w:space="0" w:color="000000"/>
              <w:right w:val="single" w:sz="4" w:space="0" w:color="auto"/>
            </w:tcBorders>
            <w:shd w:val="clear" w:color="000000" w:fill="8496B0"/>
            <w:noWrap/>
            <w:vAlign w:val="center"/>
            <w:hideMark/>
          </w:tcPr>
          <w:p w14:paraId="0FD02032" w14:textId="77777777" w:rsidR="009F124E" w:rsidRPr="009F124E" w:rsidRDefault="009F124E" w:rsidP="009F124E">
            <w:pPr>
              <w:jc w:val="center"/>
              <w:rPr>
                <w:b/>
                <w:bCs/>
                <w:i/>
                <w:iCs/>
                <w:color w:val="FFFFFF"/>
                <w:sz w:val="12"/>
                <w:szCs w:val="12"/>
              </w:rPr>
            </w:pPr>
            <w:r w:rsidRPr="009F124E">
              <w:rPr>
                <w:b/>
                <w:bCs/>
                <w:i/>
                <w:iCs/>
                <w:color w:val="FFFFFF"/>
                <w:sz w:val="12"/>
                <w:szCs w:val="12"/>
              </w:rPr>
              <w:t>313</w:t>
            </w:r>
          </w:p>
        </w:tc>
        <w:tc>
          <w:tcPr>
            <w:tcW w:w="175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E6FDC0E" w14:textId="77777777" w:rsidR="009F124E" w:rsidRPr="009F124E" w:rsidRDefault="009F124E" w:rsidP="009F124E">
            <w:pPr>
              <w:ind w:firstLineChars="100" w:firstLine="120"/>
              <w:rPr>
                <w:i/>
                <w:iCs/>
                <w:color w:val="000000"/>
                <w:sz w:val="12"/>
                <w:szCs w:val="12"/>
              </w:rPr>
            </w:pPr>
            <w:r w:rsidRPr="009F124E">
              <w:rPr>
                <w:i/>
                <w:iCs/>
                <w:color w:val="000000"/>
                <w:sz w:val="12"/>
                <w:szCs w:val="12"/>
              </w:rPr>
              <w:t>Objetos de valor</w:t>
            </w:r>
          </w:p>
        </w:tc>
        <w:tc>
          <w:tcPr>
            <w:tcW w:w="78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459E046" w14:textId="77777777" w:rsidR="009F124E" w:rsidRPr="009F124E" w:rsidRDefault="009F124E" w:rsidP="009F124E">
            <w:pPr>
              <w:jc w:val="center"/>
              <w:rPr>
                <w:i/>
                <w:iCs/>
                <w:color w:val="000000"/>
                <w:sz w:val="12"/>
                <w:szCs w:val="12"/>
              </w:rPr>
            </w:pPr>
            <w:r w:rsidRPr="009F124E">
              <w:rPr>
                <w:sz w:val="12"/>
                <w:szCs w:val="12"/>
                <w:lang w:eastAsia="en-US"/>
              </w:rPr>
              <w:t>0.00</w:t>
            </w:r>
          </w:p>
          <w:p w14:paraId="66FDB971" w14:textId="77777777" w:rsidR="009F124E" w:rsidRPr="009F124E" w:rsidRDefault="009F124E" w:rsidP="009F124E">
            <w:pPr>
              <w:jc w:val="center"/>
              <w:rPr>
                <w:i/>
                <w:iCs/>
                <w:color w:val="000000"/>
                <w:sz w:val="12"/>
                <w:szCs w:val="12"/>
              </w:rPr>
            </w:pPr>
          </w:p>
        </w:tc>
        <w:tc>
          <w:tcPr>
            <w:tcW w:w="78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EBFFFFD" w14:textId="77777777" w:rsidR="009F124E" w:rsidRPr="009F124E" w:rsidRDefault="009F124E" w:rsidP="009F124E">
            <w:pPr>
              <w:jc w:val="center"/>
              <w:rPr>
                <w:color w:val="000000"/>
                <w:sz w:val="12"/>
                <w:szCs w:val="12"/>
              </w:rPr>
            </w:pPr>
          </w:p>
          <w:p w14:paraId="16CC61E2" w14:textId="77777777" w:rsidR="009F124E" w:rsidRPr="009F124E" w:rsidRDefault="009F124E" w:rsidP="009F124E">
            <w:pPr>
              <w:jc w:val="center"/>
              <w:rPr>
                <w:color w:val="000000"/>
                <w:sz w:val="12"/>
                <w:szCs w:val="12"/>
              </w:rPr>
            </w:pPr>
          </w:p>
        </w:tc>
        <w:tc>
          <w:tcPr>
            <w:tcW w:w="74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9D3CDD4" w14:textId="77777777" w:rsidR="009F124E" w:rsidRPr="009F124E" w:rsidRDefault="009F124E" w:rsidP="009F124E">
            <w:pPr>
              <w:jc w:val="center"/>
              <w:rPr>
                <w:color w:val="000000"/>
                <w:sz w:val="12"/>
                <w:szCs w:val="12"/>
              </w:rPr>
            </w:pPr>
            <w:r w:rsidRPr="009F124E">
              <w:rPr>
                <w:sz w:val="12"/>
                <w:szCs w:val="12"/>
                <w:lang w:eastAsia="en-US"/>
              </w:rPr>
              <w:t>0.00</w:t>
            </w:r>
          </w:p>
          <w:p w14:paraId="0D8C16BC" w14:textId="77777777" w:rsidR="009F124E" w:rsidRPr="009F124E" w:rsidRDefault="009F124E" w:rsidP="009F124E">
            <w:pPr>
              <w:jc w:val="center"/>
              <w:rPr>
                <w:color w:val="000000"/>
                <w:sz w:val="12"/>
                <w:szCs w:val="12"/>
              </w:rPr>
            </w:pPr>
          </w:p>
        </w:tc>
        <w:tc>
          <w:tcPr>
            <w:tcW w:w="3691" w:type="dxa"/>
            <w:tcBorders>
              <w:top w:val="nil"/>
              <w:left w:val="nil"/>
              <w:bottom w:val="nil"/>
              <w:right w:val="single" w:sz="8" w:space="0" w:color="auto"/>
            </w:tcBorders>
            <w:shd w:val="clear" w:color="000000" w:fill="FFFFFF"/>
            <w:vAlign w:val="center"/>
            <w:hideMark/>
          </w:tcPr>
          <w:p w14:paraId="5250E02B" w14:textId="77777777" w:rsidR="009F124E" w:rsidRPr="009F124E" w:rsidRDefault="009F124E" w:rsidP="009F124E">
            <w:pPr>
              <w:rPr>
                <w:i/>
                <w:iCs/>
                <w:color w:val="000000"/>
                <w:sz w:val="10"/>
                <w:szCs w:val="10"/>
              </w:rPr>
            </w:pPr>
            <w:r w:rsidRPr="009F124E">
              <w:rPr>
                <w:i/>
                <w:iCs/>
                <w:color w:val="000000"/>
                <w:sz w:val="10"/>
                <w:szCs w:val="10"/>
              </w:rPr>
              <w:t>(+) Libros y objetos coleccionables</w:t>
            </w:r>
          </w:p>
        </w:tc>
      </w:tr>
      <w:tr w:rsidR="009F124E" w:rsidRPr="009F124E" w14:paraId="0D78077B" w14:textId="77777777" w:rsidTr="00207D0F">
        <w:trPr>
          <w:trHeight w:val="57"/>
        </w:trPr>
        <w:tc>
          <w:tcPr>
            <w:tcW w:w="750" w:type="dxa"/>
            <w:vMerge/>
            <w:tcBorders>
              <w:top w:val="nil"/>
              <w:left w:val="single" w:sz="8" w:space="0" w:color="auto"/>
              <w:bottom w:val="single" w:sz="4" w:space="0" w:color="000000"/>
              <w:right w:val="single" w:sz="4" w:space="0" w:color="auto"/>
            </w:tcBorders>
            <w:vAlign w:val="center"/>
            <w:hideMark/>
          </w:tcPr>
          <w:p w14:paraId="489517D6" w14:textId="77777777" w:rsidR="009F124E" w:rsidRPr="009F124E" w:rsidRDefault="009F124E" w:rsidP="009F124E">
            <w:pPr>
              <w:rPr>
                <w:b/>
                <w:bCs/>
                <w:i/>
                <w:iCs/>
                <w:color w:val="FFFFFF"/>
                <w:sz w:val="12"/>
                <w:szCs w:val="12"/>
              </w:rPr>
            </w:pPr>
          </w:p>
        </w:tc>
        <w:tc>
          <w:tcPr>
            <w:tcW w:w="1758" w:type="dxa"/>
            <w:vMerge/>
            <w:tcBorders>
              <w:top w:val="nil"/>
              <w:left w:val="single" w:sz="4" w:space="0" w:color="auto"/>
              <w:bottom w:val="single" w:sz="4" w:space="0" w:color="000000"/>
              <w:right w:val="single" w:sz="4" w:space="0" w:color="auto"/>
            </w:tcBorders>
            <w:vAlign w:val="center"/>
            <w:hideMark/>
          </w:tcPr>
          <w:p w14:paraId="1AC046F5" w14:textId="77777777" w:rsidR="009F124E" w:rsidRPr="009F124E" w:rsidRDefault="009F124E" w:rsidP="009F124E">
            <w:pPr>
              <w:rPr>
                <w:i/>
                <w:iCs/>
                <w:color w:val="000000"/>
                <w:sz w:val="12"/>
                <w:szCs w:val="12"/>
              </w:rPr>
            </w:pPr>
          </w:p>
        </w:tc>
        <w:tc>
          <w:tcPr>
            <w:tcW w:w="780" w:type="dxa"/>
            <w:vMerge/>
            <w:tcBorders>
              <w:top w:val="nil"/>
              <w:left w:val="single" w:sz="4" w:space="0" w:color="auto"/>
              <w:bottom w:val="single" w:sz="4" w:space="0" w:color="000000"/>
              <w:right w:val="single" w:sz="4" w:space="0" w:color="auto"/>
            </w:tcBorders>
            <w:vAlign w:val="center"/>
            <w:hideMark/>
          </w:tcPr>
          <w:p w14:paraId="5D6EF327" w14:textId="77777777" w:rsidR="009F124E" w:rsidRPr="009F124E" w:rsidRDefault="009F124E" w:rsidP="009F124E">
            <w:pPr>
              <w:jc w:val="center"/>
              <w:rPr>
                <w:i/>
                <w:iCs/>
                <w:color w:val="000000"/>
                <w:sz w:val="12"/>
                <w:szCs w:val="12"/>
              </w:rPr>
            </w:pPr>
          </w:p>
        </w:tc>
        <w:tc>
          <w:tcPr>
            <w:tcW w:w="780" w:type="dxa"/>
            <w:vMerge/>
            <w:tcBorders>
              <w:top w:val="nil"/>
              <w:left w:val="single" w:sz="4" w:space="0" w:color="auto"/>
              <w:bottom w:val="single" w:sz="4" w:space="0" w:color="000000"/>
              <w:right w:val="single" w:sz="4" w:space="0" w:color="auto"/>
            </w:tcBorders>
            <w:vAlign w:val="center"/>
            <w:hideMark/>
          </w:tcPr>
          <w:p w14:paraId="04730A52" w14:textId="77777777" w:rsidR="009F124E" w:rsidRPr="009F124E" w:rsidRDefault="009F124E" w:rsidP="009F124E">
            <w:pPr>
              <w:jc w:val="center"/>
              <w:rPr>
                <w:color w:val="000000"/>
                <w:sz w:val="12"/>
                <w:szCs w:val="12"/>
              </w:rPr>
            </w:pPr>
          </w:p>
        </w:tc>
        <w:tc>
          <w:tcPr>
            <w:tcW w:w="745" w:type="dxa"/>
            <w:vMerge/>
            <w:tcBorders>
              <w:top w:val="nil"/>
              <w:left w:val="single" w:sz="4" w:space="0" w:color="auto"/>
              <w:bottom w:val="single" w:sz="4" w:space="0" w:color="000000"/>
              <w:right w:val="single" w:sz="4" w:space="0" w:color="auto"/>
            </w:tcBorders>
            <w:vAlign w:val="center"/>
            <w:hideMark/>
          </w:tcPr>
          <w:p w14:paraId="4C5F9586" w14:textId="77777777" w:rsidR="009F124E" w:rsidRPr="009F124E" w:rsidRDefault="009F124E" w:rsidP="009F124E">
            <w:pPr>
              <w:jc w:val="center"/>
              <w:rPr>
                <w:color w:val="000000"/>
                <w:sz w:val="12"/>
                <w:szCs w:val="12"/>
              </w:rPr>
            </w:pPr>
          </w:p>
        </w:tc>
        <w:tc>
          <w:tcPr>
            <w:tcW w:w="3691" w:type="dxa"/>
            <w:tcBorders>
              <w:top w:val="nil"/>
              <w:left w:val="nil"/>
              <w:bottom w:val="single" w:sz="4" w:space="0" w:color="auto"/>
              <w:right w:val="single" w:sz="8" w:space="0" w:color="auto"/>
            </w:tcBorders>
            <w:shd w:val="clear" w:color="000000" w:fill="FFFFFF"/>
            <w:vAlign w:val="center"/>
            <w:hideMark/>
          </w:tcPr>
          <w:p w14:paraId="09F81631" w14:textId="77777777" w:rsidR="009F124E" w:rsidRPr="009F124E" w:rsidRDefault="009F124E" w:rsidP="009F124E">
            <w:pPr>
              <w:rPr>
                <w:i/>
                <w:iCs/>
                <w:color w:val="000000"/>
                <w:sz w:val="10"/>
                <w:szCs w:val="10"/>
              </w:rPr>
            </w:pPr>
            <w:r w:rsidRPr="009F124E">
              <w:rPr>
                <w:i/>
                <w:iCs/>
                <w:color w:val="000000"/>
                <w:sz w:val="10"/>
                <w:szCs w:val="10"/>
              </w:rPr>
              <w:t>(+) Obras de arte</w:t>
            </w:r>
          </w:p>
        </w:tc>
      </w:tr>
      <w:tr w:rsidR="009F124E" w:rsidRPr="009F124E" w14:paraId="1FB32CE6" w14:textId="77777777" w:rsidTr="00207D0F">
        <w:trPr>
          <w:trHeight w:val="57"/>
        </w:trPr>
        <w:tc>
          <w:tcPr>
            <w:tcW w:w="750" w:type="dxa"/>
            <w:tcBorders>
              <w:top w:val="nil"/>
              <w:left w:val="single" w:sz="8" w:space="0" w:color="auto"/>
              <w:bottom w:val="single" w:sz="4" w:space="0" w:color="auto"/>
              <w:right w:val="single" w:sz="4" w:space="0" w:color="auto"/>
            </w:tcBorders>
            <w:shd w:val="clear" w:color="000000" w:fill="8496B0"/>
            <w:noWrap/>
            <w:vAlign w:val="center"/>
            <w:hideMark/>
          </w:tcPr>
          <w:p w14:paraId="50C3BD91" w14:textId="77777777" w:rsidR="009F124E" w:rsidRPr="009F124E" w:rsidRDefault="009F124E" w:rsidP="009F124E">
            <w:pPr>
              <w:jc w:val="center"/>
              <w:rPr>
                <w:b/>
                <w:bCs/>
                <w:i/>
                <w:iCs/>
                <w:color w:val="FFFFFF"/>
                <w:sz w:val="12"/>
                <w:szCs w:val="12"/>
              </w:rPr>
            </w:pPr>
            <w:r w:rsidRPr="009F124E">
              <w:rPr>
                <w:b/>
                <w:bCs/>
                <w:i/>
                <w:iCs/>
                <w:color w:val="FFFFFF"/>
                <w:sz w:val="12"/>
                <w:szCs w:val="12"/>
              </w:rPr>
              <w:t>314</w:t>
            </w:r>
          </w:p>
        </w:tc>
        <w:tc>
          <w:tcPr>
            <w:tcW w:w="1758" w:type="dxa"/>
            <w:tcBorders>
              <w:top w:val="nil"/>
              <w:left w:val="nil"/>
              <w:bottom w:val="single" w:sz="4" w:space="0" w:color="auto"/>
              <w:right w:val="single" w:sz="4" w:space="0" w:color="auto"/>
            </w:tcBorders>
            <w:shd w:val="clear" w:color="000000" w:fill="EDEDED"/>
            <w:vAlign w:val="center"/>
            <w:hideMark/>
          </w:tcPr>
          <w:p w14:paraId="004C5340" w14:textId="77777777" w:rsidR="009F124E" w:rsidRPr="009F124E" w:rsidRDefault="009F124E" w:rsidP="009F124E">
            <w:pPr>
              <w:ind w:firstLineChars="100" w:firstLine="120"/>
              <w:rPr>
                <w:i/>
                <w:iCs/>
                <w:color w:val="000000"/>
                <w:sz w:val="12"/>
                <w:szCs w:val="12"/>
              </w:rPr>
            </w:pPr>
            <w:r w:rsidRPr="009F124E">
              <w:rPr>
                <w:i/>
                <w:iCs/>
                <w:color w:val="000000"/>
                <w:sz w:val="12"/>
                <w:szCs w:val="12"/>
              </w:rPr>
              <w:t>Activos no producidos</w:t>
            </w:r>
          </w:p>
        </w:tc>
        <w:tc>
          <w:tcPr>
            <w:tcW w:w="780" w:type="dxa"/>
            <w:tcBorders>
              <w:top w:val="nil"/>
              <w:left w:val="nil"/>
              <w:bottom w:val="single" w:sz="4" w:space="0" w:color="auto"/>
              <w:right w:val="single" w:sz="4" w:space="0" w:color="auto"/>
            </w:tcBorders>
            <w:shd w:val="clear" w:color="000000" w:fill="EDEDED"/>
            <w:vAlign w:val="center"/>
            <w:hideMark/>
          </w:tcPr>
          <w:p w14:paraId="0B225D20" w14:textId="77777777" w:rsidR="009F124E" w:rsidRPr="009F124E" w:rsidRDefault="009F124E" w:rsidP="009F124E">
            <w:pPr>
              <w:jc w:val="center"/>
              <w:rPr>
                <w:i/>
                <w:iCs/>
                <w:color w:val="000000"/>
                <w:sz w:val="12"/>
                <w:szCs w:val="12"/>
              </w:rPr>
            </w:pPr>
            <w:r w:rsidRPr="009F124E">
              <w:rPr>
                <w:sz w:val="12"/>
                <w:szCs w:val="12"/>
                <w:lang w:eastAsia="en-US"/>
              </w:rPr>
              <w:t>6.59</w:t>
            </w:r>
          </w:p>
        </w:tc>
        <w:tc>
          <w:tcPr>
            <w:tcW w:w="780" w:type="dxa"/>
            <w:tcBorders>
              <w:top w:val="nil"/>
              <w:left w:val="nil"/>
              <w:bottom w:val="single" w:sz="4" w:space="0" w:color="auto"/>
              <w:right w:val="single" w:sz="4" w:space="0" w:color="auto"/>
            </w:tcBorders>
            <w:shd w:val="clear" w:color="000000" w:fill="EDEDED"/>
            <w:vAlign w:val="center"/>
            <w:hideMark/>
          </w:tcPr>
          <w:p w14:paraId="405B41CF" w14:textId="77777777" w:rsidR="009F124E" w:rsidRPr="009F124E" w:rsidRDefault="009F124E" w:rsidP="009F124E">
            <w:pPr>
              <w:jc w:val="center"/>
              <w:rPr>
                <w:color w:val="000000"/>
                <w:sz w:val="12"/>
                <w:szCs w:val="12"/>
              </w:rPr>
            </w:pPr>
          </w:p>
        </w:tc>
        <w:tc>
          <w:tcPr>
            <w:tcW w:w="745" w:type="dxa"/>
            <w:tcBorders>
              <w:top w:val="nil"/>
              <w:left w:val="nil"/>
              <w:bottom w:val="single" w:sz="4" w:space="0" w:color="auto"/>
              <w:right w:val="single" w:sz="4" w:space="0" w:color="auto"/>
            </w:tcBorders>
            <w:shd w:val="clear" w:color="000000" w:fill="EDEDED"/>
            <w:vAlign w:val="center"/>
            <w:hideMark/>
          </w:tcPr>
          <w:p w14:paraId="07F8785C" w14:textId="77777777" w:rsidR="009F124E" w:rsidRPr="009F124E" w:rsidRDefault="009F124E" w:rsidP="009F124E">
            <w:pPr>
              <w:jc w:val="center"/>
              <w:rPr>
                <w:color w:val="000000"/>
                <w:sz w:val="12"/>
                <w:szCs w:val="12"/>
              </w:rPr>
            </w:pPr>
            <w:r w:rsidRPr="009F124E">
              <w:rPr>
                <w:sz w:val="12"/>
                <w:szCs w:val="12"/>
                <w:lang w:eastAsia="en-US"/>
              </w:rPr>
              <w:t>6.59</w:t>
            </w:r>
          </w:p>
        </w:tc>
        <w:tc>
          <w:tcPr>
            <w:tcW w:w="3691" w:type="dxa"/>
            <w:tcBorders>
              <w:top w:val="nil"/>
              <w:left w:val="nil"/>
              <w:bottom w:val="single" w:sz="4" w:space="0" w:color="auto"/>
              <w:right w:val="single" w:sz="8" w:space="0" w:color="auto"/>
            </w:tcBorders>
            <w:shd w:val="clear" w:color="000000" w:fill="EDEDED"/>
            <w:vAlign w:val="center"/>
            <w:hideMark/>
          </w:tcPr>
          <w:p w14:paraId="622E27A1" w14:textId="77777777" w:rsidR="009F124E" w:rsidRPr="009F124E" w:rsidRDefault="009F124E" w:rsidP="009F124E">
            <w:pPr>
              <w:rPr>
                <w:i/>
                <w:iCs/>
                <w:color w:val="000000"/>
                <w:sz w:val="10"/>
                <w:szCs w:val="10"/>
              </w:rPr>
            </w:pPr>
            <w:r w:rsidRPr="009F124E">
              <w:rPr>
                <w:i/>
                <w:iCs/>
                <w:color w:val="000000"/>
                <w:sz w:val="10"/>
                <w:szCs w:val="10"/>
              </w:rPr>
              <w:t>(+) Tierras y Terrenos</w:t>
            </w:r>
          </w:p>
        </w:tc>
      </w:tr>
      <w:tr w:rsidR="009F124E" w:rsidRPr="009F124E" w14:paraId="68E91C9F" w14:textId="77777777" w:rsidTr="00207D0F">
        <w:trPr>
          <w:trHeight w:val="57"/>
        </w:trPr>
        <w:tc>
          <w:tcPr>
            <w:tcW w:w="750" w:type="dxa"/>
            <w:tcBorders>
              <w:top w:val="nil"/>
              <w:left w:val="single" w:sz="8" w:space="0" w:color="auto"/>
              <w:bottom w:val="single" w:sz="4" w:space="0" w:color="auto"/>
              <w:right w:val="single" w:sz="4" w:space="0" w:color="auto"/>
            </w:tcBorders>
            <w:shd w:val="clear" w:color="000000" w:fill="8496B0"/>
            <w:noWrap/>
            <w:vAlign w:val="center"/>
            <w:hideMark/>
          </w:tcPr>
          <w:p w14:paraId="37CE2C20" w14:textId="77777777" w:rsidR="009F124E" w:rsidRPr="009F124E" w:rsidRDefault="009F124E" w:rsidP="009F124E">
            <w:pPr>
              <w:jc w:val="center"/>
              <w:rPr>
                <w:b/>
                <w:bCs/>
                <w:i/>
                <w:iCs/>
                <w:color w:val="FFFFFF"/>
                <w:sz w:val="12"/>
                <w:szCs w:val="12"/>
              </w:rPr>
            </w:pPr>
            <w:r w:rsidRPr="009F124E">
              <w:rPr>
                <w:b/>
                <w:bCs/>
                <w:i/>
                <w:iCs/>
                <w:color w:val="FFFFFF"/>
                <w:sz w:val="12"/>
                <w:szCs w:val="12"/>
              </w:rPr>
              <w:t>2M</w:t>
            </w:r>
          </w:p>
        </w:tc>
        <w:tc>
          <w:tcPr>
            <w:tcW w:w="1758" w:type="dxa"/>
            <w:tcBorders>
              <w:top w:val="nil"/>
              <w:left w:val="nil"/>
              <w:bottom w:val="single" w:sz="4" w:space="0" w:color="auto"/>
              <w:right w:val="single" w:sz="4" w:space="0" w:color="auto"/>
            </w:tcBorders>
            <w:shd w:val="clear" w:color="000000" w:fill="FFFFFF"/>
            <w:vAlign w:val="center"/>
            <w:hideMark/>
          </w:tcPr>
          <w:p w14:paraId="7B7FA6C8" w14:textId="77777777" w:rsidR="009F124E" w:rsidRPr="009F124E" w:rsidRDefault="009F124E" w:rsidP="009F124E">
            <w:pPr>
              <w:rPr>
                <w:b/>
                <w:bCs/>
                <w:i/>
                <w:iCs/>
                <w:color w:val="000000"/>
                <w:sz w:val="12"/>
                <w:szCs w:val="12"/>
              </w:rPr>
            </w:pPr>
            <w:r w:rsidRPr="009F124E">
              <w:rPr>
                <w:b/>
                <w:bCs/>
                <w:i/>
                <w:iCs/>
                <w:color w:val="000000"/>
                <w:sz w:val="12"/>
                <w:szCs w:val="12"/>
              </w:rPr>
              <w:t>Erogación (2+31)</w:t>
            </w:r>
          </w:p>
        </w:tc>
        <w:tc>
          <w:tcPr>
            <w:tcW w:w="780" w:type="dxa"/>
            <w:tcBorders>
              <w:top w:val="nil"/>
              <w:left w:val="nil"/>
              <w:bottom w:val="single" w:sz="4" w:space="0" w:color="auto"/>
              <w:right w:val="single" w:sz="4" w:space="0" w:color="auto"/>
            </w:tcBorders>
            <w:shd w:val="clear" w:color="000000" w:fill="FFFFFF"/>
            <w:vAlign w:val="center"/>
            <w:hideMark/>
          </w:tcPr>
          <w:p w14:paraId="6B2E3AB8" w14:textId="77777777" w:rsidR="009F124E" w:rsidRPr="009F124E" w:rsidRDefault="009F124E" w:rsidP="009F124E">
            <w:pPr>
              <w:jc w:val="center"/>
              <w:rPr>
                <w:b/>
                <w:bCs/>
                <w:i/>
                <w:iCs/>
                <w:color w:val="000000"/>
                <w:sz w:val="12"/>
                <w:szCs w:val="12"/>
              </w:rPr>
            </w:pPr>
            <w:r w:rsidRPr="009F124E">
              <w:rPr>
                <w:b/>
                <w:bCs/>
                <w:sz w:val="12"/>
                <w:szCs w:val="12"/>
                <w:lang w:eastAsia="en-US"/>
              </w:rPr>
              <w:t>14.66</w:t>
            </w:r>
          </w:p>
        </w:tc>
        <w:tc>
          <w:tcPr>
            <w:tcW w:w="780" w:type="dxa"/>
            <w:tcBorders>
              <w:top w:val="nil"/>
              <w:left w:val="nil"/>
              <w:bottom w:val="single" w:sz="4" w:space="0" w:color="auto"/>
              <w:right w:val="single" w:sz="4" w:space="0" w:color="auto"/>
            </w:tcBorders>
            <w:shd w:val="clear" w:color="000000" w:fill="FFFFFF"/>
            <w:vAlign w:val="center"/>
            <w:hideMark/>
          </w:tcPr>
          <w:p w14:paraId="678F8C9E" w14:textId="77777777" w:rsidR="009F124E" w:rsidRPr="009F124E" w:rsidRDefault="009F124E" w:rsidP="009F124E">
            <w:pPr>
              <w:jc w:val="center"/>
              <w:rPr>
                <w:b/>
                <w:bCs/>
                <w:color w:val="000000"/>
                <w:sz w:val="12"/>
                <w:szCs w:val="12"/>
              </w:rPr>
            </w:pPr>
          </w:p>
        </w:tc>
        <w:tc>
          <w:tcPr>
            <w:tcW w:w="745" w:type="dxa"/>
            <w:tcBorders>
              <w:top w:val="nil"/>
              <w:left w:val="nil"/>
              <w:bottom w:val="single" w:sz="4" w:space="0" w:color="auto"/>
              <w:right w:val="single" w:sz="4" w:space="0" w:color="auto"/>
            </w:tcBorders>
            <w:shd w:val="clear" w:color="000000" w:fill="FFFFFF"/>
            <w:vAlign w:val="center"/>
            <w:hideMark/>
          </w:tcPr>
          <w:p w14:paraId="09127945" w14:textId="77777777" w:rsidR="009F124E" w:rsidRPr="009F124E" w:rsidRDefault="009F124E" w:rsidP="009F124E">
            <w:pPr>
              <w:jc w:val="center"/>
              <w:rPr>
                <w:b/>
                <w:bCs/>
                <w:color w:val="000000"/>
                <w:sz w:val="12"/>
                <w:szCs w:val="12"/>
              </w:rPr>
            </w:pPr>
            <w:r w:rsidRPr="009F124E">
              <w:rPr>
                <w:b/>
                <w:bCs/>
                <w:sz w:val="12"/>
                <w:szCs w:val="12"/>
                <w:lang w:eastAsia="en-US"/>
              </w:rPr>
              <w:t>14.66</w:t>
            </w:r>
          </w:p>
        </w:tc>
        <w:tc>
          <w:tcPr>
            <w:tcW w:w="3691" w:type="dxa"/>
            <w:tcBorders>
              <w:top w:val="nil"/>
              <w:left w:val="nil"/>
              <w:bottom w:val="single" w:sz="4" w:space="0" w:color="auto"/>
              <w:right w:val="single" w:sz="8" w:space="0" w:color="auto"/>
            </w:tcBorders>
            <w:shd w:val="clear" w:color="000000" w:fill="FFFFFF"/>
            <w:vAlign w:val="center"/>
            <w:hideMark/>
          </w:tcPr>
          <w:p w14:paraId="24C306D0" w14:textId="77777777" w:rsidR="009F124E" w:rsidRPr="009F124E" w:rsidRDefault="009F124E" w:rsidP="009F124E">
            <w:pPr>
              <w:rPr>
                <w:b/>
                <w:bCs/>
                <w:i/>
                <w:iCs/>
                <w:color w:val="000000"/>
                <w:sz w:val="10"/>
                <w:szCs w:val="10"/>
              </w:rPr>
            </w:pPr>
            <w:r w:rsidRPr="009F124E">
              <w:rPr>
                <w:b/>
                <w:bCs/>
                <w:i/>
                <w:iCs/>
                <w:color w:val="000000"/>
                <w:sz w:val="10"/>
                <w:szCs w:val="10"/>
              </w:rPr>
              <w:t> </w:t>
            </w:r>
          </w:p>
        </w:tc>
      </w:tr>
      <w:tr w:rsidR="009F124E" w:rsidRPr="009F124E" w14:paraId="7BD0D53A" w14:textId="77777777" w:rsidTr="00207D0F">
        <w:trPr>
          <w:trHeight w:val="57"/>
        </w:trPr>
        <w:tc>
          <w:tcPr>
            <w:tcW w:w="750" w:type="dxa"/>
            <w:vMerge w:val="restart"/>
            <w:tcBorders>
              <w:top w:val="nil"/>
              <w:left w:val="single" w:sz="8" w:space="0" w:color="auto"/>
              <w:bottom w:val="single" w:sz="8" w:space="0" w:color="000000"/>
              <w:right w:val="single" w:sz="4" w:space="0" w:color="auto"/>
            </w:tcBorders>
            <w:shd w:val="clear" w:color="000000" w:fill="8496B0"/>
            <w:noWrap/>
            <w:vAlign w:val="center"/>
            <w:hideMark/>
          </w:tcPr>
          <w:p w14:paraId="51FBEF67" w14:textId="77777777" w:rsidR="009F124E" w:rsidRPr="009F124E" w:rsidRDefault="009F124E" w:rsidP="009F124E">
            <w:pPr>
              <w:jc w:val="center"/>
              <w:rPr>
                <w:b/>
                <w:bCs/>
                <w:i/>
                <w:iCs/>
                <w:color w:val="FFFFFF"/>
                <w:sz w:val="12"/>
                <w:szCs w:val="12"/>
              </w:rPr>
            </w:pPr>
            <w:r w:rsidRPr="009F124E">
              <w:rPr>
                <w:b/>
                <w:bCs/>
                <w:i/>
                <w:iCs/>
                <w:color w:val="FFFFFF"/>
                <w:sz w:val="12"/>
                <w:szCs w:val="12"/>
              </w:rPr>
              <w:t>NLB</w:t>
            </w:r>
          </w:p>
        </w:tc>
        <w:tc>
          <w:tcPr>
            <w:tcW w:w="1758" w:type="dxa"/>
            <w:vMerge w:val="restart"/>
            <w:tcBorders>
              <w:top w:val="nil"/>
              <w:left w:val="single" w:sz="4" w:space="0" w:color="auto"/>
              <w:bottom w:val="single" w:sz="8" w:space="0" w:color="000000"/>
              <w:right w:val="single" w:sz="4" w:space="0" w:color="auto"/>
            </w:tcBorders>
            <w:shd w:val="clear" w:color="000000" w:fill="EDEDED"/>
            <w:vAlign w:val="center"/>
            <w:hideMark/>
          </w:tcPr>
          <w:p w14:paraId="491C34FC" w14:textId="77777777" w:rsidR="009F124E" w:rsidRPr="009F124E" w:rsidRDefault="009F124E" w:rsidP="009F124E">
            <w:pPr>
              <w:rPr>
                <w:b/>
                <w:bCs/>
                <w:i/>
                <w:iCs/>
                <w:color w:val="000000"/>
                <w:sz w:val="12"/>
                <w:szCs w:val="12"/>
              </w:rPr>
            </w:pPr>
            <w:r w:rsidRPr="009F124E">
              <w:rPr>
                <w:b/>
                <w:bCs/>
                <w:i/>
                <w:iCs/>
                <w:color w:val="000000"/>
                <w:sz w:val="12"/>
                <w:szCs w:val="12"/>
              </w:rPr>
              <w:t>Préstamo neto (+) / endeudamiento neto (-) (1-2-31) o (1-2M)</w:t>
            </w:r>
          </w:p>
        </w:tc>
        <w:tc>
          <w:tcPr>
            <w:tcW w:w="780" w:type="dxa"/>
            <w:vMerge w:val="restart"/>
            <w:tcBorders>
              <w:top w:val="nil"/>
              <w:left w:val="single" w:sz="4" w:space="0" w:color="auto"/>
              <w:bottom w:val="single" w:sz="8" w:space="0" w:color="000000"/>
              <w:right w:val="single" w:sz="4" w:space="0" w:color="auto"/>
            </w:tcBorders>
            <w:shd w:val="clear" w:color="000000" w:fill="EDEDED"/>
            <w:vAlign w:val="center"/>
            <w:hideMark/>
          </w:tcPr>
          <w:p w14:paraId="5A2976F8" w14:textId="77777777" w:rsidR="009F124E" w:rsidRPr="009F124E" w:rsidRDefault="009F124E" w:rsidP="009F124E">
            <w:pPr>
              <w:jc w:val="center"/>
              <w:rPr>
                <w:b/>
                <w:bCs/>
                <w:i/>
                <w:iCs/>
                <w:color w:val="000000"/>
                <w:sz w:val="12"/>
                <w:szCs w:val="12"/>
              </w:rPr>
            </w:pPr>
            <w:r w:rsidRPr="009F124E">
              <w:rPr>
                <w:b/>
                <w:bCs/>
                <w:sz w:val="12"/>
                <w:szCs w:val="12"/>
                <w:lang w:eastAsia="en-US"/>
              </w:rPr>
              <w:t>-1.72</w:t>
            </w:r>
          </w:p>
        </w:tc>
        <w:tc>
          <w:tcPr>
            <w:tcW w:w="780" w:type="dxa"/>
            <w:vMerge w:val="restart"/>
            <w:tcBorders>
              <w:top w:val="nil"/>
              <w:left w:val="single" w:sz="4" w:space="0" w:color="auto"/>
              <w:bottom w:val="single" w:sz="8" w:space="0" w:color="000000"/>
              <w:right w:val="single" w:sz="4" w:space="0" w:color="auto"/>
            </w:tcBorders>
            <w:shd w:val="clear" w:color="000000" w:fill="EDEDED"/>
            <w:vAlign w:val="center"/>
            <w:hideMark/>
          </w:tcPr>
          <w:p w14:paraId="03C5F69E" w14:textId="77777777" w:rsidR="009F124E" w:rsidRPr="009F124E" w:rsidRDefault="009F124E" w:rsidP="009F124E">
            <w:pPr>
              <w:jc w:val="center"/>
              <w:rPr>
                <w:b/>
                <w:bCs/>
                <w:i/>
                <w:iCs/>
                <w:color w:val="000000"/>
                <w:sz w:val="12"/>
                <w:szCs w:val="12"/>
              </w:rPr>
            </w:pPr>
            <w:r w:rsidRPr="009F124E">
              <w:rPr>
                <w:b/>
                <w:bCs/>
                <w:sz w:val="12"/>
                <w:szCs w:val="12"/>
                <w:lang w:eastAsia="en-US"/>
              </w:rPr>
              <w:t>-1.71</w:t>
            </w:r>
          </w:p>
        </w:tc>
        <w:tc>
          <w:tcPr>
            <w:tcW w:w="745" w:type="dxa"/>
            <w:vMerge w:val="restart"/>
            <w:tcBorders>
              <w:top w:val="nil"/>
              <w:left w:val="single" w:sz="4" w:space="0" w:color="auto"/>
              <w:bottom w:val="single" w:sz="8" w:space="0" w:color="000000"/>
              <w:right w:val="single" w:sz="4" w:space="0" w:color="auto"/>
            </w:tcBorders>
            <w:shd w:val="clear" w:color="000000" w:fill="EDEDED"/>
            <w:vAlign w:val="center"/>
            <w:hideMark/>
          </w:tcPr>
          <w:p w14:paraId="5C92BBCD" w14:textId="77777777" w:rsidR="009F124E" w:rsidRPr="009F124E" w:rsidRDefault="009F124E" w:rsidP="009F124E">
            <w:pPr>
              <w:jc w:val="center"/>
              <w:rPr>
                <w:b/>
                <w:bCs/>
                <w:i/>
                <w:iCs/>
                <w:color w:val="000000"/>
                <w:sz w:val="12"/>
                <w:szCs w:val="12"/>
              </w:rPr>
            </w:pPr>
            <w:r w:rsidRPr="009F124E">
              <w:rPr>
                <w:b/>
                <w:bCs/>
                <w:sz w:val="12"/>
                <w:szCs w:val="12"/>
                <w:lang w:eastAsia="en-US"/>
              </w:rPr>
              <w:t>-0.01</w:t>
            </w:r>
          </w:p>
        </w:tc>
        <w:tc>
          <w:tcPr>
            <w:tcW w:w="3691" w:type="dxa"/>
            <w:tcBorders>
              <w:top w:val="nil"/>
              <w:left w:val="nil"/>
              <w:bottom w:val="nil"/>
              <w:right w:val="single" w:sz="8" w:space="0" w:color="auto"/>
            </w:tcBorders>
            <w:shd w:val="clear" w:color="000000" w:fill="EDEDED"/>
            <w:noWrap/>
            <w:vAlign w:val="center"/>
            <w:hideMark/>
          </w:tcPr>
          <w:p w14:paraId="043B8E5A" w14:textId="77777777" w:rsidR="009F124E" w:rsidRPr="009F124E" w:rsidRDefault="009F124E" w:rsidP="009F124E">
            <w:pPr>
              <w:rPr>
                <w:b/>
                <w:bCs/>
                <w:i/>
                <w:iCs/>
                <w:color w:val="000000"/>
                <w:sz w:val="10"/>
                <w:szCs w:val="10"/>
              </w:rPr>
            </w:pPr>
            <w:r w:rsidRPr="009F124E">
              <w:rPr>
                <w:b/>
                <w:bCs/>
                <w:i/>
                <w:iCs/>
                <w:color w:val="000000"/>
                <w:sz w:val="10"/>
                <w:szCs w:val="10"/>
              </w:rPr>
              <w:t>En los ingresos</w:t>
            </w:r>
          </w:p>
        </w:tc>
      </w:tr>
      <w:tr w:rsidR="009F124E" w:rsidRPr="009F124E" w14:paraId="4F85ABDF" w14:textId="77777777" w:rsidTr="00207D0F">
        <w:trPr>
          <w:trHeight w:val="57"/>
        </w:trPr>
        <w:tc>
          <w:tcPr>
            <w:tcW w:w="750" w:type="dxa"/>
            <w:vMerge/>
            <w:tcBorders>
              <w:top w:val="nil"/>
              <w:left w:val="single" w:sz="8" w:space="0" w:color="auto"/>
              <w:bottom w:val="single" w:sz="8" w:space="0" w:color="000000"/>
              <w:right w:val="single" w:sz="4" w:space="0" w:color="auto"/>
            </w:tcBorders>
            <w:vAlign w:val="center"/>
            <w:hideMark/>
          </w:tcPr>
          <w:p w14:paraId="15911DAA" w14:textId="77777777" w:rsidR="009F124E" w:rsidRPr="009F124E" w:rsidRDefault="009F124E" w:rsidP="009F124E">
            <w:pPr>
              <w:rPr>
                <w:b/>
                <w:bCs/>
                <w:i/>
                <w:iCs/>
                <w:color w:val="FFFFFF"/>
                <w:sz w:val="12"/>
                <w:szCs w:val="12"/>
              </w:rPr>
            </w:pPr>
          </w:p>
        </w:tc>
        <w:tc>
          <w:tcPr>
            <w:tcW w:w="1758" w:type="dxa"/>
            <w:vMerge/>
            <w:tcBorders>
              <w:top w:val="nil"/>
              <w:left w:val="single" w:sz="4" w:space="0" w:color="auto"/>
              <w:bottom w:val="single" w:sz="8" w:space="0" w:color="000000"/>
              <w:right w:val="single" w:sz="4" w:space="0" w:color="auto"/>
            </w:tcBorders>
            <w:vAlign w:val="center"/>
            <w:hideMark/>
          </w:tcPr>
          <w:p w14:paraId="7B2BC584" w14:textId="77777777" w:rsidR="009F124E" w:rsidRPr="009F124E" w:rsidRDefault="009F124E" w:rsidP="009F124E">
            <w:pPr>
              <w:rPr>
                <w:b/>
                <w:bCs/>
                <w:i/>
                <w:iCs/>
                <w:color w:val="000000"/>
                <w:sz w:val="12"/>
                <w:szCs w:val="12"/>
              </w:rPr>
            </w:pPr>
          </w:p>
        </w:tc>
        <w:tc>
          <w:tcPr>
            <w:tcW w:w="780" w:type="dxa"/>
            <w:vMerge/>
            <w:tcBorders>
              <w:top w:val="nil"/>
              <w:left w:val="single" w:sz="4" w:space="0" w:color="auto"/>
              <w:bottom w:val="single" w:sz="8" w:space="0" w:color="000000"/>
              <w:right w:val="single" w:sz="4" w:space="0" w:color="auto"/>
            </w:tcBorders>
            <w:vAlign w:val="center"/>
            <w:hideMark/>
          </w:tcPr>
          <w:p w14:paraId="59455316" w14:textId="77777777" w:rsidR="009F124E" w:rsidRPr="009F124E" w:rsidRDefault="009F124E" w:rsidP="009F124E">
            <w:pPr>
              <w:rPr>
                <w:b/>
                <w:bCs/>
                <w:i/>
                <w:iCs/>
                <w:color w:val="000000"/>
                <w:sz w:val="12"/>
                <w:szCs w:val="12"/>
              </w:rPr>
            </w:pPr>
          </w:p>
        </w:tc>
        <w:tc>
          <w:tcPr>
            <w:tcW w:w="780" w:type="dxa"/>
            <w:vMerge/>
            <w:tcBorders>
              <w:top w:val="nil"/>
              <w:left w:val="single" w:sz="4" w:space="0" w:color="auto"/>
              <w:bottom w:val="single" w:sz="8" w:space="0" w:color="000000"/>
              <w:right w:val="single" w:sz="4" w:space="0" w:color="auto"/>
            </w:tcBorders>
            <w:vAlign w:val="center"/>
            <w:hideMark/>
          </w:tcPr>
          <w:p w14:paraId="53914FD4" w14:textId="77777777" w:rsidR="009F124E" w:rsidRPr="009F124E" w:rsidRDefault="009F124E" w:rsidP="009F124E">
            <w:pPr>
              <w:rPr>
                <w:b/>
                <w:bCs/>
                <w:i/>
                <w:iCs/>
                <w:color w:val="000000"/>
                <w:sz w:val="12"/>
                <w:szCs w:val="12"/>
              </w:rPr>
            </w:pPr>
          </w:p>
        </w:tc>
        <w:tc>
          <w:tcPr>
            <w:tcW w:w="745" w:type="dxa"/>
            <w:vMerge/>
            <w:tcBorders>
              <w:top w:val="nil"/>
              <w:left w:val="single" w:sz="4" w:space="0" w:color="auto"/>
              <w:bottom w:val="single" w:sz="8" w:space="0" w:color="000000"/>
              <w:right w:val="single" w:sz="4" w:space="0" w:color="auto"/>
            </w:tcBorders>
            <w:vAlign w:val="center"/>
            <w:hideMark/>
          </w:tcPr>
          <w:p w14:paraId="08B053E2" w14:textId="77777777" w:rsidR="009F124E" w:rsidRPr="009F124E" w:rsidRDefault="009F124E" w:rsidP="009F124E">
            <w:pPr>
              <w:rPr>
                <w:b/>
                <w:bCs/>
                <w:i/>
                <w:iCs/>
                <w:color w:val="000000"/>
                <w:sz w:val="12"/>
                <w:szCs w:val="12"/>
              </w:rPr>
            </w:pPr>
          </w:p>
        </w:tc>
        <w:tc>
          <w:tcPr>
            <w:tcW w:w="3691" w:type="dxa"/>
            <w:tcBorders>
              <w:top w:val="nil"/>
              <w:left w:val="nil"/>
              <w:bottom w:val="nil"/>
              <w:right w:val="single" w:sz="8" w:space="0" w:color="auto"/>
            </w:tcBorders>
            <w:shd w:val="clear" w:color="000000" w:fill="EDEDED"/>
            <w:noWrap/>
            <w:vAlign w:val="center"/>
            <w:hideMark/>
          </w:tcPr>
          <w:p w14:paraId="6F8EACBC" w14:textId="77777777" w:rsidR="009F124E" w:rsidRPr="009F124E" w:rsidRDefault="009F124E" w:rsidP="009F124E">
            <w:pPr>
              <w:rPr>
                <w:i/>
                <w:iCs/>
                <w:color w:val="000000"/>
                <w:sz w:val="10"/>
                <w:szCs w:val="10"/>
              </w:rPr>
            </w:pPr>
            <w:r w:rsidRPr="009F124E">
              <w:rPr>
                <w:i/>
                <w:iCs/>
                <w:color w:val="000000"/>
                <w:sz w:val="10"/>
                <w:szCs w:val="10"/>
              </w:rPr>
              <w:t>(-) Diferencias por fluctuaciones cambiarias</w:t>
            </w:r>
          </w:p>
        </w:tc>
      </w:tr>
      <w:tr w:rsidR="009F124E" w:rsidRPr="009F124E" w14:paraId="10A7E573" w14:textId="77777777" w:rsidTr="00207D0F">
        <w:trPr>
          <w:trHeight w:val="57"/>
        </w:trPr>
        <w:tc>
          <w:tcPr>
            <w:tcW w:w="750" w:type="dxa"/>
            <w:vMerge/>
            <w:tcBorders>
              <w:top w:val="nil"/>
              <w:left w:val="single" w:sz="8" w:space="0" w:color="auto"/>
              <w:bottom w:val="single" w:sz="8" w:space="0" w:color="000000"/>
              <w:right w:val="single" w:sz="4" w:space="0" w:color="auto"/>
            </w:tcBorders>
            <w:vAlign w:val="center"/>
            <w:hideMark/>
          </w:tcPr>
          <w:p w14:paraId="561F625A" w14:textId="77777777" w:rsidR="009F124E" w:rsidRPr="009F124E" w:rsidRDefault="009F124E" w:rsidP="009F124E">
            <w:pPr>
              <w:rPr>
                <w:b/>
                <w:bCs/>
                <w:i/>
                <w:iCs/>
                <w:color w:val="FFFFFF"/>
                <w:sz w:val="12"/>
                <w:szCs w:val="12"/>
              </w:rPr>
            </w:pPr>
          </w:p>
        </w:tc>
        <w:tc>
          <w:tcPr>
            <w:tcW w:w="1758" w:type="dxa"/>
            <w:vMerge/>
            <w:tcBorders>
              <w:top w:val="nil"/>
              <w:left w:val="single" w:sz="4" w:space="0" w:color="auto"/>
              <w:bottom w:val="single" w:sz="8" w:space="0" w:color="000000"/>
              <w:right w:val="single" w:sz="4" w:space="0" w:color="auto"/>
            </w:tcBorders>
            <w:vAlign w:val="center"/>
            <w:hideMark/>
          </w:tcPr>
          <w:p w14:paraId="0D0CF675" w14:textId="77777777" w:rsidR="009F124E" w:rsidRPr="009F124E" w:rsidRDefault="009F124E" w:rsidP="009F124E">
            <w:pPr>
              <w:rPr>
                <w:b/>
                <w:bCs/>
                <w:i/>
                <w:iCs/>
                <w:color w:val="000000"/>
                <w:sz w:val="12"/>
                <w:szCs w:val="12"/>
              </w:rPr>
            </w:pPr>
          </w:p>
        </w:tc>
        <w:tc>
          <w:tcPr>
            <w:tcW w:w="780" w:type="dxa"/>
            <w:vMerge/>
            <w:tcBorders>
              <w:top w:val="nil"/>
              <w:left w:val="single" w:sz="4" w:space="0" w:color="auto"/>
              <w:bottom w:val="single" w:sz="8" w:space="0" w:color="000000"/>
              <w:right w:val="single" w:sz="4" w:space="0" w:color="auto"/>
            </w:tcBorders>
            <w:vAlign w:val="center"/>
            <w:hideMark/>
          </w:tcPr>
          <w:p w14:paraId="45579F3A" w14:textId="77777777" w:rsidR="009F124E" w:rsidRPr="009F124E" w:rsidRDefault="009F124E" w:rsidP="009F124E">
            <w:pPr>
              <w:rPr>
                <w:b/>
                <w:bCs/>
                <w:i/>
                <w:iCs/>
                <w:color w:val="000000"/>
                <w:sz w:val="12"/>
                <w:szCs w:val="12"/>
              </w:rPr>
            </w:pPr>
          </w:p>
        </w:tc>
        <w:tc>
          <w:tcPr>
            <w:tcW w:w="780" w:type="dxa"/>
            <w:vMerge/>
            <w:tcBorders>
              <w:top w:val="nil"/>
              <w:left w:val="single" w:sz="4" w:space="0" w:color="auto"/>
              <w:bottom w:val="single" w:sz="8" w:space="0" w:color="000000"/>
              <w:right w:val="single" w:sz="4" w:space="0" w:color="auto"/>
            </w:tcBorders>
            <w:vAlign w:val="center"/>
            <w:hideMark/>
          </w:tcPr>
          <w:p w14:paraId="4D843ACD" w14:textId="77777777" w:rsidR="009F124E" w:rsidRPr="009F124E" w:rsidRDefault="009F124E" w:rsidP="009F124E">
            <w:pPr>
              <w:rPr>
                <w:b/>
                <w:bCs/>
                <w:i/>
                <w:iCs/>
                <w:color w:val="000000"/>
                <w:sz w:val="12"/>
                <w:szCs w:val="12"/>
              </w:rPr>
            </w:pPr>
          </w:p>
        </w:tc>
        <w:tc>
          <w:tcPr>
            <w:tcW w:w="745" w:type="dxa"/>
            <w:vMerge/>
            <w:tcBorders>
              <w:top w:val="nil"/>
              <w:left w:val="single" w:sz="4" w:space="0" w:color="auto"/>
              <w:bottom w:val="single" w:sz="8" w:space="0" w:color="000000"/>
              <w:right w:val="single" w:sz="4" w:space="0" w:color="auto"/>
            </w:tcBorders>
            <w:vAlign w:val="center"/>
            <w:hideMark/>
          </w:tcPr>
          <w:p w14:paraId="64D0B64B" w14:textId="77777777" w:rsidR="009F124E" w:rsidRPr="009F124E" w:rsidRDefault="009F124E" w:rsidP="009F124E">
            <w:pPr>
              <w:rPr>
                <w:b/>
                <w:bCs/>
                <w:i/>
                <w:iCs/>
                <w:color w:val="000000"/>
                <w:sz w:val="12"/>
                <w:szCs w:val="12"/>
              </w:rPr>
            </w:pPr>
          </w:p>
        </w:tc>
        <w:tc>
          <w:tcPr>
            <w:tcW w:w="3691" w:type="dxa"/>
            <w:tcBorders>
              <w:top w:val="nil"/>
              <w:left w:val="nil"/>
              <w:bottom w:val="nil"/>
              <w:right w:val="single" w:sz="8" w:space="0" w:color="auto"/>
            </w:tcBorders>
            <w:shd w:val="clear" w:color="000000" w:fill="EDEDED"/>
            <w:noWrap/>
            <w:vAlign w:val="center"/>
            <w:hideMark/>
          </w:tcPr>
          <w:p w14:paraId="35EE43B2" w14:textId="77777777" w:rsidR="009F124E" w:rsidRPr="009F124E" w:rsidRDefault="009F124E" w:rsidP="009F124E">
            <w:pPr>
              <w:rPr>
                <w:i/>
                <w:iCs/>
                <w:color w:val="000000"/>
                <w:sz w:val="10"/>
                <w:szCs w:val="10"/>
              </w:rPr>
            </w:pPr>
            <w:r w:rsidRPr="009F124E">
              <w:rPr>
                <w:i/>
                <w:iCs/>
                <w:color w:val="000000"/>
                <w:sz w:val="10"/>
                <w:szCs w:val="10"/>
              </w:rPr>
              <w:t>(-) Algunos ingresos de capital</w:t>
            </w:r>
          </w:p>
        </w:tc>
      </w:tr>
      <w:tr w:rsidR="009F124E" w:rsidRPr="009F124E" w14:paraId="030DC1D7" w14:textId="77777777" w:rsidTr="00207D0F">
        <w:trPr>
          <w:trHeight w:val="57"/>
        </w:trPr>
        <w:tc>
          <w:tcPr>
            <w:tcW w:w="750" w:type="dxa"/>
            <w:vMerge/>
            <w:tcBorders>
              <w:top w:val="nil"/>
              <w:left w:val="single" w:sz="8" w:space="0" w:color="auto"/>
              <w:bottom w:val="single" w:sz="8" w:space="0" w:color="000000"/>
              <w:right w:val="single" w:sz="4" w:space="0" w:color="auto"/>
            </w:tcBorders>
            <w:vAlign w:val="center"/>
            <w:hideMark/>
          </w:tcPr>
          <w:p w14:paraId="141A21D4" w14:textId="77777777" w:rsidR="009F124E" w:rsidRPr="009F124E" w:rsidRDefault="009F124E" w:rsidP="009F124E">
            <w:pPr>
              <w:rPr>
                <w:b/>
                <w:bCs/>
                <w:i/>
                <w:iCs/>
                <w:color w:val="FFFFFF"/>
                <w:sz w:val="12"/>
                <w:szCs w:val="12"/>
              </w:rPr>
            </w:pPr>
          </w:p>
        </w:tc>
        <w:tc>
          <w:tcPr>
            <w:tcW w:w="1758" w:type="dxa"/>
            <w:vMerge/>
            <w:tcBorders>
              <w:top w:val="nil"/>
              <w:left w:val="single" w:sz="4" w:space="0" w:color="auto"/>
              <w:bottom w:val="single" w:sz="8" w:space="0" w:color="000000"/>
              <w:right w:val="single" w:sz="4" w:space="0" w:color="auto"/>
            </w:tcBorders>
            <w:vAlign w:val="center"/>
            <w:hideMark/>
          </w:tcPr>
          <w:p w14:paraId="49908C92" w14:textId="77777777" w:rsidR="009F124E" w:rsidRPr="009F124E" w:rsidRDefault="009F124E" w:rsidP="009F124E">
            <w:pPr>
              <w:rPr>
                <w:b/>
                <w:bCs/>
                <w:i/>
                <w:iCs/>
                <w:color w:val="000000"/>
                <w:sz w:val="12"/>
                <w:szCs w:val="12"/>
              </w:rPr>
            </w:pPr>
          </w:p>
        </w:tc>
        <w:tc>
          <w:tcPr>
            <w:tcW w:w="780" w:type="dxa"/>
            <w:vMerge/>
            <w:tcBorders>
              <w:top w:val="nil"/>
              <w:left w:val="single" w:sz="4" w:space="0" w:color="auto"/>
              <w:bottom w:val="single" w:sz="8" w:space="0" w:color="000000"/>
              <w:right w:val="single" w:sz="4" w:space="0" w:color="auto"/>
            </w:tcBorders>
            <w:vAlign w:val="center"/>
            <w:hideMark/>
          </w:tcPr>
          <w:p w14:paraId="496D8C9D" w14:textId="77777777" w:rsidR="009F124E" w:rsidRPr="009F124E" w:rsidRDefault="009F124E" w:rsidP="009F124E">
            <w:pPr>
              <w:rPr>
                <w:b/>
                <w:bCs/>
                <w:i/>
                <w:iCs/>
                <w:color w:val="000000"/>
                <w:sz w:val="12"/>
                <w:szCs w:val="12"/>
              </w:rPr>
            </w:pPr>
          </w:p>
        </w:tc>
        <w:tc>
          <w:tcPr>
            <w:tcW w:w="780" w:type="dxa"/>
            <w:vMerge/>
            <w:tcBorders>
              <w:top w:val="nil"/>
              <w:left w:val="single" w:sz="4" w:space="0" w:color="auto"/>
              <w:bottom w:val="single" w:sz="8" w:space="0" w:color="000000"/>
              <w:right w:val="single" w:sz="4" w:space="0" w:color="auto"/>
            </w:tcBorders>
            <w:vAlign w:val="center"/>
            <w:hideMark/>
          </w:tcPr>
          <w:p w14:paraId="0AB83922" w14:textId="77777777" w:rsidR="009F124E" w:rsidRPr="009F124E" w:rsidRDefault="009F124E" w:rsidP="009F124E">
            <w:pPr>
              <w:rPr>
                <w:b/>
                <w:bCs/>
                <w:i/>
                <w:iCs/>
                <w:color w:val="000000"/>
                <w:sz w:val="12"/>
                <w:szCs w:val="12"/>
              </w:rPr>
            </w:pPr>
          </w:p>
        </w:tc>
        <w:tc>
          <w:tcPr>
            <w:tcW w:w="745" w:type="dxa"/>
            <w:vMerge/>
            <w:tcBorders>
              <w:top w:val="nil"/>
              <w:left w:val="single" w:sz="4" w:space="0" w:color="auto"/>
              <w:bottom w:val="single" w:sz="8" w:space="0" w:color="000000"/>
              <w:right w:val="single" w:sz="4" w:space="0" w:color="auto"/>
            </w:tcBorders>
            <w:vAlign w:val="center"/>
            <w:hideMark/>
          </w:tcPr>
          <w:p w14:paraId="58747583" w14:textId="77777777" w:rsidR="009F124E" w:rsidRPr="009F124E" w:rsidRDefault="009F124E" w:rsidP="009F124E">
            <w:pPr>
              <w:rPr>
                <w:b/>
                <w:bCs/>
                <w:i/>
                <w:iCs/>
                <w:color w:val="000000"/>
                <w:sz w:val="12"/>
                <w:szCs w:val="12"/>
              </w:rPr>
            </w:pPr>
          </w:p>
        </w:tc>
        <w:tc>
          <w:tcPr>
            <w:tcW w:w="3691" w:type="dxa"/>
            <w:tcBorders>
              <w:top w:val="nil"/>
              <w:left w:val="nil"/>
              <w:bottom w:val="nil"/>
              <w:right w:val="single" w:sz="8" w:space="0" w:color="auto"/>
            </w:tcBorders>
            <w:shd w:val="clear" w:color="000000" w:fill="EDEDED"/>
            <w:noWrap/>
            <w:vAlign w:val="center"/>
            <w:hideMark/>
          </w:tcPr>
          <w:p w14:paraId="06CD0A38" w14:textId="77777777" w:rsidR="009F124E" w:rsidRPr="009F124E" w:rsidRDefault="009F124E" w:rsidP="009F124E">
            <w:pPr>
              <w:rPr>
                <w:b/>
                <w:bCs/>
                <w:i/>
                <w:iCs/>
                <w:color w:val="000000"/>
                <w:sz w:val="10"/>
                <w:szCs w:val="10"/>
              </w:rPr>
            </w:pPr>
            <w:r w:rsidRPr="009F124E">
              <w:rPr>
                <w:b/>
                <w:bCs/>
                <w:i/>
                <w:iCs/>
                <w:color w:val="000000"/>
                <w:sz w:val="10"/>
                <w:szCs w:val="10"/>
              </w:rPr>
              <w:t>En el gasto</w:t>
            </w:r>
          </w:p>
        </w:tc>
      </w:tr>
      <w:tr w:rsidR="009F124E" w:rsidRPr="009F124E" w14:paraId="221E3094" w14:textId="77777777" w:rsidTr="00207D0F">
        <w:trPr>
          <w:trHeight w:val="57"/>
        </w:trPr>
        <w:tc>
          <w:tcPr>
            <w:tcW w:w="750" w:type="dxa"/>
            <w:vMerge/>
            <w:tcBorders>
              <w:top w:val="nil"/>
              <w:left w:val="single" w:sz="8" w:space="0" w:color="auto"/>
              <w:bottom w:val="single" w:sz="8" w:space="0" w:color="000000"/>
              <w:right w:val="single" w:sz="4" w:space="0" w:color="auto"/>
            </w:tcBorders>
            <w:vAlign w:val="center"/>
            <w:hideMark/>
          </w:tcPr>
          <w:p w14:paraId="41D21120" w14:textId="77777777" w:rsidR="009F124E" w:rsidRPr="009F124E" w:rsidRDefault="009F124E" w:rsidP="009F124E">
            <w:pPr>
              <w:rPr>
                <w:b/>
                <w:bCs/>
                <w:i/>
                <w:iCs/>
                <w:color w:val="FFFFFF"/>
                <w:sz w:val="12"/>
                <w:szCs w:val="12"/>
              </w:rPr>
            </w:pPr>
          </w:p>
        </w:tc>
        <w:tc>
          <w:tcPr>
            <w:tcW w:w="1758" w:type="dxa"/>
            <w:vMerge/>
            <w:tcBorders>
              <w:top w:val="nil"/>
              <w:left w:val="single" w:sz="4" w:space="0" w:color="auto"/>
              <w:bottom w:val="single" w:sz="8" w:space="0" w:color="000000"/>
              <w:right w:val="single" w:sz="4" w:space="0" w:color="auto"/>
            </w:tcBorders>
            <w:vAlign w:val="center"/>
            <w:hideMark/>
          </w:tcPr>
          <w:p w14:paraId="32E7BF10" w14:textId="77777777" w:rsidR="009F124E" w:rsidRPr="009F124E" w:rsidRDefault="009F124E" w:rsidP="009F124E">
            <w:pPr>
              <w:rPr>
                <w:b/>
                <w:bCs/>
                <w:i/>
                <w:iCs/>
                <w:color w:val="000000"/>
                <w:sz w:val="12"/>
                <w:szCs w:val="12"/>
              </w:rPr>
            </w:pPr>
          </w:p>
        </w:tc>
        <w:tc>
          <w:tcPr>
            <w:tcW w:w="780" w:type="dxa"/>
            <w:vMerge/>
            <w:tcBorders>
              <w:top w:val="nil"/>
              <w:left w:val="single" w:sz="4" w:space="0" w:color="auto"/>
              <w:bottom w:val="single" w:sz="8" w:space="0" w:color="000000"/>
              <w:right w:val="single" w:sz="4" w:space="0" w:color="auto"/>
            </w:tcBorders>
            <w:vAlign w:val="center"/>
            <w:hideMark/>
          </w:tcPr>
          <w:p w14:paraId="7F998966" w14:textId="77777777" w:rsidR="009F124E" w:rsidRPr="009F124E" w:rsidRDefault="009F124E" w:rsidP="009F124E">
            <w:pPr>
              <w:rPr>
                <w:b/>
                <w:bCs/>
                <w:i/>
                <w:iCs/>
                <w:color w:val="000000"/>
                <w:sz w:val="12"/>
                <w:szCs w:val="12"/>
              </w:rPr>
            </w:pPr>
          </w:p>
        </w:tc>
        <w:tc>
          <w:tcPr>
            <w:tcW w:w="780" w:type="dxa"/>
            <w:vMerge/>
            <w:tcBorders>
              <w:top w:val="nil"/>
              <w:left w:val="single" w:sz="4" w:space="0" w:color="auto"/>
              <w:bottom w:val="single" w:sz="8" w:space="0" w:color="000000"/>
              <w:right w:val="single" w:sz="4" w:space="0" w:color="auto"/>
            </w:tcBorders>
            <w:vAlign w:val="center"/>
            <w:hideMark/>
          </w:tcPr>
          <w:p w14:paraId="4038FDEC" w14:textId="77777777" w:rsidR="009F124E" w:rsidRPr="009F124E" w:rsidRDefault="009F124E" w:rsidP="009F124E">
            <w:pPr>
              <w:rPr>
                <w:b/>
                <w:bCs/>
                <w:i/>
                <w:iCs/>
                <w:color w:val="000000"/>
                <w:sz w:val="12"/>
                <w:szCs w:val="12"/>
              </w:rPr>
            </w:pPr>
          </w:p>
        </w:tc>
        <w:tc>
          <w:tcPr>
            <w:tcW w:w="745" w:type="dxa"/>
            <w:vMerge/>
            <w:tcBorders>
              <w:top w:val="nil"/>
              <w:left w:val="single" w:sz="4" w:space="0" w:color="auto"/>
              <w:bottom w:val="single" w:sz="8" w:space="0" w:color="000000"/>
              <w:right w:val="single" w:sz="4" w:space="0" w:color="auto"/>
            </w:tcBorders>
            <w:vAlign w:val="center"/>
            <w:hideMark/>
          </w:tcPr>
          <w:p w14:paraId="657227EA" w14:textId="77777777" w:rsidR="009F124E" w:rsidRPr="009F124E" w:rsidRDefault="009F124E" w:rsidP="009F124E">
            <w:pPr>
              <w:rPr>
                <w:b/>
                <w:bCs/>
                <w:i/>
                <w:iCs/>
                <w:color w:val="000000"/>
                <w:sz w:val="12"/>
                <w:szCs w:val="12"/>
              </w:rPr>
            </w:pPr>
          </w:p>
        </w:tc>
        <w:tc>
          <w:tcPr>
            <w:tcW w:w="3691" w:type="dxa"/>
            <w:tcBorders>
              <w:top w:val="nil"/>
              <w:left w:val="nil"/>
              <w:bottom w:val="nil"/>
              <w:right w:val="single" w:sz="8" w:space="0" w:color="auto"/>
            </w:tcBorders>
            <w:shd w:val="clear" w:color="000000" w:fill="EDEDED"/>
            <w:noWrap/>
            <w:vAlign w:val="center"/>
            <w:hideMark/>
          </w:tcPr>
          <w:p w14:paraId="67722C66" w14:textId="77777777" w:rsidR="009F124E" w:rsidRPr="009F124E" w:rsidRDefault="009F124E" w:rsidP="009F124E">
            <w:pPr>
              <w:rPr>
                <w:i/>
                <w:iCs/>
                <w:color w:val="000000"/>
                <w:sz w:val="10"/>
                <w:szCs w:val="10"/>
              </w:rPr>
            </w:pPr>
            <w:r w:rsidRPr="009F124E">
              <w:rPr>
                <w:i/>
                <w:iCs/>
                <w:color w:val="000000"/>
                <w:sz w:val="10"/>
                <w:szCs w:val="10"/>
              </w:rPr>
              <w:t>(-) Inversiones financieras</w:t>
            </w:r>
          </w:p>
        </w:tc>
      </w:tr>
      <w:tr w:rsidR="009F124E" w:rsidRPr="009F124E" w14:paraId="4A888248" w14:textId="77777777" w:rsidTr="00207D0F">
        <w:trPr>
          <w:trHeight w:val="57"/>
        </w:trPr>
        <w:tc>
          <w:tcPr>
            <w:tcW w:w="750" w:type="dxa"/>
            <w:vMerge/>
            <w:tcBorders>
              <w:top w:val="nil"/>
              <w:left w:val="single" w:sz="8" w:space="0" w:color="auto"/>
              <w:bottom w:val="single" w:sz="8" w:space="0" w:color="000000"/>
              <w:right w:val="single" w:sz="4" w:space="0" w:color="auto"/>
            </w:tcBorders>
            <w:vAlign w:val="center"/>
            <w:hideMark/>
          </w:tcPr>
          <w:p w14:paraId="7B3A6A57" w14:textId="77777777" w:rsidR="009F124E" w:rsidRPr="009F124E" w:rsidRDefault="009F124E" w:rsidP="009F124E">
            <w:pPr>
              <w:rPr>
                <w:b/>
                <w:bCs/>
                <w:i/>
                <w:iCs/>
                <w:color w:val="FFFFFF"/>
                <w:sz w:val="12"/>
                <w:szCs w:val="12"/>
              </w:rPr>
            </w:pPr>
          </w:p>
        </w:tc>
        <w:tc>
          <w:tcPr>
            <w:tcW w:w="1758" w:type="dxa"/>
            <w:vMerge/>
            <w:tcBorders>
              <w:top w:val="nil"/>
              <w:left w:val="single" w:sz="4" w:space="0" w:color="auto"/>
              <w:bottom w:val="single" w:sz="8" w:space="0" w:color="000000"/>
              <w:right w:val="single" w:sz="4" w:space="0" w:color="auto"/>
            </w:tcBorders>
            <w:vAlign w:val="center"/>
            <w:hideMark/>
          </w:tcPr>
          <w:p w14:paraId="0B0E7DE0" w14:textId="77777777" w:rsidR="009F124E" w:rsidRPr="009F124E" w:rsidRDefault="009F124E" w:rsidP="009F124E">
            <w:pPr>
              <w:rPr>
                <w:b/>
                <w:bCs/>
                <w:i/>
                <w:iCs/>
                <w:color w:val="000000"/>
                <w:sz w:val="12"/>
                <w:szCs w:val="12"/>
              </w:rPr>
            </w:pPr>
          </w:p>
        </w:tc>
        <w:tc>
          <w:tcPr>
            <w:tcW w:w="780" w:type="dxa"/>
            <w:vMerge/>
            <w:tcBorders>
              <w:top w:val="nil"/>
              <w:left w:val="single" w:sz="4" w:space="0" w:color="auto"/>
              <w:bottom w:val="single" w:sz="8" w:space="0" w:color="000000"/>
              <w:right w:val="single" w:sz="4" w:space="0" w:color="auto"/>
            </w:tcBorders>
            <w:vAlign w:val="center"/>
            <w:hideMark/>
          </w:tcPr>
          <w:p w14:paraId="45FFAE00" w14:textId="77777777" w:rsidR="009F124E" w:rsidRPr="009F124E" w:rsidRDefault="009F124E" w:rsidP="009F124E">
            <w:pPr>
              <w:rPr>
                <w:b/>
                <w:bCs/>
                <w:i/>
                <w:iCs/>
                <w:color w:val="000000"/>
                <w:sz w:val="12"/>
                <w:szCs w:val="12"/>
              </w:rPr>
            </w:pPr>
          </w:p>
        </w:tc>
        <w:tc>
          <w:tcPr>
            <w:tcW w:w="780" w:type="dxa"/>
            <w:vMerge/>
            <w:tcBorders>
              <w:top w:val="nil"/>
              <w:left w:val="single" w:sz="4" w:space="0" w:color="auto"/>
              <w:bottom w:val="single" w:sz="8" w:space="0" w:color="000000"/>
              <w:right w:val="single" w:sz="4" w:space="0" w:color="auto"/>
            </w:tcBorders>
            <w:vAlign w:val="center"/>
            <w:hideMark/>
          </w:tcPr>
          <w:p w14:paraId="7CC3159B" w14:textId="77777777" w:rsidR="009F124E" w:rsidRPr="009F124E" w:rsidRDefault="009F124E" w:rsidP="009F124E">
            <w:pPr>
              <w:rPr>
                <w:b/>
                <w:bCs/>
                <w:i/>
                <w:iCs/>
                <w:color w:val="000000"/>
                <w:sz w:val="12"/>
                <w:szCs w:val="12"/>
              </w:rPr>
            </w:pPr>
          </w:p>
        </w:tc>
        <w:tc>
          <w:tcPr>
            <w:tcW w:w="745" w:type="dxa"/>
            <w:vMerge/>
            <w:tcBorders>
              <w:top w:val="nil"/>
              <w:left w:val="single" w:sz="4" w:space="0" w:color="auto"/>
              <w:bottom w:val="single" w:sz="8" w:space="0" w:color="000000"/>
              <w:right w:val="single" w:sz="4" w:space="0" w:color="auto"/>
            </w:tcBorders>
            <w:vAlign w:val="center"/>
            <w:hideMark/>
          </w:tcPr>
          <w:p w14:paraId="6320D2D1" w14:textId="77777777" w:rsidR="009F124E" w:rsidRPr="009F124E" w:rsidRDefault="009F124E" w:rsidP="009F124E">
            <w:pPr>
              <w:rPr>
                <w:b/>
                <w:bCs/>
                <w:i/>
                <w:iCs/>
                <w:color w:val="000000"/>
                <w:sz w:val="12"/>
                <w:szCs w:val="12"/>
              </w:rPr>
            </w:pPr>
          </w:p>
        </w:tc>
        <w:tc>
          <w:tcPr>
            <w:tcW w:w="3691" w:type="dxa"/>
            <w:tcBorders>
              <w:top w:val="nil"/>
              <w:left w:val="nil"/>
              <w:bottom w:val="single" w:sz="8" w:space="0" w:color="auto"/>
              <w:right w:val="single" w:sz="8" w:space="0" w:color="auto"/>
            </w:tcBorders>
            <w:shd w:val="clear" w:color="000000" w:fill="EDEDED"/>
            <w:noWrap/>
            <w:vAlign w:val="center"/>
            <w:hideMark/>
          </w:tcPr>
          <w:p w14:paraId="7D449156" w14:textId="77777777" w:rsidR="009F124E" w:rsidRPr="009F124E" w:rsidRDefault="009F124E" w:rsidP="009F124E">
            <w:pPr>
              <w:rPr>
                <w:i/>
                <w:iCs/>
                <w:color w:val="000000"/>
                <w:sz w:val="10"/>
                <w:szCs w:val="10"/>
              </w:rPr>
            </w:pPr>
            <w:r w:rsidRPr="009F124E">
              <w:rPr>
                <w:i/>
                <w:iCs/>
                <w:color w:val="000000"/>
                <w:sz w:val="10"/>
                <w:szCs w:val="10"/>
              </w:rPr>
              <w:t>(-) Descuentos de deuda</w:t>
            </w:r>
          </w:p>
        </w:tc>
      </w:tr>
    </w:tbl>
    <w:p w14:paraId="71FAEFAD" w14:textId="77777777" w:rsidR="009F124E" w:rsidRPr="009F124E" w:rsidRDefault="009F124E" w:rsidP="009F124E">
      <w:pPr>
        <w:spacing w:line="259" w:lineRule="auto"/>
        <w:jc w:val="both"/>
        <w:rPr>
          <w:b/>
          <w:sz w:val="20"/>
          <w:szCs w:val="22"/>
          <w:lang w:eastAsia="en-US"/>
        </w:rPr>
      </w:pPr>
      <w:r w:rsidRPr="009F124E">
        <w:rPr>
          <w:b/>
          <w:sz w:val="20"/>
          <w:szCs w:val="22"/>
          <w:lang w:eastAsia="en-US"/>
        </w:rPr>
        <w:t>Notas:</w:t>
      </w:r>
    </w:p>
    <w:p w14:paraId="42C9B2CA" w14:textId="77777777" w:rsidR="009F124E" w:rsidRPr="009F124E" w:rsidRDefault="009F124E" w:rsidP="009F124E">
      <w:pPr>
        <w:spacing w:line="259" w:lineRule="auto"/>
        <w:ind w:left="142" w:hanging="142"/>
        <w:rPr>
          <w:i/>
          <w:sz w:val="14"/>
          <w:szCs w:val="22"/>
          <w:lang w:eastAsia="en-US"/>
        </w:rPr>
      </w:pPr>
      <w:r w:rsidRPr="009F124E">
        <w:rPr>
          <w:i/>
          <w:sz w:val="14"/>
          <w:szCs w:val="22"/>
          <w:lang w:eastAsia="en-US"/>
        </w:rPr>
        <w:t>1/ Dicha cuenta no aplica para la metodología MEFP2014 dado que solamente existe en las cuentas de la metodología nacional.</w:t>
      </w:r>
    </w:p>
    <w:p w14:paraId="4EDCBB6F" w14:textId="77777777" w:rsidR="009F124E" w:rsidRPr="009F124E" w:rsidRDefault="009F124E" w:rsidP="009F124E">
      <w:pPr>
        <w:spacing w:line="259" w:lineRule="auto"/>
        <w:ind w:left="142" w:hanging="142"/>
        <w:rPr>
          <w:i/>
          <w:sz w:val="14"/>
          <w:szCs w:val="22"/>
          <w:lang w:eastAsia="en-US"/>
        </w:rPr>
      </w:pPr>
      <w:r w:rsidRPr="009F124E">
        <w:rPr>
          <w:i/>
          <w:sz w:val="14"/>
          <w:szCs w:val="22"/>
          <w:lang w:eastAsia="en-US"/>
        </w:rPr>
        <w:t>2/ La cifra correspondiente al monto en la metodología nacional, contempla a todo gasto en la situación financiero que no haya sido incluido ninguna otra cuenta.</w:t>
      </w:r>
    </w:p>
    <w:p w14:paraId="050F792E" w14:textId="77777777" w:rsidR="009F124E" w:rsidRPr="009F124E" w:rsidRDefault="009F124E" w:rsidP="009F124E">
      <w:pPr>
        <w:spacing w:line="259" w:lineRule="auto"/>
        <w:ind w:left="142" w:hanging="142"/>
        <w:rPr>
          <w:i/>
          <w:sz w:val="14"/>
          <w:szCs w:val="22"/>
          <w:lang w:eastAsia="en-US"/>
        </w:rPr>
      </w:pPr>
      <w:r w:rsidRPr="009F124E">
        <w:rPr>
          <w:i/>
          <w:sz w:val="14"/>
          <w:szCs w:val="22"/>
          <w:lang w:eastAsia="en-US"/>
        </w:rPr>
        <w:t>3/ En la metodología nacional no existe las cuentas de transacciones en activos no financieros por lo tanto no se cuenta con un punto de comparación con la metodología MEFP2014</w:t>
      </w:r>
    </w:p>
    <w:p w14:paraId="3DA883BF" w14:textId="77777777" w:rsidR="009F124E" w:rsidRPr="009F124E" w:rsidRDefault="009F124E" w:rsidP="009F124E">
      <w:pPr>
        <w:ind w:left="1134"/>
        <w:jc w:val="both"/>
        <w:rPr>
          <w:sz w:val="16"/>
          <w:szCs w:val="22"/>
          <w:lang w:eastAsia="en-US"/>
        </w:rPr>
      </w:pPr>
    </w:p>
    <w:p w14:paraId="04D30C69" w14:textId="4B830F5C" w:rsidR="009F124E" w:rsidRPr="009F124E" w:rsidRDefault="009F124E" w:rsidP="00354A9C">
      <w:pPr>
        <w:numPr>
          <w:ilvl w:val="1"/>
          <w:numId w:val="36"/>
        </w:numPr>
        <w:contextualSpacing/>
        <w:jc w:val="both"/>
        <w:outlineLvl w:val="2"/>
        <w:rPr>
          <w:b/>
          <w:sz w:val="22"/>
          <w:szCs w:val="22"/>
          <w:lang w:eastAsia="en-US"/>
        </w:rPr>
      </w:pPr>
      <w:bookmarkStart w:id="294" w:name="_Toc143865881"/>
      <w:r w:rsidRPr="009F124E">
        <w:rPr>
          <w:b/>
          <w:sz w:val="22"/>
          <w:szCs w:val="22"/>
          <w:lang w:eastAsia="en-US"/>
        </w:rPr>
        <w:t xml:space="preserve">El Gobierno </w:t>
      </w:r>
      <w:r w:rsidR="008D42A4">
        <w:rPr>
          <w:b/>
          <w:sz w:val="22"/>
          <w:szCs w:val="22"/>
          <w:lang w:eastAsia="en-US"/>
        </w:rPr>
        <w:t>g</w:t>
      </w:r>
      <w:r w:rsidRPr="009F124E">
        <w:rPr>
          <w:b/>
          <w:sz w:val="22"/>
          <w:szCs w:val="22"/>
          <w:lang w:eastAsia="en-US"/>
        </w:rPr>
        <w:t>eneral en las EFP</w:t>
      </w:r>
      <w:bookmarkEnd w:id="294"/>
    </w:p>
    <w:p w14:paraId="2F8FB957" w14:textId="77777777" w:rsidR="009F124E" w:rsidRPr="009F124E" w:rsidRDefault="009F124E" w:rsidP="009F124E">
      <w:pPr>
        <w:spacing w:line="256" w:lineRule="auto"/>
        <w:jc w:val="both"/>
        <w:rPr>
          <w:sz w:val="22"/>
          <w:szCs w:val="22"/>
          <w:lang w:eastAsia="en-US"/>
        </w:rPr>
      </w:pPr>
    </w:p>
    <w:p w14:paraId="37C603FD" w14:textId="77777777" w:rsidR="009F124E" w:rsidRPr="009F124E" w:rsidRDefault="009F124E" w:rsidP="009F124E">
      <w:pPr>
        <w:spacing w:line="256" w:lineRule="auto"/>
        <w:jc w:val="both"/>
        <w:rPr>
          <w:sz w:val="22"/>
          <w:szCs w:val="22"/>
          <w:lang w:eastAsia="en-US"/>
        </w:rPr>
      </w:pPr>
      <w:r w:rsidRPr="009F124E">
        <w:rPr>
          <w:sz w:val="22"/>
          <w:szCs w:val="22"/>
          <w:lang w:eastAsia="en-US"/>
        </w:rPr>
        <w:t xml:space="preserve">Es importante resaltar cuando se habla de Sector Público, este posee varios niveles de clasificaión y se divide en dos grandes grupos, el primero de ellos son las Sociedades Pública (un grupo de entidades que están bajo el control directo o indirecto del gobierno y que pueden generar utilidades o ganancias financieras) y el segundo son las entidades que pertenecen al Gobierno General. </w:t>
      </w:r>
    </w:p>
    <w:p w14:paraId="4293E264" w14:textId="77777777" w:rsidR="009F124E" w:rsidRPr="009F124E" w:rsidRDefault="009F124E" w:rsidP="009F124E">
      <w:pPr>
        <w:spacing w:line="256" w:lineRule="auto"/>
        <w:jc w:val="both"/>
        <w:rPr>
          <w:sz w:val="22"/>
          <w:szCs w:val="22"/>
          <w:lang w:eastAsia="en-US"/>
        </w:rPr>
      </w:pPr>
    </w:p>
    <w:p w14:paraId="3E60FC3B" w14:textId="77777777" w:rsidR="009F124E" w:rsidRPr="009F124E" w:rsidRDefault="009F124E" w:rsidP="009F124E">
      <w:pPr>
        <w:spacing w:line="256" w:lineRule="auto"/>
        <w:jc w:val="both"/>
        <w:rPr>
          <w:sz w:val="22"/>
          <w:szCs w:val="22"/>
          <w:lang w:eastAsia="en-US"/>
        </w:rPr>
      </w:pPr>
      <w:r w:rsidRPr="009F124E">
        <w:rPr>
          <w:sz w:val="22"/>
          <w:szCs w:val="22"/>
          <w:lang w:eastAsia="en-US"/>
        </w:rPr>
        <w:t>El Gobierno General, según el Manual de Estadísticas de las Finanzas Públicas 2014, son las entidades que tienen como finalidad el llevar a cabo una función de gobierno y el mismo cuenta con tres subdivisiones, estas son:</w:t>
      </w:r>
    </w:p>
    <w:p w14:paraId="29B93E79" w14:textId="77777777" w:rsidR="009F124E" w:rsidRPr="009F124E" w:rsidRDefault="009F124E" w:rsidP="009F124E">
      <w:pPr>
        <w:spacing w:line="256" w:lineRule="auto"/>
        <w:jc w:val="both"/>
        <w:rPr>
          <w:sz w:val="22"/>
          <w:szCs w:val="22"/>
          <w:lang w:eastAsia="en-US"/>
        </w:rPr>
      </w:pPr>
    </w:p>
    <w:p w14:paraId="429E7608" w14:textId="22EA714B" w:rsidR="009F124E" w:rsidRPr="009F124E" w:rsidRDefault="009F124E" w:rsidP="00354A9C">
      <w:pPr>
        <w:numPr>
          <w:ilvl w:val="0"/>
          <w:numId w:val="42"/>
        </w:numPr>
        <w:spacing w:line="264" w:lineRule="auto"/>
        <w:ind w:left="360"/>
        <w:contextualSpacing/>
        <w:jc w:val="both"/>
        <w:rPr>
          <w:b/>
          <w:sz w:val="22"/>
          <w:szCs w:val="22"/>
          <w:lang w:val="es-419" w:eastAsia="en-US"/>
        </w:rPr>
      </w:pPr>
      <w:r w:rsidRPr="009F124E">
        <w:rPr>
          <w:b/>
          <w:sz w:val="22"/>
          <w:szCs w:val="22"/>
          <w:lang w:val="es-419" w:eastAsia="en-US"/>
        </w:rPr>
        <w:t xml:space="preserve">El Gobierno </w:t>
      </w:r>
      <w:r w:rsidR="008D42A4">
        <w:rPr>
          <w:b/>
          <w:sz w:val="22"/>
          <w:szCs w:val="22"/>
          <w:lang w:val="es-419" w:eastAsia="en-US"/>
        </w:rPr>
        <w:t>c</w:t>
      </w:r>
      <w:r w:rsidRPr="009F124E">
        <w:rPr>
          <w:b/>
          <w:sz w:val="22"/>
          <w:szCs w:val="22"/>
          <w:lang w:val="es-419" w:eastAsia="en-US"/>
        </w:rPr>
        <w:t>entral:</w:t>
      </w:r>
      <w:r w:rsidRPr="009F124E">
        <w:rPr>
          <w:bCs/>
          <w:sz w:val="22"/>
          <w:szCs w:val="22"/>
          <w:lang w:val="es-419" w:eastAsia="en-US"/>
        </w:rPr>
        <w:t xml:space="preserve"> Se constituye por dos subtipos, las entidades del Gobierno Central Presupuestario y el Gobierno Central Extrapresupuestario.</w:t>
      </w:r>
    </w:p>
    <w:p w14:paraId="5422F516" w14:textId="77777777" w:rsidR="009F124E" w:rsidRPr="009F124E" w:rsidRDefault="009F124E" w:rsidP="009F124E">
      <w:pPr>
        <w:spacing w:after="160" w:line="259" w:lineRule="auto"/>
        <w:ind w:left="-1158"/>
        <w:contextualSpacing/>
        <w:jc w:val="both"/>
        <w:rPr>
          <w:b/>
          <w:sz w:val="22"/>
          <w:szCs w:val="22"/>
          <w:lang w:val="es-419" w:eastAsia="en-US"/>
        </w:rPr>
      </w:pPr>
    </w:p>
    <w:p w14:paraId="5C212136" w14:textId="45225A47" w:rsidR="009F124E" w:rsidRPr="009F124E" w:rsidRDefault="009F124E" w:rsidP="00354A9C">
      <w:pPr>
        <w:numPr>
          <w:ilvl w:val="0"/>
          <w:numId w:val="43"/>
        </w:numPr>
        <w:spacing w:line="264" w:lineRule="auto"/>
        <w:ind w:left="708"/>
        <w:contextualSpacing/>
        <w:jc w:val="both"/>
        <w:rPr>
          <w:b/>
          <w:sz w:val="22"/>
          <w:szCs w:val="22"/>
          <w:lang w:val="es-419" w:eastAsia="en-US"/>
        </w:rPr>
      </w:pPr>
      <w:r w:rsidRPr="009F124E">
        <w:rPr>
          <w:b/>
          <w:sz w:val="22"/>
          <w:szCs w:val="22"/>
          <w:lang w:val="es-419" w:eastAsia="en-US"/>
        </w:rPr>
        <w:t xml:space="preserve">Gobierno </w:t>
      </w:r>
      <w:r w:rsidR="008D42A4">
        <w:rPr>
          <w:b/>
          <w:sz w:val="22"/>
          <w:szCs w:val="22"/>
          <w:lang w:val="es-419" w:eastAsia="en-US"/>
        </w:rPr>
        <w:t>c</w:t>
      </w:r>
      <w:r w:rsidRPr="009F124E">
        <w:rPr>
          <w:b/>
          <w:sz w:val="22"/>
          <w:szCs w:val="22"/>
          <w:lang w:val="es-419" w:eastAsia="en-US"/>
        </w:rPr>
        <w:t xml:space="preserve">entral </w:t>
      </w:r>
      <w:r w:rsidR="008D42A4">
        <w:rPr>
          <w:b/>
          <w:sz w:val="22"/>
          <w:szCs w:val="22"/>
          <w:lang w:val="es-419" w:eastAsia="en-US"/>
        </w:rPr>
        <w:t>p</w:t>
      </w:r>
      <w:r w:rsidRPr="009F124E">
        <w:rPr>
          <w:b/>
          <w:sz w:val="22"/>
          <w:szCs w:val="22"/>
          <w:lang w:val="es-419" w:eastAsia="en-US"/>
        </w:rPr>
        <w:t xml:space="preserve">resupuestario: </w:t>
      </w:r>
      <w:r w:rsidRPr="009F124E">
        <w:rPr>
          <w:bCs/>
          <w:sz w:val="22"/>
          <w:szCs w:val="22"/>
          <w:lang w:val="es-419" w:eastAsia="en-US"/>
        </w:rPr>
        <w:t>Son todas las entidades que tengan una dependencia de un presupuesto principal o general, en el caso de Guatemala, estas son las que forman parte de Presupuesto General de Ingresos y Egresos del Estado (estas son Presidencia de la República, Ministerios de Estado, Secretarias y Otras Dependencias del Ejecutivo, la Procuraduría General de la Nación, entidades virtuales como el Servicio de la Deuda Pública y las Obligaciones del Estado a Cargo del Tesoro).</w:t>
      </w:r>
    </w:p>
    <w:p w14:paraId="7E03F4BF" w14:textId="77777777" w:rsidR="009F124E" w:rsidRPr="009F124E" w:rsidRDefault="009F124E" w:rsidP="009F124E">
      <w:pPr>
        <w:spacing w:after="160" w:line="259" w:lineRule="auto"/>
        <w:ind w:left="-320"/>
        <w:contextualSpacing/>
        <w:jc w:val="both"/>
        <w:rPr>
          <w:b/>
          <w:sz w:val="22"/>
          <w:szCs w:val="22"/>
          <w:lang w:val="es-419" w:eastAsia="en-US"/>
        </w:rPr>
      </w:pPr>
    </w:p>
    <w:p w14:paraId="78D1454F" w14:textId="43C28FAA" w:rsidR="009F124E" w:rsidRPr="009F124E" w:rsidRDefault="009F124E" w:rsidP="00354A9C">
      <w:pPr>
        <w:numPr>
          <w:ilvl w:val="0"/>
          <w:numId w:val="43"/>
        </w:numPr>
        <w:spacing w:line="264" w:lineRule="auto"/>
        <w:ind w:left="708"/>
        <w:contextualSpacing/>
        <w:jc w:val="both"/>
        <w:rPr>
          <w:b/>
          <w:sz w:val="22"/>
          <w:szCs w:val="22"/>
          <w:lang w:val="es-419" w:eastAsia="en-US"/>
        </w:rPr>
      </w:pPr>
      <w:r w:rsidRPr="009F124E">
        <w:rPr>
          <w:b/>
          <w:sz w:val="22"/>
          <w:szCs w:val="22"/>
          <w:lang w:val="es-419" w:eastAsia="en-US"/>
        </w:rPr>
        <w:t xml:space="preserve">Gobierno </w:t>
      </w:r>
      <w:r w:rsidR="008D42A4">
        <w:rPr>
          <w:b/>
          <w:sz w:val="22"/>
          <w:szCs w:val="22"/>
          <w:lang w:val="es-419" w:eastAsia="en-US"/>
        </w:rPr>
        <w:t>c</w:t>
      </w:r>
      <w:r w:rsidRPr="009F124E">
        <w:rPr>
          <w:b/>
          <w:sz w:val="22"/>
          <w:szCs w:val="22"/>
          <w:lang w:val="es-419" w:eastAsia="en-US"/>
        </w:rPr>
        <w:t xml:space="preserve">entral </w:t>
      </w:r>
      <w:r w:rsidR="008D42A4">
        <w:rPr>
          <w:b/>
          <w:sz w:val="22"/>
          <w:szCs w:val="22"/>
          <w:lang w:val="es-419" w:eastAsia="en-US"/>
        </w:rPr>
        <w:t>e</w:t>
      </w:r>
      <w:r w:rsidRPr="009F124E">
        <w:rPr>
          <w:b/>
          <w:sz w:val="22"/>
          <w:szCs w:val="22"/>
          <w:lang w:val="es-419" w:eastAsia="en-US"/>
        </w:rPr>
        <w:t xml:space="preserve">xtrapresupuestario: </w:t>
      </w:r>
      <w:r w:rsidRPr="009F124E">
        <w:rPr>
          <w:bCs/>
          <w:sz w:val="22"/>
          <w:szCs w:val="22"/>
          <w:lang w:val="es-419" w:eastAsia="en-US"/>
        </w:rPr>
        <w:t>Son entidades que no dependen de un presupuesto principal o general y en el caso de Guatemala, son principalmente las entidades descentralizadas y autónomas como, por ejemplo, la Universidad de San Carlos de Guatemala.</w:t>
      </w:r>
    </w:p>
    <w:p w14:paraId="0F5CE6B5" w14:textId="77777777" w:rsidR="009F124E" w:rsidRPr="009F124E" w:rsidRDefault="009F124E" w:rsidP="009F124E">
      <w:pPr>
        <w:spacing w:after="160" w:line="259" w:lineRule="auto"/>
        <w:contextualSpacing/>
        <w:rPr>
          <w:b/>
          <w:sz w:val="22"/>
          <w:szCs w:val="22"/>
          <w:lang w:val="es-419" w:eastAsia="en-US"/>
        </w:rPr>
      </w:pPr>
    </w:p>
    <w:p w14:paraId="7A0B5CBB" w14:textId="2F193FE1" w:rsidR="009F124E" w:rsidRPr="009F124E" w:rsidRDefault="009F124E" w:rsidP="00354A9C">
      <w:pPr>
        <w:numPr>
          <w:ilvl w:val="0"/>
          <w:numId w:val="42"/>
        </w:numPr>
        <w:spacing w:line="264" w:lineRule="auto"/>
        <w:ind w:left="360"/>
        <w:contextualSpacing/>
        <w:jc w:val="both"/>
        <w:rPr>
          <w:b/>
          <w:sz w:val="22"/>
          <w:szCs w:val="22"/>
          <w:lang w:val="es-419" w:eastAsia="en-US"/>
        </w:rPr>
      </w:pPr>
      <w:r w:rsidRPr="009F124E">
        <w:rPr>
          <w:b/>
          <w:sz w:val="22"/>
          <w:szCs w:val="22"/>
          <w:lang w:val="es-419" w:eastAsia="en-US"/>
        </w:rPr>
        <w:t xml:space="preserve">Gobiernos </w:t>
      </w:r>
      <w:r w:rsidR="008D42A4">
        <w:rPr>
          <w:b/>
          <w:sz w:val="22"/>
          <w:szCs w:val="22"/>
          <w:lang w:val="es-419" w:eastAsia="en-US"/>
        </w:rPr>
        <w:t>l</w:t>
      </w:r>
      <w:r w:rsidRPr="009F124E">
        <w:rPr>
          <w:b/>
          <w:sz w:val="22"/>
          <w:szCs w:val="22"/>
          <w:lang w:val="es-419" w:eastAsia="en-US"/>
        </w:rPr>
        <w:t xml:space="preserve">ocales: </w:t>
      </w:r>
      <w:r w:rsidRPr="009F124E">
        <w:rPr>
          <w:bCs/>
          <w:sz w:val="22"/>
          <w:szCs w:val="22"/>
          <w:lang w:val="es-419" w:eastAsia="en-US"/>
        </w:rPr>
        <w:t>Comprende a las entidades cuya protestad fiscal, legislativa y ejecutiva se extiende sobre áreas geográficas específicas y delimitadas, en el caso de Guatemala, se conforma por las municipalidades y las mancomunidades.</w:t>
      </w:r>
    </w:p>
    <w:p w14:paraId="20F16DDE" w14:textId="77777777" w:rsidR="009F124E" w:rsidRPr="009F124E" w:rsidRDefault="009F124E" w:rsidP="009F124E">
      <w:pPr>
        <w:spacing w:after="160" w:line="259" w:lineRule="auto"/>
        <w:jc w:val="both"/>
        <w:rPr>
          <w:b/>
          <w:sz w:val="22"/>
          <w:szCs w:val="22"/>
          <w:lang w:val="es-419" w:eastAsia="en-US"/>
        </w:rPr>
      </w:pPr>
    </w:p>
    <w:p w14:paraId="6910A1E8" w14:textId="13E40A20" w:rsidR="009F124E" w:rsidRPr="009F124E" w:rsidRDefault="009F124E" w:rsidP="00354A9C">
      <w:pPr>
        <w:numPr>
          <w:ilvl w:val="0"/>
          <w:numId w:val="42"/>
        </w:numPr>
        <w:spacing w:line="264" w:lineRule="auto"/>
        <w:ind w:left="360"/>
        <w:contextualSpacing/>
        <w:jc w:val="both"/>
        <w:rPr>
          <w:b/>
          <w:sz w:val="22"/>
          <w:szCs w:val="22"/>
          <w:lang w:val="es-419" w:eastAsia="en-US"/>
        </w:rPr>
      </w:pPr>
      <w:r w:rsidRPr="009F124E">
        <w:rPr>
          <w:b/>
          <w:sz w:val="22"/>
          <w:szCs w:val="22"/>
          <w:lang w:val="es-419" w:eastAsia="en-US"/>
        </w:rPr>
        <w:t xml:space="preserve">Fondos de </w:t>
      </w:r>
      <w:r w:rsidR="008D42A4">
        <w:rPr>
          <w:b/>
          <w:sz w:val="22"/>
          <w:szCs w:val="22"/>
          <w:lang w:val="es-419" w:eastAsia="en-US"/>
        </w:rPr>
        <w:t>s</w:t>
      </w:r>
      <w:r w:rsidRPr="009F124E">
        <w:rPr>
          <w:b/>
          <w:sz w:val="22"/>
          <w:szCs w:val="22"/>
          <w:lang w:val="es-419" w:eastAsia="en-US"/>
        </w:rPr>
        <w:t xml:space="preserve">eguridad </w:t>
      </w:r>
      <w:r w:rsidR="008D42A4">
        <w:rPr>
          <w:b/>
          <w:sz w:val="22"/>
          <w:szCs w:val="22"/>
          <w:lang w:val="es-419" w:eastAsia="en-US"/>
        </w:rPr>
        <w:t>s</w:t>
      </w:r>
      <w:r w:rsidRPr="009F124E">
        <w:rPr>
          <w:b/>
          <w:sz w:val="22"/>
          <w:szCs w:val="22"/>
          <w:lang w:val="es-419" w:eastAsia="en-US"/>
        </w:rPr>
        <w:t>ocial:</w:t>
      </w:r>
      <w:r w:rsidRPr="009F124E">
        <w:rPr>
          <w:bCs/>
          <w:sz w:val="22"/>
          <w:szCs w:val="22"/>
          <w:lang w:val="es-419" w:eastAsia="en-US"/>
        </w:rPr>
        <w:t xml:space="preserve"> Son entidades dedicadas a realizar operaciones de sistemas de seguridad social, es decir, que busquen cubrir a la comunidad ante riesgos sociales. En Guatemala este grupo institucional se conforma por el Instituto Guatemalteco de Seguridad Social, el Instituto de Previsión Militar y el Plan de Prestaciones del Empleado Municipal.</w:t>
      </w:r>
    </w:p>
    <w:p w14:paraId="3E202D54" w14:textId="77777777" w:rsidR="009F124E" w:rsidRPr="009F124E" w:rsidRDefault="009F124E" w:rsidP="009F124E">
      <w:pPr>
        <w:spacing w:line="256" w:lineRule="auto"/>
        <w:jc w:val="both"/>
        <w:rPr>
          <w:sz w:val="22"/>
          <w:szCs w:val="22"/>
          <w:lang w:eastAsia="en-US"/>
        </w:rPr>
      </w:pPr>
    </w:p>
    <w:p w14:paraId="7377C681" w14:textId="124B7F62" w:rsidR="009F124E" w:rsidRPr="00F93305" w:rsidRDefault="009F124E" w:rsidP="009F124E">
      <w:pPr>
        <w:spacing w:after="160" w:line="259" w:lineRule="auto"/>
        <w:jc w:val="center"/>
        <w:rPr>
          <w:bCs/>
          <w:sz w:val="22"/>
          <w:szCs w:val="22"/>
          <w:lang w:val="es-419" w:eastAsia="en-US"/>
        </w:rPr>
      </w:pPr>
      <w:r w:rsidRPr="00F93305">
        <w:rPr>
          <w:b/>
          <w:sz w:val="22"/>
          <w:szCs w:val="22"/>
          <w:lang w:val="es-419" w:eastAsia="en-US"/>
        </w:rPr>
        <w:t xml:space="preserve">Sectorización del </w:t>
      </w:r>
      <w:r w:rsidR="00F93305">
        <w:rPr>
          <w:b/>
          <w:sz w:val="22"/>
          <w:szCs w:val="22"/>
          <w:lang w:val="es-419" w:eastAsia="en-US"/>
        </w:rPr>
        <w:t>s</w:t>
      </w:r>
      <w:r w:rsidRPr="00F93305">
        <w:rPr>
          <w:b/>
          <w:sz w:val="22"/>
          <w:szCs w:val="22"/>
          <w:lang w:val="es-419" w:eastAsia="en-US"/>
        </w:rPr>
        <w:t>ector</w:t>
      </w:r>
      <w:r w:rsidR="00F93305">
        <w:rPr>
          <w:b/>
          <w:sz w:val="22"/>
          <w:szCs w:val="22"/>
          <w:lang w:val="es-419" w:eastAsia="en-US"/>
        </w:rPr>
        <w:t xml:space="preserve"> p</w:t>
      </w:r>
      <w:r w:rsidRPr="00F93305">
        <w:rPr>
          <w:b/>
          <w:sz w:val="22"/>
          <w:szCs w:val="22"/>
          <w:lang w:val="es-419" w:eastAsia="en-US"/>
        </w:rPr>
        <w:t>úblico según MEFP2014</w:t>
      </w:r>
    </w:p>
    <w:p w14:paraId="55073EA5" w14:textId="1E145EE8" w:rsidR="009F124E" w:rsidRPr="009F124E" w:rsidRDefault="009F124E" w:rsidP="009F124E">
      <w:pPr>
        <w:spacing w:after="240" w:line="259" w:lineRule="auto"/>
        <w:rPr>
          <w:sz w:val="22"/>
          <w:szCs w:val="22"/>
          <w:lang w:eastAsia="en-US"/>
        </w:rPr>
      </w:pPr>
      <w:r w:rsidRPr="009F124E">
        <w:rPr>
          <w:rFonts w:ascii="Calibri" w:hAnsi="Calibri"/>
          <w:noProof/>
          <w:sz w:val="22"/>
          <w:szCs w:val="22"/>
          <w:lang w:eastAsia="en-US"/>
        </w:rPr>
        <w:drawing>
          <wp:inline distT="0" distB="0" distL="0" distR="0" wp14:anchorId="6FB9B491" wp14:editId="66AD3698">
            <wp:extent cx="5555615" cy="2150110"/>
            <wp:effectExtent l="0" t="76200" r="0" b="173990"/>
            <wp:docPr id="1844" name="Diagrama 184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3" r:lo="rId184" r:qs="rId185" r:cs="rId186"/>
              </a:graphicData>
            </a:graphic>
          </wp:inline>
        </w:drawing>
      </w:r>
      <w:r w:rsidRPr="009F124E">
        <w:rPr>
          <w:sz w:val="16"/>
          <w:szCs w:val="22"/>
          <w:lang w:eastAsia="en-US"/>
        </w:rPr>
        <w:t xml:space="preserve"> Fuente: Manual de Estadísticas de las Finanzas Públicas 2014.</w:t>
      </w:r>
    </w:p>
    <w:p w14:paraId="11FB1C7B" w14:textId="77777777" w:rsidR="009F124E" w:rsidRPr="009F124E" w:rsidRDefault="009F124E" w:rsidP="00354A9C">
      <w:pPr>
        <w:numPr>
          <w:ilvl w:val="1"/>
          <w:numId w:val="36"/>
        </w:numPr>
        <w:contextualSpacing/>
        <w:jc w:val="both"/>
        <w:outlineLvl w:val="2"/>
        <w:rPr>
          <w:b/>
          <w:sz w:val="22"/>
          <w:szCs w:val="22"/>
          <w:lang w:eastAsia="en-US"/>
        </w:rPr>
      </w:pPr>
      <w:bookmarkStart w:id="295" w:name="_Toc143865882"/>
      <w:r w:rsidRPr="009F124E">
        <w:rPr>
          <w:b/>
          <w:sz w:val="22"/>
          <w:szCs w:val="22"/>
          <w:lang w:eastAsia="en-US"/>
        </w:rPr>
        <w:t>Los Ingresos del Gobierno General</w:t>
      </w:r>
      <w:bookmarkEnd w:id="295"/>
    </w:p>
    <w:p w14:paraId="69805AAC" w14:textId="77777777" w:rsidR="009F124E" w:rsidRPr="009F124E" w:rsidRDefault="009F124E" w:rsidP="009F124E">
      <w:pPr>
        <w:spacing w:line="256" w:lineRule="auto"/>
        <w:jc w:val="both"/>
        <w:rPr>
          <w:sz w:val="22"/>
          <w:szCs w:val="22"/>
          <w:lang w:eastAsia="en-US"/>
        </w:rPr>
      </w:pPr>
    </w:p>
    <w:p w14:paraId="7C2356F7" w14:textId="77777777" w:rsidR="009F124E" w:rsidRPr="009F124E" w:rsidRDefault="009F124E" w:rsidP="009F124E">
      <w:pPr>
        <w:spacing w:line="256" w:lineRule="auto"/>
        <w:jc w:val="both"/>
        <w:rPr>
          <w:sz w:val="22"/>
          <w:szCs w:val="22"/>
          <w:lang w:eastAsia="en-US"/>
        </w:rPr>
      </w:pPr>
      <w:r w:rsidRPr="009F124E">
        <w:rPr>
          <w:sz w:val="22"/>
          <w:szCs w:val="22"/>
          <w:lang w:eastAsia="en-US"/>
        </w:rPr>
        <w:t xml:space="preserve">A nivel del gobierno general, los ingresos totales en 2022 se situaron entorno al 16.3% del PIB siendo este un incremento de 3.4 puntos porcentuales respecto al gobierno central presupuestario. Esto se deriva por la incorporación del gobierno central extrapresupuestario, los gobiernos locales y los fondos de seguridad social. </w:t>
      </w:r>
    </w:p>
    <w:p w14:paraId="72CC43CE" w14:textId="3F47CB90" w:rsidR="009F124E" w:rsidRPr="009F124E" w:rsidRDefault="009F124E" w:rsidP="009F124E">
      <w:pPr>
        <w:spacing w:line="256" w:lineRule="auto"/>
        <w:jc w:val="both"/>
        <w:rPr>
          <w:sz w:val="16"/>
          <w:szCs w:val="22"/>
          <w:lang w:eastAsia="en-US"/>
        </w:rPr>
      </w:pPr>
      <w:r w:rsidRPr="009F124E">
        <w:rPr>
          <w:noProof/>
          <w:sz w:val="22"/>
          <w:szCs w:val="22"/>
        </w:rPr>
        <w:drawing>
          <wp:inline distT="0" distB="0" distL="0" distR="0" wp14:anchorId="42510A7F" wp14:editId="73C8C6BA">
            <wp:extent cx="5596890" cy="2423795"/>
            <wp:effectExtent l="0" t="0" r="3810" b="0"/>
            <wp:docPr id="1843" name="Gráfico 18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r w:rsidRPr="009F124E">
        <w:rPr>
          <w:sz w:val="16"/>
          <w:szCs w:val="22"/>
          <w:lang w:eastAsia="en-US"/>
        </w:rPr>
        <w:t xml:space="preserve"> Fuente: Dirección de Análisis y Política Fiscal</w:t>
      </w:r>
    </w:p>
    <w:p w14:paraId="21521C44" w14:textId="77777777" w:rsidR="009F124E" w:rsidRPr="009F124E" w:rsidRDefault="009F124E" w:rsidP="009F124E">
      <w:pPr>
        <w:spacing w:line="256" w:lineRule="auto"/>
        <w:jc w:val="both"/>
        <w:rPr>
          <w:sz w:val="16"/>
          <w:szCs w:val="22"/>
          <w:lang w:eastAsia="en-US"/>
        </w:rPr>
      </w:pPr>
    </w:p>
    <w:p w14:paraId="66131BDE" w14:textId="77777777" w:rsidR="009F124E" w:rsidRPr="009F124E" w:rsidRDefault="009F124E" w:rsidP="009F124E">
      <w:pPr>
        <w:spacing w:line="256" w:lineRule="auto"/>
        <w:jc w:val="both"/>
        <w:rPr>
          <w:sz w:val="22"/>
          <w:szCs w:val="22"/>
          <w:lang w:eastAsia="en-US"/>
        </w:rPr>
      </w:pPr>
      <w:r w:rsidRPr="009F124E">
        <w:rPr>
          <w:sz w:val="22"/>
          <w:szCs w:val="22"/>
          <w:lang w:eastAsia="en-US"/>
        </w:rPr>
        <w:t>En materia de impuestos, el aumento durante el 2022 entre ambos niveles de gobierno fue de 0.5 puntos porcentuales, alcanzando un 12.4% del PIB a nivel de gobierno general y este cambio es explicado principalmente por la inclusión de los gobierno locales, quienes tienen a su cargo la recaudación del IUSI y algunas tasas que en el estándar internacional son consideradas como impuestos además de la recaudación de algunas entidades del gobierno central extrapresupuestario, principalmente por el INGUAT y del INTECAP.</w:t>
      </w:r>
    </w:p>
    <w:p w14:paraId="0620F236" w14:textId="77777777" w:rsidR="009F124E" w:rsidRPr="009F124E" w:rsidRDefault="009F124E" w:rsidP="009F124E">
      <w:pPr>
        <w:spacing w:line="256" w:lineRule="auto"/>
        <w:jc w:val="both"/>
        <w:rPr>
          <w:sz w:val="22"/>
          <w:szCs w:val="22"/>
          <w:lang w:eastAsia="en-US"/>
        </w:rPr>
      </w:pPr>
    </w:p>
    <w:p w14:paraId="38F8BDEF" w14:textId="24966F67" w:rsidR="009F124E" w:rsidRPr="009F124E" w:rsidRDefault="009F124E" w:rsidP="009F124E">
      <w:pPr>
        <w:spacing w:after="240" w:line="259" w:lineRule="auto"/>
        <w:rPr>
          <w:sz w:val="22"/>
          <w:szCs w:val="22"/>
          <w:lang w:eastAsia="en-US"/>
        </w:rPr>
      </w:pPr>
      <w:r w:rsidRPr="009F124E">
        <w:rPr>
          <w:noProof/>
          <w:sz w:val="22"/>
          <w:szCs w:val="22"/>
        </w:rPr>
        <w:drawing>
          <wp:inline distT="0" distB="0" distL="0" distR="0" wp14:anchorId="3A0C92AA" wp14:editId="4A933512">
            <wp:extent cx="5486400" cy="3026410"/>
            <wp:effectExtent l="0" t="0" r="0" b="2540"/>
            <wp:docPr id="1842" name="Gráfico 18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r w:rsidRPr="009F124E">
        <w:rPr>
          <w:sz w:val="16"/>
          <w:szCs w:val="22"/>
          <w:lang w:eastAsia="en-US"/>
        </w:rPr>
        <w:t xml:space="preserve"> Fuente: Dirección de Análisis y Política Fiscal</w:t>
      </w:r>
    </w:p>
    <w:p w14:paraId="399B5C21" w14:textId="77777777" w:rsidR="009F124E" w:rsidRPr="009F124E" w:rsidRDefault="009F124E" w:rsidP="009F124E">
      <w:pPr>
        <w:jc w:val="both"/>
        <w:rPr>
          <w:sz w:val="22"/>
          <w:szCs w:val="22"/>
          <w:lang w:eastAsia="en-US"/>
        </w:rPr>
      </w:pPr>
      <w:r w:rsidRPr="009F124E">
        <w:rPr>
          <w:sz w:val="22"/>
          <w:szCs w:val="22"/>
          <w:lang w:eastAsia="en-US"/>
        </w:rPr>
        <w:t>Gracias a la inclusión de los fondos de seguridad social a nivel del gobierno general, los ingresos por contribuciones sociales aumentan en 2 puntos porcentuales, colocándose entorno al 2.7% del PIB en 2022 y estos por concepto de contribuciones a la seguridad social se recaudan 1.8% del PIB mientras que, por otras contribuciones sociales, el 0.9% del PIB.</w:t>
      </w:r>
    </w:p>
    <w:p w14:paraId="182A43D2" w14:textId="77777777" w:rsidR="009F124E" w:rsidRPr="009F124E" w:rsidRDefault="009F124E" w:rsidP="009F124E">
      <w:pPr>
        <w:spacing w:after="240" w:line="259" w:lineRule="auto"/>
        <w:rPr>
          <w:sz w:val="16"/>
          <w:szCs w:val="22"/>
          <w:lang w:eastAsia="en-US"/>
        </w:rPr>
      </w:pPr>
    </w:p>
    <w:p w14:paraId="28787CFF" w14:textId="1E99A0DE" w:rsidR="009F124E" w:rsidRPr="009F124E" w:rsidRDefault="009F124E" w:rsidP="009F124E">
      <w:pPr>
        <w:spacing w:after="240" w:line="259" w:lineRule="auto"/>
        <w:rPr>
          <w:sz w:val="16"/>
          <w:szCs w:val="22"/>
          <w:lang w:eastAsia="en-US"/>
        </w:rPr>
      </w:pPr>
      <w:r w:rsidRPr="009F124E">
        <w:rPr>
          <w:noProof/>
          <w:sz w:val="22"/>
          <w:szCs w:val="22"/>
        </w:rPr>
        <w:drawing>
          <wp:inline distT="0" distB="0" distL="0" distR="0" wp14:anchorId="0F634626" wp14:editId="0B53295C">
            <wp:extent cx="5581015" cy="2533650"/>
            <wp:effectExtent l="0" t="0" r="635" b="0"/>
            <wp:docPr id="1841" name="Gráfico 18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r w:rsidRPr="009F124E">
        <w:rPr>
          <w:sz w:val="16"/>
          <w:szCs w:val="22"/>
          <w:lang w:eastAsia="en-US"/>
        </w:rPr>
        <w:t xml:space="preserve"> Fuente: Dirección de Análisis y Política Fiscal</w:t>
      </w:r>
    </w:p>
    <w:p w14:paraId="316014D6" w14:textId="77777777" w:rsidR="009F124E" w:rsidRPr="009F124E" w:rsidRDefault="009F124E" w:rsidP="009F124E">
      <w:pPr>
        <w:jc w:val="both"/>
        <w:rPr>
          <w:sz w:val="22"/>
          <w:szCs w:val="22"/>
          <w:lang w:eastAsia="en-US"/>
        </w:rPr>
      </w:pPr>
      <w:r w:rsidRPr="009F124E">
        <w:rPr>
          <w:sz w:val="22"/>
          <w:szCs w:val="22"/>
          <w:lang w:eastAsia="en-US"/>
        </w:rPr>
        <w:t>En cuento a la categoría de otros ingresos, en el gobierno general estos se incrementan en 0.9 puntos porcentuales respecto al gobierno central presupuestario, situándose en torno al 1.2% del PIB en 2022. En esta categoría, las subcategorías más significativas son; la venta de bienes y servicios que equivalen al 0.6% del PIB, seguidos de las rentas de la propiedad (intereses, dividendos y arriendo de activos públicos naturales) con el 0.3% del PIB. luego se encuentran las multas, sanciones pecuniarias y depósitos de caución con el 0.2% del PIB y por ultimo las transferencias no clasificadas en otra parte con el 0.1% del PIB.</w:t>
      </w:r>
    </w:p>
    <w:p w14:paraId="4E0C132F" w14:textId="77777777" w:rsidR="009F124E" w:rsidRPr="009F124E" w:rsidRDefault="009F124E" w:rsidP="009F124E">
      <w:pPr>
        <w:jc w:val="both"/>
        <w:rPr>
          <w:sz w:val="22"/>
          <w:szCs w:val="22"/>
          <w:lang w:eastAsia="en-US"/>
        </w:rPr>
      </w:pPr>
    </w:p>
    <w:p w14:paraId="4048C9D1" w14:textId="52983C4A" w:rsidR="009F124E" w:rsidRPr="009F124E" w:rsidRDefault="009F124E" w:rsidP="009F124E">
      <w:pPr>
        <w:spacing w:after="240" w:line="259" w:lineRule="auto"/>
        <w:rPr>
          <w:sz w:val="16"/>
          <w:szCs w:val="22"/>
          <w:lang w:eastAsia="en-US"/>
        </w:rPr>
      </w:pPr>
      <w:r w:rsidRPr="009F124E">
        <w:rPr>
          <w:noProof/>
          <w:sz w:val="22"/>
          <w:szCs w:val="22"/>
        </w:rPr>
        <w:drawing>
          <wp:inline distT="0" distB="0" distL="0" distR="0" wp14:anchorId="6E86D0BB" wp14:editId="1416C610">
            <wp:extent cx="5596890" cy="2085975"/>
            <wp:effectExtent l="0" t="0" r="3810" b="0"/>
            <wp:docPr id="1840" name="Gráfico 18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r w:rsidRPr="009F124E">
        <w:rPr>
          <w:sz w:val="16"/>
          <w:szCs w:val="22"/>
          <w:lang w:eastAsia="en-US"/>
        </w:rPr>
        <w:t xml:space="preserve"> Fuente: Dirección de Análisis y Política Fiscal</w:t>
      </w:r>
    </w:p>
    <w:p w14:paraId="4373254D" w14:textId="77777777" w:rsidR="009F124E" w:rsidRPr="009F124E" w:rsidRDefault="009F124E" w:rsidP="00354A9C">
      <w:pPr>
        <w:numPr>
          <w:ilvl w:val="1"/>
          <w:numId w:val="36"/>
        </w:numPr>
        <w:jc w:val="both"/>
        <w:outlineLvl w:val="2"/>
        <w:rPr>
          <w:b/>
          <w:sz w:val="22"/>
          <w:szCs w:val="22"/>
          <w:lang w:eastAsia="en-US"/>
        </w:rPr>
      </w:pPr>
      <w:bookmarkStart w:id="296" w:name="_Toc143865883"/>
      <w:r w:rsidRPr="009F124E">
        <w:rPr>
          <w:b/>
          <w:sz w:val="22"/>
          <w:szCs w:val="22"/>
          <w:lang w:eastAsia="en-US"/>
        </w:rPr>
        <w:t>El gasto del Gobierno General</w:t>
      </w:r>
      <w:bookmarkEnd w:id="296"/>
    </w:p>
    <w:p w14:paraId="336AD4AA" w14:textId="77777777" w:rsidR="009F124E" w:rsidRPr="009F124E" w:rsidRDefault="009F124E" w:rsidP="009F124E">
      <w:pPr>
        <w:spacing w:after="160" w:line="259" w:lineRule="auto"/>
        <w:jc w:val="both"/>
        <w:rPr>
          <w:sz w:val="22"/>
          <w:szCs w:val="22"/>
          <w:lang w:eastAsia="en-US"/>
        </w:rPr>
      </w:pPr>
    </w:p>
    <w:p w14:paraId="246D417F" w14:textId="77777777" w:rsidR="009F124E" w:rsidRPr="009F124E" w:rsidRDefault="009F124E" w:rsidP="009F124E">
      <w:pPr>
        <w:spacing w:after="160" w:line="259" w:lineRule="auto"/>
        <w:jc w:val="both"/>
        <w:rPr>
          <w:sz w:val="22"/>
          <w:szCs w:val="22"/>
          <w:lang w:eastAsia="en-US"/>
        </w:rPr>
      </w:pPr>
      <w:r w:rsidRPr="009F124E">
        <w:rPr>
          <w:sz w:val="22"/>
          <w:szCs w:val="22"/>
          <w:lang w:eastAsia="en-US"/>
        </w:rPr>
        <w:t>En cuanto al gasto del gobierno general, en 2022 este se situó en torno al 15.1% del PIB, siendo un aumento de 1.1 puntos porcentuales respecto al gobierno central presupuestario. El gasto más grande se realiza en el pago de remuneraciones a los empleados, el cual equivale al 6.9% del PIB y es un aumento de 2.5 puntos porcentuales respecto al gobierno central presupuestario, le sigue el gasto en uso de bienes y servicios siendo el 3.3% del PIB y una diferencia de 1.1 puntos porcentuales, luego las prestaciones sociales con 1.8% del PIB siendo un aumento de 0.9 puntos porcentuales respecto al al subnivel de gobierno mencionado anteriormente, los intereses equivalen al 1.5% del PIB y es una disminución en 0.1 punto porcentual entre los niveles de gobierno, la categoría de otros gastos es del 1.1% del PIB con un aumento de 0.1 punto porcentual,  seguido de los subsidios por el 0.5% del PIB sin mayor cambio a nivel de gobierno y por ultimo las donaciones se sitúan en 0.1% del PIB siendo una disminución de 3.3 puntos porcentuales respecto al gobierno central presupuestario.</w:t>
      </w:r>
    </w:p>
    <w:p w14:paraId="0E766069" w14:textId="77777777" w:rsidR="009F124E" w:rsidRPr="009F124E" w:rsidRDefault="009F124E" w:rsidP="009F124E">
      <w:pPr>
        <w:spacing w:after="160" w:line="259" w:lineRule="auto"/>
        <w:jc w:val="both"/>
        <w:rPr>
          <w:sz w:val="22"/>
          <w:szCs w:val="22"/>
          <w:lang w:eastAsia="en-US"/>
        </w:rPr>
      </w:pPr>
      <w:r w:rsidRPr="009F124E">
        <w:rPr>
          <w:sz w:val="22"/>
          <w:szCs w:val="22"/>
          <w:lang w:eastAsia="en-US"/>
        </w:rPr>
        <w:t>Es oportuno comentar sobre el caso de las donaciones para el gobierno central presupuestario que equivalen al 3.4% del PIB, pero a nivel del gobierno general esta cuenta económica disminuya al 0.1% del PIB, se debe a que el proceso de consolidación implica la eliminación de transacciones recíprocas y en su mayoría son transferencias que realiza el gobierno central presupuestario al resto de entidades públicas para financiar su gasto.</w:t>
      </w:r>
    </w:p>
    <w:p w14:paraId="6E5D4341" w14:textId="77777777" w:rsidR="009F124E" w:rsidRPr="009F124E" w:rsidRDefault="009F124E" w:rsidP="009F124E">
      <w:pPr>
        <w:spacing w:after="160" w:line="259" w:lineRule="auto"/>
        <w:jc w:val="both"/>
        <w:rPr>
          <w:sz w:val="22"/>
          <w:szCs w:val="22"/>
          <w:lang w:eastAsia="en-US"/>
        </w:rPr>
      </w:pPr>
    </w:p>
    <w:p w14:paraId="0AEA0DC7" w14:textId="658D4B92" w:rsidR="009F124E" w:rsidRPr="009F124E" w:rsidRDefault="009F124E" w:rsidP="009F124E">
      <w:pPr>
        <w:spacing w:after="160" w:line="259" w:lineRule="auto"/>
        <w:rPr>
          <w:sz w:val="16"/>
          <w:szCs w:val="22"/>
          <w:lang w:eastAsia="en-US"/>
        </w:rPr>
      </w:pPr>
      <w:r w:rsidRPr="009F124E">
        <w:rPr>
          <w:rFonts w:ascii="Calibri" w:hAnsi="Calibri"/>
          <w:noProof/>
          <w:sz w:val="22"/>
          <w:szCs w:val="22"/>
        </w:rPr>
        <w:drawing>
          <wp:inline distT="0" distB="0" distL="0" distR="0" wp14:anchorId="4502873A" wp14:editId="7E5B2027">
            <wp:extent cx="5786120" cy="3648075"/>
            <wp:effectExtent l="0" t="0" r="5080" b="0"/>
            <wp:docPr id="1839" name="Gráfico 18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r w:rsidRPr="009F124E">
        <w:rPr>
          <w:rFonts w:ascii="Calibri" w:hAnsi="Calibri"/>
          <w:sz w:val="16"/>
          <w:szCs w:val="22"/>
          <w:lang w:eastAsia="en-US"/>
        </w:rPr>
        <w:t xml:space="preserve"> </w:t>
      </w:r>
      <w:r w:rsidRPr="009F124E">
        <w:rPr>
          <w:sz w:val="16"/>
          <w:szCs w:val="22"/>
          <w:lang w:eastAsia="en-US"/>
        </w:rPr>
        <w:t>Fuente: Dirección de Análisis y Política Fiscal</w:t>
      </w:r>
    </w:p>
    <w:p w14:paraId="501F33D4" w14:textId="05355026" w:rsidR="009F124E" w:rsidRPr="009F124E" w:rsidRDefault="009F124E" w:rsidP="00354A9C">
      <w:pPr>
        <w:numPr>
          <w:ilvl w:val="1"/>
          <w:numId w:val="36"/>
        </w:numPr>
        <w:jc w:val="both"/>
        <w:outlineLvl w:val="2"/>
        <w:rPr>
          <w:b/>
          <w:sz w:val="22"/>
          <w:szCs w:val="22"/>
          <w:lang w:eastAsia="en-US"/>
        </w:rPr>
      </w:pPr>
      <w:bookmarkStart w:id="297" w:name="_Toc143865884"/>
      <w:r w:rsidRPr="009F124E">
        <w:rPr>
          <w:b/>
          <w:sz w:val="22"/>
          <w:szCs w:val="22"/>
          <w:lang w:eastAsia="en-US"/>
        </w:rPr>
        <w:t xml:space="preserve">Transacciones en </w:t>
      </w:r>
      <w:r w:rsidR="00F93305">
        <w:rPr>
          <w:b/>
          <w:sz w:val="22"/>
          <w:szCs w:val="22"/>
          <w:lang w:eastAsia="en-US"/>
        </w:rPr>
        <w:t>a</w:t>
      </w:r>
      <w:r w:rsidRPr="009F124E">
        <w:rPr>
          <w:b/>
          <w:sz w:val="22"/>
          <w:szCs w:val="22"/>
          <w:lang w:eastAsia="en-US"/>
        </w:rPr>
        <w:t xml:space="preserve">ctivos no </w:t>
      </w:r>
      <w:r w:rsidR="00F93305">
        <w:rPr>
          <w:b/>
          <w:sz w:val="22"/>
          <w:szCs w:val="22"/>
          <w:lang w:eastAsia="en-US"/>
        </w:rPr>
        <w:t>f</w:t>
      </w:r>
      <w:r w:rsidRPr="009F124E">
        <w:rPr>
          <w:b/>
          <w:sz w:val="22"/>
          <w:szCs w:val="22"/>
          <w:lang w:eastAsia="en-US"/>
        </w:rPr>
        <w:t xml:space="preserve">inancieros del </w:t>
      </w:r>
      <w:r w:rsidR="00F93305">
        <w:rPr>
          <w:b/>
          <w:sz w:val="22"/>
          <w:szCs w:val="22"/>
          <w:lang w:eastAsia="en-US"/>
        </w:rPr>
        <w:t>g</w:t>
      </w:r>
      <w:r w:rsidRPr="009F124E">
        <w:rPr>
          <w:b/>
          <w:sz w:val="22"/>
          <w:szCs w:val="22"/>
          <w:lang w:eastAsia="en-US"/>
        </w:rPr>
        <w:t xml:space="preserve">obierno </w:t>
      </w:r>
      <w:r w:rsidR="00F93305">
        <w:rPr>
          <w:b/>
          <w:sz w:val="22"/>
          <w:szCs w:val="22"/>
          <w:lang w:eastAsia="en-US"/>
        </w:rPr>
        <w:t>g</w:t>
      </w:r>
      <w:r w:rsidRPr="009F124E">
        <w:rPr>
          <w:b/>
          <w:sz w:val="22"/>
          <w:szCs w:val="22"/>
          <w:lang w:eastAsia="en-US"/>
        </w:rPr>
        <w:t>eneral</w:t>
      </w:r>
      <w:bookmarkEnd w:id="297"/>
    </w:p>
    <w:p w14:paraId="5814301E" w14:textId="77777777" w:rsidR="009F124E" w:rsidRPr="009F124E" w:rsidRDefault="009F124E" w:rsidP="009F124E">
      <w:pPr>
        <w:spacing w:after="160" w:line="259" w:lineRule="auto"/>
        <w:rPr>
          <w:sz w:val="22"/>
          <w:szCs w:val="22"/>
          <w:lang w:eastAsia="en-US"/>
        </w:rPr>
      </w:pPr>
    </w:p>
    <w:p w14:paraId="1986E284" w14:textId="77777777" w:rsidR="009F124E" w:rsidRPr="009F124E" w:rsidRDefault="009F124E" w:rsidP="009F124E">
      <w:pPr>
        <w:spacing w:after="160" w:line="259" w:lineRule="auto"/>
        <w:jc w:val="both"/>
        <w:rPr>
          <w:sz w:val="22"/>
          <w:szCs w:val="22"/>
          <w:lang w:eastAsia="en-US"/>
        </w:rPr>
      </w:pPr>
      <w:r w:rsidRPr="009F124E">
        <w:rPr>
          <w:sz w:val="22"/>
          <w:szCs w:val="22"/>
          <w:lang w:eastAsia="en-US"/>
        </w:rPr>
        <w:t>Esta categoría indica la inversión que realiza los diversos niveles de gobiernos en activos fijos, las variaciones de existencias, los objetos de valor y los activos no producidos. A nivel de gobierno general, la inversión aumenta considerablemente en 1.7 puntos porcentuales para el 2022 respecto al gobierno central presupuestario y esto es explicado principalmente por la inclusión de los gobiernos locales quienes realizan la mayor parte de la inversión en activos no financieros y de esa manera alcanzando a nivel de gobierno general, una inversión equivalente a 2.3% del PIB.</w:t>
      </w:r>
    </w:p>
    <w:p w14:paraId="66AC9FD8" w14:textId="1D696E9E" w:rsidR="009F124E" w:rsidRPr="009F124E" w:rsidRDefault="009F124E" w:rsidP="009F124E">
      <w:pPr>
        <w:spacing w:after="160" w:line="259" w:lineRule="auto"/>
        <w:rPr>
          <w:sz w:val="16"/>
          <w:szCs w:val="22"/>
          <w:lang w:eastAsia="en-US"/>
        </w:rPr>
      </w:pPr>
      <w:r w:rsidRPr="009F124E">
        <w:rPr>
          <w:rFonts w:ascii="Calibri" w:hAnsi="Calibri"/>
          <w:sz w:val="16"/>
          <w:szCs w:val="22"/>
          <w:lang w:eastAsia="en-US"/>
        </w:rPr>
        <w:t xml:space="preserve"> </w:t>
      </w:r>
      <w:r w:rsidRPr="009F124E">
        <w:rPr>
          <w:noProof/>
          <w:sz w:val="22"/>
          <w:szCs w:val="22"/>
        </w:rPr>
        <w:drawing>
          <wp:inline distT="0" distB="0" distL="0" distR="0" wp14:anchorId="0D0A8820" wp14:editId="0568B80D">
            <wp:extent cx="5581015" cy="2432050"/>
            <wp:effectExtent l="0" t="0" r="635" b="6350"/>
            <wp:docPr id="1838" name="Gráfico 18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r w:rsidRPr="009F124E">
        <w:rPr>
          <w:sz w:val="16"/>
          <w:szCs w:val="22"/>
          <w:lang w:eastAsia="en-US"/>
        </w:rPr>
        <w:t>Fuente: Dirección de Análisis y Política Fiscal</w:t>
      </w:r>
    </w:p>
    <w:p w14:paraId="077CFCA9" w14:textId="12641C1B" w:rsidR="009F124E" w:rsidRPr="009F124E" w:rsidRDefault="009F124E" w:rsidP="00354A9C">
      <w:pPr>
        <w:numPr>
          <w:ilvl w:val="1"/>
          <w:numId w:val="36"/>
        </w:numPr>
        <w:ind w:left="284" w:firstLine="0"/>
        <w:jc w:val="both"/>
        <w:outlineLvl w:val="2"/>
        <w:rPr>
          <w:b/>
          <w:sz w:val="22"/>
          <w:szCs w:val="22"/>
          <w:lang w:eastAsia="en-US"/>
        </w:rPr>
      </w:pPr>
      <w:bookmarkStart w:id="298" w:name="_Toc143865885"/>
      <w:r w:rsidRPr="009F124E">
        <w:rPr>
          <w:b/>
          <w:sz w:val="22"/>
          <w:szCs w:val="22"/>
          <w:lang w:eastAsia="en-US"/>
        </w:rPr>
        <w:t xml:space="preserve">Erogación del </w:t>
      </w:r>
      <w:r w:rsidR="00F93305">
        <w:rPr>
          <w:b/>
          <w:sz w:val="22"/>
          <w:szCs w:val="22"/>
          <w:lang w:eastAsia="en-US"/>
        </w:rPr>
        <w:t>g</w:t>
      </w:r>
      <w:r w:rsidRPr="009F124E">
        <w:rPr>
          <w:b/>
          <w:sz w:val="22"/>
          <w:szCs w:val="22"/>
          <w:lang w:eastAsia="en-US"/>
        </w:rPr>
        <w:t xml:space="preserve">obierno </w:t>
      </w:r>
      <w:r w:rsidR="00F93305">
        <w:rPr>
          <w:b/>
          <w:sz w:val="22"/>
          <w:szCs w:val="22"/>
          <w:lang w:eastAsia="en-US"/>
        </w:rPr>
        <w:t>g</w:t>
      </w:r>
      <w:r w:rsidRPr="009F124E">
        <w:rPr>
          <w:b/>
          <w:sz w:val="22"/>
          <w:szCs w:val="22"/>
          <w:lang w:eastAsia="en-US"/>
        </w:rPr>
        <w:t>eneral</w:t>
      </w:r>
      <w:bookmarkEnd w:id="298"/>
    </w:p>
    <w:p w14:paraId="60F5950B" w14:textId="77777777" w:rsidR="009F124E" w:rsidRPr="009F124E" w:rsidRDefault="009F124E" w:rsidP="009F124E">
      <w:pPr>
        <w:spacing w:after="160" w:line="259" w:lineRule="auto"/>
        <w:jc w:val="both"/>
        <w:rPr>
          <w:sz w:val="22"/>
          <w:szCs w:val="22"/>
          <w:lang w:eastAsia="en-US"/>
        </w:rPr>
      </w:pPr>
    </w:p>
    <w:p w14:paraId="4863A2EF" w14:textId="77777777" w:rsidR="009F124E" w:rsidRPr="009F124E" w:rsidRDefault="009F124E" w:rsidP="009F124E">
      <w:pPr>
        <w:spacing w:after="160" w:line="259" w:lineRule="auto"/>
        <w:jc w:val="both"/>
        <w:rPr>
          <w:sz w:val="22"/>
          <w:szCs w:val="22"/>
          <w:lang w:eastAsia="en-US"/>
        </w:rPr>
      </w:pPr>
      <w:r w:rsidRPr="009F124E">
        <w:rPr>
          <w:sz w:val="22"/>
          <w:szCs w:val="22"/>
          <w:lang w:eastAsia="en-US"/>
        </w:rPr>
        <w:t xml:space="preserve">Con relación a la erogación total que se realiza a nivel de gobierno general, esta es equivalente al 17.4% del PIB para 2022 y esta es una diferencia de 2.7 punto porcentuales con respecto a lo observado a nivel de gobierno central presupuestario. Las funciones con mayor erogación son las destinadas a Servicios Públicos Generales que alcanza el 3.4% del PIB, seguido de las destinadas a educación con el 3.3% del PIB, luego la Protección Social y las de Salud con el 2.6% del PIB cada una, mientras que las que poseen una menor erogación son las destinadas a Vivienda y Servicios Comunitarios con el 0.6% del PIB, las enfocadas a la Protección del medio ambiente con el 0.4% del PIB y las que se enfocan para la Defensa y las Actividades recreativas, cultura y religión con el 0.3% del PIB cada uno. </w:t>
      </w:r>
    </w:p>
    <w:p w14:paraId="316E7FCB" w14:textId="23BCACE4" w:rsidR="009F124E" w:rsidRPr="009F124E" w:rsidRDefault="009F124E" w:rsidP="009F124E">
      <w:pPr>
        <w:spacing w:after="160" w:line="259" w:lineRule="auto"/>
        <w:rPr>
          <w:sz w:val="16"/>
          <w:szCs w:val="22"/>
          <w:lang w:eastAsia="en-US"/>
        </w:rPr>
      </w:pPr>
      <w:r w:rsidRPr="009F124E">
        <w:rPr>
          <w:rFonts w:ascii="Calibri" w:hAnsi="Calibri"/>
          <w:noProof/>
          <w:sz w:val="22"/>
          <w:szCs w:val="22"/>
        </w:rPr>
        <w:drawing>
          <wp:inline distT="0" distB="0" distL="0" distR="0" wp14:anchorId="6814F51C" wp14:editId="473466E1">
            <wp:extent cx="5700395" cy="3310890"/>
            <wp:effectExtent l="0" t="0" r="14605" b="3810"/>
            <wp:docPr id="28" name="Gráfico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r w:rsidRPr="009F124E">
        <w:rPr>
          <w:rFonts w:ascii="Calibri" w:hAnsi="Calibri"/>
          <w:sz w:val="16"/>
          <w:szCs w:val="22"/>
          <w:lang w:eastAsia="en-US"/>
        </w:rPr>
        <w:t xml:space="preserve">  </w:t>
      </w:r>
      <w:r w:rsidRPr="009F124E">
        <w:rPr>
          <w:sz w:val="16"/>
          <w:szCs w:val="22"/>
          <w:lang w:eastAsia="en-US"/>
        </w:rPr>
        <w:t>Fuente: Dirección de Análisis y Política Fiscal</w:t>
      </w:r>
    </w:p>
    <w:p w14:paraId="772967D5" w14:textId="643FAA6B" w:rsidR="009F124E" w:rsidRPr="009F124E" w:rsidRDefault="009F124E" w:rsidP="00354A9C">
      <w:pPr>
        <w:numPr>
          <w:ilvl w:val="1"/>
          <w:numId w:val="36"/>
        </w:numPr>
        <w:ind w:left="851" w:hanging="425"/>
        <w:jc w:val="both"/>
        <w:outlineLvl w:val="2"/>
        <w:rPr>
          <w:b/>
          <w:sz w:val="22"/>
          <w:szCs w:val="22"/>
          <w:lang w:eastAsia="en-US"/>
        </w:rPr>
      </w:pPr>
      <w:bookmarkStart w:id="299" w:name="_Toc143865886"/>
      <w:r w:rsidRPr="009F124E">
        <w:rPr>
          <w:b/>
          <w:sz w:val="22"/>
          <w:szCs w:val="22"/>
          <w:lang w:eastAsia="en-US"/>
        </w:rPr>
        <w:t xml:space="preserve">Estado de operaciones del </w:t>
      </w:r>
      <w:r w:rsidR="00F93305">
        <w:rPr>
          <w:b/>
          <w:sz w:val="22"/>
          <w:szCs w:val="22"/>
          <w:lang w:eastAsia="en-US"/>
        </w:rPr>
        <w:t>g</w:t>
      </w:r>
      <w:r w:rsidRPr="009F124E">
        <w:rPr>
          <w:b/>
          <w:sz w:val="22"/>
          <w:szCs w:val="22"/>
          <w:lang w:eastAsia="en-US"/>
        </w:rPr>
        <w:t xml:space="preserve">obierno </w:t>
      </w:r>
      <w:r w:rsidR="00F93305">
        <w:rPr>
          <w:b/>
          <w:sz w:val="22"/>
          <w:szCs w:val="22"/>
          <w:lang w:eastAsia="en-US"/>
        </w:rPr>
        <w:t>c</w:t>
      </w:r>
      <w:r w:rsidRPr="009F124E">
        <w:rPr>
          <w:b/>
          <w:sz w:val="22"/>
          <w:szCs w:val="22"/>
          <w:lang w:eastAsia="en-US"/>
        </w:rPr>
        <w:t xml:space="preserve">entral </w:t>
      </w:r>
      <w:r w:rsidR="00F93305">
        <w:rPr>
          <w:b/>
          <w:sz w:val="22"/>
          <w:szCs w:val="22"/>
          <w:lang w:eastAsia="en-US"/>
        </w:rPr>
        <w:t>p</w:t>
      </w:r>
      <w:r w:rsidRPr="009F124E">
        <w:rPr>
          <w:b/>
          <w:sz w:val="22"/>
          <w:szCs w:val="22"/>
          <w:lang w:eastAsia="en-US"/>
        </w:rPr>
        <w:t xml:space="preserve">resupuestario y el gobierno </w:t>
      </w:r>
      <w:r w:rsidR="00F93305">
        <w:rPr>
          <w:b/>
          <w:sz w:val="22"/>
          <w:szCs w:val="22"/>
          <w:lang w:eastAsia="en-US"/>
        </w:rPr>
        <w:t>g</w:t>
      </w:r>
      <w:r w:rsidRPr="009F124E">
        <w:rPr>
          <w:b/>
          <w:sz w:val="22"/>
          <w:szCs w:val="22"/>
          <w:lang w:eastAsia="en-US"/>
        </w:rPr>
        <w:t>eneral</w:t>
      </w:r>
      <w:bookmarkEnd w:id="299"/>
    </w:p>
    <w:p w14:paraId="0A815576" w14:textId="77777777" w:rsidR="009F124E" w:rsidRPr="009F124E" w:rsidRDefault="009F124E" w:rsidP="009F124E">
      <w:pPr>
        <w:spacing w:line="259" w:lineRule="auto"/>
        <w:jc w:val="both"/>
        <w:rPr>
          <w:sz w:val="22"/>
          <w:szCs w:val="22"/>
          <w:lang w:eastAsia="en-US"/>
        </w:rPr>
      </w:pPr>
    </w:p>
    <w:p w14:paraId="1EB845BE" w14:textId="77777777" w:rsidR="009F124E" w:rsidRPr="009F124E" w:rsidRDefault="009F124E" w:rsidP="009F124E">
      <w:pPr>
        <w:spacing w:line="259" w:lineRule="auto"/>
        <w:jc w:val="both"/>
        <w:rPr>
          <w:sz w:val="22"/>
          <w:szCs w:val="22"/>
          <w:lang w:eastAsia="en-US"/>
        </w:rPr>
      </w:pPr>
      <w:r w:rsidRPr="009F124E">
        <w:rPr>
          <w:sz w:val="22"/>
          <w:szCs w:val="22"/>
          <w:lang w:eastAsia="en-US"/>
        </w:rPr>
        <w:t>El Estado de Operaciones se divide en dos partidas analíticas de resultado, el primero de ellas es la diferencia entre los ingresos y gastos que se denomina resultado operativo y es un indicador de sostenibilidad de las operaciones, mientras que  el segundo es el endeudamiento o préstamo neto que es la diferencia entre los ingresos y las erogaciones (que incluye los gastos y la inversión realizada en activos no financieros), este puede considerarse como un indicador del grado en que el gobierno está colocando recursos financieros a disposición de otros sectores en la economía.</w:t>
      </w:r>
    </w:p>
    <w:p w14:paraId="1E585481" w14:textId="77777777" w:rsidR="009F124E" w:rsidRPr="009F124E" w:rsidRDefault="009F124E" w:rsidP="009F124E">
      <w:pPr>
        <w:spacing w:line="259" w:lineRule="auto"/>
        <w:jc w:val="both"/>
        <w:rPr>
          <w:sz w:val="22"/>
          <w:szCs w:val="22"/>
          <w:lang w:eastAsia="en-US"/>
        </w:rPr>
      </w:pPr>
    </w:p>
    <w:p w14:paraId="3DAEA178" w14:textId="77777777" w:rsidR="009F124E" w:rsidRPr="009F124E" w:rsidRDefault="009F124E" w:rsidP="009F124E">
      <w:pPr>
        <w:spacing w:after="240" w:line="259" w:lineRule="auto"/>
        <w:jc w:val="both"/>
        <w:rPr>
          <w:sz w:val="22"/>
          <w:szCs w:val="22"/>
          <w:lang w:eastAsia="en-US"/>
        </w:rPr>
      </w:pPr>
      <w:r w:rsidRPr="009F124E">
        <w:rPr>
          <w:sz w:val="22"/>
          <w:szCs w:val="22"/>
          <w:lang w:eastAsia="en-US"/>
        </w:rPr>
        <w:t>En cuanto al primero de estos indicadores, para el año 2022 se observa que gobierno central presupuestario posee un resultado operativo negativo en 1.1% del PIB mientras que a nivel de gobierno general se torna positivo por el equivalente del 1.2% del PIB. La diferencia entre ambos valores es que el resultado operativo bruto del gobierno central extrapresupuestario, los gobiernos locales y los fondos de seguridad social fueron positivos por 0.3%, 1.5% y 0.5% del PIB respectivamente.</w:t>
      </w:r>
    </w:p>
    <w:p w14:paraId="6F7552CE" w14:textId="77777777" w:rsidR="009F124E" w:rsidRPr="009F124E" w:rsidRDefault="009F124E" w:rsidP="009F124E">
      <w:pPr>
        <w:spacing w:after="240" w:line="259" w:lineRule="auto"/>
        <w:jc w:val="both"/>
        <w:rPr>
          <w:sz w:val="22"/>
          <w:szCs w:val="22"/>
          <w:lang w:eastAsia="en-US"/>
        </w:rPr>
      </w:pPr>
      <w:r w:rsidRPr="009F124E">
        <w:rPr>
          <w:sz w:val="22"/>
          <w:szCs w:val="22"/>
          <w:lang w:eastAsia="en-US"/>
        </w:rPr>
        <w:t>En cuanto al segunda de las partidas analíticas, el gobierno central presupuestario tuvo un endeudamiento neto (déficit) por el 1.7% del PIB y a nivel de Gobierno General, este continúa siendo negativo, pero se reduce al 1.0% del PIB y explicado por un préstamo neto (superávit) del gobierno central extrapresupuestario, los gobiernos locales y de los fondos de seguridad social por 0.26%, 0.04% y 0.4% respectivamente.</w:t>
      </w:r>
    </w:p>
    <w:p w14:paraId="02F69D5A" w14:textId="3A560920" w:rsidR="009F124E" w:rsidRPr="009F124E" w:rsidRDefault="009F124E" w:rsidP="009F124E">
      <w:pPr>
        <w:jc w:val="center"/>
        <w:rPr>
          <w:b/>
          <w:sz w:val="22"/>
          <w:szCs w:val="22"/>
          <w:lang w:eastAsia="en-US"/>
        </w:rPr>
      </w:pPr>
      <w:r w:rsidRPr="009F124E">
        <w:rPr>
          <w:b/>
          <w:sz w:val="22"/>
          <w:szCs w:val="22"/>
          <w:lang w:eastAsia="en-US"/>
        </w:rPr>
        <w:t xml:space="preserve">Estado de </w:t>
      </w:r>
      <w:r w:rsidR="00F93305">
        <w:rPr>
          <w:b/>
          <w:sz w:val="22"/>
          <w:szCs w:val="22"/>
          <w:lang w:eastAsia="en-US"/>
        </w:rPr>
        <w:t>o</w:t>
      </w:r>
      <w:r w:rsidRPr="009F124E">
        <w:rPr>
          <w:b/>
          <w:sz w:val="22"/>
          <w:szCs w:val="22"/>
          <w:lang w:eastAsia="en-US"/>
        </w:rPr>
        <w:t xml:space="preserve">peraciones del </w:t>
      </w:r>
      <w:r w:rsidR="00F93305">
        <w:rPr>
          <w:b/>
          <w:sz w:val="22"/>
          <w:szCs w:val="22"/>
          <w:lang w:eastAsia="en-US"/>
        </w:rPr>
        <w:t>g</w:t>
      </w:r>
      <w:r w:rsidRPr="009F124E">
        <w:rPr>
          <w:b/>
          <w:sz w:val="22"/>
          <w:szCs w:val="22"/>
          <w:lang w:eastAsia="en-US"/>
        </w:rPr>
        <w:t xml:space="preserve">obierno </w:t>
      </w:r>
      <w:r w:rsidR="00F93305">
        <w:rPr>
          <w:b/>
          <w:sz w:val="22"/>
          <w:szCs w:val="22"/>
          <w:lang w:eastAsia="en-US"/>
        </w:rPr>
        <w:t>c</w:t>
      </w:r>
      <w:r w:rsidRPr="009F124E">
        <w:rPr>
          <w:b/>
          <w:sz w:val="22"/>
          <w:szCs w:val="22"/>
          <w:lang w:eastAsia="en-US"/>
        </w:rPr>
        <w:t xml:space="preserve">entral </w:t>
      </w:r>
      <w:r w:rsidR="00F93305">
        <w:rPr>
          <w:b/>
          <w:sz w:val="22"/>
          <w:szCs w:val="22"/>
          <w:lang w:eastAsia="en-US"/>
        </w:rPr>
        <w:t>p</w:t>
      </w:r>
      <w:r w:rsidRPr="009F124E">
        <w:rPr>
          <w:b/>
          <w:sz w:val="22"/>
          <w:szCs w:val="22"/>
          <w:lang w:eastAsia="en-US"/>
        </w:rPr>
        <w:t xml:space="preserve">resupuestario y el </w:t>
      </w:r>
      <w:r w:rsidR="00F93305">
        <w:rPr>
          <w:b/>
          <w:sz w:val="22"/>
          <w:szCs w:val="22"/>
          <w:lang w:eastAsia="en-US"/>
        </w:rPr>
        <w:t>g</w:t>
      </w:r>
      <w:r w:rsidRPr="009F124E">
        <w:rPr>
          <w:b/>
          <w:sz w:val="22"/>
          <w:szCs w:val="22"/>
          <w:lang w:eastAsia="en-US"/>
        </w:rPr>
        <w:t xml:space="preserve">obierno </w:t>
      </w:r>
      <w:r w:rsidR="00F93305">
        <w:rPr>
          <w:b/>
          <w:sz w:val="22"/>
          <w:szCs w:val="22"/>
          <w:lang w:eastAsia="en-US"/>
        </w:rPr>
        <w:t>g</w:t>
      </w:r>
      <w:r w:rsidRPr="009F124E">
        <w:rPr>
          <w:b/>
          <w:sz w:val="22"/>
          <w:szCs w:val="22"/>
          <w:lang w:eastAsia="en-US"/>
        </w:rPr>
        <w:t>eneral</w:t>
      </w:r>
    </w:p>
    <w:p w14:paraId="49FF4A8E" w14:textId="22226502" w:rsidR="009F124E" w:rsidRPr="009F124E" w:rsidRDefault="00F93305" w:rsidP="009F124E">
      <w:pPr>
        <w:jc w:val="center"/>
        <w:rPr>
          <w:sz w:val="22"/>
          <w:szCs w:val="22"/>
          <w:lang w:eastAsia="en-US"/>
        </w:rPr>
      </w:pPr>
      <w:r>
        <w:rPr>
          <w:sz w:val="22"/>
          <w:szCs w:val="22"/>
          <w:lang w:eastAsia="en-US"/>
        </w:rPr>
        <w:t>A</w:t>
      </w:r>
      <w:r w:rsidR="009F124E" w:rsidRPr="009F124E">
        <w:rPr>
          <w:sz w:val="22"/>
          <w:szCs w:val="22"/>
          <w:lang w:eastAsia="en-US"/>
        </w:rPr>
        <w:t>ño 2022</w:t>
      </w:r>
    </w:p>
    <w:p w14:paraId="61DC00A7" w14:textId="77777777" w:rsidR="009F124E" w:rsidRPr="009F124E" w:rsidRDefault="009F124E" w:rsidP="009F124E">
      <w:pPr>
        <w:jc w:val="center"/>
        <w:rPr>
          <w:sz w:val="16"/>
          <w:szCs w:val="22"/>
          <w:lang w:eastAsia="en-US"/>
        </w:rPr>
      </w:pPr>
    </w:p>
    <w:tbl>
      <w:tblPr>
        <w:tblW w:w="8200" w:type="dxa"/>
        <w:jc w:val="center"/>
        <w:tblLayout w:type="fixed"/>
        <w:tblCellMar>
          <w:left w:w="70" w:type="dxa"/>
          <w:right w:w="70" w:type="dxa"/>
        </w:tblCellMar>
        <w:tblLook w:val="04A0" w:firstRow="1" w:lastRow="0" w:firstColumn="1" w:lastColumn="0" w:noHBand="0" w:noVBand="1"/>
      </w:tblPr>
      <w:tblGrid>
        <w:gridCol w:w="748"/>
        <w:gridCol w:w="3842"/>
        <w:gridCol w:w="1066"/>
        <w:gridCol w:w="711"/>
        <w:gridCol w:w="1118"/>
        <w:gridCol w:w="715"/>
      </w:tblGrid>
      <w:tr w:rsidR="009F124E" w:rsidRPr="009F124E" w14:paraId="05BFC7A9" w14:textId="77777777" w:rsidTr="00207D0F">
        <w:trPr>
          <w:trHeight w:val="198"/>
          <w:jc w:val="center"/>
        </w:trPr>
        <w:tc>
          <w:tcPr>
            <w:tcW w:w="748" w:type="dxa"/>
            <w:tcBorders>
              <w:top w:val="nil"/>
              <w:left w:val="nil"/>
              <w:bottom w:val="nil"/>
              <w:right w:val="nil"/>
            </w:tcBorders>
            <w:noWrap/>
            <w:hideMark/>
          </w:tcPr>
          <w:p w14:paraId="5011FA0F" w14:textId="77777777" w:rsidR="009F124E" w:rsidRPr="009F124E" w:rsidRDefault="009F124E" w:rsidP="009F124E">
            <w:pPr>
              <w:rPr>
                <w:sz w:val="14"/>
                <w:szCs w:val="14"/>
              </w:rPr>
            </w:pPr>
          </w:p>
        </w:tc>
        <w:tc>
          <w:tcPr>
            <w:tcW w:w="3842" w:type="dxa"/>
            <w:tcBorders>
              <w:top w:val="nil"/>
              <w:left w:val="nil"/>
              <w:bottom w:val="nil"/>
              <w:right w:val="nil"/>
            </w:tcBorders>
            <w:hideMark/>
          </w:tcPr>
          <w:p w14:paraId="5CB2E0CC" w14:textId="77777777" w:rsidR="009F124E" w:rsidRPr="009F124E" w:rsidRDefault="009F124E" w:rsidP="009F124E">
            <w:pPr>
              <w:jc w:val="center"/>
              <w:rPr>
                <w:sz w:val="14"/>
                <w:szCs w:val="14"/>
              </w:rPr>
            </w:pPr>
          </w:p>
        </w:tc>
        <w:tc>
          <w:tcPr>
            <w:tcW w:w="1777" w:type="dxa"/>
            <w:gridSpan w:val="2"/>
            <w:tcBorders>
              <w:top w:val="single" w:sz="8" w:space="0" w:color="auto"/>
              <w:left w:val="single" w:sz="8" w:space="0" w:color="auto"/>
              <w:bottom w:val="nil"/>
              <w:right w:val="single" w:sz="8" w:space="0" w:color="000000"/>
            </w:tcBorders>
            <w:shd w:val="clear" w:color="000000" w:fill="D9D9D9"/>
            <w:vAlign w:val="center"/>
            <w:hideMark/>
          </w:tcPr>
          <w:p w14:paraId="5566D9A9" w14:textId="77777777" w:rsidR="009F124E" w:rsidRPr="009F124E" w:rsidRDefault="009F124E" w:rsidP="009F124E">
            <w:pPr>
              <w:jc w:val="center"/>
              <w:rPr>
                <w:b/>
                <w:bCs/>
                <w:color w:val="000000"/>
                <w:sz w:val="14"/>
                <w:szCs w:val="14"/>
              </w:rPr>
            </w:pPr>
            <w:r w:rsidRPr="009F124E">
              <w:rPr>
                <w:b/>
                <w:bCs/>
                <w:color w:val="000000"/>
                <w:sz w:val="14"/>
                <w:szCs w:val="14"/>
              </w:rPr>
              <w:t>En millones de Quetzales</w:t>
            </w:r>
          </w:p>
        </w:tc>
        <w:tc>
          <w:tcPr>
            <w:tcW w:w="1833" w:type="dxa"/>
            <w:gridSpan w:val="2"/>
            <w:tcBorders>
              <w:top w:val="single" w:sz="8" w:space="0" w:color="auto"/>
              <w:left w:val="nil"/>
              <w:bottom w:val="nil"/>
              <w:right w:val="single" w:sz="8" w:space="0" w:color="000000"/>
            </w:tcBorders>
            <w:shd w:val="clear" w:color="000000" w:fill="D9D9D9"/>
            <w:vAlign w:val="center"/>
            <w:hideMark/>
          </w:tcPr>
          <w:p w14:paraId="65B90348" w14:textId="77777777" w:rsidR="009F124E" w:rsidRPr="009F124E" w:rsidRDefault="009F124E" w:rsidP="009F124E">
            <w:pPr>
              <w:jc w:val="center"/>
              <w:rPr>
                <w:b/>
                <w:bCs/>
                <w:color w:val="000000"/>
                <w:sz w:val="14"/>
                <w:szCs w:val="14"/>
              </w:rPr>
            </w:pPr>
            <w:r w:rsidRPr="009F124E">
              <w:rPr>
                <w:b/>
                <w:bCs/>
                <w:color w:val="000000"/>
                <w:sz w:val="14"/>
                <w:szCs w:val="14"/>
              </w:rPr>
              <w:t>Como porcentajes del PIB</w:t>
            </w:r>
          </w:p>
        </w:tc>
      </w:tr>
      <w:tr w:rsidR="009F124E" w:rsidRPr="009F124E" w14:paraId="61385D54" w14:textId="77777777" w:rsidTr="00207D0F">
        <w:trPr>
          <w:trHeight w:val="573"/>
          <w:jc w:val="center"/>
        </w:trPr>
        <w:tc>
          <w:tcPr>
            <w:tcW w:w="748" w:type="dxa"/>
            <w:tcBorders>
              <w:top w:val="single" w:sz="8" w:space="0" w:color="auto"/>
              <w:left w:val="single" w:sz="8" w:space="0" w:color="auto"/>
              <w:bottom w:val="single" w:sz="8" w:space="0" w:color="auto"/>
              <w:right w:val="nil"/>
            </w:tcBorders>
            <w:shd w:val="clear" w:color="000000" w:fill="44546A"/>
            <w:vAlign w:val="center"/>
            <w:hideMark/>
          </w:tcPr>
          <w:p w14:paraId="295B6474" w14:textId="77777777" w:rsidR="009F124E" w:rsidRPr="009F124E" w:rsidRDefault="009F124E" w:rsidP="009F124E">
            <w:pPr>
              <w:jc w:val="center"/>
              <w:rPr>
                <w:b/>
                <w:bCs/>
                <w:color w:val="FFFFFF"/>
                <w:sz w:val="14"/>
                <w:szCs w:val="14"/>
              </w:rPr>
            </w:pPr>
            <w:r w:rsidRPr="009F124E">
              <w:rPr>
                <w:b/>
                <w:bCs/>
                <w:color w:val="FFFFFF"/>
                <w:sz w:val="14"/>
                <w:szCs w:val="14"/>
              </w:rPr>
              <w:t>Código MEFP</w:t>
            </w:r>
          </w:p>
        </w:tc>
        <w:tc>
          <w:tcPr>
            <w:tcW w:w="3842" w:type="dxa"/>
            <w:tcBorders>
              <w:top w:val="single" w:sz="8" w:space="0" w:color="auto"/>
              <w:left w:val="nil"/>
              <w:bottom w:val="single" w:sz="8" w:space="0" w:color="auto"/>
              <w:right w:val="single" w:sz="8" w:space="0" w:color="auto"/>
            </w:tcBorders>
            <w:shd w:val="clear" w:color="000000" w:fill="44546A"/>
            <w:vAlign w:val="center"/>
            <w:hideMark/>
          </w:tcPr>
          <w:p w14:paraId="3229899D" w14:textId="77777777" w:rsidR="009F124E" w:rsidRPr="009F124E" w:rsidRDefault="009F124E" w:rsidP="009F124E">
            <w:pPr>
              <w:jc w:val="center"/>
              <w:rPr>
                <w:b/>
                <w:bCs/>
                <w:color w:val="FFFFFF"/>
                <w:sz w:val="14"/>
                <w:szCs w:val="14"/>
              </w:rPr>
            </w:pPr>
            <w:r w:rsidRPr="009F124E">
              <w:rPr>
                <w:b/>
                <w:bCs/>
                <w:color w:val="FFFFFF"/>
                <w:sz w:val="14"/>
                <w:szCs w:val="14"/>
              </w:rPr>
              <w:t>Descripción</w:t>
            </w:r>
          </w:p>
        </w:tc>
        <w:tc>
          <w:tcPr>
            <w:tcW w:w="1066" w:type="dxa"/>
            <w:tcBorders>
              <w:top w:val="single" w:sz="8" w:space="0" w:color="auto"/>
              <w:left w:val="nil"/>
              <w:bottom w:val="single" w:sz="8" w:space="0" w:color="auto"/>
              <w:right w:val="nil"/>
            </w:tcBorders>
            <w:shd w:val="clear" w:color="000000" w:fill="44546A"/>
            <w:vAlign w:val="center"/>
            <w:hideMark/>
          </w:tcPr>
          <w:p w14:paraId="7E910CD8" w14:textId="77777777" w:rsidR="009F124E" w:rsidRPr="009F124E" w:rsidRDefault="009F124E" w:rsidP="009F124E">
            <w:pPr>
              <w:jc w:val="center"/>
              <w:rPr>
                <w:b/>
                <w:bCs/>
                <w:color w:val="FFFFFF"/>
                <w:sz w:val="14"/>
                <w:szCs w:val="14"/>
              </w:rPr>
            </w:pPr>
            <w:r w:rsidRPr="009F124E">
              <w:rPr>
                <w:b/>
                <w:bCs/>
                <w:color w:val="FFFFFF"/>
                <w:sz w:val="14"/>
                <w:szCs w:val="14"/>
              </w:rPr>
              <w:t>Gobierno Central Presupuestario</w:t>
            </w:r>
          </w:p>
        </w:tc>
        <w:tc>
          <w:tcPr>
            <w:tcW w:w="711" w:type="dxa"/>
            <w:tcBorders>
              <w:top w:val="single" w:sz="8" w:space="0" w:color="auto"/>
              <w:left w:val="nil"/>
              <w:bottom w:val="single" w:sz="8" w:space="0" w:color="auto"/>
              <w:right w:val="single" w:sz="8" w:space="0" w:color="auto"/>
            </w:tcBorders>
            <w:shd w:val="clear" w:color="000000" w:fill="44546A"/>
            <w:vAlign w:val="center"/>
            <w:hideMark/>
          </w:tcPr>
          <w:p w14:paraId="1DA6BF3E" w14:textId="77777777" w:rsidR="009F124E" w:rsidRPr="009F124E" w:rsidRDefault="009F124E" w:rsidP="009F124E">
            <w:pPr>
              <w:jc w:val="center"/>
              <w:rPr>
                <w:b/>
                <w:bCs/>
                <w:color w:val="FFFFFF"/>
                <w:sz w:val="14"/>
                <w:szCs w:val="14"/>
              </w:rPr>
            </w:pPr>
            <w:r w:rsidRPr="009F124E">
              <w:rPr>
                <w:b/>
                <w:bCs/>
                <w:color w:val="FFFFFF"/>
                <w:sz w:val="14"/>
                <w:szCs w:val="14"/>
              </w:rPr>
              <w:t>Gobierno General</w:t>
            </w:r>
          </w:p>
        </w:tc>
        <w:tc>
          <w:tcPr>
            <w:tcW w:w="1118" w:type="dxa"/>
            <w:tcBorders>
              <w:top w:val="single" w:sz="8" w:space="0" w:color="auto"/>
              <w:left w:val="nil"/>
              <w:bottom w:val="single" w:sz="8" w:space="0" w:color="auto"/>
              <w:right w:val="nil"/>
            </w:tcBorders>
            <w:shd w:val="clear" w:color="000000" w:fill="44546A"/>
            <w:vAlign w:val="center"/>
            <w:hideMark/>
          </w:tcPr>
          <w:p w14:paraId="21038245" w14:textId="77777777" w:rsidR="009F124E" w:rsidRPr="009F124E" w:rsidRDefault="009F124E" w:rsidP="009F124E">
            <w:pPr>
              <w:jc w:val="center"/>
              <w:rPr>
                <w:b/>
                <w:bCs/>
                <w:color w:val="FFFFFF"/>
                <w:sz w:val="14"/>
                <w:szCs w:val="14"/>
              </w:rPr>
            </w:pPr>
            <w:r w:rsidRPr="009F124E">
              <w:rPr>
                <w:b/>
                <w:bCs/>
                <w:color w:val="FFFFFF"/>
                <w:sz w:val="14"/>
                <w:szCs w:val="14"/>
              </w:rPr>
              <w:t>Gobierno Central Presupuestario</w:t>
            </w:r>
          </w:p>
        </w:tc>
        <w:tc>
          <w:tcPr>
            <w:tcW w:w="715" w:type="dxa"/>
            <w:tcBorders>
              <w:top w:val="single" w:sz="8" w:space="0" w:color="auto"/>
              <w:left w:val="nil"/>
              <w:bottom w:val="single" w:sz="8" w:space="0" w:color="auto"/>
              <w:right w:val="single" w:sz="8" w:space="0" w:color="auto"/>
            </w:tcBorders>
            <w:shd w:val="clear" w:color="000000" w:fill="44546A"/>
            <w:vAlign w:val="center"/>
            <w:hideMark/>
          </w:tcPr>
          <w:p w14:paraId="1EA95541" w14:textId="77777777" w:rsidR="009F124E" w:rsidRPr="009F124E" w:rsidRDefault="009F124E" w:rsidP="009F124E">
            <w:pPr>
              <w:jc w:val="center"/>
              <w:rPr>
                <w:b/>
                <w:bCs/>
                <w:color w:val="FFFFFF"/>
                <w:sz w:val="14"/>
                <w:szCs w:val="14"/>
              </w:rPr>
            </w:pPr>
            <w:r w:rsidRPr="009F124E">
              <w:rPr>
                <w:b/>
                <w:bCs/>
                <w:color w:val="FFFFFF"/>
                <w:sz w:val="14"/>
                <w:szCs w:val="14"/>
              </w:rPr>
              <w:t>Gobierno General</w:t>
            </w:r>
          </w:p>
        </w:tc>
      </w:tr>
      <w:tr w:rsidR="009F124E" w:rsidRPr="009F124E" w14:paraId="6A936038" w14:textId="77777777" w:rsidTr="00207D0F">
        <w:trPr>
          <w:trHeight w:val="186"/>
          <w:jc w:val="center"/>
        </w:trPr>
        <w:tc>
          <w:tcPr>
            <w:tcW w:w="748" w:type="dxa"/>
            <w:tcBorders>
              <w:top w:val="nil"/>
              <w:left w:val="single" w:sz="8" w:space="0" w:color="auto"/>
              <w:bottom w:val="nil"/>
              <w:right w:val="nil"/>
            </w:tcBorders>
            <w:noWrap/>
            <w:vAlign w:val="center"/>
            <w:hideMark/>
          </w:tcPr>
          <w:p w14:paraId="4A613AA1" w14:textId="77777777" w:rsidR="009F124E" w:rsidRPr="009F124E" w:rsidRDefault="009F124E" w:rsidP="009F124E">
            <w:pPr>
              <w:jc w:val="center"/>
              <w:rPr>
                <w:b/>
                <w:bCs/>
                <w:color w:val="000000"/>
                <w:sz w:val="14"/>
                <w:szCs w:val="14"/>
              </w:rPr>
            </w:pPr>
            <w:r w:rsidRPr="009F124E">
              <w:rPr>
                <w:b/>
                <w:bCs/>
                <w:color w:val="000000"/>
                <w:sz w:val="14"/>
                <w:szCs w:val="14"/>
              </w:rPr>
              <w:t>1</w:t>
            </w:r>
          </w:p>
        </w:tc>
        <w:tc>
          <w:tcPr>
            <w:tcW w:w="3842" w:type="dxa"/>
            <w:tcBorders>
              <w:top w:val="nil"/>
              <w:left w:val="nil"/>
              <w:bottom w:val="nil"/>
              <w:right w:val="single" w:sz="8" w:space="0" w:color="auto"/>
            </w:tcBorders>
            <w:vAlign w:val="center"/>
            <w:hideMark/>
          </w:tcPr>
          <w:p w14:paraId="0F130789" w14:textId="77777777" w:rsidR="009F124E" w:rsidRPr="009F124E" w:rsidRDefault="009F124E" w:rsidP="009F124E">
            <w:pPr>
              <w:rPr>
                <w:b/>
                <w:bCs/>
                <w:color w:val="000000"/>
                <w:sz w:val="14"/>
                <w:szCs w:val="14"/>
              </w:rPr>
            </w:pPr>
            <w:r w:rsidRPr="009F124E">
              <w:rPr>
                <w:b/>
                <w:bCs/>
                <w:color w:val="000000"/>
                <w:sz w:val="14"/>
                <w:szCs w:val="14"/>
              </w:rPr>
              <w:t>INGRESO</w:t>
            </w:r>
          </w:p>
        </w:tc>
        <w:tc>
          <w:tcPr>
            <w:tcW w:w="1066" w:type="dxa"/>
            <w:tcBorders>
              <w:top w:val="nil"/>
              <w:left w:val="single" w:sz="8" w:space="0" w:color="auto"/>
              <w:bottom w:val="nil"/>
              <w:right w:val="nil"/>
            </w:tcBorders>
            <w:hideMark/>
          </w:tcPr>
          <w:p w14:paraId="6814CC76" w14:textId="77777777" w:rsidR="009F124E" w:rsidRPr="009F124E" w:rsidRDefault="009F124E" w:rsidP="009F124E">
            <w:pPr>
              <w:jc w:val="center"/>
              <w:rPr>
                <w:b/>
                <w:bCs/>
                <w:color w:val="000000"/>
                <w:sz w:val="14"/>
                <w:szCs w:val="14"/>
              </w:rPr>
            </w:pPr>
            <w:r w:rsidRPr="009F124E">
              <w:rPr>
                <w:b/>
                <w:bCs/>
                <w:color w:val="000000"/>
                <w:sz w:val="14"/>
                <w:szCs w:val="14"/>
                <w:lang w:eastAsia="en-US"/>
              </w:rPr>
              <w:t>95,263.6</w:t>
            </w:r>
          </w:p>
        </w:tc>
        <w:tc>
          <w:tcPr>
            <w:tcW w:w="711" w:type="dxa"/>
            <w:tcBorders>
              <w:top w:val="nil"/>
              <w:left w:val="nil"/>
              <w:bottom w:val="nil"/>
              <w:right w:val="single" w:sz="8" w:space="0" w:color="auto"/>
            </w:tcBorders>
            <w:hideMark/>
          </w:tcPr>
          <w:p w14:paraId="00F4C5D4" w14:textId="77777777" w:rsidR="009F124E" w:rsidRPr="009F124E" w:rsidRDefault="009F124E" w:rsidP="009F124E">
            <w:pPr>
              <w:jc w:val="center"/>
              <w:rPr>
                <w:b/>
                <w:bCs/>
                <w:color w:val="000000"/>
                <w:sz w:val="14"/>
                <w:szCs w:val="14"/>
              </w:rPr>
            </w:pPr>
            <w:r w:rsidRPr="009F124E">
              <w:rPr>
                <w:b/>
                <w:bCs/>
                <w:color w:val="000000"/>
                <w:sz w:val="14"/>
                <w:szCs w:val="14"/>
                <w:lang w:eastAsia="en-US"/>
              </w:rPr>
              <w:t>120,323.3</w:t>
            </w:r>
          </w:p>
        </w:tc>
        <w:tc>
          <w:tcPr>
            <w:tcW w:w="1118" w:type="dxa"/>
            <w:tcBorders>
              <w:top w:val="nil"/>
              <w:left w:val="nil"/>
              <w:bottom w:val="nil"/>
              <w:right w:val="nil"/>
            </w:tcBorders>
            <w:noWrap/>
            <w:hideMark/>
          </w:tcPr>
          <w:p w14:paraId="49560C43" w14:textId="77777777" w:rsidR="009F124E" w:rsidRPr="009F124E" w:rsidRDefault="009F124E" w:rsidP="009F124E">
            <w:pPr>
              <w:jc w:val="center"/>
              <w:rPr>
                <w:b/>
                <w:bCs/>
                <w:color w:val="000000"/>
                <w:sz w:val="14"/>
                <w:szCs w:val="14"/>
              </w:rPr>
            </w:pPr>
            <w:r w:rsidRPr="009F124E">
              <w:rPr>
                <w:b/>
                <w:bCs/>
                <w:color w:val="000000"/>
                <w:sz w:val="14"/>
                <w:szCs w:val="14"/>
                <w:lang w:eastAsia="en-US"/>
              </w:rPr>
              <w:t>12.9</w:t>
            </w:r>
          </w:p>
        </w:tc>
        <w:tc>
          <w:tcPr>
            <w:tcW w:w="715" w:type="dxa"/>
            <w:tcBorders>
              <w:top w:val="nil"/>
              <w:left w:val="nil"/>
              <w:bottom w:val="nil"/>
              <w:right w:val="single" w:sz="8" w:space="0" w:color="auto"/>
            </w:tcBorders>
            <w:noWrap/>
            <w:hideMark/>
          </w:tcPr>
          <w:p w14:paraId="052153AA" w14:textId="77777777" w:rsidR="009F124E" w:rsidRPr="009F124E" w:rsidRDefault="009F124E" w:rsidP="009F124E">
            <w:pPr>
              <w:jc w:val="center"/>
              <w:rPr>
                <w:b/>
                <w:bCs/>
                <w:color w:val="000000"/>
                <w:sz w:val="14"/>
                <w:szCs w:val="14"/>
              </w:rPr>
            </w:pPr>
            <w:r w:rsidRPr="009F124E">
              <w:rPr>
                <w:b/>
                <w:bCs/>
                <w:color w:val="000000"/>
                <w:sz w:val="14"/>
                <w:szCs w:val="14"/>
                <w:lang w:eastAsia="en-US"/>
              </w:rPr>
              <w:t>16.3</w:t>
            </w:r>
          </w:p>
        </w:tc>
      </w:tr>
      <w:tr w:rsidR="009F124E" w:rsidRPr="009F124E" w14:paraId="32D0AE1A" w14:textId="77777777" w:rsidTr="00207D0F">
        <w:trPr>
          <w:trHeight w:val="186"/>
          <w:jc w:val="center"/>
        </w:trPr>
        <w:tc>
          <w:tcPr>
            <w:tcW w:w="748" w:type="dxa"/>
            <w:tcBorders>
              <w:top w:val="nil"/>
              <w:left w:val="single" w:sz="8" w:space="0" w:color="auto"/>
              <w:bottom w:val="nil"/>
              <w:right w:val="nil"/>
            </w:tcBorders>
            <w:noWrap/>
            <w:vAlign w:val="center"/>
            <w:hideMark/>
          </w:tcPr>
          <w:p w14:paraId="32DF3EC7" w14:textId="77777777" w:rsidR="009F124E" w:rsidRPr="009F124E" w:rsidRDefault="009F124E" w:rsidP="009F124E">
            <w:pPr>
              <w:jc w:val="center"/>
              <w:rPr>
                <w:color w:val="000000"/>
                <w:sz w:val="14"/>
                <w:szCs w:val="14"/>
              </w:rPr>
            </w:pPr>
            <w:r w:rsidRPr="009F124E">
              <w:rPr>
                <w:color w:val="000000"/>
                <w:sz w:val="14"/>
                <w:szCs w:val="14"/>
              </w:rPr>
              <w:t>11</w:t>
            </w:r>
          </w:p>
        </w:tc>
        <w:tc>
          <w:tcPr>
            <w:tcW w:w="3842" w:type="dxa"/>
            <w:tcBorders>
              <w:top w:val="nil"/>
              <w:left w:val="nil"/>
              <w:bottom w:val="nil"/>
              <w:right w:val="single" w:sz="8" w:space="0" w:color="auto"/>
            </w:tcBorders>
            <w:vAlign w:val="center"/>
            <w:hideMark/>
          </w:tcPr>
          <w:p w14:paraId="39782A7D" w14:textId="77777777" w:rsidR="009F124E" w:rsidRPr="009F124E" w:rsidRDefault="009F124E" w:rsidP="009F124E">
            <w:pPr>
              <w:ind w:left="171"/>
              <w:rPr>
                <w:color w:val="000000"/>
                <w:sz w:val="14"/>
                <w:szCs w:val="14"/>
              </w:rPr>
            </w:pPr>
            <w:r w:rsidRPr="009F124E">
              <w:rPr>
                <w:color w:val="000000"/>
                <w:sz w:val="14"/>
                <w:szCs w:val="14"/>
              </w:rPr>
              <w:t>Impuestos</w:t>
            </w:r>
          </w:p>
        </w:tc>
        <w:tc>
          <w:tcPr>
            <w:tcW w:w="1066" w:type="dxa"/>
            <w:tcBorders>
              <w:top w:val="nil"/>
              <w:left w:val="single" w:sz="8" w:space="0" w:color="auto"/>
              <w:bottom w:val="nil"/>
              <w:right w:val="nil"/>
            </w:tcBorders>
            <w:hideMark/>
          </w:tcPr>
          <w:p w14:paraId="5202E137" w14:textId="77777777" w:rsidR="009F124E" w:rsidRPr="009F124E" w:rsidRDefault="009F124E" w:rsidP="009F124E">
            <w:pPr>
              <w:jc w:val="center"/>
              <w:rPr>
                <w:color w:val="000000"/>
                <w:sz w:val="14"/>
                <w:szCs w:val="14"/>
              </w:rPr>
            </w:pPr>
            <w:r w:rsidRPr="009F124E">
              <w:rPr>
                <w:color w:val="000000"/>
                <w:sz w:val="14"/>
                <w:szCs w:val="14"/>
                <w:lang w:eastAsia="en-US"/>
              </w:rPr>
              <w:t>87,584.0</w:t>
            </w:r>
          </w:p>
        </w:tc>
        <w:tc>
          <w:tcPr>
            <w:tcW w:w="711" w:type="dxa"/>
            <w:tcBorders>
              <w:top w:val="nil"/>
              <w:left w:val="nil"/>
              <w:bottom w:val="nil"/>
              <w:right w:val="single" w:sz="8" w:space="0" w:color="auto"/>
            </w:tcBorders>
            <w:hideMark/>
          </w:tcPr>
          <w:p w14:paraId="5386D2B8" w14:textId="77777777" w:rsidR="009F124E" w:rsidRPr="009F124E" w:rsidRDefault="009F124E" w:rsidP="009F124E">
            <w:pPr>
              <w:jc w:val="center"/>
              <w:rPr>
                <w:color w:val="000000"/>
                <w:sz w:val="14"/>
                <w:szCs w:val="14"/>
              </w:rPr>
            </w:pPr>
            <w:r w:rsidRPr="009F124E">
              <w:rPr>
                <w:color w:val="000000"/>
                <w:sz w:val="14"/>
                <w:szCs w:val="14"/>
                <w:lang w:eastAsia="en-US"/>
              </w:rPr>
              <w:t>91,578.9</w:t>
            </w:r>
          </w:p>
        </w:tc>
        <w:tc>
          <w:tcPr>
            <w:tcW w:w="1118" w:type="dxa"/>
            <w:tcBorders>
              <w:top w:val="nil"/>
              <w:left w:val="nil"/>
              <w:bottom w:val="nil"/>
              <w:right w:val="nil"/>
            </w:tcBorders>
            <w:noWrap/>
            <w:hideMark/>
          </w:tcPr>
          <w:p w14:paraId="764ED194" w14:textId="77777777" w:rsidR="009F124E" w:rsidRPr="009F124E" w:rsidRDefault="009F124E" w:rsidP="009F124E">
            <w:pPr>
              <w:jc w:val="center"/>
              <w:rPr>
                <w:color w:val="000000"/>
                <w:sz w:val="14"/>
                <w:szCs w:val="14"/>
              </w:rPr>
            </w:pPr>
            <w:r w:rsidRPr="009F124E">
              <w:rPr>
                <w:color w:val="000000"/>
                <w:sz w:val="14"/>
                <w:szCs w:val="14"/>
                <w:lang w:eastAsia="en-US"/>
              </w:rPr>
              <w:t>11.9</w:t>
            </w:r>
          </w:p>
        </w:tc>
        <w:tc>
          <w:tcPr>
            <w:tcW w:w="715" w:type="dxa"/>
            <w:tcBorders>
              <w:top w:val="nil"/>
              <w:left w:val="nil"/>
              <w:bottom w:val="nil"/>
              <w:right w:val="single" w:sz="8" w:space="0" w:color="auto"/>
            </w:tcBorders>
            <w:noWrap/>
            <w:hideMark/>
          </w:tcPr>
          <w:p w14:paraId="48CB1AD1" w14:textId="77777777" w:rsidR="009F124E" w:rsidRPr="009F124E" w:rsidRDefault="009F124E" w:rsidP="009F124E">
            <w:pPr>
              <w:jc w:val="center"/>
              <w:rPr>
                <w:color w:val="000000"/>
                <w:sz w:val="14"/>
                <w:szCs w:val="14"/>
              </w:rPr>
            </w:pPr>
            <w:r w:rsidRPr="009F124E">
              <w:rPr>
                <w:color w:val="000000"/>
                <w:sz w:val="14"/>
                <w:szCs w:val="14"/>
                <w:lang w:eastAsia="en-US"/>
              </w:rPr>
              <w:t>12.4</w:t>
            </w:r>
          </w:p>
        </w:tc>
      </w:tr>
      <w:tr w:rsidR="009F124E" w:rsidRPr="009F124E" w14:paraId="1715DBB9" w14:textId="77777777" w:rsidTr="00207D0F">
        <w:trPr>
          <w:trHeight w:val="186"/>
          <w:jc w:val="center"/>
        </w:trPr>
        <w:tc>
          <w:tcPr>
            <w:tcW w:w="748" w:type="dxa"/>
            <w:tcBorders>
              <w:top w:val="nil"/>
              <w:left w:val="single" w:sz="8" w:space="0" w:color="auto"/>
              <w:bottom w:val="nil"/>
              <w:right w:val="nil"/>
            </w:tcBorders>
            <w:noWrap/>
            <w:vAlign w:val="center"/>
            <w:hideMark/>
          </w:tcPr>
          <w:p w14:paraId="0AB3DDAF" w14:textId="77777777" w:rsidR="009F124E" w:rsidRPr="009F124E" w:rsidRDefault="009F124E" w:rsidP="009F124E">
            <w:pPr>
              <w:jc w:val="center"/>
              <w:rPr>
                <w:color w:val="000000"/>
                <w:sz w:val="14"/>
                <w:szCs w:val="14"/>
              </w:rPr>
            </w:pPr>
            <w:r w:rsidRPr="009F124E">
              <w:rPr>
                <w:color w:val="000000"/>
                <w:sz w:val="14"/>
                <w:szCs w:val="14"/>
              </w:rPr>
              <w:t>12</w:t>
            </w:r>
          </w:p>
        </w:tc>
        <w:tc>
          <w:tcPr>
            <w:tcW w:w="3842" w:type="dxa"/>
            <w:tcBorders>
              <w:top w:val="nil"/>
              <w:left w:val="nil"/>
              <w:bottom w:val="nil"/>
              <w:right w:val="single" w:sz="8" w:space="0" w:color="auto"/>
            </w:tcBorders>
            <w:vAlign w:val="center"/>
            <w:hideMark/>
          </w:tcPr>
          <w:p w14:paraId="314C4BEE" w14:textId="77777777" w:rsidR="009F124E" w:rsidRPr="009F124E" w:rsidRDefault="009F124E" w:rsidP="009F124E">
            <w:pPr>
              <w:ind w:left="171"/>
              <w:rPr>
                <w:color w:val="000000"/>
                <w:sz w:val="14"/>
                <w:szCs w:val="14"/>
              </w:rPr>
            </w:pPr>
            <w:r w:rsidRPr="009F124E">
              <w:rPr>
                <w:color w:val="000000"/>
                <w:sz w:val="14"/>
                <w:szCs w:val="14"/>
              </w:rPr>
              <w:t>Contribuciones sociales</w:t>
            </w:r>
          </w:p>
        </w:tc>
        <w:tc>
          <w:tcPr>
            <w:tcW w:w="1066" w:type="dxa"/>
            <w:tcBorders>
              <w:top w:val="nil"/>
              <w:left w:val="single" w:sz="8" w:space="0" w:color="auto"/>
              <w:bottom w:val="nil"/>
              <w:right w:val="nil"/>
            </w:tcBorders>
            <w:hideMark/>
          </w:tcPr>
          <w:p w14:paraId="5709BCA1" w14:textId="77777777" w:rsidR="009F124E" w:rsidRPr="009F124E" w:rsidRDefault="009F124E" w:rsidP="009F124E">
            <w:pPr>
              <w:jc w:val="center"/>
              <w:rPr>
                <w:color w:val="000000"/>
                <w:sz w:val="14"/>
                <w:szCs w:val="14"/>
              </w:rPr>
            </w:pPr>
            <w:r w:rsidRPr="009F124E">
              <w:rPr>
                <w:color w:val="000000"/>
                <w:sz w:val="14"/>
                <w:szCs w:val="14"/>
                <w:lang w:eastAsia="en-US"/>
              </w:rPr>
              <w:t>5,181.1</w:t>
            </w:r>
          </w:p>
        </w:tc>
        <w:tc>
          <w:tcPr>
            <w:tcW w:w="711" w:type="dxa"/>
            <w:tcBorders>
              <w:top w:val="nil"/>
              <w:left w:val="nil"/>
              <w:bottom w:val="nil"/>
              <w:right w:val="single" w:sz="8" w:space="0" w:color="auto"/>
            </w:tcBorders>
            <w:hideMark/>
          </w:tcPr>
          <w:p w14:paraId="2B965E28" w14:textId="77777777" w:rsidR="009F124E" w:rsidRPr="009F124E" w:rsidRDefault="009F124E" w:rsidP="009F124E">
            <w:pPr>
              <w:jc w:val="center"/>
              <w:rPr>
                <w:color w:val="000000"/>
                <w:sz w:val="14"/>
                <w:szCs w:val="14"/>
              </w:rPr>
            </w:pPr>
            <w:r w:rsidRPr="009F124E">
              <w:rPr>
                <w:color w:val="000000"/>
                <w:sz w:val="14"/>
                <w:szCs w:val="14"/>
                <w:lang w:eastAsia="en-US"/>
              </w:rPr>
              <w:t>19,760.7</w:t>
            </w:r>
          </w:p>
        </w:tc>
        <w:tc>
          <w:tcPr>
            <w:tcW w:w="1118" w:type="dxa"/>
            <w:tcBorders>
              <w:top w:val="nil"/>
              <w:left w:val="nil"/>
              <w:bottom w:val="nil"/>
              <w:right w:val="nil"/>
            </w:tcBorders>
            <w:noWrap/>
            <w:hideMark/>
          </w:tcPr>
          <w:p w14:paraId="42A6ED10" w14:textId="77777777" w:rsidR="009F124E" w:rsidRPr="009F124E" w:rsidRDefault="009F124E" w:rsidP="009F124E">
            <w:pPr>
              <w:jc w:val="center"/>
              <w:rPr>
                <w:color w:val="000000"/>
                <w:sz w:val="14"/>
                <w:szCs w:val="14"/>
              </w:rPr>
            </w:pPr>
            <w:r w:rsidRPr="009F124E">
              <w:rPr>
                <w:color w:val="000000"/>
                <w:sz w:val="14"/>
                <w:szCs w:val="14"/>
                <w:lang w:eastAsia="en-US"/>
              </w:rPr>
              <w:t>0.7</w:t>
            </w:r>
          </w:p>
        </w:tc>
        <w:tc>
          <w:tcPr>
            <w:tcW w:w="715" w:type="dxa"/>
            <w:tcBorders>
              <w:top w:val="nil"/>
              <w:left w:val="nil"/>
              <w:bottom w:val="nil"/>
              <w:right w:val="single" w:sz="8" w:space="0" w:color="auto"/>
            </w:tcBorders>
            <w:noWrap/>
            <w:hideMark/>
          </w:tcPr>
          <w:p w14:paraId="18E1520F" w14:textId="77777777" w:rsidR="009F124E" w:rsidRPr="009F124E" w:rsidRDefault="009F124E" w:rsidP="009F124E">
            <w:pPr>
              <w:jc w:val="center"/>
              <w:rPr>
                <w:color w:val="000000"/>
                <w:sz w:val="14"/>
                <w:szCs w:val="14"/>
              </w:rPr>
            </w:pPr>
            <w:r w:rsidRPr="009F124E">
              <w:rPr>
                <w:color w:val="000000"/>
                <w:sz w:val="14"/>
                <w:szCs w:val="14"/>
                <w:lang w:eastAsia="en-US"/>
              </w:rPr>
              <w:t>2.7</w:t>
            </w:r>
          </w:p>
        </w:tc>
      </w:tr>
      <w:tr w:rsidR="009F124E" w:rsidRPr="009F124E" w14:paraId="61B06F3E" w14:textId="77777777" w:rsidTr="00207D0F">
        <w:trPr>
          <w:trHeight w:val="186"/>
          <w:jc w:val="center"/>
        </w:trPr>
        <w:tc>
          <w:tcPr>
            <w:tcW w:w="748" w:type="dxa"/>
            <w:tcBorders>
              <w:top w:val="nil"/>
              <w:left w:val="single" w:sz="8" w:space="0" w:color="auto"/>
              <w:bottom w:val="nil"/>
              <w:right w:val="nil"/>
            </w:tcBorders>
            <w:noWrap/>
            <w:vAlign w:val="center"/>
            <w:hideMark/>
          </w:tcPr>
          <w:p w14:paraId="3C9B0C9E" w14:textId="77777777" w:rsidR="009F124E" w:rsidRPr="009F124E" w:rsidRDefault="009F124E" w:rsidP="009F124E">
            <w:pPr>
              <w:jc w:val="center"/>
              <w:rPr>
                <w:color w:val="000000"/>
                <w:sz w:val="14"/>
                <w:szCs w:val="14"/>
              </w:rPr>
            </w:pPr>
            <w:r w:rsidRPr="009F124E">
              <w:rPr>
                <w:color w:val="000000"/>
                <w:sz w:val="14"/>
                <w:szCs w:val="14"/>
              </w:rPr>
              <w:t>13</w:t>
            </w:r>
          </w:p>
        </w:tc>
        <w:tc>
          <w:tcPr>
            <w:tcW w:w="3842" w:type="dxa"/>
            <w:tcBorders>
              <w:top w:val="nil"/>
              <w:left w:val="nil"/>
              <w:bottom w:val="nil"/>
              <w:right w:val="single" w:sz="8" w:space="0" w:color="auto"/>
            </w:tcBorders>
            <w:vAlign w:val="center"/>
            <w:hideMark/>
          </w:tcPr>
          <w:p w14:paraId="233FDD05" w14:textId="77777777" w:rsidR="009F124E" w:rsidRPr="009F124E" w:rsidRDefault="009F124E" w:rsidP="009F124E">
            <w:pPr>
              <w:ind w:left="171"/>
              <w:rPr>
                <w:color w:val="000000"/>
                <w:sz w:val="14"/>
                <w:szCs w:val="14"/>
              </w:rPr>
            </w:pPr>
            <w:r w:rsidRPr="009F124E">
              <w:rPr>
                <w:color w:val="000000"/>
                <w:sz w:val="14"/>
                <w:szCs w:val="14"/>
              </w:rPr>
              <w:t>Donaciones</w:t>
            </w:r>
          </w:p>
        </w:tc>
        <w:tc>
          <w:tcPr>
            <w:tcW w:w="1066" w:type="dxa"/>
            <w:tcBorders>
              <w:top w:val="nil"/>
              <w:left w:val="single" w:sz="8" w:space="0" w:color="auto"/>
              <w:bottom w:val="nil"/>
              <w:right w:val="nil"/>
            </w:tcBorders>
            <w:hideMark/>
          </w:tcPr>
          <w:p w14:paraId="640ED790" w14:textId="77777777" w:rsidR="009F124E" w:rsidRPr="009F124E" w:rsidRDefault="009F124E" w:rsidP="009F124E">
            <w:pPr>
              <w:jc w:val="center"/>
              <w:rPr>
                <w:color w:val="000000"/>
                <w:sz w:val="14"/>
                <w:szCs w:val="14"/>
              </w:rPr>
            </w:pPr>
            <w:r w:rsidRPr="009F124E">
              <w:rPr>
                <w:color w:val="000000"/>
                <w:sz w:val="14"/>
                <w:szCs w:val="14"/>
                <w:lang w:eastAsia="en-US"/>
              </w:rPr>
              <w:t>114.9</w:t>
            </w:r>
          </w:p>
        </w:tc>
        <w:tc>
          <w:tcPr>
            <w:tcW w:w="711" w:type="dxa"/>
            <w:tcBorders>
              <w:top w:val="nil"/>
              <w:left w:val="nil"/>
              <w:bottom w:val="nil"/>
              <w:right w:val="single" w:sz="8" w:space="0" w:color="auto"/>
            </w:tcBorders>
            <w:hideMark/>
          </w:tcPr>
          <w:p w14:paraId="2870ABD8" w14:textId="77777777" w:rsidR="009F124E" w:rsidRPr="009F124E" w:rsidRDefault="009F124E" w:rsidP="009F124E">
            <w:pPr>
              <w:jc w:val="center"/>
              <w:rPr>
                <w:color w:val="000000"/>
                <w:sz w:val="14"/>
                <w:szCs w:val="14"/>
              </w:rPr>
            </w:pPr>
            <w:r w:rsidRPr="009F124E">
              <w:rPr>
                <w:color w:val="000000"/>
                <w:sz w:val="14"/>
                <w:szCs w:val="14"/>
                <w:lang w:eastAsia="en-US"/>
              </w:rPr>
              <w:t>159.2</w:t>
            </w:r>
          </w:p>
        </w:tc>
        <w:tc>
          <w:tcPr>
            <w:tcW w:w="1118" w:type="dxa"/>
            <w:tcBorders>
              <w:top w:val="nil"/>
              <w:left w:val="nil"/>
              <w:bottom w:val="nil"/>
              <w:right w:val="nil"/>
            </w:tcBorders>
            <w:noWrap/>
            <w:hideMark/>
          </w:tcPr>
          <w:p w14:paraId="057D52F7" w14:textId="77777777" w:rsidR="009F124E" w:rsidRPr="009F124E" w:rsidRDefault="009F124E" w:rsidP="009F124E">
            <w:pPr>
              <w:jc w:val="center"/>
              <w:rPr>
                <w:color w:val="000000"/>
                <w:sz w:val="14"/>
                <w:szCs w:val="14"/>
              </w:rPr>
            </w:pPr>
            <w:r w:rsidRPr="009F124E">
              <w:rPr>
                <w:color w:val="000000"/>
                <w:sz w:val="14"/>
                <w:szCs w:val="14"/>
                <w:lang w:eastAsia="en-US"/>
              </w:rPr>
              <w:t>0.0</w:t>
            </w:r>
          </w:p>
        </w:tc>
        <w:tc>
          <w:tcPr>
            <w:tcW w:w="715" w:type="dxa"/>
            <w:tcBorders>
              <w:top w:val="nil"/>
              <w:left w:val="nil"/>
              <w:bottom w:val="nil"/>
              <w:right w:val="single" w:sz="8" w:space="0" w:color="auto"/>
            </w:tcBorders>
            <w:noWrap/>
            <w:hideMark/>
          </w:tcPr>
          <w:p w14:paraId="33E48ADF" w14:textId="77777777" w:rsidR="009F124E" w:rsidRPr="009F124E" w:rsidRDefault="009F124E" w:rsidP="009F124E">
            <w:pPr>
              <w:jc w:val="center"/>
              <w:rPr>
                <w:color w:val="000000"/>
                <w:sz w:val="14"/>
                <w:szCs w:val="14"/>
              </w:rPr>
            </w:pPr>
            <w:r w:rsidRPr="009F124E">
              <w:rPr>
                <w:color w:val="000000"/>
                <w:sz w:val="14"/>
                <w:szCs w:val="14"/>
                <w:lang w:eastAsia="en-US"/>
              </w:rPr>
              <w:t>0.0</w:t>
            </w:r>
          </w:p>
        </w:tc>
      </w:tr>
      <w:tr w:rsidR="009F124E" w:rsidRPr="009F124E" w14:paraId="397566FB" w14:textId="77777777" w:rsidTr="00207D0F">
        <w:trPr>
          <w:trHeight w:val="186"/>
          <w:jc w:val="center"/>
        </w:trPr>
        <w:tc>
          <w:tcPr>
            <w:tcW w:w="748" w:type="dxa"/>
            <w:tcBorders>
              <w:top w:val="nil"/>
              <w:left w:val="single" w:sz="8" w:space="0" w:color="auto"/>
              <w:bottom w:val="nil"/>
              <w:right w:val="nil"/>
            </w:tcBorders>
            <w:noWrap/>
            <w:vAlign w:val="center"/>
            <w:hideMark/>
          </w:tcPr>
          <w:p w14:paraId="48A87C62" w14:textId="77777777" w:rsidR="009F124E" w:rsidRPr="009F124E" w:rsidRDefault="009F124E" w:rsidP="009F124E">
            <w:pPr>
              <w:jc w:val="center"/>
              <w:rPr>
                <w:color w:val="000000"/>
                <w:sz w:val="14"/>
                <w:szCs w:val="14"/>
              </w:rPr>
            </w:pPr>
            <w:r w:rsidRPr="009F124E">
              <w:rPr>
                <w:color w:val="000000"/>
                <w:sz w:val="14"/>
                <w:szCs w:val="14"/>
              </w:rPr>
              <w:t>14</w:t>
            </w:r>
          </w:p>
        </w:tc>
        <w:tc>
          <w:tcPr>
            <w:tcW w:w="3842" w:type="dxa"/>
            <w:tcBorders>
              <w:top w:val="nil"/>
              <w:left w:val="nil"/>
              <w:bottom w:val="nil"/>
              <w:right w:val="single" w:sz="8" w:space="0" w:color="auto"/>
            </w:tcBorders>
            <w:vAlign w:val="center"/>
            <w:hideMark/>
          </w:tcPr>
          <w:p w14:paraId="02B893CC" w14:textId="77777777" w:rsidR="009F124E" w:rsidRPr="009F124E" w:rsidRDefault="009F124E" w:rsidP="009F124E">
            <w:pPr>
              <w:ind w:left="171"/>
              <w:rPr>
                <w:color w:val="000000"/>
                <w:sz w:val="14"/>
                <w:szCs w:val="14"/>
              </w:rPr>
            </w:pPr>
            <w:r w:rsidRPr="009F124E">
              <w:rPr>
                <w:color w:val="000000"/>
                <w:sz w:val="14"/>
                <w:szCs w:val="14"/>
              </w:rPr>
              <w:t>Otros ingresos</w:t>
            </w:r>
          </w:p>
        </w:tc>
        <w:tc>
          <w:tcPr>
            <w:tcW w:w="1066" w:type="dxa"/>
            <w:tcBorders>
              <w:top w:val="nil"/>
              <w:left w:val="single" w:sz="8" w:space="0" w:color="auto"/>
              <w:bottom w:val="nil"/>
              <w:right w:val="nil"/>
            </w:tcBorders>
            <w:hideMark/>
          </w:tcPr>
          <w:p w14:paraId="7E0AA490" w14:textId="77777777" w:rsidR="009F124E" w:rsidRPr="009F124E" w:rsidRDefault="009F124E" w:rsidP="009F124E">
            <w:pPr>
              <w:jc w:val="center"/>
              <w:rPr>
                <w:color w:val="000000"/>
                <w:sz w:val="14"/>
                <w:szCs w:val="14"/>
              </w:rPr>
            </w:pPr>
            <w:r w:rsidRPr="009F124E">
              <w:rPr>
                <w:color w:val="000000"/>
                <w:sz w:val="14"/>
                <w:szCs w:val="14"/>
                <w:lang w:eastAsia="en-US"/>
              </w:rPr>
              <w:t>2,383.6</w:t>
            </w:r>
          </w:p>
        </w:tc>
        <w:tc>
          <w:tcPr>
            <w:tcW w:w="711" w:type="dxa"/>
            <w:tcBorders>
              <w:top w:val="nil"/>
              <w:left w:val="nil"/>
              <w:bottom w:val="nil"/>
              <w:right w:val="single" w:sz="8" w:space="0" w:color="auto"/>
            </w:tcBorders>
            <w:hideMark/>
          </w:tcPr>
          <w:p w14:paraId="79583600" w14:textId="77777777" w:rsidR="009F124E" w:rsidRPr="009F124E" w:rsidRDefault="009F124E" w:rsidP="009F124E">
            <w:pPr>
              <w:jc w:val="center"/>
              <w:rPr>
                <w:color w:val="000000"/>
                <w:sz w:val="14"/>
                <w:szCs w:val="14"/>
              </w:rPr>
            </w:pPr>
            <w:r w:rsidRPr="009F124E">
              <w:rPr>
                <w:color w:val="000000"/>
                <w:sz w:val="14"/>
                <w:szCs w:val="14"/>
                <w:lang w:eastAsia="en-US"/>
              </w:rPr>
              <w:t>8,824.5</w:t>
            </w:r>
          </w:p>
        </w:tc>
        <w:tc>
          <w:tcPr>
            <w:tcW w:w="1118" w:type="dxa"/>
            <w:tcBorders>
              <w:top w:val="nil"/>
              <w:left w:val="nil"/>
              <w:bottom w:val="nil"/>
              <w:right w:val="nil"/>
            </w:tcBorders>
            <w:noWrap/>
            <w:hideMark/>
          </w:tcPr>
          <w:p w14:paraId="481CA159" w14:textId="77777777" w:rsidR="009F124E" w:rsidRPr="009F124E" w:rsidRDefault="009F124E" w:rsidP="009F124E">
            <w:pPr>
              <w:jc w:val="center"/>
              <w:rPr>
                <w:color w:val="000000"/>
                <w:sz w:val="14"/>
                <w:szCs w:val="14"/>
              </w:rPr>
            </w:pPr>
            <w:r w:rsidRPr="009F124E">
              <w:rPr>
                <w:color w:val="000000"/>
                <w:sz w:val="14"/>
                <w:szCs w:val="14"/>
                <w:lang w:eastAsia="en-US"/>
              </w:rPr>
              <w:t>0.3</w:t>
            </w:r>
          </w:p>
        </w:tc>
        <w:tc>
          <w:tcPr>
            <w:tcW w:w="715" w:type="dxa"/>
            <w:tcBorders>
              <w:top w:val="nil"/>
              <w:left w:val="nil"/>
              <w:bottom w:val="nil"/>
              <w:right w:val="single" w:sz="8" w:space="0" w:color="auto"/>
            </w:tcBorders>
            <w:noWrap/>
            <w:hideMark/>
          </w:tcPr>
          <w:p w14:paraId="0D66BD36" w14:textId="77777777" w:rsidR="009F124E" w:rsidRPr="009F124E" w:rsidRDefault="009F124E" w:rsidP="009F124E">
            <w:pPr>
              <w:jc w:val="center"/>
              <w:rPr>
                <w:color w:val="000000"/>
                <w:sz w:val="14"/>
                <w:szCs w:val="14"/>
              </w:rPr>
            </w:pPr>
            <w:r w:rsidRPr="009F124E">
              <w:rPr>
                <w:color w:val="000000"/>
                <w:sz w:val="14"/>
                <w:szCs w:val="14"/>
                <w:lang w:eastAsia="en-US"/>
              </w:rPr>
              <w:t>1.2</w:t>
            </w:r>
          </w:p>
        </w:tc>
      </w:tr>
      <w:tr w:rsidR="009F124E" w:rsidRPr="009F124E" w14:paraId="63AEE5D4" w14:textId="77777777" w:rsidTr="00207D0F">
        <w:trPr>
          <w:trHeight w:val="186"/>
          <w:jc w:val="center"/>
        </w:trPr>
        <w:tc>
          <w:tcPr>
            <w:tcW w:w="748" w:type="dxa"/>
            <w:tcBorders>
              <w:top w:val="nil"/>
              <w:left w:val="single" w:sz="8" w:space="0" w:color="auto"/>
              <w:bottom w:val="nil"/>
              <w:right w:val="nil"/>
            </w:tcBorders>
            <w:noWrap/>
            <w:vAlign w:val="center"/>
            <w:hideMark/>
          </w:tcPr>
          <w:p w14:paraId="67FC8505" w14:textId="77777777" w:rsidR="009F124E" w:rsidRPr="009F124E" w:rsidRDefault="009F124E" w:rsidP="009F124E">
            <w:pPr>
              <w:jc w:val="center"/>
              <w:rPr>
                <w:b/>
                <w:bCs/>
                <w:color w:val="000000"/>
                <w:sz w:val="14"/>
                <w:szCs w:val="14"/>
              </w:rPr>
            </w:pPr>
            <w:r w:rsidRPr="009F124E">
              <w:rPr>
                <w:b/>
                <w:bCs/>
                <w:color w:val="000000"/>
                <w:sz w:val="14"/>
                <w:szCs w:val="14"/>
              </w:rPr>
              <w:t>2</w:t>
            </w:r>
          </w:p>
        </w:tc>
        <w:tc>
          <w:tcPr>
            <w:tcW w:w="3842" w:type="dxa"/>
            <w:tcBorders>
              <w:top w:val="nil"/>
              <w:left w:val="nil"/>
              <w:bottom w:val="nil"/>
              <w:right w:val="single" w:sz="8" w:space="0" w:color="auto"/>
            </w:tcBorders>
            <w:vAlign w:val="center"/>
            <w:hideMark/>
          </w:tcPr>
          <w:p w14:paraId="5D8808DA" w14:textId="77777777" w:rsidR="009F124E" w:rsidRPr="009F124E" w:rsidRDefault="009F124E" w:rsidP="009F124E">
            <w:pPr>
              <w:rPr>
                <w:b/>
                <w:bCs/>
                <w:color w:val="000000"/>
                <w:sz w:val="14"/>
                <w:szCs w:val="14"/>
              </w:rPr>
            </w:pPr>
            <w:r w:rsidRPr="009F124E">
              <w:rPr>
                <w:b/>
                <w:bCs/>
                <w:color w:val="000000"/>
                <w:sz w:val="14"/>
                <w:szCs w:val="14"/>
              </w:rPr>
              <w:t>GASTO</w:t>
            </w:r>
          </w:p>
        </w:tc>
        <w:tc>
          <w:tcPr>
            <w:tcW w:w="1066" w:type="dxa"/>
            <w:tcBorders>
              <w:top w:val="nil"/>
              <w:left w:val="single" w:sz="8" w:space="0" w:color="auto"/>
              <w:bottom w:val="nil"/>
              <w:right w:val="nil"/>
            </w:tcBorders>
            <w:hideMark/>
          </w:tcPr>
          <w:p w14:paraId="46C86C96" w14:textId="77777777" w:rsidR="009F124E" w:rsidRPr="009F124E" w:rsidRDefault="009F124E" w:rsidP="009F124E">
            <w:pPr>
              <w:jc w:val="center"/>
              <w:rPr>
                <w:b/>
                <w:bCs/>
                <w:color w:val="000000"/>
                <w:sz w:val="14"/>
                <w:szCs w:val="14"/>
              </w:rPr>
            </w:pPr>
            <w:r w:rsidRPr="009F124E">
              <w:rPr>
                <w:b/>
                <w:bCs/>
                <w:color w:val="000000"/>
                <w:sz w:val="14"/>
                <w:szCs w:val="14"/>
                <w:lang w:eastAsia="en-US"/>
              </w:rPr>
              <w:t>103,297.1</w:t>
            </w:r>
          </w:p>
        </w:tc>
        <w:tc>
          <w:tcPr>
            <w:tcW w:w="711" w:type="dxa"/>
            <w:tcBorders>
              <w:top w:val="nil"/>
              <w:left w:val="nil"/>
              <w:bottom w:val="nil"/>
              <w:right w:val="single" w:sz="8" w:space="0" w:color="auto"/>
            </w:tcBorders>
            <w:hideMark/>
          </w:tcPr>
          <w:p w14:paraId="11FA84B8" w14:textId="77777777" w:rsidR="009F124E" w:rsidRPr="009F124E" w:rsidRDefault="009F124E" w:rsidP="009F124E">
            <w:pPr>
              <w:jc w:val="center"/>
              <w:rPr>
                <w:b/>
                <w:bCs/>
                <w:color w:val="000000"/>
                <w:sz w:val="14"/>
                <w:szCs w:val="14"/>
              </w:rPr>
            </w:pPr>
            <w:r w:rsidRPr="009F124E">
              <w:rPr>
                <w:b/>
                <w:bCs/>
                <w:color w:val="000000"/>
                <w:sz w:val="14"/>
                <w:szCs w:val="14"/>
                <w:lang w:eastAsia="en-US"/>
              </w:rPr>
              <w:t>111,187.0</w:t>
            </w:r>
          </w:p>
        </w:tc>
        <w:tc>
          <w:tcPr>
            <w:tcW w:w="1118" w:type="dxa"/>
            <w:tcBorders>
              <w:top w:val="nil"/>
              <w:left w:val="nil"/>
              <w:bottom w:val="nil"/>
              <w:right w:val="nil"/>
            </w:tcBorders>
            <w:noWrap/>
            <w:hideMark/>
          </w:tcPr>
          <w:p w14:paraId="52C25298" w14:textId="77777777" w:rsidR="009F124E" w:rsidRPr="009F124E" w:rsidRDefault="009F124E" w:rsidP="009F124E">
            <w:pPr>
              <w:jc w:val="center"/>
              <w:rPr>
                <w:b/>
                <w:bCs/>
                <w:color w:val="000000"/>
                <w:sz w:val="14"/>
                <w:szCs w:val="14"/>
              </w:rPr>
            </w:pPr>
            <w:r w:rsidRPr="009F124E">
              <w:rPr>
                <w:b/>
                <w:bCs/>
                <w:color w:val="000000"/>
                <w:sz w:val="14"/>
                <w:szCs w:val="14"/>
                <w:lang w:eastAsia="en-US"/>
              </w:rPr>
              <w:t>14.0</w:t>
            </w:r>
          </w:p>
        </w:tc>
        <w:tc>
          <w:tcPr>
            <w:tcW w:w="715" w:type="dxa"/>
            <w:tcBorders>
              <w:top w:val="nil"/>
              <w:left w:val="nil"/>
              <w:bottom w:val="nil"/>
              <w:right w:val="single" w:sz="8" w:space="0" w:color="auto"/>
            </w:tcBorders>
            <w:noWrap/>
            <w:hideMark/>
          </w:tcPr>
          <w:p w14:paraId="03E78390" w14:textId="77777777" w:rsidR="009F124E" w:rsidRPr="009F124E" w:rsidRDefault="009F124E" w:rsidP="009F124E">
            <w:pPr>
              <w:jc w:val="center"/>
              <w:rPr>
                <w:b/>
                <w:bCs/>
                <w:color w:val="000000"/>
                <w:sz w:val="14"/>
                <w:szCs w:val="14"/>
              </w:rPr>
            </w:pPr>
            <w:r w:rsidRPr="009F124E">
              <w:rPr>
                <w:b/>
                <w:bCs/>
                <w:color w:val="000000"/>
                <w:sz w:val="14"/>
                <w:szCs w:val="14"/>
                <w:lang w:eastAsia="en-US"/>
              </w:rPr>
              <w:t>15.1</w:t>
            </w:r>
          </w:p>
        </w:tc>
      </w:tr>
      <w:tr w:rsidR="009F124E" w:rsidRPr="009F124E" w14:paraId="4CCA48BF" w14:textId="77777777" w:rsidTr="00207D0F">
        <w:trPr>
          <w:trHeight w:val="186"/>
          <w:jc w:val="center"/>
        </w:trPr>
        <w:tc>
          <w:tcPr>
            <w:tcW w:w="748" w:type="dxa"/>
            <w:tcBorders>
              <w:top w:val="nil"/>
              <w:left w:val="single" w:sz="8" w:space="0" w:color="auto"/>
              <w:bottom w:val="nil"/>
              <w:right w:val="nil"/>
            </w:tcBorders>
            <w:noWrap/>
            <w:vAlign w:val="center"/>
            <w:hideMark/>
          </w:tcPr>
          <w:p w14:paraId="47B3F0E6" w14:textId="77777777" w:rsidR="009F124E" w:rsidRPr="009F124E" w:rsidRDefault="009F124E" w:rsidP="009F124E">
            <w:pPr>
              <w:jc w:val="center"/>
              <w:rPr>
                <w:color w:val="000000"/>
                <w:sz w:val="14"/>
                <w:szCs w:val="14"/>
              </w:rPr>
            </w:pPr>
            <w:r w:rsidRPr="009F124E">
              <w:rPr>
                <w:color w:val="000000"/>
                <w:sz w:val="14"/>
                <w:szCs w:val="14"/>
              </w:rPr>
              <w:t>21</w:t>
            </w:r>
          </w:p>
        </w:tc>
        <w:tc>
          <w:tcPr>
            <w:tcW w:w="3842" w:type="dxa"/>
            <w:tcBorders>
              <w:top w:val="nil"/>
              <w:left w:val="nil"/>
              <w:bottom w:val="nil"/>
              <w:right w:val="single" w:sz="8" w:space="0" w:color="auto"/>
            </w:tcBorders>
            <w:vAlign w:val="center"/>
            <w:hideMark/>
          </w:tcPr>
          <w:p w14:paraId="5D2D7D32" w14:textId="77777777" w:rsidR="009F124E" w:rsidRPr="009F124E" w:rsidRDefault="009F124E" w:rsidP="009F124E">
            <w:pPr>
              <w:ind w:left="171"/>
              <w:rPr>
                <w:color w:val="000000"/>
                <w:sz w:val="14"/>
                <w:szCs w:val="14"/>
              </w:rPr>
            </w:pPr>
            <w:r w:rsidRPr="009F124E">
              <w:rPr>
                <w:color w:val="000000"/>
                <w:sz w:val="14"/>
                <w:szCs w:val="14"/>
              </w:rPr>
              <w:t>Remuneración a los empleados</w:t>
            </w:r>
          </w:p>
        </w:tc>
        <w:tc>
          <w:tcPr>
            <w:tcW w:w="1066" w:type="dxa"/>
            <w:tcBorders>
              <w:top w:val="nil"/>
              <w:left w:val="single" w:sz="8" w:space="0" w:color="auto"/>
              <w:bottom w:val="nil"/>
              <w:right w:val="nil"/>
            </w:tcBorders>
            <w:hideMark/>
          </w:tcPr>
          <w:p w14:paraId="3528D89B" w14:textId="77777777" w:rsidR="009F124E" w:rsidRPr="009F124E" w:rsidRDefault="009F124E" w:rsidP="009F124E">
            <w:pPr>
              <w:jc w:val="center"/>
              <w:rPr>
                <w:color w:val="000000"/>
                <w:sz w:val="14"/>
                <w:szCs w:val="14"/>
              </w:rPr>
            </w:pPr>
            <w:r w:rsidRPr="009F124E">
              <w:rPr>
                <w:color w:val="000000"/>
                <w:sz w:val="14"/>
                <w:szCs w:val="14"/>
                <w:lang w:eastAsia="en-US"/>
              </w:rPr>
              <w:t>32,267.1</w:t>
            </w:r>
          </w:p>
        </w:tc>
        <w:tc>
          <w:tcPr>
            <w:tcW w:w="711" w:type="dxa"/>
            <w:tcBorders>
              <w:top w:val="nil"/>
              <w:left w:val="nil"/>
              <w:bottom w:val="nil"/>
              <w:right w:val="single" w:sz="8" w:space="0" w:color="auto"/>
            </w:tcBorders>
            <w:hideMark/>
          </w:tcPr>
          <w:p w14:paraId="7B0A8C4B" w14:textId="77777777" w:rsidR="009F124E" w:rsidRPr="009F124E" w:rsidRDefault="009F124E" w:rsidP="009F124E">
            <w:pPr>
              <w:jc w:val="center"/>
              <w:rPr>
                <w:color w:val="000000"/>
                <w:sz w:val="14"/>
                <w:szCs w:val="14"/>
              </w:rPr>
            </w:pPr>
            <w:r w:rsidRPr="009F124E">
              <w:rPr>
                <w:color w:val="000000"/>
                <w:sz w:val="14"/>
                <w:szCs w:val="14"/>
                <w:lang w:eastAsia="en-US"/>
              </w:rPr>
              <w:t>50,767.6</w:t>
            </w:r>
          </w:p>
        </w:tc>
        <w:tc>
          <w:tcPr>
            <w:tcW w:w="1118" w:type="dxa"/>
            <w:tcBorders>
              <w:top w:val="nil"/>
              <w:left w:val="nil"/>
              <w:bottom w:val="nil"/>
              <w:right w:val="nil"/>
            </w:tcBorders>
            <w:noWrap/>
            <w:hideMark/>
          </w:tcPr>
          <w:p w14:paraId="5EB51F37" w14:textId="77777777" w:rsidR="009F124E" w:rsidRPr="009F124E" w:rsidRDefault="009F124E" w:rsidP="009F124E">
            <w:pPr>
              <w:jc w:val="center"/>
              <w:rPr>
                <w:color w:val="000000"/>
                <w:sz w:val="14"/>
                <w:szCs w:val="14"/>
              </w:rPr>
            </w:pPr>
            <w:r w:rsidRPr="009F124E">
              <w:rPr>
                <w:color w:val="000000"/>
                <w:sz w:val="14"/>
                <w:szCs w:val="14"/>
                <w:lang w:eastAsia="en-US"/>
              </w:rPr>
              <w:t>4.4</w:t>
            </w:r>
          </w:p>
        </w:tc>
        <w:tc>
          <w:tcPr>
            <w:tcW w:w="715" w:type="dxa"/>
            <w:tcBorders>
              <w:top w:val="nil"/>
              <w:left w:val="nil"/>
              <w:bottom w:val="nil"/>
              <w:right w:val="single" w:sz="8" w:space="0" w:color="auto"/>
            </w:tcBorders>
            <w:noWrap/>
            <w:hideMark/>
          </w:tcPr>
          <w:p w14:paraId="657B787D" w14:textId="77777777" w:rsidR="009F124E" w:rsidRPr="009F124E" w:rsidRDefault="009F124E" w:rsidP="009F124E">
            <w:pPr>
              <w:jc w:val="center"/>
              <w:rPr>
                <w:color w:val="000000"/>
                <w:sz w:val="14"/>
                <w:szCs w:val="14"/>
              </w:rPr>
            </w:pPr>
            <w:r w:rsidRPr="009F124E">
              <w:rPr>
                <w:color w:val="000000"/>
                <w:sz w:val="14"/>
                <w:szCs w:val="14"/>
                <w:lang w:eastAsia="en-US"/>
              </w:rPr>
              <w:t>6.9</w:t>
            </w:r>
          </w:p>
        </w:tc>
      </w:tr>
      <w:tr w:rsidR="009F124E" w:rsidRPr="009F124E" w14:paraId="09479A62" w14:textId="77777777" w:rsidTr="00207D0F">
        <w:trPr>
          <w:trHeight w:val="186"/>
          <w:jc w:val="center"/>
        </w:trPr>
        <w:tc>
          <w:tcPr>
            <w:tcW w:w="748" w:type="dxa"/>
            <w:tcBorders>
              <w:top w:val="nil"/>
              <w:left w:val="single" w:sz="8" w:space="0" w:color="auto"/>
              <w:bottom w:val="nil"/>
              <w:right w:val="nil"/>
            </w:tcBorders>
            <w:noWrap/>
            <w:vAlign w:val="center"/>
            <w:hideMark/>
          </w:tcPr>
          <w:p w14:paraId="0755B277" w14:textId="77777777" w:rsidR="009F124E" w:rsidRPr="009F124E" w:rsidRDefault="009F124E" w:rsidP="009F124E">
            <w:pPr>
              <w:jc w:val="center"/>
              <w:rPr>
                <w:color w:val="000000"/>
                <w:sz w:val="14"/>
                <w:szCs w:val="14"/>
              </w:rPr>
            </w:pPr>
            <w:r w:rsidRPr="009F124E">
              <w:rPr>
                <w:color w:val="000000"/>
                <w:sz w:val="14"/>
                <w:szCs w:val="14"/>
              </w:rPr>
              <w:t>22</w:t>
            </w:r>
          </w:p>
        </w:tc>
        <w:tc>
          <w:tcPr>
            <w:tcW w:w="3842" w:type="dxa"/>
            <w:tcBorders>
              <w:top w:val="nil"/>
              <w:left w:val="nil"/>
              <w:bottom w:val="nil"/>
              <w:right w:val="single" w:sz="8" w:space="0" w:color="auto"/>
            </w:tcBorders>
            <w:vAlign w:val="center"/>
            <w:hideMark/>
          </w:tcPr>
          <w:p w14:paraId="7DAC21FE" w14:textId="77777777" w:rsidR="009F124E" w:rsidRPr="009F124E" w:rsidRDefault="009F124E" w:rsidP="009F124E">
            <w:pPr>
              <w:ind w:left="171"/>
              <w:rPr>
                <w:color w:val="000000"/>
                <w:sz w:val="14"/>
                <w:szCs w:val="14"/>
              </w:rPr>
            </w:pPr>
            <w:r w:rsidRPr="009F124E">
              <w:rPr>
                <w:color w:val="000000"/>
                <w:sz w:val="14"/>
                <w:szCs w:val="14"/>
              </w:rPr>
              <w:t>Uso de bienes y servicios</w:t>
            </w:r>
          </w:p>
        </w:tc>
        <w:tc>
          <w:tcPr>
            <w:tcW w:w="1066" w:type="dxa"/>
            <w:tcBorders>
              <w:top w:val="nil"/>
              <w:left w:val="single" w:sz="8" w:space="0" w:color="auto"/>
              <w:bottom w:val="nil"/>
              <w:right w:val="nil"/>
            </w:tcBorders>
            <w:hideMark/>
          </w:tcPr>
          <w:p w14:paraId="4FA11844" w14:textId="77777777" w:rsidR="009F124E" w:rsidRPr="009F124E" w:rsidRDefault="009F124E" w:rsidP="009F124E">
            <w:pPr>
              <w:jc w:val="center"/>
              <w:rPr>
                <w:color w:val="000000"/>
                <w:sz w:val="14"/>
                <w:szCs w:val="14"/>
              </w:rPr>
            </w:pPr>
            <w:r w:rsidRPr="009F124E">
              <w:rPr>
                <w:color w:val="000000"/>
                <w:sz w:val="14"/>
                <w:szCs w:val="14"/>
                <w:lang w:eastAsia="en-US"/>
              </w:rPr>
              <w:t>16,657.0</w:t>
            </w:r>
          </w:p>
        </w:tc>
        <w:tc>
          <w:tcPr>
            <w:tcW w:w="711" w:type="dxa"/>
            <w:tcBorders>
              <w:top w:val="nil"/>
              <w:left w:val="nil"/>
              <w:bottom w:val="nil"/>
              <w:right w:val="single" w:sz="8" w:space="0" w:color="auto"/>
            </w:tcBorders>
            <w:hideMark/>
          </w:tcPr>
          <w:p w14:paraId="722CC071" w14:textId="77777777" w:rsidR="009F124E" w:rsidRPr="009F124E" w:rsidRDefault="009F124E" w:rsidP="009F124E">
            <w:pPr>
              <w:jc w:val="center"/>
              <w:rPr>
                <w:color w:val="000000"/>
                <w:sz w:val="14"/>
                <w:szCs w:val="14"/>
              </w:rPr>
            </w:pPr>
            <w:r w:rsidRPr="009F124E">
              <w:rPr>
                <w:color w:val="000000"/>
                <w:sz w:val="14"/>
                <w:szCs w:val="14"/>
                <w:lang w:eastAsia="en-US"/>
              </w:rPr>
              <w:t>24,469.1</w:t>
            </w:r>
          </w:p>
        </w:tc>
        <w:tc>
          <w:tcPr>
            <w:tcW w:w="1118" w:type="dxa"/>
            <w:tcBorders>
              <w:top w:val="nil"/>
              <w:left w:val="nil"/>
              <w:bottom w:val="nil"/>
              <w:right w:val="nil"/>
            </w:tcBorders>
            <w:noWrap/>
            <w:hideMark/>
          </w:tcPr>
          <w:p w14:paraId="39DFA3CA" w14:textId="77777777" w:rsidR="009F124E" w:rsidRPr="009F124E" w:rsidRDefault="009F124E" w:rsidP="009F124E">
            <w:pPr>
              <w:jc w:val="center"/>
              <w:rPr>
                <w:color w:val="000000"/>
                <w:sz w:val="14"/>
                <w:szCs w:val="14"/>
              </w:rPr>
            </w:pPr>
            <w:r w:rsidRPr="009F124E">
              <w:rPr>
                <w:color w:val="000000"/>
                <w:sz w:val="14"/>
                <w:szCs w:val="14"/>
                <w:lang w:eastAsia="en-US"/>
              </w:rPr>
              <w:t>2.3</w:t>
            </w:r>
          </w:p>
        </w:tc>
        <w:tc>
          <w:tcPr>
            <w:tcW w:w="715" w:type="dxa"/>
            <w:tcBorders>
              <w:top w:val="nil"/>
              <w:left w:val="nil"/>
              <w:bottom w:val="nil"/>
              <w:right w:val="single" w:sz="8" w:space="0" w:color="auto"/>
            </w:tcBorders>
            <w:noWrap/>
            <w:hideMark/>
          </w:tcPr>
          <w:p w14:paraId="539B5639" w14:textId="77777777" w:rsidR="009F124E" w:rsidRPr="009F124E" w:rsidRDefault="009F124E" w:rsidP="009F124E">
            <w:pPr>
              <w:jc w:val="center"/>
              <w:rPr>
                <w:color w:val="000000"/>
                <w:sz w:val="14"/>
                <w:szCs w:val="14"/>
              </w:rPr>
            </w:pPr>
            <w:r w:rsidRPr="009F124E">
              <w:rPr>
                <w:color w:val="000000"/>
                <w:sz w:val="14"/>
                <w:szCs w:val="14"/>
                <w:lang w:eastAsia="en-US"/>
              </w:rPr>
              <w:t>3.3</w:t>
            </w:r>
          </w:p>
        </w:tc>
      </w:tr>
      <w:tr w:rsidR="009F124E" w:rsidRPr="009F124E" w14:paraId="744FF624" w14:textId="77777777" w:rsidTr="00207D0F">
        <w:trPr>
          <w:trHeight w:val="186"/>
          <w:jc w:val="center"/>
        </w:trPr>
        <w:tc>
          <w:tcPr>
            <w:tcW w:w="748" w:type="dxa"/>
            <w:tcBorders>
              <w:top w:val="nil"/>
              <w:left w:val="single" w:sz="8" w:space="0" w:color="auto"/>
              <w:bottom w:val="nil"/>
              <w:right w:val="nil"/>
            </w:tcBorders>
            <w:noWrap/>
            <w:vAlign w:val="center"/>
            <w:hideMark/>
          </w:tcPr>
          <w:p w14:paraId="1AFA54A1" w14:textId="77777777" w:rsidR="009F124E" w:rsidRPr="009F124E" w:rsidRDefault="009F124E" w:rsidP="009F124E">
            <w:pPr>
              <w:jc w:val="center"/>
              <w:rPr>
                <w:color w:val="000000"/>
                <w:sz w:val="14"/>
                <w:szCs w:val="14"/>
              </w:rPr>
            </w:pPr>
            <w:r w:rsidRPr="009F124E">
              <w:rPr>
                <w:color w:val="000000"/>
                <w:sz w:val="14"/>
                <w:szCs w:val="14"/>
              </w:rPr>
              <w:t>24</w:t>
            </w:r>
          </w:p>
        </w:tc>
        <w:tc>
          <w:tcPr>
            <w:tcW w:w="3842" w:type="dxa"/>
            <w:tcBorders>
              <w:top w:val="nil"/>
              <w:left w:val="nil"/>
              <w:bottom w:val="nil"/>
              <w:right w:val="single" w:sz="8" w:space="0" w:color="auto"/>
            </w:tcBorders>
            <w:vAlign w:val="center"/>
            <w:hideMark/>
          </w:tcPr>
          <w:p w14:paraId="108D72B7" w14:textId="77777777" w:rsidR="009F124E" w:rsidRPr="009F124E" w:rsidRDefault="009F124E" w:rsidP="009F124E">
            <w:pPr>
              <w:ind w:left="171"/>
              <w:rPr>
                <w:color w:val="000000"/>
                <w:sz w:val="14"/>
                <w:szCs w:val="14"/>
              </w:rPr>
            </w:pPr>
            <w:r w:rsidRPr="009F124E">
              <w:rPr>
                <w:color w:val="000000"/>
                <w:sz w:val="14"/>
                <w:szCs w:val="14"/>
              </w:rPr>
              <w:t>Intereses</w:t>
            </w:r>
          </w:p>
        </w:tc>
        <w:tc>
          <w:tcPr>
            <w:tcW w:w="1066" w:type="dxa"/>
            <w:tcBorders>
              <w:top w:val="nil"/>
              <w:left w:val="single" w:sz="8" w:space="0" w:color="auto"/>
              <w:bottom w:val="nil"/>
              <w:right w:val="nil"/>
            </w:tcBorders>
            <w:hideMark/>
          </w:tcPr>
          <w:p w14:paraId="1D76A23C" w14:textId="77777777" w:rsidR="009F124E" w:rsidRPr="009F124E" w:rsidRDefault="009F124E" w:rsidP="009F124E">
            <w:pPr>
              <w:jc w:val="center"/>
              <w:rPr>
                <w:color w:val="000000"/>
                <w:sz w:val="14"/>
                <w:szCs w:val="14"/>
              </w:rPr>
            </w:pPr>
            <w:r w:rsidRPr="009F124E">
              <w:rPr>
                <w:color w:val="000000"/>
                <w:sz w:val="14"/>
                <w:szCs w:val="14"/>
                <w:lang w:eastAsia="en-US"/>
              </w:rPr>
              <w:t>12,120.5</w:t>
            </w:r>
          </w:p>
        </w:tc>
        <w:tc>
          <w:tcPr>
            <w:tcW w:w="711" w:type="dxa"/>
            <w:tcBorders>
              <w:top w:val="nil"/>
              <w:left w:val="nil"/>
              <w:bottom w:val="nil"/>
              <w:right w:val="single" w:sz="8" w:space="0" w:color="auto"/>
            </w:tcBorders>
            <w:hideMark/>
          </w:tcPr>
          <w:p w14:paraId="6B3AA3C6" w14:textId="77777777" w:rsidR="009F124E" w:rsidRPr="009F124E" w:rsidRDefault="009F124E" w:rsidP="009F124E">
            <w:pPr>
              <w:jc w:val="center"/>
              <w:rPr>
                <w:color w:val="000000"/>
                <w:sz w:val="14"/>
                <w:szCs w:val="14"/>
              </w:rPr>
            </w:pPr>
            <w:r w:rsidRPr="009F124E">
              <w:rPr>
                <w:color w:val="000000"/>
                <w:sz w:val="14"/>
                <w:szCs w:val="14"/>
                <w:lang w:eastAsia="en-US"/>
              </w:rPr>
              <w:t>11,006.1</w:t>
            </w:r>
          </w:p>
        </w:tc>
        <w:tc>
          <w:tcPr>
            <w:tcW w:w="1118" w:type="dxa"/>
            <w:tcBorders>
              <w:top w:val="nil"/>
              <w:left w:val="nil"/>
              <w:bottom w:val="nil"/>
              <w:right w:val="nil"/>
            </w:tcBorders>
            <w:noWrap/>
            <w:hideMark/>
          </w:tcPr>
          <w:p w14:paraId="43A9C3D0" w14:textId="77777777" w:rsidR="009F124E" w:rsidRPr="009F124E" w:rsidRDefault="009F124E" w:rsidP="009F124E">
            <w:pPr>
              <w:jc w:val="center"/>
              <w:rPr>
                <w:color w:val="000000"/>
                <w:sz w:val="14"/>
                <w:szCs w:val="14"/>
              </w:rPr>
            </w:pPr>
            <w:r w:rsidRPr="009F124E">
              <w:rPr>
                <w:color w:val="000000"/>
                <w:sz w:val="14"/>
                <w:szCs w:val="14"/>
                <w:lang w:eastAsia="en-US"/>
              </w:rPr>
              <w:t>1.6</w:t>
            </w:r>
          </w:p>
        </w:tc>
        <w:tc>
          <w:tcPr>
            <w:tcW w:w="715" w:type="dxa"/>
            <w:tcBorders>
              <w:top w:val="nil"/>
              <w:left w:val="nil"/>
              <w:bottom w:val="nil"/>
              <w:right w:val="single" w:sz="8" w:space="0" w:color="auto"/>
            </w:tcBorders>
            <w:noWrap/>
            <w:hideMark/>
          </w:tcPr>
          <w:p w14:paraId="62C9D728" w14:textId="77777777" w:rsidR="009F124E" w:rsidRPr="009F124E" w:rsidRDefault="009F124E" w:rsidP="009F124E">
            <w:pPr>
              <w:jc w:val="center"/>
              <w:rPr>
                <w:color w:val="000000"/>
                <w:sz w:val="14"/>
                <w:szCs w:val="14"/>
              </w:rPr>
            </w:pPr>
            <w:r w:rsidRPr="009F124E">
              <w:rPr>
                <w:color w:val="000000"/>
                <w:sz w:val="14"/>
                <w:szCs w:val="14"/>
                <w:lang w:eastAsia="en-US"/>
              </w:rPr>
              <w:t>1.5</w:t>
            </w:r>
          </w:p>
        </w:tc>
      </w:tr>
      <w:tr w:rsidR="009F124E" w:rsidRPr="009F124E" w14:paraId="18C3B643" w14:textId="77777777" w:rsidTr="00207D0F">
        <w:trPr>
          <w:trHeight w:val="186"/>
          <w:jc w:val="center"/>
        </w:trPr>
        <w:tc>
          <w:tcPr>
            <w:tcW w:w="748" w:type="dxa"/>
            <w:tcBorders>
              <w:top w:val="nil"/>
              <w:left w:val="single" w:sz="8" w:space="0" w:color="auto"/>
              <w:bottom w:val="nil"/>
              <w:right w:val="nil"/>
            </w:tcBorders>
            <w:noWrap/>
            <w:vAlign w:val="center"/>
            <w:hideMark/>
          </w:tcPr>
          <w:p w14:paraId="3AA2B066" w14:textId="77777777" w:rsidR="009F124E" w:rsidRPr="009F124E" w:rsidRDefault="009F124E" w:rsidP="009F124E">
            <w:pPr>
              <w:jc w:val="center"/>
              <w:rPr>
                <w:color w:val="000000"/>
                <w:sz w:val="14"/>
                <w:szCs w:val="14"/>
              </w:rPr>
            </w:pPr>
            <w:r w:rsidRPr="009F124E">
              <w:rPr>
                <w:color w:val="000000"/>
                <w:sz w:val="14"/>
                <w:szCs w:val="14"/>
              </w:rPr>
              <w:t>25</w:t>
            </w:r>
          </w:p>
        </w:tc>
        <w:tc>
          <w:tcPr>
            <w:tcW w:w="3842" w:type="dxa"/>
            <w:tcBorders>
              <w:top w:val="nil"/>
              <w:left w:val="nil"/>
              <w:bottom w:val="nil"/>
              <w:right w:val="single" w:sz="8" w:space="0" w:color="auto"/>
            </w:tcBorders>
            <w:vAlign w:val="center"/>
            <w:hideMark/>
          </w:tcPr>
          <w:p w14:paraId="0E56137F" w14:textId="77777777" w:rsidR="009F124E" w:rsidRPr="009F124E" w:rsidRDefault="009F124E" w:rsidP="009F124E">
            <w:pPr>
              <w:ind w:left="171"/>
              <w:rPr>
                <w:color w:val="000000"/>
                <w:sz w:val="14"/>
                <w:szCs w:val="14"/>
              </w:rPr>
            </w:pPr>
            <w:r w:rsidRPr="009F124E">
              <w:rPr>
                <w:color w:val="000000"/>
                <w:sz w:val="14"/>
                <w:szCs w:val="14"/>
              </w:rPr>
              <w:t>Subsidios</w:t>
            </w:r>
          </w:p>
        </w:tc>
        <w:tc>
          <w:tcPr>
            <w:tcW w:w="1066" w:type="dxa"/>
            <w:tcBorders>
              <w:top w:val="nil"/>
              <w:left w:val="single" w:sz="8" w:space="0" w:color="auto"/>
              <w:bottom w:val="nil"/>
              <w:right w:val="nil"/>
            </w:tcBorders>
            <w:hideMark/>
          </w:tcPr>
          <w:p w14:paraId="1736ABD5" w14:textId="77777777" w:rsidR="009F124E" w:rsidRPr="009F124E" w:rsidRDefault="009F124E" w:rsidP="009F124E">
            <w:pPr>
              <w:jc w:val="center"/>
              <w:rPr>
                <w:color w:val="000000"/>
                <w:sz w:val="14"/>
                <w:szCs w:val="14"/>
              </w:rPr>
            </w:pPr>
            <w:r w:rsidRPr="009F124E">
              <w:rPr>
                <w:color w:val="000000"/>
                <w:sz w:val="14"/>
                <w:szCs w:val="14"/>
                <w:lang w:eastAsia="en-US"/>
              </w:rPr>
              <w:t>3,424.5</w:t>
            </w:r>
          </w:p>
        </w:tc>
        <w:tc>
          <w:tcPr>
            <w:tcW w:w="711" w:type="dxa"/>
            <w:tcBorders>
              <w:top w:val="nil"/>
              <w:left w:val="nil"/>
              <w:bottom w:val="nil"/>
              <w:right w:val="single" w:sz="8" w:space="0" w:color="auto"/>
            </w:tcBorders>
            <w:hideMark/>
          </w:tcPr>
          <w:p w14:paraId="276AC2CD" w14:textId="77777777" w:rsidR="009F124E" w:rsidRPr="009F124E" w:rsidRDefault="009F124E" w:rsidP="009F124E">
            <w:pPr>
              <w:jc w:val="center"/>
              <w:rPr>
                <w:color w:val="000000"/>
                <w:sz w:val="14"/>
                <w:szCs w:val="14"/>
              </w:rPr>
            </w:pPr>
            <w:r w:rsidRPr="009F124E">
              <w:rPr>
                <w:color w:val="000000"/>
                <w:sz w:val="14"/>
                <w:szCs w:val="14"/>
                <w:lang w:eastAsia="en-US"/>
              </w:rPr>
              <w:t>3,425.5</w:t>
            </w:r>
          </w:p>
        </w:tc>
        <w:tc>
          <w:tcPr>
            <w:tcW w:w="1118" w:type="dxa"/>
            <w:tcBorders>
              <w:top w:val="nil"/>
              <w:left w:val="nil"/>
              <w:bottom w:val="nil"/>
              <w:right w:val="nil"/>
            </w:tcBorders>
            <w:noWrap/>
            <w:hideMark/>
          </w:tcPr>
          <w:p w14:paraId="45C003B2" w14:textId="77777777" w:rsidR="009F124E" w:rsidRPr="009F124E" w:rsidRDefault="009F124E" w:rsidP="009F124E">
            <w:pPr>
              <w:jc w:val="center"/>
              <w:rPr>
                <w:color w:val="000000"/>
                <w:sz w:val="14"/>
                <w:szCs w:val="14"/>
              </w:rPr>
            </w:pPr>
            <w:r w:rsidRPr="009F124E">
              <w:rPr>
                <w:color w:val="000000"/>
                <w:sz w:val="14"/>
                <w:szCs w:val="14"/>
                <w:lang w:eastAsia="en-US"/>
              </w:rPr>
              <w:t>0.5</w:t>
            </w:r>
          </w:p>
        </w:tc>
        <w:tc>
          <w:tcPr>
            <w:tcW w:w="715" w:type="dxa"/>
            <w:tcBorders>
              <w:top w:val="nil"/>
              <w:left w:val="nil"/>
              <w:bottom w:val="nil"/>
              <w:right w:val="single" w:sz="8" w:space="0" w:color="auto"/>
            </w:tcBorders>
            <w:noWrap/>
            <w:hideMark/>
          </w:tcPr>
          <w:p w14:paraId="725A999B" w14:textId="77777777" w:rsidR="009F124E" w:rsidRPr="009F124E" w:rsidRDefault="009F124E" w:rsidP="009F124E">
            <w:pPr>
              <w:jc w:val="center"/>
              <w:rPr>
                <w:color w:val="000000"/>
                <w:sz w:val="14"/>
                <w:szCs w:val="14"/>
              </w:rPr>
            </w:pPr>
            <w:r w:rsidRPr="009F124E">
              <w:rPr>
                <w:color w:val="000000"/>
                <w:sz w:val="14"/>
                <w:szCs w:val="14"/>
                <w:lang w:eastAsia="en-US"/>
              </w:rPr>
              <w:t>0.5</w:t>
            </w:r>
          </w:p>
        </w:tc>
      </w:tr>
      <w:tr w:rsidR="009F124E" w:rsidRPr="009F124E" w14:paraId="32107D60" w14:textId="77777777" w:rsidTr="00207D0F">
        <w:trPr>
          <w:trHeight w:val="186"/>
          <w:jc w:val="center"/>
        </w:trPr>
        <w:tc>
          <w:tcPr>
            <w:tcW w:w="748" w:type="dxa"/>
            <w:tcBorders>
              <w:top w:val="nil"/>
              <w:left w:val="single" w:sz="8" w:space="0" w:color="auto"/>
              <w:bottom w:val="nil"/>
              <w:right w:val="nil"/>
            </w:tcBorders>
            <w:noWrap/>
            <w:vAlign w:val="center"/>
            <w:hideMark/>
          </w:tcPr>
          <w:p w14:paraId="2733F1FF" w14:textId="77777777" w:rsidR="009F124E" w:rsidRPr="009F124E" w:rsidRDefault="009F124E" w:rsidP="009F124E">
            <w:pPr>
              <w:jc w:val="center"/>
              <w:rPr>
                <w:color w:val="000000"/>
                <w:sz w:val="14"/>
                <w:szCs w:val="14"/>
              </w:rPr>
            </w:pPr>
            <w:r w:rsidRPr="009F124E">
              <w:rPr>
                <w:color w:val="000000"/>
                <w:sz w:val="14"/>
                <w:szCs w:val="14"/>
              </w:rPr>
              <w:t>26</w:t>
            </w:r>
          </w:p>
        </w:tc>
        <w:tc>
          <w:tcPr>
            <w:tcW w:w="3842" w:type="dxa"/>
            <w:tcBorders>
              <w:top w:val="nil"/>
              <w:left w:val="nil"/>
              <w:bottom w:val="nil"/>
              <w:right w:val="single" w:sz="8" w:space="0" w:color="auto"/>
            </w:tcBorders>
            <w:vAlign w:val="center"/>
            <w:hideMark/>
          </w:tcPr>
          <w:p w14:paraId="0ED78C52" w14:textId="77777777" w:rsidR="009F124E" w:rsidRPr="009F124E" w:rsidRDefault="009F124E" w:rsidP="009F124E">
            <w:pPr>
              <w:ind w:left="171"/>
              <w:rPr>
                <w:color w:val="000000"/>
                <w:sz w:val="14"/>
                <w:szCs w:val="14"/>
              </w:rPr>
            </w:pPr>
            <w:r w:rsidRPr="009F124E">
              <w:rPr>
                <w:color w:val="000000"/>
                <w:sz w:val="14"/>
                <w:szCs w:val="14"/>
              </w:rPr>
              <w:t>Donaciones</w:t>
            </w:r>
          </w:p>
        </w:tc>
        <w:tc>
          <w:tcPr>
            <w:tcW w:w="1066" w:type="dxa"/>
            <w:tcBorders>
              <w:top w:val="nil"/>
              <w:left w:val="single" w:sz="8" w:space="0" w:color="auto"/>
              <w:bottom w:val="nil"/>
              <w:right w:val="nil"/>
            </w:tcBorders>
            <w:hideMark/>
          </w:tcPr>
          <w:p w14:paraId="7E2EE09B" w14:textId="77777777" w:rsidR="009F124E" w:rsidRPr="009F124E" w:rsidRDefault="009F124E" w:rsidP="009F124E">
            <w:pPr>
              <w:jc w:val="center"/>
              <w:rPr>
                <w:color w:val="000000"/>
                <w:sz w:val="14"/>
                <w:szCs w:val="14"/>
              </w:rPr>
            </w:pPr>
            <w:r w:rsidRPr="009F124E">
              <w:rPr>
                <w:color w:val="000000"/>
                <w:sz w:val="14"/>
                <w:szCs w:val="14"/>
                <w:lang w:eastAsia="en-US"/>
              </w:rPr>
              <w:t>24,908.9</w:t>
            </w:r>
          </w:p>
        </w:tc>
        <w:tc>
          <w:tcPr>
            <w:tcW w:w="711" w:type="dxa"/>
            <w:tcBorders>
              <w:top w:val="nil"/>
              <w:left w:val="nil"/>
              <w:bottom w:val="nil"/>
              <w:right w:val="single" w:sz="8" w:space="0" w:color="auto"/>
            </w:tcBorders>
            <w:hideMark/>
          </w:tcPr>
          <w:p w14:paraId="676B8AB3" w14:textId="77777777" w:rsidR="009F124E" w:rsidRPr="009F124E" w:rsidRDefault="009F124E" w:rsidP="009F124E">
            <w:pPr>
              <w:jc w:val="center"/>
              <w:rPr>
                <w:color w:val="000000"/>
                <w:sz w:val="14"/>
                <w:szCs w:val="14"/>
              </w:rPr>
            </w:pPr>
            <w:r w:rsidRPr="009F124E">
              <w:rPr>
                <w:color w:val="000000"/>
                <w:sz w:val="14"/>
                <w:szCs w:val="14"/>
                <w:lang w:eastAsia="en-US"/>
              </w:rPr>
              <w:t>516.0</w:t>
            </w:r>
          </w:p>
        </w:tc>
        <w:tc>
          <w:tcPr>
            <w:tcW w:w="1118" w:type="dxa"/>
            <w:tcBorders>
              <w:top w:val="nil"/>
              <w:left w:val="nil"/>
              <w:bottom w:val="nil"/>
              <w:right w:val="nil"/>
            </w:tcBorders>
            <w:noWrap/>
            <w:hideMark/>
          </w:tcPr>
          <w:p w14:paraId="23B4E08D" w14:textId="77777777" w:rsidR="009F124E" w:rsidRPr="009F124E" w:rsidRDefault="009F124E" w:rsidP="009F124E">
            <w:pPr>
              <w:jc w:val="center"/>
              <w:rPr>
                <w:color w:val="000000"/>
                <w:sz w:val="14"/>
                <w:szCs w:val="14"/>
              </w:rPr>
            </w:pPr>
            <w:r w:rsidRPr="009F124E">
              <w:rPr>
                <w:color w:val="000000"/>
                <w:sz w:val="14"/>
                <w:szCs w:val="14"/>
                <w:lang w:eastAsia="en-US"/>
              </w:rPr>
              <w:t>3.4</w:t>
            </w:r>
          </w:p>
        </w:tc>
        <w:tc>
          <w:tcPr>
            <w:tcW w:w="715" w:type="dxa"/>
            <w:tcBorders>
              <w:top w:val="nil"/>
              <w:left w:val="nil"/>
              <w:bottom w:val="nil"/>
              <w:right w:val="single" w:sz="8" w:space="0" w:color="auto"/>
            </w:tcBorders>
            <w:noWrap/>
            <w:hideMark/>
          </w:tcPr>
          <w:p w14:paraId="6D174DCC" w14:textId="77777777" w:rsidR="009F124E" w:rsidRPr="009F124E" w:rsidRDefault="009F124E" w:rsidP="009F124E">
            <w:pPr>
              <w:jc w:val="center"/>
              <w:rPr>
                <w:color w:val="000000"/>
                <w:sz w:val="14"/>
                <w:szCs w:val="14"/>
              </w:rPr>
            </w:pPr>
            <w:r w:rsidRPr="009F124E">
              <w:rPr>
                <w:color w:val="000000"/>
                <w:sz w:val="14"/>
                <w:szCs w:val="14"/>
                <w:lang w:eastAsia="en-US"/>
              </w:rPr>
              <w:t>0.1</w:t>
            </w:r>
          </w:p>
        </w:tc>
      </w:tr>
      <w:tr w:rsidR="009F124E" w:rsidRPr="009F124E" w14:paraId="79FD474B" w14:textId="77777777" w:rsidTr="00207D0F">
        <w:trPr>
          <w:trHeight w:val="186"/>
          <w:jc w:val="center"/>
        </w:trPr>
        <w:tc>
          <w:tcPr>
            <w:tcW w:w="748" w:type="dxa"/>
            <w:tcBorders>
              <w:top w:val="nil"/>
              <w:left w:val="single" w:sz="8" w:space="0" w:color="auto"/>
              <w:bottom w:val="nil"/>
              <w:right w:val="nil"/>
            </w:tcBorders>
            <w:noWrap/>
            <w:vAlign w:val="center"/>
            <w:hideMark/>
          </w:tcPr>
          <w:p w14:paraId="3DA6A5DD" w14:textId="77777777" w:rsidR="009F124E" w:rsidRPr="009F124E" w:rsidRDefault="009F124E" w:rsidP="009F124E">
            <w:pPr>
              <w:jc w:val="center"/>
              <w:rPr>
                <w:color w:val="000000"/>
                <w:sz w:val="14"/>
                <w:szCs w:val="14"/>
              </w:rPr>
            </w:pPr>
            <w:r w:rsidRPr="009F124E">
              <w:rPr>
                <w:color w:val="000000"/>
                <w:sz w:val="14"/>
                <w:szCs w:val="14"/>
              </w:rPr>
              <w:t>27</w:t>
            </w:r>
          </w:p>
        </w:tc>
        <w:tc>
          <w:tcPr>
            <w:tcW w:w="3842" w:type="dxa"/>
            <w:tcBorders>
              <w:top w:val="nil"/>
              <w:left w:val="nil"/>
              <w:bottom w:val="nil"/>
              <w:right w:val="single" w:sz="8" w:space="0" w:color="auto"/>
            </w:tcBorders>
            <w:vAlign w:val="center"/>
            <w:hideMark/>
          </w:tcPr>
          <w:p w14:paraId="3D35EEE5" w14:textId="77777777" w:rsidR="009F124E" w:rsidRPr="009F124E" w:rsidRDefault="009F124E" w:rsidP="009F124E">
            <w:pPr>
              <w:ind w:left="171"/>
              <w:rPr>
                <w:color w:val="000000"/>
                <w:sz w:val="14"/>
                <w:szCs w:val="14"/>
              </w:rPr>
            </w:pPr>
            <w:r w:rsidRPr="009F124E">
              <w:rPr>
                <w:color w:val="000000"/>
                <w:sz w:val="14"/>
                <w:szCs w:val="14"/>
              </w:rPr>
              <w:t>Prestaciones sociales</w:t>
            </w:r>
          </w:p>
        </w:tc>
        <w:tc>
          <w:tcPr>
            <w:tcW w:w="1066" w:type="dxa"/>
            <w:tcBorders>
              <w:top w:val="nil"/>
              <w:left w:val="single" w:sz="8" w:space="0" w:color="auto"/>
              <w:bottom w:val="nil"/>
              <w:right w:val="nil"/>
            </w:tcBorders>
            <w:hideMark/>
          </w:tcPr>
          <w:p w14:paraId="591A9856" w14:textId="77777777" w:rsidR="009F124E" w:rsidRPr="009F124E" w:rsidRDefault="009F124E" w:rsidP="009F124E">
            <w:pPr>
              <w:jc w:val="center"/>
              <w:rPr>
                <w:color w:val="000000"/>
                <w:sz w:val="14"/>
                <w:szCs w:val="14"/>
              </w:rPr>
            </w:pPr>
            <w:r w:rsidRPr="009F124E">
              <w:rPr>
                <w:color w:val="000000"/>
                <w:sz w:val="14"/>
                <w:szCs w:val="14"/>
                <w:lang w:eastAsia="en-US"/>
              </w:rPr>
              <w:t>6,428.6</w:t>
            </w:r>
          </w:p>
        </w:tc>
        <w:tc>
          <w:tcPr>
            <w:tcW w:w="711" w:type="dxa"/>
            <w:tcBorders>
              <w:top w:val="nil"/>
              <w:left w:val="nil"/>
              <w:bottom w:val="nil"/>
              <w:right w:val="single" w:sz="8" w:space="0" w:color="auto"/>
            </w:tcBorders>
            <w:hideMark/>
          </w:tcPr>
          <w:p w14:paraId="6C531094" w14:textId="77777777" w:rsidR="009F124E" w:rsidRPr="009F124E" w:rsidRDefault="009F124E" w:rsidP="009F124E">
            <w:pPr>
              <w:jc w:val="center"/>
              <w:rPr>
                <w:color w:val="000000"/>
                <w:sz w:val="14"/>
                <w:szCs w:val="14"/>
              </w:rPr>
            </w:pPr>
            <w:r w:rsidRPr="009F124E">
              <w:rPr>
                <w:color w:val="000000"/>
                <w:sz w:val="14"/>
                <w:szCs w:val="14"/>
                <w:lang w:eastAsia="en-US"/>
              </w:rPr>
              <w:t>12,921.5</w:t>
            </w:r>
          </w:p>
        </w:tc>
        <w:tc>
          <w:tcPr>
            <w:tcW w:w="1118" w:type="dxa"/>
            <w:tcBorders>
              <w:top w:val="nil"/>
              <w:left w:val="nil"/>
              <w:bottom w:val="nil"/>
              <w:right w:val="nil"/>
            </w:tcBorders>
            <w:noWrap/>
            <w:hideMark/>
          </w:tcPr>
          <w:p w14:paraId="49AFE8D7" w14:textId="77777777" w:rsidR="009F124E" w:rsidRPr="009F124E" w:rsidRDefault="009F124E" w:rsidP="009F124E">
            <w:pPr>
              <w:jc w:val="center"/>
              <w:rPr>
                <w:color w:val="000000"/>
                <w:sz w:val="14"/>
                <w:szCs w:val="14"/>
              </w:rPr>
            </w:pPr>
            <w:r w:rsidRPr="009F124E">
              <w:rPr>
                <w:color w:val="000000"/>
                <w:sz w:val="14"/>
                <w:szCs w:val="14"/>
                <w:lang w:eastAsia="en-US"/>
              </w:rPr>
              <w:t>0.9</w:t>
            </w:r>
          </w:p>
        </w:tc>
        <w:tc>
          <w:tcPr>
            <w:tcW w:w="715" w:type="dxa"/>
            <w:tcBorders>
              <w:top w:val="nil"/>
              <w:left w:val="nil"/>
              <w:bottom w:val="nil"/>
              <w:right w:val="single" w:sz="8" w:space="0" w:color="auto"/>
            </w:tcBorders>
            <w:noWrap/>
            <w:hideMark/>
          </w:tcPr>
          <w:p w14:paraId="7C84494F" w14:textId="77777777" w:rsidR="009F124E" w:rsidRPr="009F124E" w:rsidRDefault="009F124E" w:rsidP="009F124E">
            <w:pPr>
              <w:jc w:val="center"/>
              <w:rPr>
                <w:color w:val="000000"/>
                <w:sz w:val="14"/>
                <w:szCs w:val="14"/>
              </w:rPr>
            </w:pPr>
            <w:r w:rsidRPr="009F124E">
              <w:rPr>
                <w:color w:val="000000"/>
                <w:sz w:val="14"/>
                <w:szCs w:val="14"/>
                <w:lang w:eastAsia="en-US"/>
              </w:rPr>
              <w:t>1.8</w:t>
            </w:r>
          </w:p>
        </w:tc>
      </w:tr>
      <w:tr w:rsidR="009F124E" w:rsidRPr="009F124E" w14:paraId="24248169" w14:textId="77777777" w:rsidTr="00207D0F">
        <w:trPr>
          <w:trHeight w:val="186"/>
          <w:jc w:val="center"/>
        </w:trPr>
        <w:tc>
          <w:tcPr>
            <w:tcW w:w="748" w:type="dxa"/>
            <w:tcBorders>
              <w:top w:val="nil"/>
              <w:left w:val="single" w:sz="8" w:space="0" w:color="auto"/>
              <w:bottom w:val="nil"/>
              <w:right w:val="nil"/>
            </w:tcBorders>
            <w:noWrap/>
            <w:vAlign w:val="center"/>
            <w:hideMark/>
          </w:tcPr>
          <w:p w14:paraId="04A50229" w14:textId="77777777" w:rsidR="009F124E" w:rsidRPr="009F124E" w:rsidRDefault="009F124E" w:rsidP="009F124E">
            <w:pPr>
              <w:jc w:val="center"/>
              <w:rPr>
                <w:color w:val="000000"/>
                <w:sz w:val="14"/>
                <w:szCs w:val="14"/>
              </w:rPr>
            </w:pPr>
            <w:r w:rsidRPr="009F124E">
              <w:rPr>
                <w:color w:val="000000"/>
                <w:sz w:val="14"/>
                <w:szCs w:val="14"/>
              </w:rPr>
              <w:t>28</w:t>
            </w:r>
          </w:p>
        </w:tc>
        <w:tc>
          <w:tcPr>
            <w:tcW w:w="3842" w:type="dxa"/>
            <w:tcBorders>
              <w:top w:val="nil"/>
              <w:left w:val="nil"/>
              <w:bottom w:val="nil"/>
              <w:right w:val="single" w:sz="8" w:space="0" w:color="auto"/>
            </w:tcBorders>
            <w:vAlign w:val="center"/>
            <w:hideMark/>
          </w:tcPr>
          <w:p w14:paraId="49508063" w14:textId="77777777" w:rsidR="009F124E" w:rsidRPr="009F124E" w:rsidRDefault="009F124E" w:rsidP="009F124E">
            <w:pPr>
              <w:ind w:left="171"/>
              <w:rPr>
                <w:color w:val="000000"/>
                <w:sz w:val="14"/>
                <w:szCs w:val="14"/>
              </w:rPr>
            </w:pPr>
            <w:r w:rsidRPr="009F124E">
              <w:rPr>
                <w:color w:val="000000"/>
                <w:sz w:val="14"/>
                <w:szCs w:val="14"/>
              </w:rPr>
              <w:t>Otros gastos</w:t>
            </w:r>
          </w:p>
        </w:tc>
        <w:tc>
          <w:tcPr>
            <w:tcW w:w="1066" w:type="dxa"/>
            <w:tcBorders>
              <w:top w:val="nil"/>
              <w:left w:val="single" w:sz="8" w:space="0" w:color="auto"/>
              <w:bottom w:val="nil"/>
              <w:right w:val="nil"/>
            </w:tcBorders>
            <w:hideMark/>
          </w:tcPr>
          <w:p w14:paraId="305A3739" w14:textId="77777777" w:rsidR="009F124E" w:rsidRPr="009F124E" w:rsidRDefault="009F124E" w:rsidP="009F124E">
            <w:pPr>
              <w:jc w:val="center"/>
              <w:rPr>
                <w:color w:val="000000"/>
                <w:sz w:val="14"/>
                <w:szCs w:val="14"/>
              </w:rPr>
            </w:pPr>
            <w:r w:rsidRPr="009F124E">
              <w:rPr>
                <w:color w:val="000000"/>
                <w:sz w:val="14"/>
                <w:szCs w:val="14"/>
                <w:lang w:eastAsia="en-US"/>
              </w:rPr>
              <w:t>7,490.4</w:t>
            </w:r>
          </w:p>
        </w:tc>
        <w:tc>
          <w:tcPr>
            <w:tcW w:w="711" w:type="dxa"/>
            <w:tcBorders>
              <w:top w:val="nil"/>
              <w:left w:val="nil"/>
              <w:bottom w:val="nil"/>
              <w:right w:val="single" w:sz="8" w:space="0" w:color="auto"/>
            </w:tcBorders>
            <w:hideMark/>
          </w:tcPr>
          <w:p w14:paraId="100556B5" w14:textId="77777777" w:rsidR="009F124E" w:rsidRPr="009F124E" w:rsidRDefault="009F124E" w:rsidP="009F124E">
            <w:pPr>
              <w:jc w:val="center"/>
              <w:rPr>
                <w:color w:val="000000"/>
                <w:sz w:val="14"/>
                <w:szCs w:val="14"/>
              </w:rPr>
            </w:pPr>
            <w:r w:rsidRPr="009F124E">
              <w:rPr>
                <w:color w:val="000000"/>
                <w:sz w:val="14"/>
                <w:szCs w:val="14"/>
                <w:lang w:eastAsia="en-US"/>
              </w:rPr>
              <w:t>8,081.3</w:t>
            </w:r>
          </w:p>
        </w:tc>
        <w:tc>
          <w:tcPr>
            <w:tcW w:w="1118" w:type="dxa"/>
            <w:tcBorders>
              <w:top w:val="nil"/>
              <w:left w:val="nil"/>
              <w:bottom w:val="nil"/>
              <w:right w:val="nil"/>
            </w:tcBorders>
            <w:noWrap/>
            <w:hideMark/>
          </w:tcPr>
          <w:p w14:paraId="37DC1ECB" w14:textId="77777777" w:rsidR="009F124E" w:rsidRPr="009F124E" w:rsidRDefault="009F124E" w:rsidP="009F124E">
            <w:pPr>
              <w:jc w:val="center"/>
              <w:rPr>
                <w:color w:val="000000"/>
                <w:sz w:val="14"/>
                <w:szCs w:val="14"/>
              </w:rPr>
            </w:pPr>
            <w:r w:rsidRPr="009F124E">
              <w:rPr>
                <w:color w:val="000000"/>
                <w:sz w:val="14"/>
                <w:szCs w:val="14"/>
                <w:lang w:eastAsia="en-US"/>
              </w:rPr>
              <w:t>1.0</w:t>
            </w:r>
          </w:p>
        </w:tc>
        <w:tc>
          <w:tcPr>
            <w:tcW w:w="715" w:type="dxa"/>
            <w:tcBorders>
              <w:top w:val="nil"/>
              <w:left w:val="nil"/>
              <w:bottom w:val="nil"/>
              <w:right w:val="single" w:sz="8" w:space="0" w:color="auto"/>
            </w:tcBorders>
            <w:noWrap/>
            <w:hideMark/>
          </w:tcPr>
          <w:p w14:paraId="12961EB3" w14:textId="77777777" w:rsidR="009F124E" w:rsidRPr="009F124E" w:rsidRDefault="009F124E" w:rsidP="009F124E">
            <w:pPr>
              <w:jc w:val="center"/>
              <w:rPr>
                <w:color w:val="000000"/>
                <w:sz w:val="14"/>
                <w:szCs w:val="14"/>
              </w:rPr>
            </w:pPr>
            <w:r w:rsidRPr="009F124E">
              <w:rPr>
                <w:color w:val="000000"/>
                <w:sz w:val="14"/>
                <w:szCs w:val="14"/>
                <w:lang w:eastAsia="en-US"/>
              </w:rPr>
              <w:t>1.1</w:t>
            </w:r>
          </w:p>
        </w:tc>
      </w:tr>
      <w:tr w:rsidR="009F124E" w:rsidRPr="009F124E" w14:paraId="4601387B" w14:textId="77777777" w:rsidTr="00207D0F">
        <w:trPr>
          <w:trHeight w:val="198"/>
          <w:jc w:val="center"/>
        </w:trPr>
        <w:tc>
          <w:tcPr>
            <w:tcW w:w="748" w:type="dxa"/>
            <w:tcBorders>
              <w:top w:val="nil"/>
              <w:left w:val="single" w:sz="8" w:space="0" w:color="auto"/>
              <w:bottom w:val="nil"/>
              <w:right w:val="nil"/>
            </w:tcBorders>
            <w:shd w:val="clear" w:color="000000" w:fill="D6DCE4"/>
            <w:noWrap/>
            <w:vAlign w:val="center"/>
            <w:hideMark/>
          </w:tcPr>
          <w:p w14:paraId="27855E74" w14:textId="77777777" w:rsidR="009F124E" w:rsidRPr="009F124E" w:rsidRDefault="009F124E" w:rsidP="009F124E">
            <w:pPr>
              <w:jc w:val="center"/>
              <w:rPr>
                <w:b/>
                <w:bCs/>
                <w:color w:val="000000"/>
                <w:sz w:val="14"/>
                <w:szCs w:val="14"/>
              </w:rPr>
            </w:pPr>
            <w:r w:rsidRPr="009F124E">
              <w:rPr>
                <w:b/>
                <w:bCs/>
                <w:color w:val="000000"/>
                <w:sz w:val="14"/>
                <w:szCs w:val="14"/>
              </w:rPr>
              <w:t>NOB</w:t>
            </w:r>
          </w:p>
        </w:tc>
        <w:tc>
          <w:tcPr>
            <w:tcW w:w="3842" w:type="dxa"/>
            <w:tcBorders>
              <w:top w:val="nil"/>
              <w:left w:val="nil"/>
              <w:bottom w:val="nil"/>
              <w:right w:val="single" w:sz="8" w:space="0" w:color="auto"/>
            </w:tcBorders>
            <w:shd w:val="clear" w:color="000000" w:fill="D6DCE4"/>
            <w:vAlign w:val="center"/>
            <w:hideMark/>
          </w:tcPr>
          <w:p w14:paraId="428562A7" w14:textId="77777777" w:rsidR="009F124E" w:rsidRPr="009F124E" w:rsidRDefault="009F124E" w:rsidP="009F124E">
            <w:pPr>
              <w:rPr>
                <w:b/>
                <w:bCs/>
                <w:color w:val="000000"/>
                <w:sz w:val="14"/>
                <w:szCs w:val="14"/>
              </w:rPr>
            </w:pPr>
            <w:r w:rsidRPr="009F124E">
              <w:rPr>
                <w:b/>
                <w:bCs/>
                <w:color w:val="000000"/>
                <w:sz w:val="14"/>
                <w:szCs w:val="14"/>
              </w:rPr>
              <w:t>Resultado Operativo (1-2)</w:t>
            </w:r>
          </w:p>
        </w:tc>
        <w:tc>
          <w:tcPr>
            <w:tcW w:w="1066" w:type="dxa"/>
            <w:tcBorders>
              <w:top w:val="nil"/>
              <w:left w:val="single" w:sz="8" w:space="0" w:color="auto"/>
              <w:bottom w:val="nil"/>
              <w:right w:val="nil"/>
            </w:tcBorders>
            <w:shd w:val="clear" w:color="000000" w:fill="D6DCE4"/>
            <w:hideMark/>
          </w:tcPr>
          <w:p w14:paraId="12268AB2" w14:textId="77777777" w:rsidR="009F124E" w:rsidRPr="009F124E" w:rsidRDefault="009F124E" w:rsidP="009F124E">
            <w:pPr>
              <w:jc w:val="center"/>
              <w:rPr>
                <w:b/>
                <w:bCs/>
                <w:color w:val="000000"/>
                <w:sz w:val="14"/>
                <w:szCs w:val="14"/>
              </w:rPr>
            </w:pPr>
            <w:r w:rsidRPr="009F124E">
              <w:rPr>
                <w:b/>
                <w:bCs/>
                <w:color w:val="000000"/>
                <w:sz w:val="14"/>
                <w:szCs w:val="14"/>
                <w:lang w:eastAsia="en-US"/>
              </w:rPr>
              <w:t>-8,033.5</w:t>
            </w:r>
          </w:p>
        </w:tc>
        <w:tc>
          <w:tcPr>
            <w:tcW w:w="711" w:type="dxa"/>
            <w:tcBorders>
              <w:top w:val="nil"/>
              <w:left w:val="nil"/>
              <w:bottom w:val="nil"/>
              <w:right w:val="single" w:sz="8" w:space="0" w:color="auto"/>
            </w:tcBorders>
            <w:shd w:val="clear" w:color="000000" w:fill="D6DCE4"/>
            <w:hideMark/>
          </w:tcPr>
          <w:p w14:paraId="6BA382F6" w14:textId="77777777" w:rsidR="009F124E" w:rsidRPr="009F124E" w:rsidRDefault="009F124E" w:rsidP="009F124E">
            <w:pPr>
              <w:jc w:val="center"/>
              <w:rPr>
                <w:b/>
                <w:bCs/>
                <w:color w:val="000000"/>
                <w:sz w:val="14"/>
                <w:szCs w:val="14"/>
              </w:rPr>
            </w:pPr>
            <w:r w:rsidRPr="009F124E">
              <w:rPr>
                <w:b/>
                <w:bCs/>
                <w:color w:val="000000"/>
                <w:sz w:val="14"/>
                <w:szCs w:val="14"/>
                <w:lang w:eastAsia="en-US"/>
              </w:rPr>
              <w:t>9,136.3</w:t>
            </w:r>
          </w:p>
        </w:tc>
        <w:tc>
          <w:tcPr>
            <w:tcW w:w="1118" w:type="dxa"/>
            <w:tcBorders>
              <w:top w:val="nil"/>
              <w:left w:val="nil"/>
              <w:bottom w:val="nil"/>
              <w:right w:val="nil"/>
            </w:tcBorders>
            <w:shd w:val="clear" w:color="000000" w:fill="D6DCE4"/>
            <w:noWrap/>
            <w:hideMark/>
          </w:tcPr>
          <w:p w14:paraId="7AE40F53" w14:textId="77777777" w:rsidR="009F124E" w:rsidRPr="009F124E" w:rsidRDefault="009F124E" w:rsidP="009F124E">
            <w:pPr>
              <w:jc w:val="center"/>
              <w:rPr>
                <w:b/>
                <w:bCs/>
                <w:color w:val="000000"/>
                <w:sz w:val="14"/>
                <w:szCs w:val="14"/>
              </w:rPr>
            </w:pPr>
            <w:r w:rsidRPr="009F124E">
              <w:rPr>
                <w:b/>
                <w:bCs/>
                <w:color w:val="000000"/>
                <w:sz w:val="14"/>
                <w:szCs w:val="14"/>
                <w:lang w:eastAsia="en-US"/>
              </w:rPr>
              <w:t>-1.1</w:t>
            </w:r>
          </w:p>
        </w:tc>
        <w:tc>
          <w:tcPr>
            <w:tcW w:w="715" w:type="dxa"/>
            <w:tcBorders>
              <w:top w:val="nil"/>
              <w:left w:val="nil"/>
              <w:bottom w:val="nil"/>
              <w:right w:val="single" w:sz="8" w:space="0" w:color="auto"/>
            </w:tcBorders>
            <w:shd w:val="clear" w:color="000000" w:fill="D6DCE4"/>
            <w:noWrap/>
            <w:hideMark/>
          </w:tcPr>
          <w:p w14:paraId="1A2CDC04" w14:textId="77777777" w:rsidR="009F124E" w:rsidRPr="009F124E" w:rsidRDefault="009F124E" w:rsidP="009F124E">
            <w:pPr>
              <w:jc w:val="center"/>
              <w:rPr>
                <w:b/>
                <w:bCs/>
                <w:color w:val="000000"/>
                <w:sz w:val="14"/>
                <w:szCs w:val="14"/>
              </w:rPr>
            </w:pPr>
            <w:r w:rsidRPr="009F124E">
              <w:rPr>
                <w:b/>
                <w:bCs/>
                <w:color w:val="000000"/>
                <w:sz w:val="14"/>
                <w:szCs w:val="14"/>
                <w:lang w:eastAsia="en-US"/>
              </w:rPr>
              <w:t>1.2</w:t>
            </w:r>
          </w:p>
        </w:tc>
      </w:tr>
      <w:tr w:rsidR="009F124E" w:rsidRPr="009F124E" w14:paraId="3DBD7A66" w14:textId="77777777" w:rsidTr="009F124E">
        <w:trPr>
          <w:trHeight w:val="198"/>
          <w:jc w:val="center"/>
        </w:trPr>
        <w:tc>
          <w:tcPr>
            <w:tcW w:w="8200" w:type="dxa"/>
            <w:gridSpan w:val="6"/>
            <w:tcBorders>
              <w:top w:val="single" w:sz="8" w:space="0" w:color="auto"/>
              <w:left w:val="single" w:sz="8" w:space="0" w:color="auto"/>
              <w:bottom w:val="single" w:sz="8" w:space="0" w:color="auto"/>
              <w:right w:val="single" w:sz="8" w:space="0" w:color="000000"/>
            </w:tcBorders>
            <w:shd w:val="clear" w:color="auto" w:fill="E2EFD9"/>
            <w:noWrap/>
            <w:vAlign w:val="center"/>
            <w:hideMark/>
          </w:tcPr>
          <w:p w14:paraId="37E094E9" w14:textId="77777777" w:rsidR="009F124E" w:rsidRPr="009F124E" w:rsidRDefault="009F124E" w:rsidP="009F124E">
            <w:pPr>
              <w:jc w:val="center"/>
              <w:rPr>
                <w:b/>
                <w:bCs/>
                <w:color w:val="000000"/>
                <w:sz w:val="14"/>
                <w:szCs w:val="14"/>
              </w:rPr>
            </w:pPr>
            <w:r w:rsidRPr="009F124E">
              <w:rPr>
                <w:b/>
                <w:bCs/>
                <w:color w:val="000000"/>
                <w:sz w:val="14"/>
                <w:szCs w:val="14"/>
              </w:rPr>
              <w:t>TRANSACCIONES EN ACTIVOS NO FINANCIEROS</w:t>
            </w:r>
          </w:p>
        </w:tc>
      </w:tr>
      <w:tr w:rsidR="009F124E" w:rsidRPr="009F124E" w14:paraId="2088A278" w14:textId="77777777" w:rsidTr="00207D0F">
        <w:trPr>
          <w:trHeight w:val="74"/>
          <w:jc w:val="center"/>
        </w:trPr>
        <w:tc>
          <w:tcPr>
            <w:tcW w:w="748" w:type="dxa"/>
            <w:tcBorders>
              <w:top w:val="nil"/>
              <w:left w:val="single" w:sz="8" w:space="0" w:color="auto"/>
              <w:bottom w:val="nil"/>
              <w:right w:val="nil"/>
            </w:tcBorders>
            <w:noWrap/>
            <w:vAlign w:val="center"/>
            <w:hideMark/>
          </w:tcPr>
          <w:p w14:paraId="290D6709" w14:textId="77777777" w:rsidR="009F124E" w:rsidRPr="009F124E" w:rsidRDefault="009F124E" w:rsidP="009F124E">
            <w:pPr>
              <w:jc w:val="center"/>
              <w:rPr>
                <w:b/>
                <w:bCs/>
                <w:color w:val="000000"/>
                <w:sz w:val="14"/>
                <w:szCs w:val="14"/>
              </w:rPr>
            </w:pPr>
            <w:r w:rsidRPr="009F124E">
              <w:rPr>
                <w:b/>
                <w:bCs/>
                <w:color w:val="000000"/>
                <w:sz w:val="14"/>
                <w:szCs w:val="14"/>
              </w:rPr>
              <w:t>31</w:t>
            </w:r>
          </w:p>
        </w:tc>
        <w:tc>
          <w:tcPr>
            <w:tcW w:w="3842" w:type="dxa"/>
            <w:tcBorders>
              <w:top w:val="nil"/>
              <w:left w:val="nil"/>
              <w:bottom w:val="nil"/>
              <w:right w:val="single" w:sz="8" w:space="0" w:color="auto"/>
            </w:tcBorders>
            <w:vAlign w:val="center"/>
            <w:hideMark/>
          </w:tcPr>
          <w:p w14:paraId="02367ECB" w14:textId="77777777" w:rsidR="009F124E" w:rsidRPr="009F124E" w:rsidRDefault="009F124E" w:rsidP="009F124E">
            <w:pPr>
              <w:rPr>
                <w:b/>
                <w:bCs/>
                <w:color w:val="000000"/>
                <w:sz w:val="14"/>
                <w:szCs w:val="14"/>
              </w:rPr>
            </w:pPr>
            <w:r w:rsidRPr="009F124E">
              <w:rPr>
                <w:b/>
                <w:bCs/>
                <w:color w:val="000000"/>
                <w:sz w:val="14"/>
                <w:szCs w:val="14"/>
              </w:rPr>
              <w:t>Inversión neta/bruta en activos no financieros</w:t>
            </w:r>
          </w:p>
        </w:tc>
        <w:tc>
          <w:tcPr>
            <w:tcW w:w="1066" w:type="dxa"/>
            <w:tcBorders>
              <w:top w:val="nil"/>
              <w:left w:val="single" w:sz="8" w:space="0" w:color="auto"/>
              <w:bottom w:val="nil"/>
              <w:right w:val="nil"/>
            </w:tcBorders>
            <w:vAlign w:val="center"/>
            <w:hideMark/>
          </w:tcPr>
          <w:p w14:paraId="7FAADFE6" w14:textId="77777777" w:rsidR="009F124E" w:rsidRPr="009F124E" w:rsidRDefault="009F124E" w:rsidP="009F124E">
            <w:pPr>
              <w:jc w:val="center"/>
              <w:rPr>
                <w:b/>
                <w:bCs/>
                <w:color w:val="000000"/>
                <w:sz w:val="14"/>
                <w:szCs w:val="14"/>
              </w:rPr>
            </w:pPr>
            <w:r w:rsidRPr="009F124E">
              <w:rPr>
                <w:b/>
                <w:bCs/>
                <w:color w:val="000000"/>
                <w:sz w:val="14"/>
                <w:szCs w:val="14"/>
                <w:lang w:eastAsia="en-US"/>
              </w:rPr>
              <w:t>4,622.8</w:t>
            </w:r>
          </w:p>
        </w:tc>
        <w:tc>
          <w:tcPr>
            <w:tcW w:w="711" w:type="dxa"/>
            <w:tcBorders>
              <w:top w:val="nil"/>
              <w:left w:val="nil"/>
              <w:bottom w:val="nil"/>
              <w:right w:val="single" w:sz="8" w:space="0" w:color="auto"/>
            </w:tcBorders>
            <w:vAlign w:val="center"/>
            <w:hideMark/>
          </w:tcPr>
          <w:p w14:paraId="595C7690" w14:textId="77777777" w:rsidR="009F124E" w:rsidRPr="009F124E" w:rsidRDefault="009F124E" w:rsidP="009F124E">
            <w:pPr>
              <w:jc w:val="center"/>
              <w:rPr>
                <w:b/>
                <w:bCs/>
                <w:color w:val="000000"/>
                <w:sz w:val="14"/>
                <w:szCs w:val="14"/>
              </w:rPr>
            </w:pPr>
            <w:r w:rsidRPr="009F124E">
              <w:rPr>
                <w:b/>
                <w:bCs/>
                <w:color w:val="000000"/>
                <w:sz w:val="14"/>
                <w:szCs w:val="14"/>
                <w:lang w:eastAsia="en-US"/>
              </w:rPr>
              <w:t>16,703.6</w:t>
            </w:r>
          </w:p>
        </w:tc>
        <w:tc>
          <w:tcPr>
            <w:tcW w:w="1118" w:type="dxa"/>
            <w:tcBorders>
              <w:top w:val="nil"/>
              <w:left w:val="nil"/>
              <w:bottom w:val="nil"/>
              <w:right w:val="nil"/>
            </w:tcBorders>
            <w:noWrap/>
            <w:vAlign w:val="center"/>
            <w:hideMark/>
          </w:tcPr>
          <w:p w14:paraId="4B3D5465" w14:textId="77777777" w:rsidR="009F124E" w:rsidRPr="009F124E" w:rsidRDefault="009F124E" w:rsidP="009F124E">
            <w:pPr>
              <w:jc w:val="center"/>
              <w:rPr>
                <w:b/>
                <w:bCs/>
                <w:color w:val="000000"/>
                <w:sz w:val="14"/>
                <w:szCs w:val="14"/>
              </w:rPr>
            </w:pPr>
            <w:r w:rsidRPr="009F124E">
              <w:rPr>
                <w:b/>
                <w:bCs/>
                <w:color w:val="000000"/>
                <w:sz w:val="14"/>
                <w:szCs w:val="14"/>
                <w:lang w:eastAsia="en-US"/>
              </w:rPr>
              <w:t>0.6</w:t>
            </w:r>
          </w:p>
        </w:tc>
        <w:tc>
          <w:tcPr>
            <w:tcW w:w="715" w:type="dxa"/>
            <w:tcBorders>
              <w:top w:val="nil"/>
              <w:left w:val="nil"/>
              <w:bottom w:val="nil"/>
              <w:right w:val="single" w:sz="8" w:space="0" w:color="auto"/>
            </w:tcBorders>
            <w:noWrap/>
            <w:vAlign w:val="center"/>
            <w:hideMark/>
          </w:tcPr>
          <w:p w14:paraId="0ADB779E" w14:textId="77777777" w:rsidR="009F124E" w:rsidRPr="009F124E" w:rsidRDefault="009F124E" w:rsidP="009F124E">
            <w:pPr>
              <w:jc w:val="center"/>
              <w:rPr>
                <w:b/>
                <w:bCs/>
                <w:color w:val="000000"/>
                <w:sz w:val="14"/>
                <w:szCs w:val="14"/>
              </w:rPr>
            </w:pPr>
            <w:r w:rsidRPr="009F124E">
              <w:rPr>
                <w:b/>
                <w:bCs/>
                <w:color w:val="000000"/>
                <w:sz w:val="14"/>
                <w:szCs w:val="14"/>
                <w:lang w:eastAsia="en-US"/>
              </w:rPr>
              <w:t>2.3</w:t>
            </w:r>
          </w:p>
        </w:tc>
      </w:tr>
      <w:tr w:rsidR="009F124E" w:rsidRPr="009F124E" w14:paraId="4AA28803" w14:textId="77777777" w:rsidTr="00207D0F">
        <w:trPr>
          <w:trHeight w:val="186"/>
          <w:jc w:val="center"/>
        </w:trPr>
        <w:tc>
          <w:tcPr>
            <w:tcW w:w="748" w:type="dxa"/>
            <w:tcBorders>
              <w:top w:val="nil"/>
              <w:left w:val="single" w:sz="8" w:space="0" w:color="auto"/>
              <w:bottom w:val="nil"/>
              <w:right w:val="nil"/>
            </w:tcBorders>
            <w:noWrap/>
            <w:vAlign w:val="center"/>
            <w:hideMark/>
          </w:tcPr>
          <w:p w14:paraId="34CDA6AB" w14:textId="77777777" w:rsidR="009F124E" w:rsidRPr="009F124E" w:rsidRDefault="009F124E" w:rsidP="009F124E">
            <w:pPr>
              <w:jc w:val="center"/>
              <w:rPr>
                <w:b/>
                <w:bCs/>
                <w:color w:val="000000"/>
                <w:sz w:val="14"/>
                <w:szCs w:val="14"/>
              </w:rPr>
            </w:pPr>
            <w:r w:rsidRPr="009F124E">
              <w:rPr>
                <w:b/>
                <w:bCs/>
                <w:color w:val="000000"/>
                <w:sz w:val="14"/>
                <w:szCs w:val="14"/>
              </w:rPr>
              <w:t>2M</w:t>
            </w:r>
          </w:p>
        </w:tc>
        <w:tc>
          <w:tcPr>
            <w:tcW w:w="3842" w:type="dxa"/>
            <w:tcBorders>
              <w:top w:val="nil"/>
              <w:left w:val="nil"/>
              <w:bottom w:val="nil"/>
              <w:right w:val="single" w:sz="8" w:space="0" w:color="auto"/>
            </w:tcBorders>
            <w:vAlign w:val="center"/>
            <w:hideMark/>
          </w:tcPr>
          <w:p w14:paraId="507FB620" w14:textId="77777777" w:rsidR="009F124E" w:rsidRPr="009F124E" w:rsidRDefault="009F124E" w:rsidP="009F124E">
            <w:pPr>
              <w:rPr>
                <w:b/>
                <w:bCs/>
                <w:color w:val="000000"/>
                <w:sz w:val="14"/>
                <w:szCs w:val="14"/>
              </w:rPr>
            </w:pPr>
            <w:r w:rsidRPr="009F124E">
              <w:rPr>
                <w:b/>
                <w:bCs/>
                <w:color w:val="000000"/>
                <w:sz w:val="14"/>
                <w:szCs w:val="14"/>
              </w:rPr>
              <w:t>Erogación (2+31)</w:t>
            </w:r>
          </w:p>
        </w:tc>
        <w:tc>
          <w:tcPr>
            <w:tcW w:w="1066" w:type="dxa"/>
            <w:tcBorders>
              <w:top w:val="nil"/>
              <w:left w:val="single" w:sz="8" w:space="0" w:color="auto"/>
              <w:bottom w:val="nil"/>
              <w:right w:val="nil"/>
            </w:tcBorders>
            <w:vAlign w:val="center"/>
            <w:hideMark/>
          </w:tcPr>
          <w:p w14:paraId="4E7AD8D1" w14:textId="77777777" w:rsidR="009F124E" w:rsidRPr="009F124E" w:rsidRDefault="009F124E" w:rsidP="009F124E">
            <w:pPr>
              <w:jc w:val="center"/>
              <w:rPr>
                <w:b/>
                <w:bCs/>
                <w:color w:val="000000"/>
                <w:sz w:val="14"/>
                <w:szCs w:val="14"/>
              </w:rPr>
            </w:pPr>
            <w:r w:rsidRPr="009F124E">
              <w:rPr>
                <w:b/>
                <w:bCs/>
                <w:color w:val="000000"/>
                <w:sz w:val="14"/>
                <w:szCs w:val="14"/>
                <w:lang w:eastAsia="en-US"/>
              </w:rPr>
              <w:t>107,919.9</w:t>
            </w:r>
          </w:p>
        </w:tc>
        <w:tc>
          <w:tcPr>
            <w:tcW w:w="711" w:type="dxa"/>
            <w:tcBorders>
              <w:top w:val="nil"/>
              <w:left w:val="nil"/>
              <w:bottom w:val="nil"/>
              <w:right w:val="single" w:sz="8" w:space="0" w:color="auto"/>
            </w:tcBorders>
            <w:vAlign w:val="center"/>
            <w:hideMark/>
          </w:tcPr>
          <w:p w14:paraId="59DCB90B" w14:textId="77777777" w:rsidR="009F124E" w:rsidRPr="009F124E" w:rsidRDefault="009F124E" w:rsidP="009F124E">
            <w:pPr>
              <w:jc w:val="center"/>
              <w:rPr>
                <w:b/>
                <w:bCs/>
                <w:color w:val="000000"/>
                <w:sz w:val="14"/>
                <w:szCs w:val="14"/>
              </w:rPr>
            </w:pPr>
            <w:r w:rsidRPr="009F124E">
              <w:rPr>
                <w:b/>
                <w:bCs/>
                <w:color w:val="000000"/>
                <w:sz w:val="14"/>
                <w:szCs w:val="14"/>
                <w:lang w:eastAsia="en-US"/>
              </w:rPr>
              <w:t>127,890.6</w:t>
            </w:r>
          </w:p>
        </w:tc>
        <w:tc>
          <w:tcPr>
            <w:tcW w:w="1118" w:type="dxa"/>
            <w:tcBorders>
              <w:top w:val="nil"/>
              <w:left w:val="nil"/>
              <w:bottom w:val="nil"/>
              <w:right w:val="nil"/>
            </w:tcBorders>
            <w:noWrap/>
            <w:vAlign w:val="center"/>
            <w:hideMark/>
          </w:tcPr>
          <w:p w14:paraId="03B3C327" w14:textId="77777777" w:rsidR="009F124E" w:rsidRPr="009F124E" w:rsidRDefault="009F124E" w:rsidP="009F124E">
            <w:pPr>
              <w:jc w:val="center"/>
              <w:rPr>
                <w:b/>
                <w:bCs/>
                <w:color w:val="000000"/>
                <w:sz w:val="14"/>
                <w:szCs w:val="14"/>
              </w:rPr>
            </w:pPr>
            <w:r w:rsidRPr="009F124E">
              <w:rPr>
                <w:b/>
                <w:bCs/>
                <w:color w:val="000000"/>
                <w:sz w:val="14"/>
                <w:szCs w:val="14"/>
                <w:lang w:eastAsia="en-US"/>
              </w:rPr>
              <w:t>14.7</w:t>
            </w:r>
          </w:p>
        </w:tc>
        <w:tc>
          <w:tcPr>
            <w:tcW w:w="715" w:type="dxa"/>
            <w:tcBorders>
              <w:top w:val="nil"/>
              <w:left w:val="nil"/>
              <w:bottom w:val="nil"/>
              <w:right w:val="single" w:sz="8" w:space="0" w:color="auto"/>
            </w:tcBorders>
            <w:noWrap/>
            <w:vAlign w:val="center"/>
            <w:hideMark/>
          </w:tcPr>
          <w:p w14:paraId="22524EB7" w14:textId="77777777" w:rsidR="009F124E" w:rsidRPr="009F124E" w:rsidRDefault="009F124E" w:rsidP="009F124E">
            <w:pPr>
              <w:jc w:val="center"/>
              <w:rPr>
                <w:b/>
                <w:bCs/>
                <w:color w:val="000000"/>
                <w:sz w:val="14"/>
                <w:szCs w:val="14"/>
              </w:rPr>
            </w:pPr>
            <w:r w:rsidRPr="009F124E">
              <w:rPr>
                <w:b/>
                <w:bCs/>
                <w:color w:val="000000"/>
                <w:sz w:val="14"/>
                <w:szCs w:val="14"/>
                <w:lang w:eastAsia="en-US"/>
              </w:rPr>
              <w:t>17.4</w:t>
            </w:r>
          </w:p>
        </w:tc>
      </w:tr>
      <w:tr w:rsidR="009F124E" w:rsidRPr="009F124E" w14:paraId="0038902E" w14:textId="77777777" w:rsidTr="00207D0F">
        <w:trPr>
          <w:trHeight w:val="60"/>
          <w:jc w:val="center"/>
        </w:trPr>
        <w:tc>
          <w:tcPr>
            <w:tcW w:w="748" w:type="dxa"/>
            <w:tcBorders>
              <w:top w:val="nil"/>
              <w:left w:val="single" w:sz="8" w:space="0" w:color="auto"/>
              <w:bottom w:val="nil"/>
              <w:right w:val="nil"/>
            </w:tcBorders>
            <w:shd w:val="clear" w:color="000000" w:fill="D6DCE4"/>
            <w:noWrap/>
            <w:vAlign w:val="center"/>
            <w:hideMark/>
          </w:tcPr>
          <w:p w14:paraId="5848CA82" w14:textId="77777777" w:rsidR="009F124E" w:rsidRPr="009F124E" w:rsidRDefault="009F124E" w:rsidP="009F124E">
            <w:pPr>
              <w:jc w:val="center"/>
              <w:rPr>
                <w:b/>
                <w:bCs/>
                <w:color w:val="000000"/>
                <w:sz w:val="14"/>
                <w:szCs w:val="14"/>
              </w:rPr>
            </w:pPr>
            <w:r w:rsidRPr="009F124E">
              <w:rPr>
                <w:b/>
                <w:bCs/>
                <w:color w:val="000000"/>
                <w:sz w:val="14"/>
                <w:szCs w:val="14"/>
              </w:rPr>
              <w:t>NLB</w:t>
            </w:r>
          </w:p>
        </w:tc>
        <w:tc>
          <w:tcPr>
            <w:tcW w:w="3842" w:type="dxa"/>
            <w:tcBorders>
              <w:top w:val="nil"/>
              <w:left w:val="nil"/>
              <w:bottom w:val="nil"/>
              <w:right w:val="single" w:sz="8" w:space="0" w:color="auto"/>
            </w:tcBorders>
            <w:shd w:val="clear" w:color="000000" w:fill="D6DCE4"/>
            <w:vAlign w:val="center"/>
            <w:hideMark/>
          </w:tcPr>
          <w:p w14:paraId="7B8DBAE2" w14:textId="77777777" w:rsidR="009F124E" w:rsidRPr="009F124E" w:rsidRDefault="009F124E" w:rsidP="009F124E">
            <w:pPr>
              <w:rPr>
                <w:b/>
                <w:bCs/>
                <w:color w:val="000000"/>
                <w:sz w:val="14"/>
                <w:szCs w:val="14"/>
              </w:rPr>
            </w:pPr>
            <w:r w:rsidRPr="009F124E">
              <w:rPr>
                <w:b/>
                <w:bCs/>
                <w:color w:val="000000"/>
                <w:sz w:val="14"/>
                <w:szCs w:val="14"/>
              </w:rPr>
              <w:t>Préstamo neto (+) / endeudamiento neto (-) (1-2-31) o (1-2M)</w:t>
            </w:r>
          </w:p>
        </w:tc>
        <w:tc>
          <w:tcPr>
            <w:tcW w:w="1066" w:type="dxa"/>
            <w:tcBorders>
              <w:top w:val="nil"/>
              <w:left w:val="single" w:sz="8" w:space="0" w:color="auto"/>
              <w:bottom w:val="nil"/>
              <w:right w:val="nil"/>
            </w:tcBorders>
            <w:shd w:val="clear" w:color="000000" w:fill="D6DCE4"/>
            <w:vAlign w:val="center"/>
            <w:hideMark/>
          </w:tcPr>
          <w:p w14:paraId="07477241" w14:textId="77777777" w:rsidR="009F124E" w:rsidRPr="009F124E" w:rsidRDefault="009F124E" w:rsidP="009F124E">
            <w:pPr>
              <w:jc w:val="center"/>
              <w:rPr>
                <w:b/>
                <w:bCs/>
                <w:color w:val="000000"/>
                <w:sz w:val="14"/>
                <w:szCs w:val="14"/>
              </w:rPr>
            </w:pPr>
            <w:r w:rsidRPr="009F124E">
              <w:rPr>
                <w:b/>
                <w:bCs/>
                <w:color w:val="000000"/>
                <w:sz w:val="14"/>
                <w:szCs w:val="14"/>
                <w:lang w:eastAsia="en-US"/>
              </w:rPr>
              <w:t>-12,656.3</w:t>
            </w:r>
          </w:p>
        </w:tc>
        <w:tc>
          <w:tcPr>
            <w:tcW w:w="711" w:type="dxa"/>
            <w:tcBorders>
              <w:top w:val="nil"/>
              <w:left w:val="nil"/>
              <w:bottom w:val="nil"/>
              <w:right w:val="single" w:sz="8" w:space="0" w:color="auto"/>
            </w:tcBorders>
            <w:shd w:val="clear" w:color="000000" w:fill="D6DCE4"/>
            <w:vAlign w:val="center"/>
            <w:hideMark/>
          </w:tcPr>
          <w:p w14:paraId="5AF6EEB8" w14:textId="77777777" w:rsidR="009F124E" w:rsidRPr="009F124E" w:rsidRDefault="009F124E" w:rsidP="009F124E">
            <w:pPr>
              <w:jc w:val="center"/>
              <w:rPr>
                <w:b/>
                <w:bCs/>
                <w:color w:val="000000"/>
                <w:sz w:val="14"/>
                <w:szCs w:val="14"/>
              </w:rPr>
            </w:pPr>
            <w:r w:rsidRPr="009F124E">
              <w:rPr>
                <w:b/>
                <w:bCs/>
                <w:color w:val="000000"/>
                <w:sz w:val="14"/>
                <w:szCs w:val="14"/>
                <w:lang w:eastAsia="en-US"/>
              </w:rPr>
              <w:t>-7,567.3</w:t>
            </w:r>
          </w:p>
        </w:tc>
        <w:tc>
          <w:tcPr>
            <w:tcW w:w="1118" w:type="dxa"/>
            <w:tcBorders>
              <w:top w:val="nil"/>
              <w:left w:val="nil"/>
              <w:bottom w:val="nil"/>
              <w:right w:val="nil"/>
            </w:tcBorders>
            <w:shd w:val="clear" w:color="000000" w:fill="D6DCE4"/>
            <w:noWrap/>
            <w:vAlign w:val="center"/>
            <w:hideMark/>
          </w:tcPr>
          <w:p w14:paraId="4E30F125" w14:textId="77777777" w:rsidR="009F124E" w:rsidRPr="009F124E" w:rsidRDefault="009F124E" w:rsidP="009F124E">
            <w:pPr>
              <w:jc w:val="center"/>
              <w:rPr>
                <w:b/>
                <w:bCs/>
                <w:color w:val="000000"/>
                <w:sz w:val="14"/>
                <w:szCs w:val="14"/>
              </w:rPr>
            </w:pPr>
            <w:r w:rsidRPr="009F124E">
              <w:rPr>
                <w:b/>
                <w:bCs/>
                <w:color w:val="000000"/>
                <w:sz w:val="14"/>
                <w:szCs w:val="14"/>
                <w:lang w:eastAsia="en-US"/>
              </w:rPr>
              <w:t>-1.7</w:t>
            </w:r>
          </w:p>
        </w:tc>
        <w:tc>
          <w:tcPr>
            <w:tcW w:w="715" w:type="dxa"/>
            <w:tcBorders>
              <w:top w:val="nil"/>
              <w:left w:val="nil"/>
              <w:bottom w:val="nil"/>
              <w:right w:val="single" w:sz="8" w:space="0" w:color="auto"/>
            </w:tcBorders>
            <w:shd w:val="clear" w:color="000000" w:fill="D6DCE4"/>
            <w:noWrap/>
            <w:vAlign w:val="center"/>
            <w:hideMark/>
          </w:tcPr>
          <w:p w14:paraId="469FEC49" w14:textId="77777777" w:rsidR="009F124E" w:rsidRPr="009F124E" w:rsidRDefault="009F124E" w:rsidP="009F124E">
            <w:pPr>
              <w:jc w:val="center"/>
              <w:rPr>
                <w:b/>
                <w:bCs/>
                <w:color w:val="000000"/>
                <w:sz w:val="14"/>
                <w:szCs w:val="14"/>
              </w:rPr>
            </w:pPr>
            <w:r w:rsidRPr="009F124E">
              <w:rPr>
                <w:b/>
                <w:bCs/>
                <w:color w:val="000000"/>
                <w:sz w:val="14"/>
                <w:szCs w:val="14"/>
                <w:lang w:eastAsia="en-US"/>
              </w:rPr>
              <w:t>-1.0</w:t>
            </w:r>
          </w:p>
        </w:tc>
      </w:tr>
      <w:tr w:rsidR="009F124E" w:rsidRPr="009F124E" w14:paraId="361426CA" w14:textId="77777777" w:rsidTr="009F124E">
        <w:trPr>
          <w:trHeight w:val="198"/>
          <w:jc w:val="center"/>
        </w:trPr>
        <w:tc>
          <w:tcPr>
            <w:tcW w:w="8200" w:type="dxa"/>
            <w:gridSpan w:val="6"/>
            <w:tcBorders>
              <w:top w:val="single" w:sz="8" w:space="0" w:color="auto"/>
              <w:left w:val="single" w:sz="8" w:space="0" w:color="auto"/>
              <w:bottom w:val="single" w:sz="8" w:space="0" w:color="auto"/>
              <w:right w:val="single" w:sz="8" w:space="0" w:color="000000"/>
            </w:tcBorders>
            <w:shd w:val="clear" w:color="auto" w:fill="E2EFD9"/>
            <w:noWrap/>
            <w:vAlign w:val="center"/>
            <w:hideMark/>
          </w:tcPr>
          <w:p w14:paraId="14FFD828" w14:textId="77777777" w:rsidR="009F124E" w:rsidRPr="009F124E" w:rsidRDefault="009F124E" w:rsidP="009F124E">
            <w:pPr>
              <w:jc w:val="center"/>
              <w:rPr>
                <w:b/>
                <w:bCs/>
                <w:color w:val="000000"/>
                <w:sz w:val="14"/>
                <w:szCs w:val="14"/>
              </w:rPr>
            </w:pPr>
            <w:r w:rsidRPr="009F124E">
              <w:rPr>
                <w:b/>
                <w:bCs/>
                <w:color w:val="000000"/>
                <w:sz w:val="14"/>
                <w:szCs w:val="14"/>
              </w:rPr>
              <w:t>TRANSACCIONES EN ACTIVOS Y PASIVOS FINANCIEROS (FINANCIMIENTO)</w:t>
            </w:r>
          </w:p>
        </w:tc>
      </w:tr>
      <w:tr w:rsidR="009F124E" w:rsidRPr="009F124E" w14:paraId="3CD0B04C" w14:textId="77777777" w:rsidTr="00207D0F">
        <w:trPr>
          <w:trHeight w:val="37"/>
          <w:jc w:val="center"/>
        </w:trPr>
        <w:tc>
          <w:tcPr>
            <w:tcW w:w="748" w:type="dxa"/>
            <w:tcBorders>
              <w:top w:val="nil"/>
              <w:left w:val="single" w:sz="8" w:space="0" w:color="auto"/>
              <w:bottom w:val="nil"/>
              <w:right w:val="nil"/>
            </w:tcBorders>
            <w:noWrap/>
            <w:vAlign w:val="center"/>
            <w:hideMark/>
          </w:tcPr>
          <w:p w14:paraId="3E20D454" w14:textId="77777777" w:rsidR="009F124E" w:rsidRPr="009F124E" w:rsidRDefault="009F124E" w:rsidP="009F124E">
            <w:pPr>
              <w:jc w:val="center"/>
              <w:rPr>
                <w:b/>
                <w:bCs/>
                <w:color w:val="000000"/>
                <w:sz w:val="14"/>
                <w:szCs w:val="14"/>
              </w:rPr>
            </w:pPr>
            <w:r w:rsidRPr="009F124E">
              <w:rPr>
                <w:b/>
                <w:bCs/>
                <w:color w:val="000000"/>
                <w:sz w:val="14"/>
                <w:szCs w:val="14"/>
              </w:rPr>
              <w:t>32</w:t>
            </w:r>
          </w:p>
        </w:tc>
        <w:tc>
          <w:tcPr>
            <w:tcW w:w="3842" w:type="dxa"/>
            <w:tcBorders>
              <w:top w:val="nil"/>
              <w:left w:val="nil"/>
              <w:bottom w:val="nil"/>
              <w:right w:val="single" w:sz="8" w:space="0" w:color="auto"/>
            </w:tcBorders>
            <w:vAlign w:val="center"/>
            <w:hideMark/>
          </w:tcPr>
          <w:p w14:paraId="0C7E685F" w14:textId="77777777" w:rsidR="009F124E" w:rsidRPr="009F124E" w:rsidRDefault="009F124E" w:rsidP="009F124E">
            <w:pPr>
              <w:rPr>
                <w:b/>
                <w:bCs/>
                <w:color w:val="000000"/>
                <w:sz w:val="14"/>
                <w:szCs w:val="14"/>
              </w:rPr>
            </w:pPr>
            <w:r w:rsidRPr="009F124E">
              <w:rPr>
                <w:b/>
                <w:bCs/>
                <w:color w:val="000000"/>
                <w:sz w:val="14"/>
                <w:szCs w:val="14"/>
              </w:rPr>
              <w:t>Adquisición neta de activos financieros</w:t>
            </w:r>
          </w:p>
        </w:tc>
        <w:tc>
          <w:tcPr>
            <w:tcW w:w="1066" w:type="dxa"/>
            <w:tcBorders>
              <w:top w:val="nil"/>
              <w:left w:val="single" w:sz="8" w:space="0" w:color="auto"/>
              <w:bottom w:val="nil"/>
              <w:right w:val="nil"/>
            </w:tcBorders>
            <w:vAlign w:val="center"/>
            <w:hideMark/>
          </w:tcPr>
          <w:p w14:paraId="6876AD6C" w14:textId="77777777" w:rsidR="009F124E" w:rsidRPr="009F124E" w:rsidRDefault="009F124E" w:rsidP="009F124E">
            <w:pPr>
              <w:jc w:val="center"/>
              <w:rPr>
                <w:b/>
                <w:bCs/>
                <w:color w:val="000000"/>
                <w:sz w:val="14"/>
                <w:szCs w:val="14"/>
              </w:rPr>
            </w:pPr>
            <w:r w:rsidRPr="009F124E">
              <w:rPr>
                <w:b/>
                <w:bCs/>
                <w:color w:val="000000"/>
                <w:sz w:val="14"/>
                <w:szCs w:val="14"/>
                <w:lang w:eastAsia="en-US"/>
              </w:rPr>
              <w:t>-3,399.7</w:t>
            </w:r>
          </w:p>
        </w:tc>
        <w:tc>
          <w:tcPr>
            <w:tcW w:w="711" w:type="dxa"/>
            <w:tcBorders>
              <w:top w:val="nil"/>
              <w:left w:val="nil"/>
              <w:bottom w:val="nil"/>
              <w:right w:val="single" w:sz="8" w:space="0" w:color="auto"/>
            </w:tcBorders>
            <w:vAlign w:val="center"/>
            <w:hideMark/>
          </w:tcPr>
          <w:p w14:paraId="2BE7E8D2" w14:textId="77777777" w:rsidR="009F124E" w:rsidRPr="009F124E" w:rsidRDefault="009F124E" w:rsidP="009F124E">
            <w:pPr>
              <w:jc w:val="center"/>
              <w:rPr>
                <w:b/>
                <w:bCs/>
                <w:color w:val="000000"/>
                <w:sz w:val="14"/>
                <w:szCs w:val="14"/>
              </w:rPr>
            </w:pPr>
            <w:r w:rsidRPr="009F124E">
              <w:rPr>
                <w:b/>
                <w:bCs/>
                <w:color w:val="000000"/>
                <w:sz w:val="14"/>
                <w:szCs w:val="14"/>
                <w:lang w:eastAsia="en-US"/>
              </w:rPr>
              <w:t>-504.0</w:t>
            </w:r>
          </w:p>
        </w:tc>
        <w:tc>
          <w:tcPr>
            <w:tcW w:w="1118" w:type="dxa"/>
            <w:tcBorders>
              <w:top w:val="nil"/>
              <w:left w:val="nil"/>
              <w:bottom w:val="nil"/>
              <w:right w:val="nil"/>
            </w:tcBorders>
            <w:noWrap/>
            <w:vAlign w:val="center"/>
            <w:hideMark/>
          </w:tcPr>
          <w:p w14:paraId="7ADB78EE" w14:textId="77777777" w:rsidR="009F124E" w:rsidRPr="009F124E" w:rsidRDefault="009F124E" w:rsidP="009F124E">
            <w:pPr>
              <w:jc w:val="center"/>
              <w:rPr>
                <w:b/>
                <w:bCs/>
                <w:color w:val="000000"/>
                <w:sz w:val="14"/>
                <w:szCs w:val="14"/>
              </w:rPr>
            </w:pPr>
            <w:r w:rsidRPr="009F124E">
              <w:rPr>
                <w:b/>
                <w:bCs/>
                <w:color w:val="000000"/>
                <w:sz w:val="14"/>
                <w:szCs w:val="14"/>
                <w:lang w:eastAsia="en-US"/>
              </w:rPr>
              <w:t>-0.5</w:t>
            </w:r>
          </w:p>
        </w:tc>
        <w:tc>
          <w:tcPr>
            <w:tcW w:w="715" w:type="dxa"/>
            <w:tcBorders>
              <w:top w:val="nil"/>
              <w:left w:val="nil"/>
              <w:bottom w:val="nil"/>
              <w:right w:val="single" w:sz="8" w:space="0" w:color="auto"/>
            </w:tcBorders>
            <w:noWrap/>
            <w:vAlign w:val="center"/>
            <w:hideMark/>
          </w:tcPr>
          <w:p w14:paraId="50BB4EF3" w14:textId="77777777" w:rsidR="009F124E" w:rsidRPr="009F124E" w:rsidRDefault="009F124E" w:rsidP="009F124E">
            <w:pPr>
              <w:jc w:val="center"/>
              <w:rPr>
                <w:b/>
                <w:bCs/>
                <w:color w:val="000000"/>
                <w:sz w:val="14"/>
                <w:szCs w:val="14"/>
              </w:rPr>
            </w:pPr>
            <w:r w:rsidRPr="009F124E">
              <w:rPr>
                <w:b/>
                <w:bCs/>
                <w:color w:val="000000"/>
                <w:sz w:val="14"/>
                <w:szCs w:val="14"/>
                <w:lang w:eastAsia="en-US"/>
              </w:rPr>
              <w:t>-0.1</w:t>
            </w:r>
          </w:p>
        </w:tc>
      </w:tr>
      <w:tr w:rsidR="009F124E" w:rsidRPr="009F124E" w14:paraId="5DBC10B8" w14:textId="77777777" w:rsidTr="00207D0F">
        <w:trPr>
          <w:trHeight w:val="57"/>
          <w:jc w:val="center"/>
        </w:trPr>
        <w:tc>
          <w:tcPr>
            <w:tcW w:w="748" w:type="dxa"/>
            <w:tcBorders>
              <w:top w:val="nil"/>
              <w:left w:val="single" w:sz="8" w:space="0" w:color="auto"/>
              <w:bottom w:val="nil"/>
              <w:right w:val="nil"/>
            </w:tcBorders>
            <w:noWrap/>
            <w:vAlign w:val="center"/>
            <w:hideMark/>
          </w:tcPr>
          <w:p w14:paraId="2D081C4B" w14:textId="77777777" w:rsidR="009F124E" w:rsidRPr="009F124E" w:rsidRDefault="009F124E" w:rsidP="009F124E">
            <w:pPr>
              <w:jc w:val="center"/>
              <w:rPr>
                <w:b/>
                <w:bCs/>
                <w:color w:val="000000"/>
                <w:sz w:val="14"/>
                <w:szCs w:val="14"/>
              </w:rPr>
            </w:pPr>
            <w:r w:rsidRPr="009F124E">
              <w:rPr>
                <w:b/>
                <w:bCs/>
                <w:color w:val="000000"/>
                <w:sz w:val="14"/>
                <w:szCs w:val="14"/>
              </w:rPr>
              <w:t>33</w:t>
            </w:r>
          </w:p>
        </w:tc>
        <w:tc>
          <w:tcPr>
            <w:tcW w:w="3842" w:type="dxa"/>
            <w:tcBorders>
              <w:top w:val="nil"/>
              <w:left w:val="nil"/>
              <w:bottom w:val="nil"/>
              <w:right w:val="single" w:sz="8" w:space="0" w:color="auto"/>
            </w:tcBorders>
            <w:vAlign w:val="center"/>
            <w:hideMark/>
          </w:tcPr>
          <w:p w14:paraId="2B322411" w14:textId="77777777" w:rsidR="009F124E" w:rsidRPr="009F124E" w:rsidRDefault="009F124E" w:rsidP="009F124E">
            <w:pPr>
              <w:rPr>
                <w:b/>
                <w:bCs/>
                <w:color w:val="000000"/>
                <w:sz w:val="14"/>
                <w:szCs w:val="14"/>
              </w:rPr>
            </w:pPr>
            <w:r w:rsidRPr="009F124E">
              <w:rPr>
                <w:b/>
                <w:bCs/>
                <w:color w:val="000000"/>
                <w:sz w:val="14"/>
                <w:szCs w:val="14"/>
              </w:rPr>
              <w:t>Incurrimiento neto de pasivos</w:t>
            </w:r>
          </w:p>
        </w:tc>
        <w:tc>
          <w:tcPr>
            <w:tcW w:w="1066" w:type="dxa"/>
            <w:tcBorders>
              <w:top w:val="nil"/>
              <w:left w:val="single" w:sz="8" w:space="0" w:color="auto"/>
              <w:bottom w:val="nil"/>
              <w:right w:val="nil"/>
            </w:tcBorders>
            <w:vAlign w:val="center"/>
            <w:hideMark/>
          </w:tcPr>
          <w:p w14:paraId="3D9E6A35" w14:textId="77777777" w:rsidR="009F124E" w:rsidRPr="009F124E" w:rsidRDefault="009F124E" w:rsidP="009F124E">
            <w:pPr>
              <w:jc w:val="center"/>
              <w:rPr>
                <w:b/>
                <w:bCs/>
                <w:color w:val="000000"/>
                <w:sz w:val="14"/>
                <w:szCs w:val="14"/>
              </w:rPr>
            </w:pPr>
            <w:r w:rsidRPr="009F124E">
              <w:rPr>
                <w:b/>
                <w:bCs/>
                <w:color w:val="000000"/>
                <w:sz w:val="14"/>
                <w:szCs w:val="14"/>
                <w:lang w:eastAsia="en-US"/>
              </w:rPr>
              <w:t>8,932.1</w:t>
            </w:r>
          </w:p>
        </w:tc>
        <w:tc>
          <w:tcPr>
            <w:tcW w:w="711" w:type="dxa"/>
            <w:tcBorders>
              <w:top w:val="nil"/>
              <w:left w:val="nil"/>
              <w:bottom w:val="nil"/>
              <w:right w:val="single" w:sz="8" w:space="0" w:color="auto"/>
            </w:tcBorders>
            <w:vAlign w:val="center"/>
            <w:hideMark/>
          </w:tcPr>
          <w:p w14:paraId="015D386B" w14:textId="77777777" w:rsidR="009F124E" w:rsidRPr="009F124E" w:rsidRDefault="009F124E" w:rsidP="009F124E">
            <w:pPr>
              <w:jc w:val="center"/>
              <w:rPr>
                <w:b/>
                <w:bCs/>
                <w:color w:val="000000"/>
                <w:sz w:val="14"/>
                <w:szCs w:val="14"/>
              </w:rPr>
            </w:pPr>
            <w:r w:rsidRPr="009F124E">
              <w:rPr>
                <w:b/>
                <w:bCs/>
                <w:color w:val="000000"/>
                <w:sz w:val="14"/>
                <w:szCs w:val="14"/>
                <w:lang w:eastAsia="en-US"/>
              </w:rPr>
              <w:t>7,509.5</w:t>
            </w:r>
          </w:p>
        </w:tc>
        <w:tc>
          <w:tcPr>
            <w:tcW w:w="1118" w:type="dxa"/>
            <w:tcBorders>
              <w:top w:val="nil"/>
              <w:left w:val="nil"/>
              <w:bottom w:val="nil"/>
              <w:right w:val="nil"/>
            </w:tcBorders>
            <w:noWrap/>
            <w:vAlign w:val="center"/>
            <w:hideMark/>
          </w:tcPr>
          <w:p w14:paraId="704A0715" w14:textId="77777777" w:rsidR="009F124E" w:rsidRPr="009F124E" w:rsidRDefault="009F124E" w:rsidP="009F124E">
            <w:pPr>
              <w:jc w:val="center"/>
              <w:rPr>
                <w:b/>
                <w:bCs/>
                <w:color w:val="000000"/>
                <w:sz w:val="14"/>
                <w:szCs w:val="14"/>
              </w:rPr>
            </w:pPr>
            <w:r w:rsidRPr="009F124E">
              <w:rPr>
                <w:b/>
                <w:bCs/>
                <w:color w:val="000000"/>
                <w:sz w:val="14"/>
                <w:szCs w:val="14"/>
                <w:lang w:eastAsia="en-US"/>
              </w:rPr>
              <w:t>1.2</w:t>
            </w:r>
          </w:p>
        </w:tc>
        <w:tc>
          <w:tcPr>
            <w:tcW w:w="715" w:type="dxa"/>
            <w:tcBorders>
              <w:top w:val="nil"/>
              <w:left w:val="nil"/>
              <w:bottom w:val="nil"/>
              <w:right w:val="single" w:sz="8" w:space="0" w:color="auto"/>
            </w:tcBorders>
            <w:noWrap/>
            <w:vAlign w:val="center"/>
            <w:hideMark/>
          </w:tcPr>
          <w:p w14:paraId="62FEA2E5" w14:textId="77777777" w:rsidR="009F124E" w:rsidRPr="009F124E" w:rsidRDefault="009F124E" w:rsidP="009F124E">
            <w:pPr>
              <w:jc w:val="center"/>
              <w:rPr>
                <w:b/>
                <w:bCs/>
                <w:color w:val="000000"/>
                <w:sz w:val="14"/>
                <w:szCs w:val="14"/>
              </w:rPr>
            </w:pPr>
            <w:r w:rsidRPr="009F124E">
              <w:rPr>
                <w:b/>
                <w:bCs/>
                <w:color w:val="000000"/>
                <w:sz w:val="14"/>
                <w:szCs w:val="14"/>
                <w:lang w:eastAsia="en-US"/>
              </w:rPr>
              <w:t>1.0</w:t>
            </w:r>
          </w:p>
        </w:tc>
      </w:tr>
      <w:tr w:rsidR="009F124E" w:rsidRPr="009F124E" w14:paraId="353223BF" w14:textId="77777777" w:rsidTr="00207D0F">
        <w:trPr>
          <w:trHeight w:val="138"/>
          <w:jc w:val="center"/>
        </w:trPr>
        <w:tc>
          <w:tcPr>
            <w:tcW w:w="748" w:type="dxa"/>
            <w:tcBorders>
              <w:top w:val="nil"/>
              <w:left w:val="single" w:sz="8" w:space="0" w:color="auto"/>
              <w:bottom w:val="single" w:sz="8" w:space="0" w:color="auto"/>
              <w:right w:val="nil"/>
            </w:tcBorders>
            <w:noWrap/>
            <w:vAlign w:val="center"/>
            <w:hideMark/>
          </w:tcPr>
          <w:p w14:paraId="12DA4168" w14:textId="77777777" w:rsidR="009F124E" w:rsidRPr="009F124E" w:rsidRDefault="009F124E" w:rsidP="009F124E">
            <w:pPr>
              <w:jc w:val="center"/>
              <w:rPr>
                <w:color w:val="000000"/>
                <w:sz w:val="14"/>
                <w:szCs w:val="14"/>
              </w:rPr>
            </w:pPr>
            <w:r w:rsidRPr="009F124E">
              <w:rPr>
                <w:color w:val="000000"/>
                <w:sz w:val="14"/>
                <w:szCs w:val="14"/>
              </w:rPr>
              <w:t>NLBz</w:t>
            </w:r>
          </w:p>
        </w:tc>
        <w:tc>
          <w:tcPr>
            <w:tcW w:w="3842" w:type="dxa"/>
            <w:tcBorders>
              <w:top w:val="nil"/>
              <w:left w:val="nil"/>
              <w:bottom w:val="single" w:sz="8" w:space="0" w:color="auto"/>
              <w:right w:val="single" w:sz="8" w:space="0" w:color="auto"/>
            </w:tcBorders>
            <w:vAlign w:val="center"/>
            <w:hideMark/>
          </w:tcPr>
          <w:p w14:paraId="5A0BEF19" w14:textId="77777777" w:rsidR="009F124E" w:rsidRPr="009F124E" w:rsidRDefault="009F124E" w:rsidP="009F124E">
            <w:pPr>
              <w:rPr>
                <w:color w:val="000000"/>
                <w:sz w:val="14"/>
                <w:szCs w:val="14"/>
              </w:rPr>
            </w:pPr>
            <w:r w:rsidRPr="009F124E">
              <w:rPr>
                <w:color w:val="000000"/>
                <w:sz w:val="14"/>
                <w:szCs w:val="14"/>
              </w:rPr>
              <w:t xml:space="preserve">Discrepancia estadística global: </w:t>
            </w:r>
          </w:p>
          <w:p w14:paraId="16E07464" w14:textId="77777777" w:rsidR="009F124E" w:rsidRPr="009F124E" w:rsidRDefault="009F124E" w:rsidP="009F124E">
            <w:pPr>
              <w:rPr>
                <w:color w:val="000000"/>
                <w:sz w:val="14"/>
                <w:szCs w:val="14"/>
              </w:rPr>
            </w:pPr>
            <w:r w:rsidRPr="009F124E">
              <w:rPr>
                <w:color w:val="000000"/>
                <w:sz w:val="14"/>
                <w:szCs w:val="14"/>
              </w:rPr>
              <w:t xml:space="preserve">Diferencia entre préstamo/endeudamiento neto y financiamiento </w:t>
            </w:r>
          </w:p>
          <w:p w14:paraId="3BDDDFCB" w14:textId="77777777" w:rsidR="009F124E" w:rsidRPr="009F124E" w:rsidRDefault="009F124E" w:rsidP="009F124E">
            <w:pPr>
              <w:rPr>
                <w:color w:val="000000"/>
                <w:sz w:val="14"/>
                <w:szCs w:val="14"/>
              </w:rPr>
            </w:pPr>
            <w:r w:rsidRPr="009F124E">
              <w:rPr>
                <w:color w:val="000000"/>
                <w:sz w:val="14"/>
                <w:szCs w:val="14"/>
              </w:rPr>
              <w:t>(32-33-NLB)</w:t>
            </w:r>
          </w:p>
        </w:tc>
        <w:tc>
          <w:tcPr>
            <w:tcW w:w="1066" w:type="dxa"/>
            <w:tcBorders>
              <w:top w:val="nil"/>
              <w:left w:val="single" w:sz="8" w:space="0" w:color="auto"/>
              <w:bottom w:val="single" w:sz="8" w:space="0" w:color="auto"/>
              <w:right w:val="nil"/>
            </w:tcBorders>
            <w:vAlign w:val="center"/>
            <w:hideMark/>
          </w:tcPr>
          <w:p w14:paraId="49DF42D1" w14:textId="77777777" w:rsidR="009F124E" w:rsidRPr="009F124E" w:rsidRDefault="009F124E" w:rsidP="009F124E">
            <w:pPr>
              <w:jc w:val="center"/>
              <w:rPr>
                <w:color w:val="000000"/>
                <w:sz w:val="14"/>
                <w:szCs w:val="14"/>
              </w:rPr>
            </w:pPr>
            <w:r w:rsidRPr="009F124E">
              <w:rPr>
                <w:color w:val="000000"/>
                <w:sz w:val="14"/>
                <w:szCs w:val="14"/>
                <w:lang w:eastAsia="en-US"/>
              </w:rPr>
              <w:t>324.5</w:t>
            </w:r>
          </w:p>
        </w:tc>
        <w:tc>
          <w:tcPr>
            <w:tcW w:w="711" w:type="dxa"/>
            <w:tcBorders>
              <w:top w:val="nil"/>
              <w:left w:val="nil"/>
              <w:bottom w:val="single" w:sz="8" w:space="0" w:color="auto"/>
              <w:right w:val="single" w:sz="8" w:space="0" w:color="auto"/>
            </w:tcBorders>
            <w:vAlign w:val="center"/>
            <w:hideMark/>
          </w:tcPr>
          <w:p w14:paraId="15131E20" w14:textId="77777777" w:rsidR="009F124E" w:rsidRPr="009F124E" w:rsidRDefault="009F124E" w:rsidP="009F124E">
            <w:pPr>
              <w:jc w:val="center"/>
              <w:rPr>
                <w:color w:val="000000"/>
                <w:sz w:val="14"/>
                <w:szCs w:val="14"/>
              </w:rPr>
            </w:pPr>
            <w:r w:rsidRPr="009F124E">
              <w:rPr>
                <w:color w:val="000000"/>
                <w:sz w:val="14"/>
                <w:szCs w:val="14"/>
                <w:lang w:eastAsia="en-US"/>
              </w:rPr>
              <w:t>-446.3</w:t>
            </w:r>
          </w:p>
        </w:tc>
        <w:tc>
          <w:tcPr>
            <w:tcW w:w="1118" w:type="dxa"/>
            <w:tcBorders>
              <w:top w:val="nil"/>
              <w:left w:val="nil"/>
              <w:bottom w:val="single" w:sz="8" w:space="0" w:color="auto"/>
              <w:right w:val="nil"/>
            </w:tcBorders>
            <w:noWrap/>
            <w:vAlign w:val="center"/>
            <w:hideMark/>
          </w:tcPr>
          <w:p w14:paraId="19776F12" w14:textId="77777777" w:rsidR="009F124E" w:rsidRPr="009F124E" w:rsidRDefault="009F124E" w:rsidP="009F124E">
            <w:pPr>
              <w:jc w:val="center"/>
              <w:rPr>
                <w:color w:val="000000"/>
                <w:sz w:val="14"/>
                <w:szCs w:val="14"/>
              </w:rPr>
            </w:pPr>
            <w:r w:rsidRPr="009F124E">
              <w:rPr>
                <w:color w:val="000000"/>
                <w:sz w:val="14"/>
                <w:szCs w:val="14"/>
                <w:lang w:eastAsia="en-US"/>
              </w:rPr>
              <w:t>0.04</w:t>
            </w:r>
          </w:p>
        </w:tc>
        <w:tc>
          <w:tcPr>
            <w:tcW w:w="715" w:type="dxa"/>
            <w:tcBorders>
              <w:top w:val="nil"/>
              <w:left w:val="nil"/>
              <w:bottom w:val="single" w:sz="8" w:space="0" w:color="auto"/>
              <w:right w:val="single" w:sz="8" w:space="0" w:color="auto"/>
            </w:tcBorders>
            <w:noWrap/>
            <w:vAlign w:val="center"/>
            <w:hideMark/>
          </w:tcPr>
          <w:p w14:paraId="15ECB6EB" w14:textId="77777777" w:rsidR="009F124E" w:rsidRPr="009F124E" w:rsidRDefault="009F124E" w:rsidP="009F124E">
            <w:pPr>
              <w:jc w:val="center"/>
              <w:rPr>
                <w:color w:val="000000"/>
                <w:sz w:val="14"/>
                <w:szCs w:val="14"/>
              </w:rPr>
            </w:pPr>
            <w:r w:rsidRPr="009F124E">
              <w:rPr>
                <w:color w:val="000000"/>
                <w:sz w:val="14"/>
                <w:szCs w:val="14"/>
                <w:lang w:eastAsia="en-US"/>
              </w:rPr>
              <w:t>-0.06</w:t>
            </w:r>
          </w:p>
        </w:tc>
      </w:tr>
    </w:tbl>
    <w:p w14:paraId="5F923013" w14:textId="77777777" w:rsidR="009F124E" w:rsidRPr="009F124E" w:rsidRDefault="009F124E" w:rsidP="009F124E">
      <w:pPr>
        <w:spacing w:after="160" w:line="259" w:lineRule="auto"/>
        <w:rPr>
          <w:b/>
          <w:iCs/>
          <w:sz w:val="22"/>
          <w:szCs w:val="18"/>
          <w:lang w:eastAsia="en-US"/>
        </w:rPr>
      </w:pPr>
    </w:p>
    <w:p w14:paraId="1891C333" w14:textId="2AFA37EC" w:rsidR="00E807FD" w:rsidRDefault="00E807FD" w:rsidP="00E807FD">
      <w:pPr>
        <w:jc w:val="both"/>
      </w:pPr>
    </w:p>
    <w:p w14:paraId="5C401BA5" w14:textId="22716AA6" w:rsidR="00E807FD" w:rsidRDefault="00E807FD" w:rsidP="00E807FD">
      <w:pPr>
        <w:jc w:val="both"/>
      </w:pPr>
    </w:p>
    <w:p w14:paraId="741536BF" w14:textId="6CE2326C" w:rsidR="00E807FD" w:rsidRDefault="00E807FD" w:rsidP="00E807FD">
      <w:pPr>
        <w:jc w:val="both"/>
      </w:pPr>
    </w:p>
    <w:p w14:paraId="3CB54EF2" w14:textId="12A2818B" w:rsidR="00E807FD" w:rsidRDefault="00E807FD" w:rsidP="00E807FD">
      <w:pPr>
        <w:jc w:val="both"/>
      </w:pPr>
    </w:p>
    <w:p w14:paraId="7F506CFC" w14:textId="4B72084A" w:rsidR="00E807FD" w:rsidRDefault="00E807FD" w:rsidP="00E807FD">
      <w:pPr>
        <w:jc w:val="both"/>
      </w:pPr>
    </w:p>
    <w:p w14:paraId="70B4EBC0" w14:textId="67C52207" w:rsidR="00E807FD" w:rsidRDefault="00E807FD" w:rsidP="00E807FD">
      <w:pPr>
        <w:jc w:val="both"/>
      </w:pPr>
    </w:p>
    <w:p w14:paraId="10B75B5C" w14:textId="00CDDC60" w:rsidR="00E807FD" w:rsidRDefault="00E807FD" w:rsidP="00E807FD">
      <w:pPr>
        <w:jc w:val="both"/>
      </w:pPr>
    </w:p>
    <w:p w14:paraId="748C0CC3" w14:textId="3BD29665" w:rsidR="009F124E" w:rsidRDefault="009F124E" w:rsidP="00E807FD">
      <w:pPr>
        <w:jc w:val="both"/>
      </w:pPr>
    </w:p>
    <w:p w14:paraId="18E061F5" w14:textId="731AAF7F" w:rsidR="009F124E" w:rsidRDefault="009F124E" w:rsidP="00E807FD">
      <w:pPr>
        <w:jc w:val="both"/>
      </w:pPr>
    </w:p>
    <w:p w14:paraId="61CB7D84" w14:textId="569B1DD3" w:rsidR="009F124E" w:rsidRDefault="009F124E" w:rsidP="00E807FD">
      <w:pPr>
        <w:jc w:val="both"/>
      </w:pPr>
    </w:p>
    <w:p w14:paraId="17D3FE92" w14:textId="3AD9F57D" w:rsidR="009F124E" w:rsidRDefault="009F124E" w:rsidP="00E807FD">
      <w:pPr>
        <w:jc w:val="both"/>
      </w:pPr>
    </w:p>
    <w:p w14:paraId="56AB9D11" w14:textId="10B57B28" w:rsidR="009F124E" w:rsidRDefault="009F124E" w:rsidP="00E807FD">
      <w:pPr>
        <w:jc w:val="both"/>
      </w:pPr>
    </w:p>
    <w:p w14:paraId="1D42692D" w14:textId="17C9AD4E" w:rsidR="009F124E" w:rsidRDefault="009F124E" w:rsidP="00E807FD">
      <w:pPr>
        <w:jc w:val="both"/>
      </w:pPr>
    </w:p>
    <w:p w14:paraId="2F0A4787" w14:textId="3866D6BE" w:rsidR="009F124E" w:rsidRDefault="009F124E" w:rsidP="00E807FD">
      <w:pPr>
        <w:jc w:val="both"/>
      </w:pPr>
    </w:p>
    <w:p w14:paraId="5C49028D" w14:textId="77F3B8A8" w:rsidR="009F124E" w:rsidRDefault="009F124E" w:rsidP="00E807FD">
      <w:pPr>
        <w:jc w:val="both"/>
      </w:pPr>
    </w:p>
    <w:p w14:paraId="5BFFF246" w14:textId="04FE6158" w:rsidR="009F124E" w:rsidRDefault="009F124E" w:rsidP="00E807FD">
      <w:pPr>
        <w:jc w:val="both"/>
      </w:pPr>
    </w:p>
    <w:p w14:paraId="2DE90E63" w14:textId="60D9C640" w:rsidR="009F124E" w:rsidRDefault="009F124E" w:rsidP="00E807FD">
      <w:pPr>
        <w:jc w:val="both"/>
      </w:pPr>
    </w:p>
    <w:p w14:paraId="1D9780BC" w14:textId="58326CF5" w:rsidR="009F124E" w:rsidRDefault="009F124E" w:rsidP="00E807FD">
      <w:pPr>
        <w:jc w:val="both"/>
      </w:pPr>
    </w:p>
    <w:p w14:paraId="66A4EE27" w14:textId="47012D02" w:rsidR="009F124E" w:rsidRPr="009F124E" w:rsidRDefault="008D42A4" w:rsidP="00354A9C">
      <w:pPr>
        <w:numPr>
          <w:ilvl w:val="0"/>
          <w:numId w:val="36"/>
        </w:numPr>
        <w:shd w:val="clear" w:color="auto" w:fill="C5E0B3"/>
        <w:spacing w:after="160" w:line="259" w:lineRule="auto"/>
        <w:contextualSpacing/>
        <w:jc w:val="center"/>
      </w:pPr>
      <w:r w:rsidRPr="009F124E">
        <w:rPr>
          <w:b/>
          <w:sz w:val="28"/>
          <w:szCs w:val="22"/>
          <w:lang w:eastAsia="en-US"/>
        </w:rPr>
        <w:t xml:space="preserve">Estrategia </w:t>
      </w:r>
      <w:r>
        <w:rPr>
          <w:b/>
          <w:sz w:val="28"/>
          <w:szCs w:val="22"/>
          <w:lang w:eastAsia="en-US"/>
        </w:rPr>
        <w:t>f</w:t>
      </w:r>
      <w:r w:rsidRPr="009F124E">
        <w:rPr>
          <w:b/>
          <w:sz w:val="28"/>
          <w:szCs w:val="22"/>
          <w:lang w:eastAsia="en-US"/>
        </w:rPr>
        <w:t xml:space="preserve">iscal </w:t>
      </w:r>
      <w:r>
        <w:rPr>
          <w:b/>
          <w:sz w:val="28"/>
          <w:szCs w:val="22"/>
          <w:lang w:eastAsia="en-US"/>
        </w:rPr>
        <w:t>a</w:t>
      </w:r>
      <w:r w:rsidRPr="009F124E">
        <w:rPr>
          <w:b/>
          <w:sz w:val="28"/>
          <w:szCs w:val="22"/>
          <w:lang w:eastAsia="en-US"/>
        </w:rPr>
        <w:t xml:space="preserve">mbiental </w:t>
      </w:r>
    </w:p>
    <w:p w14:paraId="73630206" w14:textId="38518662" w:rsidR="009F124E" w:rsidRDefault="009F124E" w:rsidP="009F124E">
      <w:pPr>
        <w:rPr>
          <w:b/>
          <w:sz w:val="28"/>
          <w:szCs w:val="22"/>
          <w:lang w:eastAsia="en-US"/>
        </w:rPr>
      </w:pPr>
    </w:p>
    <w:p w14:paraId="549E4E85" w14:textId="77777777" w:rsidR="009F124E" w:rsidRPr="009F124E" w:rsidRDefault="009F124E" w:rsidP="009F124E">
      <w:pPr>
        <w:spacing w:after="160"/>
        <w:jc w:val="both"/>
        <w:rPr>
          <w:sz w:val="22"/>
          <w:szCs w:val="22"/>
          <w:lang w:eastAsia="en-US"/>
        </w:rPr>
      </w:pPr>
      <w:r w:rsidRPr="009F124E">
        <w:rPr>
          <w:sz w:val="22"/>
          <w:szCs w:val="22"/>
          <w:lang w:eastAsia="en-US"/>
        </w:rPr>
        <w:t>Durante el 2023 se ha trabajado para dar cumplimiento al mandato establecido en el Acuerdo Ministerial No. 388-2022 “</w:t>
      </w:r>
      <w:r w:rsidRPr="009F124E">
        <w:rPr>
          <w:i/>
          <w:iCs/>
          <w:sz w:val="22"/>
          <w:szCs w:val="22"/>
          <w:lang w:eastAsia="en-US"/>
        </w:rPr>
        <w:t>Lineamientos Ambientales en el ámbito del Ministerio de Finanzas Públicas”</w:t>
      </w:r>
      <w:r w:rsidRPr="009F124E">
        <w:rPr>
          <w:sz w:val="22"/>
          <w:szCs w:val="22"/>
          <w:lang w:eastAsia="en-US"/>
        </w:rPr>
        <w:t xml:space="preserve"> el cual ordena articular a las dependencias del Ministerio de Finanzas Públicas, por medio de una herramienta de planificación operativa para garantizar el impulso de la fiscalidad ambiental a través de acciones y proyectos. En el marco de dichas acciones, se ha fomentado el fortalecimiento de las capacidades y sobre todo la coordinación interinstitucional en materia fiscal ambiental, el cual es un objetivo de la EFA en cada una de las áreas de intervención, propiciando en este sentido la incorporación de los lineamientos dentro de los Planes Operativos en cada una de las dependencias del ministerio involucradas su ámbito de acción. Los lineamientos en mención corresponden a programas, subprogramas y acciones que ya se están ejecutando o que se deberán de realizar, permitiendo alcanzar fortalezas a lo interno y una mayor articulación para aquellas intervenciones de carácter interinstitucional con el fin de coadyuvar al cumplimiento nacional e internacional en materia ambiental y de cambio climático. </w:t>
      </w:r>
    </w:p>
    <w:p w14:paraId="58373741" w14:textId="56A2B312" w:rsidR="009F124E" w:rsidRPr="009F124E" w:rsidRDefault="009F124E" w:rsidP="009F124E">
      <w:pPr>
        <w:tabs>
          <w:tab w:val="right" w:pos="8838"/>
        </w:tabs>
        <w:spacing w:after="160" w:line="360" w:lineRule="auto"/>
        <w:jc w:val="center"/>
        <w:rPr>
          <w:b/>
          <w:bCs/>
          <w:sz w:val="22"/>
          <w:szCs w:val="22"/>
          <w:lang w:eastAsia="en-US"/>
        </w:rPr>
      </w:pPr>
      <w:r w:rsidRPr="009F124E">
        <w:rPr>
          <w:rFonts w:asciiTheme="minorHAnsi" w:hAnsiTheme="minorHAnsi"/>
          <w:noProof/>
          <w:sz w:val="22"/>
          <w:szCs w:val="22"/>
          <w:lang w:eastAsia="en-US"/>
        </w:rPr>
        <mc:AlternateContent>
          <mc:Choice Requires="wps">
            <w:drawing>
              <wp:anchor distT="45720" distB="45720" distL="114300" distR="114300" simplePos="0" relativeHeight="251784192" behindDoc="0" locked="0" layoutInCell="1" allowOverlap="1" wp14:anchorId="00069EC7" wp14:editId="0FCF5C16">
                <wp:simplePos x="0" y="0"/>
                <wp:positionH relativeFrom="page">
                  <wp:posOffset>5236210</wp:posOffset>
                </wp:positionH>
                <wp:positionV relativeFrom="paragraph">
                  <wp:posOffset>257175</wp:posOffset>
                </wp:positionV>
                <wp:extent cx="1966595" cy="905510"/>
                <wp:effectExtent l="0" t="0" r="0" b="8890"/>
                <wp:wrapSquare wrapText="bothSides"/>
                <wp:docPr id="83" name="Cuadro de texto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6595" cy="905510"/>
                        </a:xfrm>
                        <a:prstGeom prst="rect">
                          <a:avLst/>
                        </a:prstGeom>
                        <a:solidFill>
                          <a:srgbClr val="FFFFFF"/>
                        </a:solidFill>
                        <a:ln w="9525">
                          <a:noFill/>
                          <a:miter lim="800000"/>
                          <a:headEnd/>
                          <a:tailEnd/>
                        </a:ln>
                      </wps:spPr>
                      <wps:txbx>
                        <w:txbxContent>
                          <w:p w14:paraId="7E765A5E" w14:textId="77777777" w:rsidR="009F124E" w:rsidRPr="009E2C92" w:rsidRDefault="009F124E" w:rsidP="009F124E">
                            <w:pPr>
                              <w:jc w:val="both"/>
                              <w:rPr>
                                <w:rFonts w:cs="Arial"/>
                                <w:sz w:val="16"/>
                                <w:szCs w:val="16"/>
                              </w:rPr>
                            </w:pPr>
                            <w:r w:rsidRPr="009E2C92">
                              <w:rPr>
                                <w:rFonts w:cs="Arial"/>
                                <w:sz w:val="16"/>
                                <w:szCs w:val="16"/>
                              </w:rPr>
                              <w:t>Acciones orientadas a una mejor efectividad del gastos e inversión pública para protección ambiental y mitigación al cambio climático, mediante la incorporación de criterios ambientales en compras y adquisiciones de bienes y servicios y consumo sostenible en el Estado.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069EC7" id="Cuadro de texto 83" o:spid="_x0000_s1046" type="#_x0000_t202" style="position:absolute;left:0;text-align:left;margin-left:412.3pt;margin-top:20.25pt;width:154.85pt;height:71.3pt;z-index:2517841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" stroked="f">
                <v:textbox>
                  <w:txbxContent>
                    <w:p w14:paraId="7E765A5E" w14:textId="77777777" w:rsidR="009F124E" w:rsidRPr="009E2C92" w:rsidRDefault="009F124E" w:rsidP="009F124E">
                      <w:pPr>
                        <w:jc w:val="both"/>
                        <w:rPr>
                          <w:rFonts w:cs="Arial"/>
                          <w:sz w:val="16"/>
                          <w:szCs w:val="16"/>
                        </w:rPr>
                      </w:pPr>
                      <w:r w:rsidRPr="009E2C92">
                        <w:rPr>
                          <w:rFonts w:cs="Arial"/>
                          <w:sz w:val="16"/>
                          <w:szCs w:val="16"/>
                        </w:rPr>
                        <w:t>Acciones orientadas a una mejor efectividad del gastos e inversión pública para protección ambiental y mitigación al cambio climático, mediante la incorporación de criterios ambientales en compras y adquisiciones de bienes y servicios y consumo sostenible en el Estado.</w:t>
                      </w:r>
                    </w:p>
                  </w:txbxContent>
                </v:textbox>
                <w10:wrap type="square" anchorx="page"/>
              </v:shape>
            </w:pict>
          </mc:Fallback>
        </mc:AlternateContent>
      </w:r>
      <w:r w:rsidRPr="009F124E">
        <w:rPr>
          <w:rFonts w:asciiTheme="minorHAnsi" w:hAnsiTheme="minorHAnsi"/>
          <w:noProof/>
          <w:sz w:val="22"/>
          <w:szCs w:val="22"/>
          <w:lang w:eastAsia="en-US"/>
        </w:rPr>
        <mc:AlternateContent>
          <mc:Choice Requires="wps">
            <w:drawing>
              <wp:anchor distT="0" distB="0" distL="114300" distR="114300" simplePos="0" relativeHeight="251783168" behindDoc="0" locked="0" layoutInCell="1" allowOverlap="1" wp14:anchorId="1905DF42" wp14:editId="24587F6D">
                <wp:simplePos x="0" y="0"/>
                <wp:positionH relativeFrom="column">
                  <wp:posOffset>897890</wp:posOffset>
                </wp:positionH>
                <wp:positionV relativeFrom="paragraph">
                  <wp:posOffset>318135</wp:posOffset>
                </wp:positionV>
                <wp:extent cx="3233420" cy="71755"/>
                <wp:effectExtent l="0" t="0" r="81280" b="99695"/>
                <wp:wrapNone/>
                <wp:docPr id="113" name="Conector: angular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33420" cy="71755"/>
                        </a:xfrm>
                        <a:prstGeom prst="bentConnector3">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6636CEF7"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113" o:spid="_x0000_s1026" type="#_x0000_t34" style="position:absolute;margin-left:70.7pt;margin-top:25.05pt;width:254.6pt;height:5.6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" strokecolor="#4472c4" strokeweight=".5pt">
                <v:stroke endarrow="block"/>
                <o:lock v:ext="edit" shapetype="f"/>
              </v:shape>
            </w:pict>
          </mc:Fallback>
        </mc:AlternateContent>
      </w:r>
      <w:r w:rsidRPr="009F124E">
        <w:rPr>
          <w:rFonts w:asciiTheme="minorHAnsi" w:hAnsiTheme="minorHAnsi"/>
          <w:noProof/>
          <w:sz w:val="22"/>
          <w:szCs w:val="22"/>
          <w:lang w:eastAsia="en-US"/>
        </w:rPr>
        <mc:AlternateContent>
          <mc:Choice Requires="wpg">
            <w:drawing>
              <wp:anchor distT="0" distB="0" distL="114300" distR="114300" simplePos="0" relativeHeight="251777024" behindDoc="0" locked="0" layoutInCell="1" allowOverlap="1" wp14:anchorId="1152ABD7" wp14:editId="7AC90649">
                <wp:simplePos x="0" y="0"/>
                <wp:positionH relativeFrom="column">
                  <wp:posOffset>279400</wp:posOffset>
                </wp:positionH>
                <wp:positionV relativeFrom="paragraph">
                  <wp:posOffset>260985</wp:posOffset>
                </wp:positionV>
                <wp:extent cx="822960" cy="3514725"/>
                <wp:effectExtent l="0" t="0" r="0" b="28575"/>
                <wp:wrapNone/>
                <wp:docPr id="1737" name="Grupo 1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2960" cy="3514725"/>
                          <a:chOff x="277570" y="-97283"/>
                          <a:chExt cx="823546" cy="3515336"/>
                        </a:xfrm>
                      </wpg:grpSpPr>
                      <wps:wsp>
                        <wps:cNvPr id="65" name="Google Shape;1738;p36"/>
                        <wps:cNvSpPr/>
                        <wps:spPr>
                          <a:xfrm>
                            <a:off x="665419" y="140523"/>
                            <a:ext cx="21" cy="3277530"/>
                          </a:xfrm>
                          <a:custGeom>
                            <a:avLst/>
                            <a:gdLst/>
                            <a:ahLst/>
                            <a:cxnLst/>
                            <a:rect l="l" t="t" r="r" b="b"/>
                            <a:pathLst>
                              <a:path w="1" h="157460" fill="none" extrusionOk="0">
                                <a:moveTo>
                                  <a:pt x="1" y="157460"/>
                                </a:moveTo>
                                <a:lnTo>
                                  <a:pt x="1" y="0"/>
                                </a:lnTo>
                              </a:path>
                            </a:pathLst>
                          </a:custGeom>
                          <a:noFill/>
                          <a:ln w="11300" cap="flat" cmpd="sng">
                            <a:solidFill>
                              <a:srgbClr val="000000"/>
                            </a:solidFill>
                            <a:prstDash val="solid"/>
                            <a:miter lim="11906"/>
                            <a:headEnd type="none" w="sm" len="sm"/>
                            <a:tailEnd type="none" w="sm" len="sm"/>
                          </a:ln>
                        </wps:spPr>
                        <wps:bodyPr spcFirstLastPara="1" wrap="square" lIns="91425" tIns="91425" rIns="91425" bIns="91425" anchor="ctr" anchorCtr="0">
                          <a:noAutofit/>
                        </wps:bodyPr>
                      </wps:wsp>
                      <wps:wsp>
                        <wps:cNvPr id="68" name="Google Shape;1739;p36"/>
                        <wps:cNvSpPr/>
                        <wps:spPr>
                          <a:xfrm>
                            <a:off x="665419" y="112506"/>
                            <a:ext cx="21" cy="15632"/>
                          </a:xfrm>
                          <a:custGeom>
                            <a:avLst/>
                            <a:gdLst/>
                            <a:ahLst/>
                            <a:cxnLst/>
                            <a:rect l="l" t="t" r="r" b="b"/>
                            <a:pathLst>
                              <a:path w="1" h="751" fill="none" extrusionOk="0">
                                <a:moveTo>
                                  <a:pt x="1" y="751"/>
                                </a:moveTo>
                                <a:lnTo>
                                  <a:pt x="1" y="1"/>
                                </a:lnTo>
                              </a:path>
                            </a:pathLst>
                          </a:custGeom>
                          <a:noFill/>
                          <a:ln w="11300" cap="flat" cmpd="sng">
                            <a:solidFill>
                              <a:srgbClr val="000000"/>
                            </a:solidFill>
                            <a:prstDash val="solid"/>
                            <a:miter lim="11906"/>
                            <a:headEnd type="none" w="sm" len="sm"/>
                            <a:tailEnd type="none" w="sm" len="sm"/>
                          </a:ln>
                        </wps:spPr>
                        <wps:bodyPr spcFirstLastPara="1" wrap="square" lIns="91425" tIns="91425" rIns="91425" bIns="91425" anchor="ctr" anchorCtr="0">
                          <a:noAutofit/>
                        </wps:bodyPr>
                      </wps:wsp>
                      <wps:wsp>
                        <wps:cNvPr id="69" name="Google Shape;1740;p36"/>
                        <wps:cNvSpPr/>
                        <wps:spPr>
                          <a:xfrm>
                            <a:off x="317223" y="497149"/>
                            <a:ext cx="783893" cy="783893"/>
                          </a:xfrm>
                          <a:custGeom>
                            <a:avLst/>
                            <a:gdLst/>
                            <a:ahLst/>
                            <a:cxnLst/>
                            <a:rect l="l" t="t" r="r" b="b"/>
                            <a:pathLst>
                              <a:path w="37660" h="37660" extrusionOk="0">
                                <a:moveTo>
                                  <a:pt x="18824" y="0"/>
                                </a:moveTo>
                                <a:cubicBezTo>
                                  <a:pt x="8430" y="0"/>
                                  <a:pt x="0" y="8430"/>
                                  <a:pt x="0" y="18836"/>
                                </a:cubicBezTo>
                                <a:cubicBezTo>
                                  <a:pt x="0" y="29230"/>
                                  <a:pt x="8430" y="37660"/>
                                  <a:pt x="18824" y="37660"/>
                                </a:cubicBezTo>
                                <a:cubicBezTo>
                                  <a:pt x="29230" y="37660"/>
                                  <a:pt x="37660" y="29230"/>
                                  <a:pt x="37660" y="18836"/>
                                </a:cubicBezTo>
                                <a:cubicBezTo>
                                  <a:pt x="37660" y="8430"/>
                                  <a:pt x="29230" y="0"/>
                                  <a:pt x="18824" y="0"/>
                                </a:cubicBezTo>
                                <a:close/>
                              </a:path>
                            </a:pathLst>
                          </a:custGeom>
                          <a:solidFill>
                            <a:srgbClr val="CECECE"/>
                          </a:solidFill>
                          <a:ln>
                            <a:noFill/>
                          </a:ln>
                        </wps:spPr>
                        <wps:bodyPr spcFirstLastPara="1" wrap="square" lIns="91425" tIns="91425" rIns="91425" bIns="91425" anchor="ctr" anchorCtr="0">
                          <a:noAutofit/>
                        </wps:bodyPr>
                      </wps:wsp>
                      <wps:wsp>
                        <wps:cNvPr id="70" name="Google Shape;1741;p36"/>
                        <wps:cNvSpPr/>
                        <wps:spPr>
                          <a:xfrm>
                            <a:off x="277570" y="457496"/>
                            <a:ext cx="783893" cy="783893"/>
                          </a:xfrm>
                          <a:custGeom>
                            <a:avLst/>
                            <a:gdLst/>
                            <a:ahLst/>
                            <a:cxnLst/>
                            <a:rect l="l" t="t" r="r" b="b"/>
                            <a:pathLst>
                              <a:path w="37660" h="37660" extrusionOk="0">
                                <a:moveTo>
                                  <a:pt x="18824" y="0"/>
                                </a:moveTo>
                                <a:cubicBezTo>
                                  <a:pt x="8430" y="0"/>
                                  <a:pt x="0" y="8430"/>
                                  <a:pt x="0" y="18824"/>
                                </a:cubicBezTo>
                                <a:cubicBezTo>
                                  <a:pt x="0" y="29230"/>
                                  <a:pt x="8430" y="37660"/>
                                  <a:pt x="18824" y="37660"/>
                                </a:cubicBezTo>
                                <a:cubicBezTo>
                                  <a:pt x="29230" y="37660"/>
                                  <a:pt x="37660" y="29230"/>
                                  <a:pt x="37660" y="18824"/>
                                </a:cubicBezTo>
                                <a:cubicBezTo>
                                  <a:pt x="37660" y="8430"/>
                                  <a:pt x="29230" y="0"/>
                                  <a:pt x="18824" y="0"/>
                                </a:cubicBezTo>
                                <a:close/>
                              </a:path>
                            </a:pathLst>
                          </a:custGeom>
                          <a:solidFill>
                            <a:srgbClr val="5EB2FC"/>
                          </a:solidFill>
                          <a:ln>
                            <a:noFill/>
                          </a:ln>
                        </wps:spPr>
                        <wps:txbx>
                          <w:txbxContent>
                            <w:p w14:paraId="4C9F1EE8" w14:textId="77777777" w:rsidR="009F124E" w:rsidRPr="00A36326" w:rsidRDefault="009F124E" w:rsidP="009F124E">
                              <w:pPr>
                                <w:jc w:val="center"/>
                                <w:rPr>
                                  <w:rFonts w:ascii="Fira Sans Extra Condensed" w:hAnsi="Fira Sans Extra Condensed" w:cs="Fira Sans Extra Condensed"/>
                                  <w:color w:val="FFFFFF"/>
                                  <w:sz w:val="16"/>
                                  <w:szCs w:val="16"/>
                                </w:rPr>
                              </w:pPr>
                              <w:r w:rsidRPr="00A36326">
                                <w:rPr>
                                  <w:rFonts w:ascii="Fira Sans Extra Condensed" w:hAnsi="Fira Sans Extra Condensed" w:cs="Fira Sans Extra Condensed"/>
                                  <w:color w:val="FFFFFF"/>
                                  <w:sz w:val="16"/>
                                  <w:szCs w:val="16"/>
                                </w:rPr>
                                <w:t xml:space="preserve">Calidad del gasto y compra pública sostenible </w:t>
                              </w:r>
                            </w:p>
                          </w:txbxContent>
                        </wps:txbx>
                        <wps:bodyPr spcFirstLastPara="1" wrap="square" lIns="91425" tIns="91425" rIns="91425" bIns="91425" anchor="ctr" anchorCtr="0">
                          <a:noAutofit/>
                        </wps:bodyPr>
                      </wps:wsp>
                      <wps:wsp>
                        <wps:cNvPr id="71" name="Google Shape;1742;p36"/>
                        <wps:cNvSpPr/>
                        <wps:spPr>
                          <a:xfrm>
                            <a:off x="449316" y="1519193"/>
                            <a:ext cx="486259" cy="486259"/>
                          </a:xfrm>
                          <a:custGeom>
                            <a:avLst/>
                            <a:gdLst/>
                            <a:ahLst/>
                            <a:cxnLst/>
                            <a:rect l="l" t="t" r="r" b="b"/>
                            <a:pathLst>
                              <a:path w="23361" h="23361" extrusionOk="0">
                                <a:moveTo>
                                  <a:pt x="11680" y="0"/>
                                </a:moveTo>
                                <a:cubicBezTo>
                                  <a:pt x="5227" y="0"/>
                                  <a:pt x="0" y="5227"/>
                                  <a:pt x="0" y="11680"/>
                                </a:cubicBezTo>
                                <a:cubicBezTo>
                                  <a:pt x="0" y="18134"/>
                                  <a:pt x="5227" y="23360"/>
                                  <a:pt x="11680" y="23360"/>
                                </a:cubicBezTo>
                                <a:cubicBezTo>
                                  <a:pt x="18133" y="23360"/>
                                  <a:pt x="23360" y="18134"/>
                                  <a:pt x="23360" y="11680"/>
                                </a:cubicBezTo>
                                <a:cubicBezTo>
                                  <a:pt x="23360" y="5227"/>
                                  <a:pt x="18133" y="0"/>
                                  <a:pt x="11680" y="0"/>
                                </a:cubicBezTo>
                                <a:close/>
                              </a:path>
                            </a:pathLst>
                          </a:custGeom>
                          <a:solidFill>
                            <a:srgbClr val="CECECE"/>
                          </a:solidFill>
                          <a:ln>
                            <a:noFill/>
                          </a:ln>
                        </wps:spPr>
                        <wps:bodyPr spcFirstLastPara="1" wrap="square" lIns="91425" tIns="91425" rIns="91425" bIns="91425" anchor="ctr" anchorCtr="0">
                          <a:noAutofit/>
                        </wps:bodyPr>
                      </wps:wsp>
                      <wps:wsp>
                        <wps:cNvPr id="76" name="Google Shape;1743;p36"/>
                        <wps:cNvSpPr/>
                        <wps:spPr>
                          <a:xfrm>
                            <a:off x="424775" y="1494402"/>
                            <a:ext cx="486259" cy="486509"/>
                          </a:xfrm>
                          <a:custGeom>
                            <a:avLst/>
                            <a:gdLst/>
                            <a:ahLst/>
                            <a:cxnLst/>
                            <a:rect l="l" t="t" r="r" b="b"/>
                            <a:pathLst>
                              <a:path w="23361" h="23373" extrusionOk="0">
                                <a:moveTo>
                                  <a:pt x="11681" y="1"/>
                                </a:moveTo>
                                <a:cubicBezTo>
                                  <a:pt x="5227" y="1"/>
                                  <a:pt x="1" y="5240"/>
                                  <a:pt x="1" y="11681"/>
                                </a:cubicBezTo>
                                <a:cubicBezTo>
                                  <a:pt x="1" y="18134"/>
                                  <a:pt x="5227" y="23373"/>
                                  <a:pt x="11681" y="23373"/>
                                </a:cubicBezTo>
                                <a:cubicBezTo>
                                  <a:pt x="18122" y="23373"/>
                                  <a:pt x="23361" y="18134"/>
                                  <a:pt x="23361" y="11681"/>
                                </a:cubicBezTo>
                                <a:cubicBezTo>
                                  <a:pt x="23361" y="5240"/>
                                  <a:pt x="18122" y="1"/>
                                  <a:pt x="11681" y="1"/>
                                </a:cubicBezTo>
                                <a:close/>
                              </a:path>
                            </a:pathLst>
                          </a:custGeom>
                          <a:solidFill>
                            <a:srgbClr val="5EB2FC"/>
                          </a:solidFill>
                          <a:ln>
                            <a:noFill/>
                          </a:ln>
                        </wps:spPr>
                        <wps:txbx>
                          <w:txbxContent>
                            <w:p w14:paraId="0EB5E428" w14:textId="77777777" w:rsidR="009F124E" w:rsidRDefault="009F124E" w:rsidP="009F124E">
                              <w:pPr>
                                <w:jc w:val="center"/>
                                <w:rPr>
                                  <w:rFonts w:ascii="Fira Sans Extra Condensed" w:hAnsi="Fira Sans Extra Condensed" w:cs="Fira Sans Extra Condensed"/>
                                  <w:color w:val="FFFFFF"/>
                                  <w:sz w:val="30"/>
                                  <w:szCs w:val="30"/>
                                  <w:lang w:val="en-US"/>
                                </w:rPr>
                              </w:pPr>
                              <w:r>
                                <w:rPr>
                                  <w:rFonts w:ascii="Fira Sans Extra Condensed" w:hAnsi="Fira Sans Extra Condensed" w:cs="Fira Sans Extra Condensed"/>
                                  <w:color w:val="FFFFFF"/>
                                  <w:sz w:val="30"/>
                                  <w:szCs w:val="30"/>
                                  <w:lang w:val="en-US"/>
                                </w:rPr>
                                <w:t>01</w:t>
                              </w:r>
                            </w:p>
                          </w:txbxContent>
                        </wps:txbx>
                        <wps:bodyPr spcFirstLastPara="1" wrap="square" lIns="91425" tIns="91425" rIns="91425" bIns="91425" anchor="ctr" anchorCtr="0">
                          <a:noAutofit/>
                        </wps:bodyPr>
                      </wps:wsp>
                      <wps:wsp>
                        <wps:cNvPr id="81" name="Google Shape;1744;p36"/>
                        <wps:cNvSpPr/>
                        <wps:spPr>
                          <a:xfrm>
                            <a:off x="509534" y="18338"/>
                            <a:ext cx="359621" cy="359621"/>
                          </a:xfrm>
                          <a:custGeom>
                            <a:avLst/>
                            <a:gdLst/>
                            <a:ahLst/>
                            <a:cxnLst/>
                            <a:rect l="l" t="t" r="r" b="b"/>
                            <a:pathLst>
                              <a:path w="17277" h="17277" extrusionOk="0">
                                <a:moveTo>
                                  <a:pt x="8633" y="0"/>
                                </a:moveTo>
                                <a:cubicBezTo>
                                  <a:pt x="3858" y="0"/>
                                  <a:pt x="0" y="3858"/>
                                  <a:pt x="0" y="8632"/>
                                </a:cubicBezTo>
                                <a:cubicBezTo>
                                  <a:pt x="0" y="13407"/>
                                  <a:pt x="3858" y="17276"/>
                                  <a:pt x="8633" y="17276"/>
                                </a:cubicBezTo>
                                <a:cubicBezTo>
                                  <a:pt x="13407" y="17276"/>
                                  <a:pt x="17276" y="13407"/>
                                  <a:pt x="17276" y="8632"/>
                                </a:cubicBezTo>
                                <a:cubicBezTo>
                                  <a:pt x="17276" y="3858"/>
                                  <a:pt x="13407" y="0"/>
                                  <a:pt x="8633" y="0"/>
                                </a:cubicBezTo>
                                <a:close/>
                              </a:path>
                            </a:pathLst>
                          </a:custGeom>
                          <a:solidFill>
                            <a:srgbClr val="CECECE"/>
                          </a:solidFill>
                          <a:ln>
                            <a:noFill/>
                          </a:ln>
                        </wps:spPr>
                        <wps:bodyPr spcFirstLastPara="1" wrap="square" lIns="91425" tIns="91425" rIns="91425" bIns="91425" anchor="ctr" anchorCtr="0">
                          <a:noAutofit/>
                        </wps:bodyPr>
                      </wps:wsp>
                      <wps:wsp>
                        <wps:cNvPr id="82" name="Google Shape;1745;p36"/>
                        <wps:cNvSpPr/>
                        <wps:spPr>
                          <a:xfrm>
                            <a:off x="371841" y="-97283"/>
                            <a:ext cx="590028" cy="502764"/>
                          </a:xfrm>
                          <a:custGeom>
                            <a:avLst/>
                            <a:gdLst/>
                            <a:ahLst/>
                            <a:cxnLst/>
                            <a:rect l="l" t="t" r="r" b="b"/>
                            <a:pathLst>
                              <a:path w="17277" h="17277" extrusionOk="0">
                                <a:moveTo>
                                  <a:pt x="8644" y="0"/>
                                </a:moveTo>
                                <a:cubicBezTo>
                                  <a:pt x="3870" y="0"/>
                                  <a:pt x="0" y="3870"/>
                                  <a:pt x="0" y="8644"/>
                                </a:cubicBezTo>
                                <a:cubicBezTo>
                                  <a:pt x="0" y="13407"/>
                                  <a:pt x="3870" y="17276"/>
                                  <a:pt x="8644" y="17276"/>
                                </a:cubicBezTo>
                                <a:cubicBezTo>
                                  <a:pt x="13407" y="17276"/>
                                  <a:pt x="17276" y="13407"/>
                                  <a:pt x="17276" y="8644"/>
                                </a:cubicBezTo>
                                <a:cubicBezTo>
                                  <a:pt x="17276" y="3870"/>
                                  <a:pt x="13407" y="0"/>
                                  <a:pt x="8644" y="0"/>
                                </a:cubicBezTo>
                                <a:close/>
                              </a:path>
                            </a:pathLst>
                          </a:custGeom>
                          <a:solidFill>
                            <a:srgbClr val="5EB2FC"/>
                          </a:solidFill>
                          <a:ln>
                            <a:noFill/>
                          </a:ln>
                        </wps:spPr>
                        <wps:bodyPr spcFirstLastPara="1" wrap="square" lIns="91425" tIns="91425" rIns="91425" bIns="91425" anchor="ctr" anchorCtr="0">
                          <a:noAutofit/>
                        </wps:bodyPr>
                      </wps:wsp>
                    </wpg:wgp>
                  </a:graphicData>
                </a:graphic>
                <wp14:sizeRelH relativeFrom="page">
                  <wp14:pctWidth>0</wp14:pctWidth>
                </wp14:sizeRelH>
                <wp14:sizeRelV relativeFrom="margin">
                  <wp14:pctHeight>0</wp14:pctHeight>
                </wp14:sizeRelV>
              </wp:anchor>
            </w:drawing>
          </mc:Choice>
          <mc:Fallback>
            <w:pict>
              <v:group w14:anchorId="1152ABD7" id="Grupo 1737" o:spid="_x0000_s1047" style="position:absolute;left:0;text-align:left;margin-left:22pt;margin-top:20.55pt;width:64.8pt;height:276.75pt;z-index:251777024;mso-height-relative:margin" coordorigin="2775,-972" coordsize="8235,35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">
                <v:shape id="Google Shape;1738;p36" o:spid="_x0000_s1048" style="position:absolute;left:6654;top:1405;width:0;height:32775;visibility:visible;mso-wrap-style:square;v-text-anchor:middle" coordsize="1,15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" path="m1,157460nfl1,e" filled="f" strokeweight=".31389mm">
                  <v:stroke startarrowwidth="narrow" startarrowlength="short" endarrowwidth="narrow" endarrowlength="short" miterlimit="7803f" joinstyle="miter"/>
                  <v:path arrowok="t" o:extrusionok="f"/>
                </v:shape>
                <v:shape id="Google Shape;1739;p36" o:spid="_x0000_s1049" style="position:absolute;left:6654;top:1125;width:0;height:156;visibility:visible;mso-wrap-style:square;v-text-anchor:middle" coordsize="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" path="m1,751nfl1,1e" filled="f" strokeweight=".31389mm">
                  <v:stroke startarrowwidth="narrow" startarrowlength="short" endarrowwidth="narrow" endarrowlength="short" miterlimit="7803f" joinstyle="miter"/>
                  <v:path arrowok="t" o:extrusionok="f"/>
                </v:shape>
                <v:shape id="Google Shape;1740;p36" o:spid="_x0000_s1050" style="position:absolute;left:3172;top:4971;width:7839;height:7839;visibility:visible;mso-wrap-style:square;v-text-anchor:middle" coordsize="37660,3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" path="m18824,c8430,,,8430,,18836,,29230,8430,37660,18824,37660v10406,,18836,-8430,18836,-18824c37660,8430,29230,,18824,xe" fillcolor="#cecece" stroked="f">
                  <v:path arrowok="t" o:extrusionok="f"/>
                </v:shape>
                <v:shape id="Google Shape;1741;p36" o:spid="_x0000_s1051" style="position:absolute;left:2775;top:4574;width:7839;height:7839;visibility:visible;mso-wrap-style:square;v-text-anchor:middle" coordsize="37660,376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" adj="-11796480,,5400" path="m18824,c8430,,,8430,,18824,,29230,8430,37660,18824,37660v10406,,18836,-8430,18836,-18836c37660,8430,29230,,18824,xe" fillcolor="#5eb2fc" stroked="f">
                  <v:stroke joinstyle="miter"/>
                  <v:formulas/>
                  <v:path arrowok="t" o:extrusionok="f" o:connecttype="custom" textboxrect="0,0,37660,37660"/>
                  <v:textbox inset="2.53958mm,2.53958mm,2.53958mm,2.53958mm">
                    <w:txbxContent>
                      <w:p w14:paraId="4C9F1EE8" w14:textId="77777777" w:rsidR="009F124E" w:rsidRPr="00A36326" w:rsidRDefault="009F124E" w:rsidP="009F124E">
                        <w:pPr>
                          <w:jc w:val="center"/>
                          <w:rPr>
                            <w:rFonts w:ascii="Fira Sans Extra Condensed" w:hAnsi="Fira Sans Extra Condensed" w:cs="Fira Sans Extra Condensed"/>
                            <w:color w:val="FFFFFF"/>
                            <w:sz w:val="16"/>
                            <w:szCs w:val="16"/>
                          </w:rPr>
                        </w:pPr>
                        <w:r w:rsidRPr="00A36326">
                          <w:rPr>
                            <w:rFonts w:ascii="Fira Sans Extra Condensed" w:hAnsi="Fira Sans Extra Condensed" w:cs="Fira Sans Extra Condensed"/>
                            <w:color w:val="FFFFFF"/>
                            <w:sz w:val="16"/>
                            <w:szCs w:val="16"/>
                          </w:rPr>
                          <w:t xml:space="preserve">Calidad del gasto y compra pública sostenible </w:t>
                        </w:r>
                      </w:p>
                    </w:txbxContent>
                  </v:textbox>
                </v:shape>
                <v:shape id="Google Shape;1742;p36" o:spid="_x0000_s1052" style="position:absolute;left:4493;top:15191;width:4862;height:4863;visibility:visible;mso-wrap-style:square;v-text-anchor:middle" coordsize="23361,23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" path="m11680,c5227,,,5227,,11680v,6454,5227,11680,11680,11680c18133,23360,23360,18134,23360,11680,23360,5227,18133,,11680,xe" fillcolor="#cecece" stroked="f">
                  <v:path arrowok="t" o:extrusionok="f"/>
                </v:shape>
                <v:shape id="Google Shape;1743;p36" o:spid="_x0000_s1053" style="position:absolute;left:4247;top:14944;width:4863;height:4865;visibility:visible;mso-wrap-style:square;v-text-anchor:middle" coordsize="23361,233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" adj="-11796480,,5400" path="m11681,1c5227,1,1,5240,1,11681v,6453,5226,11692,11680,11692c18122,23373,23361,18134,23361,11681,23361,5240,18122,1,11681,1xe" fillcolor="#5eb2fc" stroked="f">
                  <v:stroke joinstyle="miter"/>
                  <v:formulas/>
                  <v:path arrowok="t" o:extrusionok="f" o:connecttype="custom" textboxrect="0,0,23361,23373"/>
                  <v:textbox inset="2.53958mm,2.53958mm,2.53958mm,2.53958mm">
                    <w:txbxContent>
                      <w:p w14:paraId="0EB5E428" w14:textId="77777777" w:rsidR="009F124E" w:rsidRDefault="009F124E" w:rsidP="009F124E">
                        <w:pPr>
                          <w:jc w:val="center"/>
                          <w:rPr>
                            <w:rFonts w:ascii="Fira Sans Extra Condensed" w:hAnsi="Fira Sans Extra Condensed" w:cs="Fira Sans Extra Condensed"/>
                            <w:color w:val="FFFFFF"/>
                            <w:sz w:val="30"/>
                            <w:szCs w:val="30"/>
                            <w:lang w:val="en-US"/>
                          </w:rPr>
                        </w:pPr>
                        <w:r>
                          <w:rPr>
                            <w:rFonts w:ascii="Fira Sans Extra Condensed" w:hAnsi="Fira Sans Extra Condensed" w:cs="Fira Sans Extra Condensed"/>
                            <w:color w:val="FFFFFF"/>
                            <w:sz w:val="30"/>
                            <w:szCs w:val="30"/>
                            <w:lang w:val="en-US"/>
                          </w:rPr>
                          <w:t>01</w:t>
                        </w:r>
                      </w:p>
                    </w:txbxContent>
                  </v:textbox>
                </v:shape>
                <v:shape id="Google Shape;1744;p36" o:spid="_x0000_s1054" style="position:absolute;left:5095;top:183;width:3596;height:3596;visibility:visible;mso-wrap-style:square;v-text-anchor:middle" coordsize="17277,17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" path="m8633,c3858,,,3858,,8632v,4775,3858,8644,8633,8644c13407,17276,17276,13407,17276,8632,17276,3858,13407,,8633,xe" fillcolor="#cecece" stroked="f">
                  <v:path arrowok="t" o:extrusionok="f"/>
                </v:shape>
                <v:shape id="Google Shape;1745;p36" o:spid="_x0000_s1055" style="position:absolute;left:3718;top:-972;width:5900;height:5026;visibility:visible;mso-wrap-style:square;v-text-anchor:middle" coordsize="17277,17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" path="m8644,c3870,,,3870,,8644v,4763,3870,8632,8644,8632c13407,17276,17276,13407,17276,8644,17276,3870,13407,,8644,xe" fillcolor="#5eb2fc" stroked="f">
                  <v:path arrowok="t" o:extrusionok="f"/>
                </v:shape>
              </v:group>
            </w:pict>
          </mc:Fallback>
        </mc:AlternateContent>
      </w:r>
      <w:r w:rsidRPr="009F124E">
        <w:rPr>
          <w:rFonts w:asciiTheme="minorHAnsi" w:hAnsiTheme="minorHAnsi"/>
          <w:b/>
          <w:bCs/>
          <w:i/>
          <w:iCs/>
          <w:sz w:val="22"/>
          <w:szCs w:val="22"/>
          <w:lang w:eastAsia="en-US"/>
        </w:rPr>
        <w:t>L</w:t>
      </w:r>
      <w:r w:rsidRPr="009F124E">
        <w:rPr>
          <w:b/>
          <w:bCs/>
          <w:sz w:val="22"/>
          <w:szCs w:val="22"/>
          <w:lang w:eastAsia="en-US"/>
        </w:rPr>
        <w:t xml:space="preserve">ineamientos Ambientales en el ámbito del Ministerio de Finanzas Públicas </w:t>
      </w:r>
      <w:r w:rsidRPr="008C0BF7">
        <w:rPr>
          <w:noProof/>
          <w:sz w:val="22"/>
          <w:szCs w:val="22"/>
          <w:lang w:eastAsia="en-US"/>
        </w:rPr>
        <mc:AlternateContent>
          <mc:Choice Requires="wpg">
            <w:drawing>
              <wp:anchor distT="0" distB="0" distL="114300" distR="114300" simplePos="0" relativeHeight="251769856" behindDoc="0" locked="0" layoutInCell="1" allowOverlap="1" wp14:anchorId="2B971577" wp14:editId="77AD7F52">
                <wp:simplePos x="0" y="0"/>
                <wp:positionH relativeFrom="column">
                  <wp:posOffset>-1490345</wp:posOffset>
                </wp:positionH>
                <wp:positionV relativeFrom="paragraph">
                  <wp:posOffset>497205</wp:posOffset>
                </wp:positionV>
                <wp:extent cx="306070" cy="285115"/>
                <wp:effectExtent l="38100" t="0" r="17780" b="635"/>
                <wp:wrapNone/>
                <wp:docPr id="1917" name="Grupo 1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70" cy="285115"/>
                          <a:chOff x="1250373" y="416928"/>
                          <a:chExt cx="256" cy="203"/>
                        </a:xfrm>
                        <a:solidFill>
                          <a:sysClr val="window" lastClr="FFFFFF"/>
                        </a:solidFill>
                      </wpg:grpSpPr>
                      <wps:wsp>
                        <wps:cNvPr id="1918" name="Freeform 26"/>
                        <wps:cNvSpPr>
                          <a:spLocks/>
                        </wps:cNvSpPr>
                        <wps:spPr bwMode="auto">
                          <a:xfrm>
                            <a:off x="1250373" y="417060"/>
                            <a:ext cx="59" cy="71"/>
                          </a:xfrm>
                          <a:custGeom>
                            <a:avLst/>
                            <a:gdLst>
                              <a:gd name="T0" fmla="*/ 6 w 6"/>
                              <a:gd name="T1" fmla="*/ 1 h 7"/>
                              <a:gd name="T2" fmla="*/ 6 w 6"/>
                              <a:gd name="T3" fmla="*/ 0 h 7"/>
                              <a:gd name="T4" fmla="*/ 1 w 6"/>
                              <a:gd name="T5" fmla="*/ 0 h 7"/>
                              <a:gd name="T6" fmla="*/ 0 w 6"/>
                              <a:gd name="T7" fmla="*/ 1 h 7"/>
                              <a:gd name="T8" fmla="*/ 0 w 6"/>
                              <a:gd name="T9" fmla="*/ 6 h 7"/>
                              <a:gd name="T10" fmla="*/ 1 w 6"/>
                              <a:gd name="T11" fmla="*/ 7 h 7"/>
                              <a:gd name="T12" fmla="*/ 6 w 6"/>
                              <a:gd name="T13" fmla="*/ 7 h 7"/>
                              <a:gd name="T14" fmla="*/ 6 w 6"/>
                              <a:gd name="T15" fmla="*/ 6 h 7"/>
                              <a:gd name="T16" fmla="*/ 6 w 6"/>
                              <a:gd name="T17" fmla="*/ 1 h 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 h="7">
                                <a:moveTo>
                                  <a:pt x="6" y="1"/>
                                </a:moveTo>
                                <a:cubicBezTo>
                                  <a:pt x="6" y="0"/>
                                  <a:pt x="6" y="0"/>
                                  <a:pt x="6" y="0"/>
                                </a:cubicBezTo>
                                <a:cubicBezTo>
                                  <a:pt x="1" y="0"/>
                                  <a:pt x="1" y="0"/>
                                  <a:pt x="1" y="0"/>
                                </a:cubicBezTo>
                                <a:cubicBezTo>
                                  <a:pt x="0" y="0"/>
                                  <a:pt x="0" y="0"/>
                                  <a:pt x="0" y="1"/>
                                </a:cubicBezTo>
                                <a:cubicBezTo>
                                  <a:pt x="0" y="6"/>
                                  <a:pt x="0" y="6"/>
                                  <a:pt x="0" y="6"/>
                                </a:cubicBezTo>
                                <a:cubicBezTo>
                                  <a:pt x="0" y="6"/>
                                  <a:pt x="0" y="7"/>
                                  <a:pt x="1" y="7"/>
                                </a:cubicBezTo>
                                <a:cubicBezTo>
                                  <a:pt x="6" y="7"/>
                                  <a:pt x="6" y="7"/>
                                  <a:pt x="6" y="7"/>
                                </a:cubicBezTo>
                                <a:cubicBezTo>
                                  <a:pt x="6" y="7"/>
                                  <a:pt x="6" y="6"/>
                                  <a:pt x="6" y="6"/>
                                </a:cubicBezTo>
                                <a:lnTo>
                                  <a:pt x="6" y="1"/>
                                </a:lnTo>
                                <a:close/>
                              </a:path>
                            </a:pathLst>
                          </a:custGeom>
                          <a:grpFill/>
                          <a:ln>
                            <a:noFill/>
                          </a:ln>
                        </wps:spPr>
                        <wps:bodyPr vert="horz" wrap="square" lIns="91440" tIns="45720" rIns="91440" bIns="45720" numCol="1" anchor="t" anchorCtr="0" compatLnSpc="1">
                          <a:prstTxWarp prst="textNoShape">
                            <a:avLst/>
                          </a:prstTxWarp>
                        </wps:bodyPr>
                      </wps:wsp>
                      <wps:wsp>
                        <wps:cNvPr id="1919" name="Freeform 27"/>
                        <wps:cNvSpPr>
                          <a:spLocks/>
                        </wps:cNvSpPr>
                        <wps:spPr bwMode="auto">
                          <a:xfrm>
                            <a:off x="1250471" y="416999"/>
                            <a:ext cx="59" cy="132"/>
                          </a:xfrm>
                          <a:custGeom>
                            <a:avLst/>
                            <a:gdLst>
                              <a:gd name="T0" fmla="*/ 6 w 6"/>
                              <a:gd name="T1" fmla="*/ 1 h 13"/>
                              <a:gd name="T2" fmla="*/ 5 w 6"/>
                              <a:gd name="T3" fmla="*/ 0 h 13"/>
                              <a:gd name="T4" fmla="*/ 0 w 6"/>
                              <a:gd name="T5" fmla="*/ 0 h 13"/>
                              <a:gd name="T6" fmla="*/ 0 w 6"/>
                              <a:gd name="T7" fmla="*/ 1 h 13"/>
                              <a:gd name="T8" fmla="*/ 0 w 6"/>
                              <a:gd name="T9" fmla="*/ 12 h 13"/>
                              <a:gd name="T10" fmla="*/ 0 w 6"/>
                              <a:gd name="T11" fmla="*/ 13 h 13"/>
                              <a:gd name="T12" fmla="*/ 5 w 6"/>
                              <a:gd name="T13" fmla="*/ 13 h 13"/>
                              <a:gd name="T14" fmla="*/ 6 w 6"/>
                              <a:gd name="T15" fmla="*/ 12 h 13"/>
                              <a:gd name="T16" fmla="*/ 6 w 6"/>
                              <a:gd name="T17" fmla="*/ 1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 h="13">
                                <a:moveTo>
                                  <a:pt x="6" y="1"/>
                                </a:moveTo>
                                <a:cubicBezTo>
                                  <a:pt x="6" y="0"/>
                                  <a:pt x="6" y="0"/>
                                  <a:pt x="5" y="0"/>
                                </a:cubicBezTo>
                                <a:cubicBezTo>
                                  <a:pt x="0" y="0"/>
                                  <a:pt x="0" y="0"/>
                                  <a:pt x="0" y="0"/>
                                </a:cubicBezTo>
                                <a:cubicBezTo>
                                  <a:pt x="0" y="0"/>
                                  <a:pt x="0" y="0"/>
                                  <a:pt x="0" y="1"/>
                                </a:cubicBezTo>
                                <a:cubicBezTo>
                                  <a:pt x="0" y="12"/>
                                  <a:pt x="0" y="12"/>
                                  <a:pt x="0" y="12"/>
                                </a:cubicBezTo>
                                <a:cubicBezTo>
                                  <a:pt x="0" y="12"/>
                                  <a:pt x="0" y="13"/>
                                  <a:pt x="0" y="13"/>
                                </a:cubicBezTo>
                                <a:cubicBezTo>
                                  <a:pt x="5" y="13"/>
                                  <a:pt x="5" y="13"/>
                                  <a:pt x="5" y="13"/>
                                </a:cubicBezTo>
                                <a:cubicBezTo>
                                  <a:pt x="6" y="13"/>
                                  <a:pt x="6" y="12"/>
                                  <a:pt x="6" y="12"/>
                                </a:cubicBezTo>
                                <a:lnTo>
                                  <a:pt x="6" y="1"/>
                                </a:lnTo>
                                <a:close/>
                              </a:path>
                            </a:pathLst>
                          </a:custGeom>
                          <a:grpFill/>
                          <a:ln>
                            <a:noFill/>
                          </a:ln>
                        </wps:spPr>
                        <wps:bodyPr vert="horz" wrap="square" lIns="91440" tIns="45720" rIns="91440" bIns="45720" numCol="1" anchor="t" anchorCtr="0" compatLnSpc="1">
                          <a:prstTxWarp prst="textNoShape">
                            <a:avLst/>
                          </a:prstTxWarp>
                        </wps:bodyPr>
                      </wps:wsp>
                      <wps:wsp>
                        <wps:cNvPr id="64" name="Freeform 28"/>
                        <wps:cNvSpPr>
                          <a:spLocks/>
                        </wps:cNvSpPr>
                        <wps:spPr bwMode="auto">
                          <a:xfrm>
                            <a:off x="1250560" y="416928"/>
                            <a:ext cx="69" cy="203"/>
                          </a:xfrm>
                          <a:custGeom>
                            <a:avLst/>
                            <a:gdLst>
                              <a:gd name="T0" fmla="*/ 7 w 7"/>
                              <a:gd name="T1" fmla="*/ 1 h 20"/>
                              <a:gd name="T2" fmla="*/ 6 w 7"/>
                              <a:gd name="T3" fmla="*/ 0 h 20"/>
                              <a:gd name="T4" fmla="*/ 1 w 7"/>
                              <a:gd name="T5" fmla="*/ 0 h 20"/>
                              <a:gd name="T6" fmla="*/ 0 w 7"/>
                              <a:gd name="T7" fmla="*/ 1 h 20"/>
                              <a:gd name="T8" fmla="*/ 0 w 7"/>
                              <a:gd name="T9" fmla="*/ 19 h 20"/>
                              <a:gd name="T10" fmla="*/ 1 w 7"/>
                              <a:gd name="T11" fmla="*/ 20 h 20"/>
                              <a:gd name="T12" fmla="*/ 6 w 7"/>
                              <a:gd name="T13" fmla="*/ 20 h 20"/>
                              <a:gd name="T14" fmla="*/ 7 w 7"/>
                              <a:gd name="T15" fmla="*/ 19 h 20"/>
                              <a:gd name="T16" fmla="*/ 7 w 7"/>
                              <a:gd name="T17" fmla="*/ 1 h 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 h="20">
                                <a:moveTo>
                                  <a:pt x="7" y="1"/>
                                </a:moveTo>
                                <a:cubicBezTo>
                                  <a:pt x="7" y="1"/>
                                  <a:pt x="6" y="0"/>
                                  <a:pt x="6" y="0"/>
                                </a:cubicBezTo>
                                <a:cubicBezTo>
                                  <a:pt x="1" y="0"/>
                                  <a:pt x="1" y="0"/>
                                  <a:pt x="1" y="0"/>
                                </a:cubicBezTo>
                                <a:cubicBezTo>
                                  <a:pt x="0" y="0"/>
                                  <a:pt x="0" y="1"/>
                                  <a:pt x="0" y="1"/>
                                </a:cubicBezTo>
                                <a:cubicBezTo>
                                  <a:pt x="0" y="19"/>
                                  <a:pt x="0" y="19"/>
                                  <a:pt x="0" y="19"/>
                                </a:cubicBezTo>
                                <a:cubicBezTo>
                                  <a:pt x="0" y="19"/>
                                  <a:pt x="0" y="20"/>
                                  <a:pt x="1" y="20"/>
                                </a:cubicBezTo>
                                <a:cubicBezTo>
                                  <a:pt x="6" y="20"/>
                                  <a:pt x="6" y="20"/>
                                  <a:pt x="6" y="20"/>
                                </a:cubicBezTo>
                                <a:cubicBezTo>
                                  <a:pt x="6" y="20"/>
                                  <a:pt x="7" y="19"/>
                                  <a:pt x="7" y="19"/>
                                </a:cubicBezTo>
                                <a:lnTo>
                                  <a:pt x="7" y="1"/>
                                </a:lnTo>
                                <a:close/>
                              </a:path>
                            </a:pathLst>
                          </a:custGeom>
                          <a:grpFill/>
                          <a:ln>
                            <a:noFill/>
                          </a:ln>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171E0D9" id="Grupo 1917" o:spid="_x0000_s1026" style="position:absolute;margin-left:-117.35pt;margin-top:39.15pt;width:24.1pt;height:22.45pt;z-index:251769856;mso-width-relative:margin;mso-height-relative:margin" coordorigin="12503,4169"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">
                <v:shape id="Freeform 26" o:spid="_x0000_s1027" style="position:absolute;left:12503;top:4170;width:1;height:1;visibility:visible;mso-wrap-style:square;v-text-anchor:top" coordsize="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" path="m6,1c6,,6,,6,,1,,1,,1,,,,,,,1,,6,,6,,6v,,,1,1,1c6,7,6,7,6,7v,,,-1,,-1l6,1xe" filled="f" stroked="f">
                  <v:path arrowok="t" o:connecttype="custom" o:connectlocs="59,10;59,0;10,0;0,10;0,61;10,71;59,71;59,61;59,10" o:connectangles="0,0,0,0,0,0,0,0,0"/>
                </v:shape>
                <v:shape id="Freeform 27" o:spid="_x0000_s1028" style="position:absolute;left:12504;top:4169;width:1;height:2;visibility:visible;mso-wrap-style:square;v-text-anchor:top" coordsize="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" path="m6,1c6,,6,,5,,,,,,,,,,,,,1,,12,,12,,12v,,,1,,1c5,13,5,13,5,13v1,,1,-1,1,-1l6,1xe" filled="f" stroked="f">
                  <v:path arrowok="t" o:connecttype="custom" o:connectlocs="59,10;49,0;0,0;0,10;0,122;0,132;49,132;59,122;59,10" o:connectangles="0,0,0,0,0,0,0,0,0"/>
                </v:shape>
                <v:shape id="Freeform 28" o:spid="_x0000_s1029" style="position:absolute;left:12505;top:4169;width:1;height:2;visibility:visible;mso-wrap-style:square;v-text-anchor:top" coordsize="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" path="m7,1c7,1,6,,6,,1,,1,,1,,,,,1,,1,,19,,19,,19v,,,1,1,1c6,20,6,20,6,20v,,1,-1,1,-1l7,1xe" filled="f" stroked="f">
                  <v:path arrowok="t" o:connecttype="custom" o:connectlocs="69,10;59,0;10,0;0,10;0,193;10,203;59,203;69,193;69,10" o:connectangles="0,0,0,0,0,0,0,0,0"/>
                </v:shape>
              </v:group>
            </w:pict>
          </mc:Fallback>
        </mc:AlternateContent>
      </w:r>
      <w:r w:rsidRPr="008C0BF7">
        <w:rPr>
          <w:noProof/>
          <w:sz w:val="22"/>
          <w:szCs w:val="22"/>
          <w:lang w:eastAsia="en-US"/>
        </w:rPr>
        <mc:AlternateContent>
          <mc:Choice Requires="wpg">
            <w:drawing>
              <wp:anchor distT="0" distB="0" distL="114300" distR="114300" simplePos="0" relativeHeight="251770880" behindDoc="0" locked="0" layoutInCell="1" allowOverlap="1" wp14:anchorId="5E1F4D04" wp14:editId="3217CD36">
                <wp:simplePos x="0" y="0"/>
                <wp:positionH relativeFrom="column">
                  <wp:posOffset>1848485</wp:posOffset>
                </wp:positionH>
                <wp:positionV relativeFrom="paragraph">
                  <wp:posOffset>640080</wp:posOffset>
                </wp:positionV>
                <wp:extent cx="306070" cy="285115"/>
                <wp:effectExtent l="38100" t="0" r="17780" b="635"/>
                <wp:wrapNone/>
                <wp:docPr id="1913" name="Grupo 1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70" cy="285115"/>
                          <a:chOff x="4587702" y="556991"/>
                          <a:chExt cx="256" cy="203"/>
                        </a:xfrm>
                        <a:solidFill>
                          <a:sysClr val="window" lastClr="FFFFFF"/>
                        </a:solidFill>
                      </wpg:grpSpPr>
                      <wps:wsp>
                        <wps:cNvPr id="1914" name="Freeform 26"/>
                        <wps:cNvSpPr>
                          <a:spLocks/>
                        </wps:cNvSpPr>
                        <wps:spPr bwMode="auto">
                          <a:xfrm>
                            <a:off x="4587702" y="557123"/>
                            <a:ext cx="59" cy="71"/>
                          </a:xfrm>
                          <a:custGeom>
                            <a:avLst/>
                            <a:gdLst>
                              <a:gd name="T0" fmla="*/ 6 w 6"/>
                              <a:gd name="T1" fmla="*/ 1 h 7"/>
                              <a:gd name="T2" fmla="*/ 6 w 6"/>
                              <a:gd name="T3" fmla="*/ 0 h 7"/>
                              <a:gd name="T4" fmla="*/ 1 w 6"/>
                              <a:gd name="T5" fmla="*/ 0 h 7"/>
                              <a:gd name="T6" fmla="*/ 0 w 6"/>
                              <a:gd name="T7" fmla="*/ 1 h 7"/>
                              <a:gd name="T8" fmla="*/ 0 w 6"/>
                              <a:gd name="T9" fmla="*/ 6 h 7"/>
                              <a:gd name="T10" fmla="*/ 1 w 6"/>
                              <a:gd name="T11" fmla="*/ 7 h 7"/>
                              <a:gd name="T12" fmla="*/ 6 w 6"/>
                              <a:gd name="T13" fmla="*/ 7 h 7"/>
                              <a:gd name="T14" fmla="*/ 6 w 6"/>
                              <a:gd name="T15" fmla="*/ 6 h 7"/>
                              <a:gd name="T16" fmla="*/ 6 w 6"/>
                              <a:gd name="T17" fmla="*/ 1 h 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 h="7">
                                <a:moveTo>
                                  <a:pt x="6" y="1"/>
                                </a:moveTo>
                                <a:cubicBezTo>
                                  <a:pt x="6" y="0"/>
                                  <a:pt x="6" y="0"/>
                                  <a:pt x="6" y="0"/>
                                </a:cubicBezTo>
                                <a:cubicBezTo>
                                  <a:pt x="1" y="0"/>
                                  <a:pt x="1" y="0"/>
                                  <a:pt x="1" y="0"/>
                                </a:cubicBezTo>
                                <a:cubicBezTo>
                                  <a:pt x="0" y="0"/>
                                  <a:pt x="0" y="0"/>
                                  <a:pt x="0" y="1"/>
                                </a:cubicBezTo>
                                <a:cubicBezTo>
                                  <a:pt x="0" y="6"/>
                                  <a:pt x="0" y="6"/>
                                  <a:pt x="0" y="6"/>
                                </a:cubicBezTo>
                                <a:cubicBezTo>
                                  <a:pt x="0" y="6"/>
                                  <a:pt x="0" y="7"/>
                                  <a:pt x="1" y="7"/>
                                </a:cubicBezTo>
                                <a:cubicBezTo>
                                  <a:pt x="6" y="7"/>
                                  <a:pt x="6" y="7"/>
                                  <a:pt x="6" y="7"/>
                                </a:cubicBezTo>
                                <a:cubicBezTo>
                                  <a:pt x="6" y="7"/>
                                  <a:pt x="6" y="6"/>
                                  <a:pt x="6" y="6"/>
                                </a:cubicBezTo>
                                <a:lnTo>
                                  <a:pt x="6" y="1"/>
                                </a:lnTo>
                                <a:close/>
                              </a:path>
                            </a:pathLst>
                          </a:custGeom>
                          <a:grpFill/>
                          <a:ln>
                            <a:noFill/>
                          </a:ln>
                        </wps:spPr>
                        <wps:bodyPr vert="horz" wrap="square" lIns="91440" tIns="45720" rIns="91440" bIns="45720" numCol="1" anchor="t" anchorCtr="0" compatLnSpc="1">
                          <a:prstTxWarp prst="textNoShape">
                            <a:avLst/>
                          </a:prstTxWarp>
                        </wps:bodyPr>
                      </wps:wsp>
                      <wps:wsp>
                        <wps:cNvPr id="1915" name="Freeform 27"/>
                        <wps:cNvSpPr>
                          <a:spLocks/>
                        </wps:cNvSpPr>
                        <wps:spPr bwMode="auto">
                          <a:xfrm>
                            <a:off x="4587800" y="557062"/>
                            <a:ext cx="59" cy="132"/>
                          </a:xfrm>
                          <a:custGeom>
                            <a:avLst/>
                            <a:gdLst>
                              <a:gd name="T0" fmla="*/ 6 w 6"/>
                              <a:gd name="T1" fmla="*/ 1 h 13"/>
                              <a:gd name="T2" fmla="*/ 5 w 6"/>
                              <a:gd name="T3" fmla="*/ 0 h 13"/>
                              <a:gd name="T4" fmla="*/ 0 w 6"/>
                              <a:gd name="T5" fmla="*/ 0 h 13"/>
                              <a:gd name="T6" fmla="*/ 0 w 6"/>
                              <a:gd name="T7" fmla="*/ 1 h 13"/>
                              <a:gd name="T8" fmla="*/ 0 w 6"/>
                              <a:gd name="T9" fmla="*/ 12 h 13"/>
                              <a:gd name="T10" fmla="*/ 0 w 6"/>
                              <a:gd name="T11" fmla="*/ 13 h 13"/>
                              <a:gd name="T12" fmla="*/ 5 w 6"/>
                              <a:gd name="T13" fmla="*/ 13 h 13"/>
                              <a:gd name="T14" fmla="*/ 6 w 6"/>
                              <a:gd name="T15" fmla="*/ 12 h 13"/>
                              <a:gd name="T16" fmla="*/ 6 w 6"/>
                              <a:gd name="T17" fmla="*/ 1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 h="13">
                                <a:moveTo>
                                  <a:pt x="6" y="1"/>
                                </a:moveTo>
                                <a:cubicBezTo>
                                  <a:pt x="6" y="0"/>
                                  <a:pt x="6" y="0"/>
                                  <a:pt x="5" y="0"/>
                                </a:cubicBezTo>
                                <a:cubicBezTo>
                                  <a:pt x="0" y="0"/>
                                  <a:pt x="0" y="0"/>
                                  <a:pt x="0" y="0"/>
                                </a:cubicBezTo>
                                <a:cubicBezTo>
                                  <a:pt x="0" y="0"/>
                                  <a:pt x="0" y="0"/>
                                  <a:pt x="0" y="1"/>
                                </a:cubicBezTo>
                                <a:cubicBezTo>
                                  <a:pt x="0" y="12"/>
                                  <a:pt x="0" y="12"/>
                                  <a:pt x="0" y="12"/>
                                </a:cubicBezTo>
                                <a:cubicBezTo>
                                  <a:pt x="0" y="12"/>
                                  <a:pt x="0" y="13"/>
                                  <a:pt x="0" y="13"/>
                                </a:cubicBezTo>
                                <a:cubicBezTo>
                                  <a:pt x="5" y="13"/>
                                  <a:pt x="5" y="13"/>
                                  <a:pt x="5" y="13"/>
                                </a:cubicBezTo>
                                <a:cubicBezTo>
                                  <a:pt x="6" y="13"/>
                                  <a:pt x="6" y="12"/>
                                  <a:pt x="6" y="12"/>
                                </a:cubicBezTo>
                                <a:lnTo>
                                  <a:pt x="6" y="1"/>
                                </a:lnTo>
                                <a:close/>
                              </a:path>
                            </a:pathLst>
                          </a:custGeom>
                          <a:grpFill/>
                          <a:ln>
                            <a:noFill/>
                          </a:ln>
                        </wps:spPr>
                        <wps:bodyPr vert="horz" wrap="square" lIns="91440" tIns="45720" rIns="91440" bIns="45720" numCol="1" anchor="t" anchorCtr="0" compatLnSpc="1">
                          <a:prstTxWarp prst="textNoShape">
                            <a:avLst/>
                          </a:prstTxWarp>
                        </wps:bodyPr>
                      </wps:wsp>
                      <wps:wsp>
                        <wps:cNvPr id="1916" name="Freeform 28"/>
                        <wps:cNvSpPr>
                          <a:spLocks/>
                        </wps:cNvSpPr>
                        <wps:spPr bwMode="auto">
                          <a:xfrm>
                            <a:off x="4587889" y="556991"/>
                            <a:ext cx="69" cy="203"/>
                          </a:xfrm>
                          <a:custGeom>
                            <a:avLst/>
                            <a:gdLst>
                              <a:gd name="T0" fmla="*/ 7 w 7"/>
                              <a:gd name="T1" fmla="*/ 1 h 20"/>
                              <a:gd name="T2" fmla="*/ 6 w 7"/>
                              <a:gd name="T3" fmla="*/ 0 h 20"/>
                              <a:gd name="T4" fmla="*/ 1 w 7"/>
                              <a:gd name="T5" fmla="*/ 0 h 20"/>
                              <a:gd name="T6" fmla="*/ 0 w 7"/>
                              <a:gd name="T7" fmla="*/ 1 h 20"/>
                              <a:gd name="T8" fmla="*/ 0 w 7"/>
                              <a:gd name="T9" fmla="*/ 19 h 20"/>
                              <a:gd name="T10" fmla="*/ 1 w 7"/>
                              <a:gd name="T11" fmla="*/ 20 h 20"/>
                              <a:gd name="T12" fmla="*/ 6 w 7"/>
                              <a:gd name="T13" fmla="*/ 20 h 20"/>
                              <a:gd name="T14" fmla="*/ 7 w 7"/>
                              <a:gd name="T15" fmla="*/ 19 h 20"/>
                              <a:gd name="T16" fmla="*/ 7 w 7"/>
                              <a:gd name="T17" fmla="*/ 1 h 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 h="20">
                                <a:moveTo>
                                  <a:pt x="7" y="1"/>
                                </a:moveTo>
                                <a:cubicBezTo>
                                  <a:pt x="7" y="1"/>
                                  <a:pt x="6" y="0"/>
                                  <a:pt x="6" y="0"/>
                                </a:cubicBezTo>
                                <a:cubicBezTo>
                                  <a:pt x="1" y="0"/>
                                  <a:pt x="1" y="0"/>
                                  <a:pt x="1" y="0"/>
                                </a:cubicBezTo>
                                <a:cubicBezTo>
                                  <a:pt x="0" y="0"/>
                                  <a:pt x="0" y="1"/>
                                  <a:pt x="0" y="1"/>
                                </a:cubicBezTo>
                                <a:cubicBezTo>
                                  <a:pt x="0" y="19"/>
                                  <a:pt x="0" y="19"/>
                                  <a:pt x="0" y="19"/>
                                </a:cubicBezTo>
                                <a:cubicBezTo>
                                  <a:pt x="0" y="19"/>
                                  <a:pt x="0" y="20"/>
                                  <a:pt x="1" y="20"/>
                                </a:cubicBezTo>
                                <a:cubicBezTo>
                                  <a:pt x="6" y="20"/>
                                  <a:pt x="6" y="20"/>
                                  <a:pt x="6" y="20"/>
                                </a:cubicBezTo>
                                <a:cubicBezTo>
                                  <a:pt x="6" y="20"/>
                                  <a:pt x="7" y="19"/>
                                  <a:pt x="7" y="19"/>
                                </a:cubicBezTo>
                                <a:lnTo>
                                  <a:pt x="7" y="1"/>
                                </a:lnTo>
                                <a:close/>
                              </a:path>
                            </a:pathLst>
                          </a:custGeom>
                          <a:grpFill/>
                          <a:ln>
                            <a:noFill/>
                          </a:ln>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5067929" id="Grupo 1913" o:spid="_x0000_s1026" style="position:absolute;margin-left:145.55pt;margin-top:50.4pt;width:24.1pt;height:22.45pt;z-index:251770880;mso-width-relative:margin;mso-height-relative:margin" coordorigin="45877,5569"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">
                <v:shape id="Freeform 26" o:spid="_x0000_s1027" style="position:absolute;left:45877;top:5571;width:0;height:0;visibility:visible;mso-wrap-style:square;v-text-anchor:top" coordsize="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" path="m6,1c6,,6,,6,,1,,1,,1,,,,,,,1,,6,,6,,6v,,,1,1,1c6,7,6,7,6,7v,,,-1,,-1l6,1xe" filled="f" stroked="f">
                  <v:path arrowok="t" o:connecttype="custom" o:connectlocs="59,10;59,0;10,0;0,10;0,61;10,71;59,71;59,61;59,10" o:connectangles="0,0,0,0,0,0,0,0,0"/>
                </v:shape>
                <v:shape id="Freeform 27" o:spid="_x0000_s1028" style="position:absolute;left:45878;top:5570;width:0;height:1;visibility:visible;mso-wrap-style:square;v-text-anchor:top" coordsize="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" path="m6,1c6,,6,,5,,,,,,,,,,,,,1,,12,,12,,12v,,,1,,1c5,13,5,13,5,13v1,,1,-1,1,-1l6,1xe" filled="f" stroked="f">
                  <v:path arrowok="t" o:connecttype="custom" o:connectlocs="59,10;49,0;0,0;0,10;0,122;0,132;49,132;59,122;59,10" o:connectangles="0,0,0,0,0,0,0,0,0"/>
                </v:shape>
                <v:shape id="Freeform 28" o:spid="_x0000_s1029" style="position:absolute;left:45878;top:5569;width:1;height:2;visibility:visible;mso-wrap-style:square;v-text-anchor:top" coordsize="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" path="m7,1c7,1,6,,6,,1,,1,,1,,,,,1,,1,,19,,19,,19v,,,1,1,1c6,20,6,20,6,20v,,1,-1,1,-1l7,1xe" filled="f" stroked="f">
                  <v:path arrowok="t" o:connecttype="custom" o:connectlocs="69,10;59,0;10,0;0,10;0,193;10,203;59,203;69,193;69,10" o:connectangles="0,0,0,0,0,0,0,0,0"/>
                </v:shape>
              </v:group>
            </w:pict>
          </mc:Fallback>
        </mc:AlternateContent>
      </w:r>
    </w:p>
    <w:p w14:paraId="594FAAE1" w14:textId="2C7C2BBC" w:rsidR="009F124E" w:rsidRPr="009F124E" w:rsidRDefault="009F124E" w:rsidP="009F124E">
      <w:pPr>
        <w:spacing w:after="160" w:line="259" w:lineRule="auto"/>
        <w:rPr>
          <w:rFonts w:asciiTheme="minorHAnsi" w:hAnsiTheme="minorHAnsi"/>
          <w:sz w:val="22"/>
          <w:szCs w:val="22"/>
          <w:lang w:eastAsia="en-US"/>
        </w:rPr>
      </w:pPr>
      <w:r w:rsidRPr="009F124E">
        <w:rPr>
          <w:rFonts w:asciiTheme="minorHAnsi" w:hAnsiTheme="minorHAnsi"/>
          <w:noProof/>
          <w:sz w:val="22"/>
          <w:szCs w:val="22"/>
          <w:lang w:eastAsia="en-US"/>
        </w:rPr>
        <w:drawing>
          <wp:anchor distT="0" distB="0" distL="114300" distR="114300" simplePos="0" relativeHeight="251787264" behindDoc="0" locked="0" layoutInCell="1" allowOverlap="1" wp14:anchorId="71DA7176" wp14:editId="706D4EFD">
            <wp:simplePos x="0" y="0"/>
            <wp:positionH relativeFrom="column">
              <wp:posOffset>1758315</wp:posOffset>
            </wp:positionH>
            <wp:positionV relativeFrom="paragraph">
              <wp:posOffset>186690</wp:posOffset>
            </wp:positionV>
            <wp:extent cx="318135" cy="299720"/>
            <wp:effectExtent l="0" t="0" r="5715" b="5080"/>
            <wp:wrapNone/>
            <wp:docPr id="1912" name="Imagen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95" cstate="print">
                      <a:extLst>
                        <a:ext uri="{28A0092B-C50C-407E-A947-70E740481C1C}">
                          <a14:useLocalDpi xmlns:a14="http://schemas.microsoft.com/office/drawing/2010/main" val="0"/>
                        </a:ext>
                      </a:extLst>
                    </a:blip>
                    <a:srcRect l="8894" t="11024" r="8507" b="12175"/>
                    <a:stretch>
                      <a:fillRect/>
                    </a:stretch>
                  </pic:blipFill>
                  <pic:spPr bwMode="auto">
                    <a:xfrm>
                      <a:off x="0" y="0"/>
                      <a:ext cx="318135" cy="299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124E">
        <w:rPr>
          <w:rFonts w:asciiTheme="minorHAnsi" w:hAnsiTheme="minorHAnsi"/>
          <w:noProof/>
          <w:sz w:val="22"/>
          <w:szCs w:val="22"/>
          <w:lang w:eastAsia="en-US"/>
        </w:rPr>
        <w:drawing>
          <wp:anchor distT="0" distB="0" distL="114300" distR="114300" simplePos="0" relativeHeight="251785216" behindDoc="0" locked="0" layoutInCell="1" allowOverlap="1" wp14:anchorId="643FA1FE" wp14:editId="1DFDBBAE">
            <wp:simplePos x="0" y="0"/>
            <wp:positionH relativeFrom="column">
              <wp:posOffset>417830</wp:posOffset>
            </wp:positionH>
            <wp:positionV relativeFrom="paragraph">
              <wp:posOffset>1270</wp:posOffset>
            </wp:positionV>
            <wp:extent cx="409575" cy="375285"/>
            <wp:effectExtent l="0" t="0" r="9525" b="5715"/>
            <wp:wrapNone/>
            <wp:docPr id="1911" name="Imagen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96">
                      <a:extLst>
                        <a:ext uri="{28A0092B-C50C-407E-A947-70E740481C1C}">
                          <a14:useLocalDpi xmlns:a14="http://schemas.microsoft.com/office/drawing/2010/main" val="0"/>
                        </a:ext>
                      </a:extLst>
                    </a:blip>
                    <a:srcRect l="6833" t="6828" r="19737" b="25929"/>
                    <a:stretch>
                      <a:fillRect/>
                    </a:stretch>
                  </pic:blipFill>
                  <pic:spPr bwMode="auto">
                    <a:xfrm>
                      <a:off x="0" y="0"/>
                      <a:ext cx="409575" cy="375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124E">
        <w:rPr>
          <w:rFonts w:asciiTheme="minorHAnsi" w:hAnsiTheme="minorHAnsi"/>
          <w:noProof/>
          <w:sz w:val="22"/>
          <w:szCs w:val="22"/>
          <w:lang w:eastAsia="en-US"/>
        </w:rPr>
        <mc:AlternateContent>
          <mc:Choice Requires="wpg">
            <w:drawing>
              <wp:anchor distT="0" distB="0" distL="114300" distR="114300" simplePos="0" relativeHeight="251779072" behindDoc="0" locked="0" layoutInCell="1" allowOverlap="1" wp14:anchorId="78367D4A" wp14:editId="05609547">
                <wp:simplePos x="0" y="0"/>
                <wp:positionH relativeFrom="column">
                  <wp:posOffset>653415</wp:posOffset>
                </wp:positionH>
                <wp:positionV relativeFrom="paragraph">
                  <wp:posOffset>150495</wp:posOffset>
                </wp:positionV>
                <wp:extent cx="1506855" cy="3333750"/>
                <wp:effectExtent l="0" t="0" r="0" b="19050"/>
                <wp:wrapNone/>
                <wp:docPr id="72" name="Grupo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06855" cy="3333750"/>
                          <a:chOff x="688212" y="80975"/>
                          <a:chExt cx="1507078" cy="3334352"/>
                        </a:xfrm>
                      </wpg:grpSpPr>
                      <wps:wsp>
                        <wps:cNvPr id="73" name="Google Shape;1760;p36"/>
                        <wps:cNvSpPr/>
                        <wps:spPr>
                          <a:xfrm>
                            <a:off x="688212" y="372986"/>
                            <a:ext cx="1211912" cy="3042341"/>
                          </a:xfrm>
                          <a:custGeom>
                            <a:avLst/>
                            <a:gdLst/>
                            <a:ahLst/>
                            <a:cxnLst/>
                            <a:rect l="l" t="t" r="r" b="b"/>
                            <a:pathLst>
                              <a:path w="58223" h="146161" fill="none" extrusionOk="0">
                                <a:moveTo>
                                  <a:pt x="1" y="146161"/>
                                </a:moveTo>
                                <a:lnTo>
                                  <a:pt x="58222" y="0"/>
                                </a:lnTo>
                              </a:path>
                            </a:pathLst>
                          </a:custGeom>
                          <a:noFill/>
                          <a:ln w="11025" cap="flat" cmpd="sng">
                            <a:solidFill>
                              <a:srgbClr val="000000"/>
                            </a:solidFill>
                            <a:prstDash val="solid"/>
                            <a:miter lim="11906"/>
                            <a:headEnd type="none" w="sm" len="sm"/>
                            <a:tailEnd type="none" w="sm" len="sm"/>
                          </a:ln>
                        </wps:spPr>
                        <wps:bodyPr spcFirstLastPara="1" wrap="square" lIns="91425" tIns="91425" rIns="91425" bIns="91425" anchor="ctr" anchorCtr="0">
                          <a:noAutofit/>
                        </wps:bodyPr>
                      </wps:wsp>
                      <wps:wsp>
                        <wps:cNvPr id="74" name="Google Shape;1761;p36"/>
                        <wps:cNvSpPr/>
                        <wps:spPr>
                          <a:xfrm>
                            <a:off x="1280049" y="675826"/>
                            <a:ext cx="783643" cy="783893"/>
                          </a:xfrm>
                          <a:custGeom>
                            <a:avLst/>
                            <a:gdLst/>
                            <a:ahLst/>
                            <a:cxnLst/>
                            <a:rect l="l" t="t" r="r" b="b"/>
                            <a:pathLst>
                              <a:path w="37648" h="37660" extrusionOk="0">
                                <a:moveTo>
                                  <a:pt x="18824" y="1"/>
                                </a:moveTo>
                                <a:cubicBezTo>
                                  <a:pt x="8430" y="1"/>
                                  <a:pt x="0" y="8430"/>
                                  <a:pt x="0" y="18824"/>
                                </a:cubicBezTo>
                                <a:cubicBezTo>
                                  <a:pt x="0" y="29230"/>
                                  <a:pt x="8430" y="37660"/>
                                  <a:pt x="18824" y="37660"/>
                                </a:cubicBezTo>
                                <a:cubicBezTo>
                                  <a:pt x="29218" y="37660"/>
                                  <a:pt x="37648" y="29230"/>
                                  <a:pt x="37648" y="18824"/>
                                </a:cubicBezTo>
                                <a:cubicBezTo>
                                  <a:pt x="37648" y="8430"/>
                                  <a:pt x="29218" y="1"/>
                                  <a:pt x="18824" y="1"/>
                                </a:cubicBezTo>
                                <a:close/>
                              </a:path>
                            </a:pathLst>
                          </a:custGeom>
                          <a:solidFill>
                            <a:srgbClr val="CECECE"/>
                          </a:solidFill>
                          <a:ln>
                            <a:noFill/>
                          </a:ln>
                        </wps:spPr>
                        <wps:bodyPr spcFirstLastPara="1" wrap="square" lIns="91425" tIns="91425" rIns="91425" bIns="91425" anchor="ctr" anchorCtr="0">
                          <a:noAutofit/>
                        </wps:bodyPr>
                      </wps:wsp>
                      <wps:wsp>
                        <wps:cNvPr id="75" name="Google Shape;1762;p36"/>
                        <wps:cNvSpPr/>
                        <wps:spPr>
                          <a:xfrm>
                            <a:off x="1240147" y="636173"/>
                            <a:ext cx="783893" cy="783664"/>
                          </a:xfrm>
                          <a:custGeom>
                            <a:avLst/>
                            <a:gdLst/>
                            <a:ahLst/>
                            <a:cxnLst/>
                            <a:rect l="l" t="t" r="r" b="b"/>
                            <a:pathLst>
                              <a:path w="37660" h="37649" extrusionOk="0">
                                <a:moveTo>
                                  <a:pt x="18836" y="1"/>
                                </a:moveTo>
                                <a:cubicBezTo>
                                  <a:pt x="8430" y="1"/>
                                  <a:pt x="0" y="8430"/>
                                  <a:pt x="0" y="18824"/>
                                </a:cubicBezTo>
                                <a:cubicBezTo>
                                  <a:pt x="0" y="29218"/>
                                  <a:pt x="8430" y="37648"/>
                                  <a:pt x="18836" y="37648"/>
                                </a:cubicBezTo>
                                <a:cubicBezTo>
                                  <a:pt x="29230" y="37648"/>
                                  <a:pt x="37660" y="29218"/>
                                  <a:pt x="37660" y="18824"/>
                                </a:cubicBezTo>
                                <a:cubicBezTo>
                                  <a:pt x="37660" y="8430"/>
                                  <a:pt x="29230" y="1"/>
                                  <a:pt x="18836" y="1"/>
                                </a:cubicBezTo>
                                <a:close/>
                              </a:path>
                            </a:pathLst>
                          </a:custGeom>
                          <a:solidFill>
                            <a:srgbClr val="4949E7"/>
                          </a:solidFill>
                          <a:ln>
                            <a:noFill/>
                          </a:ln>
                        </wps:spPr>
                        <wps:txbx>
                          <w:txbxContent>
                            <w:p w14:paraId="2908F0AB" w14:textId="77777777" w:rsidR="009F124E" w:rsidRPr="00F3193F" w:rsidRDefault="009F124E" w:rsidP="009F124E">
                              <w:pPr>
                                <w:jc w:val="center"/>
                                <w:rPr>
                                  <w:rFonts w:ascii="Fira Sans Extra Condensed" w:hAnsi="Fira Sans Extra Condensed" w:cs="Fira Sans Extra Condensed"/>
                                  <w:color w:val="FFFFFF"/>
                                  <w:sz w:val="19"/>
                                  <w:szCs w:val="19"/>
                                </w:rPr>
                              </w:pPr>
                              <w:r w:rsidRPr="00F3193F">
                                <w:rPr>
                                  <w:rFonts w:ascii="Fira Sans Extra Condensed" w:hAnsi="Fira Sans Extra Condensed" w:cs="Fira Sans Extra Condensed"/>
                                  <w:color w:val="FFFFFF"/>
                                  <w:sz w:val="19"/>
                                  <w:szCs w:val="19"/>
                                </w:rPr>
                                <w:t>Asistencia Financiera Municipal</w:t>
                              </w:r>
                            </w:p>
                          </w:txbxContent>
                        </wps:txbx>
                        <wps:bodyPr spcFirstLastPara="1" wrap="square" lIns="91425" tIns="91425" rIns="91425" bIns="91425" anchor="ctr" anchorCtr="0">
                          <a:noAutofit/>
                        </wps:bodyPr>
                      </wps:wsp>
                      <wps:wsp>
                        <wps:cNvPr id="77" name="Google Shape;1763;p36"/>
                        <wps:cNvSpPr/>
                        <wps:spPr>
                          <a:xfrm>
                            <a:off x="1056494" y="1649808"/>
                            <a:ext cx="486259" cy="486259"/>
                          </a:xfrm>
                          <a:custGeom>
                            <a:avLst/>
                            <a:gdLst/>
                            <a:ahLst/>
                            <a:cxnLst/>
                            <a:rect l="l" t="t" r="r" b="b"/>
                            <a:pathLst>
                              <a:path w="23361" h="23361" extrusionOk="0">
                                <a:moveTo>
                                  <a:pt x="11681" y="0"/>
                                </a:moveTo>
                                <a:cubicBezTo>
                                  <a:pt x="5227" y="0"/>
                                  <a:pt x="1" y="5227"/>
                                  <a:pt x="1" y="11680"/>
                                </a:cubicBezTo>
                                <a:cubicBezTo>
                                  <a:pt x="1" y="18133"/>
                                  <a:pt x="5227" y="23360"/>
                                  <a:pt x="11681" y="23360"/>
                                </a:cubicBezTo>
                                <a:cubicBezTo>
                                  <a:pt x="18134" y="23360"/>
                                  <a:pt x="23361" y="18133"/>
                                  <a:pt x="23361" y="11680"/>
                                </a:cubicBezTo>
                                <a:cubicBezTo>
                                  <a:pt x="23361" y="5227"/>
                                  <a:pt x="18134" y="0"/>
                                  <a:pt x="11681" y="0"/>
                                </a:cubicBezTo>
                                <a:close/>
                              </a:path>
                            </a:pathLst>
                          </a:custGeom>
                          <a:solidFill>
                            <a:srgbClr val="CECECE"/>
                          </a:solidFill>
                          <a:ln>
                            <a:noFill/>
                          </a:ln>
                        </wps:spPr>
                        <wps:bodyPr spcFirstLastPara="1" wrap="square" lIns="91425" tIns="91425" rIns="91425" bIns="91425" anchor="ctr" anchorCtr="0">
                          <a:noAutofit/>
                        </wps:bodyPr>
                      </wps:wsp>
                      <wps:wsp>
                        <wps:cNvPr id="78" name="Google Shape;1764;p36"/>
                        <wps:cNvSpPr/>
                        <wps:spPr>
                          <a:xfrm>
                            <a:off x="1749931" y="186857"/>
                            <a:ext cx="359621" cy="359621"/>
                          </a:xfrm>
                          <a:custGeom>
                            <a:avLst/>
                            <a:gdLst/>
                            <a:ahLst/>
                            <a:cxnLst/>
                            <a:rect l="l" t="t" r="r" b="b"/>
                            <a:pathLst>
                              <a:path w="17277" h="17277" extrusionOk="0">
                                <a:moveTo>
                                  <a:pt x="8644" y="1"/>
                                </a:moveTo>
                                <a:cubicBezTo>
                                  <a:pt x="3870" y="1"/>
                                  <a:pt x="0" y="3870"/>
                                  <a:pt x="0" y="8645"/>
                                </a:cubicBezTo>
                                <a:cubicBezTo>
                                  <a:pt x="0" y="13407"/>
                                  <a:pt x="3870" y="17277"/>
                                  <a:pt x="8644" y="17277"/>
                                </a:cubicBezTo>
                                <a:cubicBezTo>
                                  <a:pt x="13407" y="17277"/>
                                  <a:pt x="17276" y="13407"/>
                                  <a:pt x="17276" y="8645"/>
                                </a:cubicBezTo>
                                <a:cubicBezTo>
                                  <a:pt x="17276" y="3870"/>
                                  <a:pt x="13407" y="1"/>
                                  <a:pt x="8644" y="1"/>
                                </a:cubicBezTo>
                                <a:close/>
                              </a:path>
                            </a:pathLst>
                          </a:custGeom>
                          <a:solidFill>
                            <a:srgbClr val="CECECE"/>
                          </a:solidFill>
                          <a:ln>
                            <a:noFill/>
                          </a:ln>
                        </wps:spPr>
                        <wps:bodyPr spcFirstLastPara="1" wrap="square" lIns="91425" tIns="91425" rIns="91425" bIns="91425" anchor="ctr" anchorCtr="0">
                          <a:noAutofit/>
                        </wps:bodyPr>
                      </wps:wsp>
                      <wps:wsp>
                        <wps:cNvPr id="79" name="Google Shape;1765;p36"/>
                        <wps:cNvSpPr/>
                        <wps:spPr>
                          <a:xfrm>
                            <a:off x="1705175" y="80975"/>
                            <a:ext cx="490115" cy="447414"/>
                          </a:xfrm>
                          <a:custGeom>
                            <a:avLst/>
                            <a:gdLst/>
                            <a:ahLst/>
                            <a:cxnLst/>
                            <a:rect l="l" t="t" r="r" b="b"/>
                            <a:pathLst>
                              <a:path w="17276" h="17277" extrusionOk="0">
                                <a:moveTo>
                                  <a:pt x="8632" y="0"/>
                                </a:moveTo>
                                <a:cubicBezTo>
                                  <a:pt x="3870" y="0"/>
                                  <a:pt x="0" y="3870"/>
                                  <a:pt x="0" y="8632"/>
                                </a:cubicBezTo>
                                <a:cubicBezTo>
                                  <a:pt x="0" y="13407"/>
                                  <a:pt x="3870" y="17276"/>
                                  <a:pt x="8632" y="17276"/>
                                </a:cubicBezTo>
                                <a:cubicBezTo>
                                  <a:pt x="13407" y="17276"/>
                                  <a:pt x="17276" y="13407"/>
                                  <a:pt x="17276" y="8632"/>
                                </a:cubicBezTo>
                                <a:cubicBezTo>
                                  <a:pt x="17276" y="3870"/>
                                  <a:pt x="13407" y="0"/>
                                  <a:pt x="8632" y="0"/>
                                </a:cubicBezTo>
                                <a:close/>
                              </a:path>
                            </a:pathLst>
                          </a:custGeom>
                          <a:solidFill>
                            <a:srgbClr val="4949E7"/>
                          </a:solidFill>
                          <a:ln>
                            <a:noFill/>
                          </a:ln>
                        </wps:spPr>
                        <wps:bodyPr spcFirstLastPara="1" wrap="square" lIns="91425" tIns="91425" rIns="91425" bIns="91425" anchor="ctr" anchorCtr="0">
                          <a:noAutofit/>
                        </wps:bodyPr>
                      </wps:wsp>
                      <wps:wsp>
                        <wps:cNvPr id="80" name="Google Shape;1766;p36"/>
                        <wps:cNvSpPr/>
                        <wps:spPr>
                          <a:xfrm>
                            <a:off x="1031953" y="1625267"/>
                            <a:ext cx="486259" cy="486259"/>
                          </a:xfrm>
                          <a:custGeom>
                            <a:avLst/>
                            <a:gdLst/>
                            <a:ahLst/>
                            <a:cxnLst/>
                            <a:rect l="l" t="t" r="r" b="b"/>
                            <a:pathLst>
                              <a:path w="23361" h="23361" extrusionOk="0">
                                <a:moveTo>
                                  <a:pt x="11681" y="0"/>
                                </a:moveTo>
                                <a:cubicBezTo>
                                  <a:pt x="5228" y="0"/>
                                  <a:pt x="1" y="5227"/>
                                  <a:pt x="1" y="11680"/>
                                </a:cubicBezTo>
                                <a:cubicBezTo>
                                  <a:pt x="1" y="18134"/>
                                  <a:pt x="5228" y="23360"/>
                                  <a:pt x="11681" y="23360"/>
                                </a:cubicBezTo>
                                <a:cubicBezTo>
                                  <a:pt x="18134" y="23360"/>
                                  <a:pt x="23361" y="18134"/>
                                  <a:pt x="23361" y="11680"/>
                                </a:cubicBezTo>
                                <a:cubicBezTo>
                                  <a:pt x="23361" y="5227"/>
                                  <a:pt x="18134" y="0"/>
                                  <a:pt x="11681" y="0"/>
                                </a:cubicBezTo>
                                <a:close/>
                              </a:path>
                            </a:pathLst>
                          </a:custGeom>
                          <a:solidFill>
                            <a:srgbClr val="4949E7"/>
                          </a:solidFill>
                          <a:ln>
                            <a:noFill/>
                          </a:ln>
                        </wps:spPr>
                        <wps:txbx>
                          <w:txbxContent>
                            <w:p w14:paraId="0CA9F2D2" w14:textId="77777777" w:rsidR="009F124E" w:rsidRDefault="009F124E" w:rsidP="009F124E">
                              <w:pPr>
                                <w:jc w:val="center"/>
                                <w:rPr>
                                  <w:rFonts w:ascii="Fira Sans Extra Condensed" w:hAnsi="Fira Sans Extra Condensed" w:cs="Fira Sans Extra Condensed"/>
                                  <w:color w:val="FFFFFF"/>
                                  <w:sz w:val="30"/>
                                  <w:szCs w:val="30"/>
                                  <w:lang w:val="en-US"/>
                                </w:rPr>
                              </w:pPr>
                              <w:r>
                                <w:rPr>
                                  <w:rFonts w:ascii="Fira Sans Extra Condensed" w:hAnsi="Fira Sans Extra Condensed" w:cs="Fira Sans Extra Condensed"/>
                                  <w:color w:val="FFFFFF"/>
                                  <w:sz w:val="30"/>
                                  <w:szCs w:val="30"/>
                                  <w:lang w:val="en-US"/>
                                </w:rPr>
                                <w:t>02</w:t>
                              </w:r>
                            </w:p>
                          </w:txbxContent>
                        </wps:txbx>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78367D4A" id="Grupo 72" o:spid="_x0000_s1056" style="position:absolute;margin-left:51.45pt;margin-top:11.85pt;width:118.65pt;height:262.5pt;z-index:251779072;mso-width-relative:margin;mso-height-relative:margin" coordorigin="6882,809" coordsize="15070,33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">
                <v:shape id="Google Shape;1760;p36" o:spid="_x0000_s1057" style="position:absolute;left:6882;top:3729;width:12119;height:30424;visibility:visible;mso-wrap-style:square;v-text-anchor:middle" coordsize="58223,146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" path="m1,146161nfl58222,e" filled="f" strokeweight=".30625mm">
                  <v:stroke startarrowwidth="narrow" startarrowlength="short" endarrowwidth="narrow" endarrowlength="short" miterlimit="7803f" joinstyle="miter"/>
                  <v:path arrowok="t" o:extrusionok="f"/>
                </v:shape>
                <v:shape id="Google Shape;1761;p36" o:spid="_x0000_s1058" style="position:absolute;left:12800;top:6758;width:7836;height:7839;visibility:visible;mso-wrap-style:square;v-text-anchor:middle" coordsize="37648,3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" path="m18824,1c8430,1,,8430,,18824,,29230,8430,37660,18824,37660v10394,,18824,-8430,18824,-18836c37648,8430,29218,1,18824,1xe" fillcolor="#cecece" stroked="f">
                  <v:path arrowok="t" o:extrusionok="f"/>
                </v:shape>
                <v:shape id="Google Shape;1762;p36" o:spid="_x0000_s1059" style="position:absolute;left:12401;top:6361;width:7839;height:7837;visibility:visible;mso-wrap-style:square;v-text-anchor:middle" coordsize="37660,3764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" adj="-11796480,,5400" path="m18836,1c8430,1,,8430,,18824,,29218,8430,37648,18836,37648v10394,,18824,-8430,18824,-18824c37660,8430,29230,1,18836,1xe" fillcolor="#4949e7" stroked="f">
                  <v:stroke joinstyle="miter"/>
                  <v:formulas/>
                  <v:path arrowok="t" o:extrusionok="f" o:connecttype="custom" textboxrect="0,0,37660,37649"/>
                  <v:textbox inset="2.53958mm,2.53958mm,2.53958mm,2.53958mm">
                    <w:txbxContent>
                      <w:p w14:paraId="2908F0AB" w14:textId="77777777" w:rsidR="009F124E" w:rsidRPr="00F3193F" w:rsidRDefault="009F124E" w:rsidP="009F124E">
                        <w:pPr>
                          <w:jc w:val="center"/>
                          <w:rPr>
                            <w:rFonts w:ascii="Fira Sans Extra Condensed" w:hAnsi="Fira Sans Extra Condensed" w:cs="Fira Sans Extra Condensed"/>
                            <w:color w:val="FFFFFF"/>
                            <w:sz w:val="19"/>
                            <w:szCs w:val="19"/>
                          </w:rPr>
                        </w:pPr>
                        <w:r w:rsidRPr="00F3193F">
                          <w:rPr>
                            <w:rFonts w:ascii="Fira Sans Extra Condensed" w:hAnsi="Fira Sans Extra Condensed" w:cs="Fira Sans Extra Condensed"/>
                            <w:color w:val="FFFFFF"/>
                            <w:sz w:val="19"/>
                            <w:szCs w:val="19"/>
                          </w:rPr>
                          <w:t>Asistencia Financiera Municipal</w:t>
                        </w:r>
                      </w:p>
                    </w:txbxContent>
                  </v:textbox>
                </v:shape>
                <v:shape id="Google Shape;1763;p36" o:spid="_x0000_s1060" style="position:absolute;left:10564;top:16498;width:4863;height:4862;visibility:visible;mso-wrap-style:square;v-text-anchor:middle" coordsize="23361,23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" path="m11681,c5227,,1,5227,1,11680v,6453,5226,11680,11680,11680c18134,23360,23361,18133,23361,11680,23361,5227,18134,,11681,xe" fillcolor="#cecece" stroked="f">
                  <v:path arrowok="t" o:extrusionok="f"/>
                </v:shape>
                <v:shape id="Google Shape;1764;p36" o:spid="_x0000_s1061" style="position:absolute;left:17499;top:1868;width:3596;height:3596;visibility:visible;mso-wrap-style:square;v-text-anchor:middle" coordsize="17277,17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" path="m8644,1c3870,1,,3870,,8645v,4762,3870,8632,8644,8632c13407,17277,17276,13407,17276,8645,17276,3870,13407,1,8644,1xe" fillcolor="#cecece" stroked="f">
                  <v:path arrowok="t" o:extrusionok="f"/>
                </v:shape>
                <v:shape id="Google Shape;1765;p36" o:spid="_x0000_s1062" style="position:absolute;left:17051;top:809;width:4901;height:4474;visibility:visible;mso-wrap-style:square;v-text-anchor:middle" coordsize="17276,17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" path="m8632,c3870,,,3870,,8632v,4775,3870,8644,8632,8644c13407,17276,17276,13407,17276,8632,17276,3870,13407,,8632,xe" fillcolor="#4949e7" stroked="f">
                  <v:path arrowok="t" o:extrusionok="f"/>
                </v:shape>
                <v:shape id="Google Shape;1766;p36" o:spid="_x0000_s1063" style="position:absolute;left:10319;top:16252;width:4863;height:4863;visibility:visible;mso-wrap-style:square;v-text-anchor:middle" coordsize="23361,233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" adj="-11796480,,5400" path="m11681,c5228,,1,5227,1,11680v,6454,5227,11680,11680,11680c18134,23360,23361,18134,23361,11680,23361,5227,18134,,11681,xe" fillcolor="#4949e7" stroked="f">
                  <v:stroke joinstyle="miter"/>
                  <v:formulas/>
                  <v:path arrowok="t" o:extrusionok="f" o:connecttype="custom" textboxrect="0,0,23361,23361"/>
                  <v:textbox inset="2.53958mm,2.53958mm,2.53958mm,2.53958mm">
                    <w:txbxContent>
                      <w:p w14:paraId="0CA9F2D2" w14:textId="77777777" w:rsidR="009F124E" w:rsidRDefault="009F124E" w:rsidP="009F124E">
                        <w:pPr>
                          <w:jc w:val="center"/>
                          <w:rPr>
                            <w:rFonts w:ascii="Fira Sans Extra Condensed" w:hAnsi="Fira Sans Extra Condensed" w:cs="Fira Sans Extra Condensed"/>
                            <w:color w:val="FFFFFF"/>
                            <w:sz w:val="30"/>
                            <w:szCs w:val="30"/>
                            <w:lang w:val="en-US"/>
                          </w:rPr>
                        </w:pPr>
                        <w:r>
                          <w:rPr>
                            <w:rFonts w:ascii="Fira Sans Extra Condensed" w:hAnsi="Fira Sans Extra Condensed" w:cs="Fira Sans Extra Condensed"/>
                            <w:color w:val="FFFFFF"/>
                            <w:sz w:val="30"/>
                            <w:szCs w:val="30"/>
                            <w:lang w:val="en-US"/>
                          </w:rPr>
                          <w:t>02</w:t>
                        </w:r>
                      </w:p>
                    </w:txbxContent>
                  </v:textbox>
                </v:shape>
              </v:group>
            </w:pict>
          </mc:Fallback>
        </mc:AlternateContent>
      </w:r>
      <w:r w:rsidRPr="009F124E">
        <w:rPr>
          <w:rFonts w:asciiTheme="minorHAnsi" w:hAnsiTheme="minorHAnsi"/>
          <w:noProof/>
          <w:sz w:val="22"/>
          <w:szCs w:val="22"/>
          <w:lang w:eastAsia="en-US"/>
        </w:rPr>
        <mc:AlternateContent>
          <mc:Choice Requires="wps">
            <w:drawing>
              <wp:anchor distT="0" distB="0" distL="114299" distR="114299" simplePos="0" relativeHeight="251771904" behindDoc="0" locked="0" layoutInCell="1" allowOverlap="1" wp14:anchorId="5D716EED" wp14:editId="71AB9ABD">
                <wp:simplePos x="0" y="0"/>
                <wp:positionH relativeFrom="column">
                  <wp:posOffset>664844</wp:posOffset>
                </wp:positionH>
                <wp:positionV relativeFrom="paragraph">
                  <wp:posOffset>3445510</wp:posOffset>
                </wp:positionV>
                <wp:extent cx="0" cy="12700"/>
                <wp:effectExtent l="0" t="0" r="38100" b="25400"/>
                <wp:wrapNone/>
                <wp:docPr id="1732" name="Forma libre: forma 17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0" cy="12700"/>
                        </a:xfrm>
                        <a:custGeom>
                          <a:avLst/>
                          <a:gdLst/>
                          <a:ahLst/>
                          <a:cxnLst/>
                          <a:rect l="l" t="t" r="r" b="b"/>
                          <a:pathLst>
                            <a:path w="1" h="596" fill="none" extrusionOk="0">
                              <a:moveTo>
                                <a:pt x="1" y="596"/>
                              </a:moveTo>
                              <a:lnTo>
                                <a:pt x="1" y="0"/>
                              </a:lnTo>
                            </a:path>
                          </a:pathLst>
                        </a:custGeom>
                        <a:noFill/>
                        <a:ln w="11300" cap="flat" cmpd="sng">
                          <a:solidFill>
                            <a:srgbClr val="000000"/>
                          </a:solidFill>
                          <a:prstDash val="solid"/>
                          <a:miter lim="11906"/>
                          <a:headEnd type="none" w="sm" len="sm"/>
                          <a:tailEnd type="none" w="sm" len="sm"/>
                        </a:ln>
                      </wps:spPr>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37A7FBEA" id="Forma libre: forma 1732" o:spid="_x0000_s1026" style="position:absolute;margin-left:52.35pt;margin-top:271.3pt;width:0;height:1pt;z-index:2517719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v-text-anchor:middle" coordsize="1,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" path="m1,596nfl1,e" filled="f" strokeweight=".31389mm">
                <v:stroke startarrowwidth="narrow" startarrowlength="short" endarrowwidth="narrow" endarrowlength="short" miterlimit="7803f" joinstyle="miter"/>
                <v:path arrowok="t" o:extrusionok="f"/>
              </v:shape>
            </w:pict>
          </mc:Fallback>
        </mc:AlternateContent>
      </w:r>
      <w:r w:rsidRPr="009F124E">
        <w:rPr>
          <w:rFonts w:asciiTheme="minorHAnsi" w:hAnsiTheme="minorHAnsi"/>
          <w:noProof/>
          <w:sz w:val="22"/>
          <w:szCs w:val="22"/>
          <w:lang w:eastAsia="en-US"/>
        </w:rPr>
        <mc:AlternateContent>
          <mc:Choice Requires="wps">
            <w:drawing>
              <wp:anchor distT="0" distB="0" distL="114300" distR="114300" simplePos="0" relativeHeight="251772928" behindDoc="0" locked="0" layoutInCell="1" allowOverlap="1" wp14:anchorId="63B95B6D" wp14:editId="3AFD8068">
                <wp:simplePos x="0" y="0"/>
                <wp:positionH relativeFrom="column">
                  <wp:posOffset>672465</wp:posOffset>
                </wp:positionH>
                <wp:positionV relativeFrom="paragraph">
                  <wp:posOffset>3448685</wp:posOffset>
                </wp:positionV>
                <wp:extent cx="12700" cy="5715"/>
                <wp:effectExtent l="0" t="0" r="25400" b="32385"/>
                <wp:wrapNone/>
                <wp:docPr id="1733" name="Forma libre: forma 17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5715"/>
                        </a:xfrm>
                        <a:custGeom>
                          <a:avLst/>
                          <a:gdLst/>
                          <a:ahLst/>
                          <a:cxnLst/>
                          <a:rect l="l" t="t" r="r" b="b"/>
                          <a:pathLst>
                            <a:path w="620" h="263" fill="none" extrusionOk="0">
                              <a:moveTo>
                                <a:pt x="1" y="262"/>
                              </a:moveTo>
                              <a:lnTo>
                                <a:pt x="620" y="0"/>
                              </a:lnTo>
                            </a:path>
                          </a:pathLst>
                        </a:custGeom>
                        <a:noFill/>
                        <a:ln w="11025" cap="flat" cmpd="sng">
                          <a:solidFill>
                            <a:srgbClr val="000000"/>
                          </a:solidFill>
                          <a:prstDash val="solid"/>
                          <a:miter lim="11906"/>
                          <a:headEnd type="none" w="sm" len="sm"/>
                          <a:tailEnd type="none" w="sm" len="sm"/>
                        </a:ln>
                      </wps:spPr>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3CB0B9BD" id="Forma libre: forma 1733" o:spid="_x0000_s1026" style="position:absolute;margin-left:52.95pt;margin-top:271.55pt;width:1pt;height:.4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620,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" path="m1,262nfl620,e" filled="f" strokeweight=".30625mm">
                <v:stroke startarrowwidth="narrow" startarrowlength="short" endarrowwidth="narrow" endarrowlength="short" miterlimit="7803f" joinstyle="miter"/>
                <v:path arrowok="t" o:extrusionok="f"/>
              </v:shape>
            </w:pict>
          </mc:Fallback>
        </mc:AlternateContent>
      </w:r>
      <w:r w:rsidRPr="009F124E">
        <w:rPr>
          <w:rFonts w:asciiTheme="minorHAnsi" w:hAnsiTheme="minorHAnsi"/>
          <w:noProof/>
          <w:sz w:val="22"/>
          <w:szCs w:val="22"/>
          <w:lang w:eastAsia="en-US"/>
        </w:rPr>
        <mc:AlternateContent>
          <mc:Choice Requires="wps">
            <w:drawing>
              <wp:anchor distT="0" distB="0" distL="114300" distR="114300" simplePos="0" relativeHeight="251773952" behindDoc="0" locked="0" layoutInCell="1" allowOverlap="1" wp14:anchorId="58F562ED" wp14:editId="5ECB5A38">
                <wp:simplePos x="0" y="0"/>
                <wp:positionH relativeFrom="column">
                  <wp:posOffset>824865</wp:posOffset>
                </wp:positionH>
                <wp:positionV relativeFrom="paragraph">
                  <wp:posOffset>3593465</wp:posOffset>
                </wp:positionV>
                <wp:extent cx="5080" cy="12700"/>
                <wp:effectExtent l="0" t="0" r="33020" b="25400"/>
                <wp:wrapNone/>
                <wp:docPr id="1734" name="Forma libre: forma 17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 cy="12700"/>
                        </a:xfrm>
                        <a:custGeom>
                          <a:avLst/>
                          <a:gdLst/>
                          <a:ahLst/>
                          <a:cxnLst/>
                          <a:rect l="l" t="t" r="r" b="b"/>
                          <a:pathLst>
                            <a:path w="251" h="620" fill="none" extrusionOk="0">
                              <a:moveTo>
                                <a:pt x="1" y="619"/>
                              </a:moveTo>
                              <a:lnTo>
                                <a:pt x="251" y="0"/>
                              </a:lnTo>
                            </a:path>
                          </a:pathLst>
                        </a:custGeom>
                        <a:noFill/>
                        <a:ln w="11025" cap="flat" cmpd="sng">
                          <a:solidFill>
                            <a:srgbClr val="000000"/>
                          </a:solidFill>
                          <a:prstDash val="solid"/>
                          <a:miter lim="11906"/>
                          <a:headEnd type="none" w="sm" len="sm"/>
                          <a:tailEnd type="none" w="sm" len="sm"/>
                        </a:ln>
                      </wps:spPr>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7E41B4FF" id="Forma libre: forma 1734" o:spid="_x0000_s1026" style="position:absolute;margin-left:64.95pt;margin-top:282.95pt;width:.4pt;height: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5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" path="m1,619nfl251,e" filled="f" strokeweight=".30625mm">
                <v:stroke startarrowwidth="narrow" startarrowlength="short" endarrowwidth="narrow" endarrowlength="short" miterlimit="7803f" joinstyle="miter"/>
                <v:path arrowok="t" o:extrusionok="f"/>
              </v:shape>
            </w:pict>
          </mc:Fallback>
        </mc:AlternateContent>
      </w:r>
      <w:r w:rsidRPr="009F124E">
        <w:rPr>
          <w:rFonts w:asciiTheme="minorHAnsi" w:hAnsiTheme="minorHAnsi"/>
          <w:noProof/>
          <w:sz w:val="22"/>
          <w:szCs w:val="22"/>
          <w:lang w:eastAsia="en-US"/>
        </w:rPr>
        <mc:AlternateContent>
          <mc:Choice Requires="wps">
            <w:drawing>
              <wp:anchor distT="4294967295" distB="4294967295" distL="114300" distR="114300" simplePos="0" relativeHeight="251774976" behindDoc="0" locked="0" layoutInCell="1" allowOverlap="1" wp14:anchorId="58E10160" wp14:editId="3623ACBD">
                <wp:simplePos x="0" y="0"/>
                <wp:positionH relativeFrom="column">
                  <wp:posOffset>663575</wp:posOffset>
                </wp:positionH>
                <wp:positionV relativeFrom="paragraph">
                  <wp:posOffset>3459479</wp:posOffset>
                </wp:positionV>
                <wp:extent cx="15875" cy="0"/>
                <wp:effectExtent l="0" t="0" r="0" b="0"/>
                <wp:wrapNone/>
                <wp:docPr id="1735" name="Forma libre: forma 17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0"/>
                        </a:xfrm>
                        <a:custGeom>
                          <a:avLst/>
                          <a:gdLst/>
                          <a:ahLst/>
                          <a:cxnLst/>
                          <a:rect l="l" t="t" r="r" b="b"/>
                          <a:pathLst>
                            <a:path w="751" h="1" fill="none" extrusionOk="0">
                              <a:moveTo>
                                <a:pt x="0" y="0"/>
                              </a:moveTo>
                              <a:lnTo>
                                <a:pt x="750" y="0"/>
                              </a:lnTo>
                            </a:path>
                          </a:pathLst>
                        </a:custGeom>
                        <a:noFill/>
                        <a:ln w="11300" cap="flat" cmpd="sng">
                          <a:solidFill>
                            <a:srgbClr val="000000"/>
                          </a:solidFill>
                          <a:prstDash val="solid"/>
                          <a:miter lim="11906"/>
                          <a:headEnd type="none" w="sm" len="sm"/>
                          <a:tailEnd type="none" w="sm" len="sm"/>
                        </a:ln>
                      </wps:spPr>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75A6D73A" id="Forma libre: forma 1735" o:spid="_x0000_s1026" style="position:absolute;margin-left:52.25pt;margin-top:272.4pt;width:1.25pt;height:0;z-index:2517749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coordsize="7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" path="m,nfl750,e" filled="f" strokeweight=".31389mm">
                <v:stroke startarrowwidth="narrow" startarrowlength="short" endarrowwidth="narrow" endarrowlength="short" miterlimit="7803f" joinstyle="miter"/>
                <v:path arrowok="t" o:extrusionok="f"/>
              </v:shape>
            </w:pict>
          </mc:Fallback>
        </mc:AlternateContent>
      </w:r>
      <w:r w:rsidRPr="009F124E">
        <w:rPr>
          <w:rFonts w:asciiTheme="minorHAnsi" w:hAnsiTheme="minorHAnsi"/>
          <w:noProof/>
          <w:sz w:val="22"/>
          <w:szCs w:val="22"/>
          <w:lang w:eastAsia="en-US"/>
        </w:rPr>
        <mc:AlternateContent>
          <mc:Choice Requires="wps">
            <w:drawing>
              <wp:anchor distT="0" distB="0" distL="114300" distR="114300" simplePos="0" relativeHeight="251776000" behindDoc="0" locked="0" layoutInCell="1" allowOverlap="1" wp14:anchorId="4AFEB390" wp14:editId="4397111A">
                <wp:simplePos x="0" y="0"/>
                <wp:positionH relativeFrom="column">
                  <wp:posOffset>664210</wp:posOffset>
                </wp:positionH>
                <wp:positionV relativeFrom="paragraph">
                  <wp:posOffset>3448685</wp:posOffset>
                </wp:positionV>
                <wp:extent cx="10160" cy="10160"/>
                <wp:effectExtent l="0" t="0" r="27940" b="27940"/>
                <wp:wrapNone/>
                <wp:docPr id="1736" name="Forma libre: forma 17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10160"/>
                        </a:xfrm>
                        <a:custGeom>
                          <a:avLst/>
                          <a:gdLst/>
                          <a:ahLst/>
                          <a:cxnLst/>
                          <a:rect l="l" t="t" r="r" b="b"/>
                          <a:pathLst>
                            <a:path w="477" h="477" fill="none" extrusionOk="0">
                              <a:moveTo>
                                <a:pt x="1" y="477"/>
                              </a:moveTo>
                              <a:lnTo>
                                <a:pt x="477" y="0"/>
                              </a:lnTo>
                            </a:path>
                          </a:pathLst>
                        </a:custGeom>
                        <a:noFill/>
                        <a:ln w="11025" cap="flat" cmpd="sng">
                          <a:solidFill>
                            <a:srgbClr val="000000"/>
                          </a:solidFill>
                          <a:prstDash val="solid"/>
                          <a:miter lim="11906"/>
                          <a:headEnd type="none" w="sm" len="sm"/>
                          <a:tailEnd type="none" w="sm" len="sm"/>
                        </a:ln>
                      </wps:spPr>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09985918" id="Forma libre: forma 1736" o:spid="_x0000_s1026" style="position:absolute;margin-left:52.3pt;margin-top:271.55pt;width:.8pt;height:.8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7,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" path="m1,477nfl477,e" filled="f" strokeweight=".30625mm">
                <v:stroke startarrowwidth="narrow" startarrowlength="short" endarrowwidth="narrow" endarrowlength="short" miterlimit="7803f" joinstyle="miter"/>
                <v:path arrowok="t" o:extrusionok="f"/>
              </v:shape>
            </w:pict>
          </mc:Fallback>
        </mc:AlternateContent>
      </w:r>
    </w:p>
    <w:p w14:paraId="605B53A7" w14:textId="3DE2F17E" w:rsidR="009F124E" w:rsidRPr="009F124E" w:rsidRDefault="009F124E" w:rsidP="009F124E">
      <w:pPr>
        <w:spacing w:after="160" w:line="259" w:lineRule="auto"/>
        <w:rPr>
          <w:rFonts w:asciiTheme="minorHAnsi" w:hAnsiTheme="minorHAnsi"/>
          <w:sz w:val="22"/>
          <w:szCs w:val="22"/>
          <w:lang w:eastAsia="en-US"/>
        </w:rPr>
      </w:pPr>
      <w:r w:rsidRPr="009F124E">
        <w:rPr>
          <w:rFonts w:asciiTheme="minorHAnsi" w:hAnsiTheme="minorHAnsi"/>
          <w:noProof/>
          <w:sz w:val="22"/>
          <w:szCs w:val="22"/>
          <w:lang w:eastAsia="en-US"/>
        </w:rPr>
        <mc:AlternateContent>
          <mc:Choice Requires="wps">
            <w:drawing>
              <wp:anchor distT="0" distB="0" distL="114300" distR="114300" simplePos="0" relativeHeight="251786240" behindDoc="0" locked="0" layoutInCell="1" allowOverlap="1" wp14:anchorId="283B8689" wp14:editId="7095CCE9">
                <wp:simplePos x="0" y="0"/>
                <wp:positionH relativeFrom="column">
                  <wp:posOffset>2139950</wp:posOffset>
                </wp:positionH>
                <wp:positionV relativeFrom="paragraph">
                  <wp:posOffset>181610</wp:posOffset>
                </wp:positionV>
                <wp:extent cx="2006600" cy="349885"/>
                <wp:effectExtent l="0" t="0" r="69850" b="88265"/>
                <wp:wrapNone/>
                <wp:docPr id="1910" name="Conector: angular 19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06600" cy="349885"/>
                        </a:xfrm>
                        <a:prstGeom prst="bentConnector3">
                          <a:avLst>
                            <a:gd name="adj1" fmla="val 49095"/>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9DB7CF4" id="Conector: angular 1910" o:spid="_x0000_s1026" type="#_x0000_t34" style="position:absolute;margin-left:168.5pt;margin-top:14.3pt;width:158pt;height:27.5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" adj="10605" strokecolor="#4472c4" strokeweight=".5pt">
                <v:stroke endarrow="block"/>
                <o:lock v:ext="edit" shapetype="f"/>
              </v:shape>
            </w:pict>
          </mc:Fallback>
        </mc:AlternateContent>
      </w:r>
    </w:p>
    <w:p w14:paraId="2AA5064F" w14:textId="399EFB15" w:rsidR="009F124E" w:rsidRPr="009F124E" w:rsidRDefault="009F124E" w:rsidP="009F124E">
      <w:pPr>
        <w:spacing w:after="160" w:line="259" w:lineRule="auto"/>
        <w:rPr>
          <w:rFonts w:asciiTheme="minorHAnsi" w:hAnsiTheme="minorHAnsi"/>
          <w:sz w:val="22"/>
          <w:szCs w:val="22"/>
          <w:lang w:eastAsia="en-US"/>
        </w:rPr>
      </w:pPr>
      <w:r w:rsidRPr="009F124E">
        <w:rPr>
          <w:rFonts w:asciiTheme="minorHAnsi" w:hAnsiTheme="minorHAnsi"/>
          <w:noProof/>
          <w:sz w:val="22"/>
          <w:szCs w:val="22"/>
          <w:lang w:eastAsia="en-US"/>
        </w:rPr>
        <mc:AlternateContent>
          <mc:Choice Requires="wps">
            <w:drawing>
              <wp:anchor distT="45720" distB="45720" distL="114300" distR="114300" simplePos="0" relativeHeight="251788288" behindDoc="0" locked="0" layoutInCell="1" allowOverlap="1" wp14:anchorId="0EA50CD7" wp14:editId="56570DBD">
                <wp:simplePos x="0" y="0"/>
                <wp:positionH relativeFrom="page">
                  <wp:posOffset>5411470</wp:posOffset>
                </wp:positionH>
                <wp:positionV relativeFrom="paragraph">
                  <wp:posOffset>235585</wp:posOffset>
                </wp:positionV>
                <wp:extent cx="1870710" cy="956945"/>
                <wp:effectExtent l="0" t="0" r="0" b="0"/>
                <wp:wrapSquare wrapText="bothSides"/>
                <wp:docPr id="1909" name="Cuadro de texto 1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0710" cy="956945"/>
                        </a:xfrm>
                        <a:prstGeom prst="rect">
                          <a:avLst/>
                        </a:prstGeom>
                        <a:solidFill>
                          <a:srgbClr val="FFFFFF"/>
                        </a:solidFill>
                        <a:ln w="9525">
                          <a:noFill/>
                          <a:miter lim="800000"/>
                          <a:headEnd/>
                          <a:tailEnd/>
                        </a:ln>
                      </wps:spPr>
                      <wps:txbx>
                        <w:txbxContent>
                          <w:p w14:paraId="02E12D27" w14:textId="77777777" w:rsidR="009F124E" w:rsidRPr="009E2C92" w:rsidRDefault="009F124E" w:rsidP="009F124E">
                            <w:pPr>
                              <w:jc w:val="both"/>
                              <w:rPr>
                                <w:rFonts w:cs="Arial"/>
                                <w:sz w:val="16"/>
                                <w:szCs w:val="16"/>
                              </w:rPr>
                            </w:pPr>
                            <w:r>
                              <w:rPr>
                                <w:rFonts w:cs="Arial"/>
                                <w:sz w:val="16"/>
                                <w:szCs w:val="16"/>
                              </w:rPr>
                              <w:t>Acciones enfocadas a reforzar</w:t>
                            </w:r>
                            <w:r w:rsidRPr="009E2C92">
                              <w:rPr>
                                <w:rFonts w:cs="Arial"/>
                                <w:sz w:val="16"/>
                                <w:szCs w:val="16"/>
                              </w:rPr>
                              <w:t xml:space="preserve"> la asistencia técnica a las municipalidades para el desarrollo de herramientas de capacitación con el objeto del manejo eficiente del Presupuesto por Resultados y de la calidad del gasto en temas ambientales y de cambio climático.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A50CD7" id="Cuadro de texto 1909" o:spid="_x0000_s1064" type="#_x0000_t202" style="position:absolute;margin-left:426.1pt;margin-top:18.55pt;width:147.3pt;height:75.35pt;z-index:2517882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" stroked="f">
                <v:textbox>
                  <w:txbxContent>
                    <w:p w14:paraId="02E12D27" w14:textId="77777777" w:rsidR="009F124E" w:rsidRPr="009E2C92" w:rsidRDefault="009F124E" w:rsidP="009F124E">
                      <w:pPr>
                        <w:jc w:val="both"/>
                        <w:rPr>
                          <w:rFonts w:cs="Arial"/>
                          <w:sz w:val="16"/>
                          <w:szCs w:val="16"/>
                        </w:rPr>
                      </w:pPr>
                      <w:r>
                        <w:rPr>
                          <w:rFonts w:cs="Arial"/>
                          <w:sz w:val="16"/>
                          <w:szCs w:val="16"/>
                        </w:rPr>
                        <w:t>Acciones enfocadas a reforzar</w:t>
                      </w:r>
                      <w:r w:rsidRPr="009E2C92">
                        <w:rPr>
                          <w:rFonts w:cs="Arial"/>
                          <w:sz w:val="16"/>
                          <w:szCs w:val="16"/>
                        </w:rPr>
                        <w:t xml:space="preserve"> la asistencia técnica a las municipalidades para el desarrollo de herramientas de capacitación con el objeto del manejo eficiente del Presupuesto por Resultados y de la calidad del gasto en temas ambientales y de cambio climático.</w:t>
                      </w:r>
                    </w:p>
                  </w:txbxContent>
                </v:textbox>
                <w10:wrap type="square" anchorx="page"/>
              </v:shape>
            </w:pict>
          </mc:Fallback>
        </mc:AlternateContent>
      </w:r>
      <w:r w:rsidRPr="009F124E">
        <w:rPr>
          <w:rFonts w:asciiTheme="minorHAnsi" w:hAnsiTheme="minorHAnsi"/>
          <w:noProof/>
          <w:sz w:val="22"/>
          <w:szCs w:val="22"/>
          <w:lang w:eastAsia="en-US"/>
        </w:rPr>
        <mc:AlternateContent>
          <mc:Choice Requires="wpg">
            <w:drawing>
              <wp:anchor distT="0" distB="0" distL="114300" distR="114300" simplePos="0" relativeHeight="251778048" behindDoc="0" locked="0" layoutInCell="1" allowOverlap="1" wp14:anchorId="6CEA4A20" wp14:editId="43A6836E">
                <wp:simplePos x="0" y="0"/>
                <wp:positionH relativeFrom="column">
                  <wp:posOffset>689610</wp:posOffset>
                </wp:positionH>
                <wp:positionV relativeFrom="paragraph">
                  <wp:posOffset>237490</wp:posOffset>
                </wp:positionV>
                <wp:extent cx="2677160" cy="2620010"/>
                <wp:effectExtent l="0" t="0" r="8890" b="27940"/>
                <wp:wrapNone/>
                <wp:docPr id="1747" name="Grupo 17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77160" cy="2620010"/>
                          <a:chOff x="693915" y="807994"/>
                          <a:chExt cx="2677873" cy="2621222"/>
                        </a:xfrm>
                      </wpg:grpSpPr>
                      <wps:wsp>
                        <wps:cNvPr id="1902" name="Google Shape;1748;p36"/>
                        <wps:cNvSpPr/>
                        <wps:spPr>
                          <a:xfrm>
                            <a:off x="693915" y="1113485"/>
                            <a:ext cx="2315981" cy="2315731"/>
                          </a:xfrm>
                          <a:custGeom>
                            <a:avLst/>
                            <a:gdLst/>
                            <a:ahLst/>
                            <a:cxnLst/>
                            <a:rect l="l" t="t" r="r" b="b"/>
                            <a:pathLst>
                              <a:path w="111265" h="111253" fill="none" extrusionOk="0">
                                <a:moveTo>
                                  <a:pt x="1" y="111253"/>
                                </a:moveTo>
                                <a:lnTo>
                                  <a:pt x="111265" y="1"/>
                                </a:lnTo>
                              </a:path>
                            </a:pathLst>
                          </a:custGeom>
                          <a:noFill/>
                          <a:ln w="11025" cap="flat" cmpd="sng">
                            <a:solidFill>
                              <a:srgbClr val="000000"/>
                            </a:solidFill>
                            <a:prstDash val="solid"/>
                            <a:miter lim="11906"/>
                            <a:headEnd type="none" w="sm" len="sm"/>
                            <a:tailEnd type="none" w="sm" len="sm"/>
                          </a:ln>
                        </wps:spPr>
                        <wps:bodyPr spcFirstLastPara="1" wrap="square" lIns="91425" tIns="91425" rIns="91425" bIns="91425" anchor="ctr" anchorCtr="0">
                          <a:noAutofit/>
                        </wps:bodyPr>
                      </wps:wsp>
                      <wps:wsp>
                        <wps:cNvPr id="1903" name="Google Shape;1749;p36"/>
                        <wps:cNvSpPr/>
                        <wps:spPr>
                          <a:xfrm>
                            <a:off x="2153391" y="1261439"/>
                            <a:ext cx="783664" cy="783664"/>
                          </a:xfrm>
                          <a:custGeom>
                            <a:avLst/>
                            <a:gdLst/>
                            <a:ahLst/>
                            <a:cxnLst/>
                            <a:rect l="l" t="t" r="r" b="b"/>
                            <a:pathLst>
                              <a:path w="37649" h="37649" extrusionOk="0">
                                <a:moveTo>
                                  <a:pt x="18824" y="1"/>
                                </a:moveTo>
                                <a:cubicBezTo>
                                  <a:pt x="8430" y="1"/>
                                  <a:pt x="1" y="8431"/>
                                  <a:pt x="1" y="18825"/>
                                </a:cubicBezTo>
                                <a:cubicBezTo>
                                  <a:pt x="1" y="29219"/>
                                  <a:pt x="8430" y="37648"/>
                                  <a:pt x="18824" y="37648"/>
                                </a:cubicBezTo>
                                <a:cubicBezTo>
                                  <a:pt x="29219" y="37648"/>
                                  <a:pt x="37648" y="29219"/>
                                  <a:pt x="37648" y="18825"/>
                                </a:cubicBezTo>
                                <a:cubicBezTo>
                                  <a:pt x="37648" y="8431"/>
                                  <a:pt x="29219" y="1"/>
                                  <a:pt x="18824" y="1"/>
                                </a:cubicBezTo>
                                <a:close/>
                              </a:path>
                            </a:pathLst>
                          </a:custGeom>
                          <a:solidFill>
                            <a:srgbClr val="CECECE"/>
                          </a:solidFill>
                          <a:ln>
                            <a:noFill/>
                          </a:ln>
                        </wps:spPr>
                        <wps:bodyPr spcFirstLastPara="1" wrap="square" lIns="91425" tIns="91425" rIns="91425" bIns="91425" anchor="ctr" anchorCtr="0">
                          <a:noAutofit/>
                        </wps:bodyPr>
                      </wps:wsp>
                      <wps:wsp>
                        <wps:cNvPr id="1904" name="Google Shape;1750;p36"/>
                        <wps:cNvSpPr/>
                        <wps:spPr>
                          <a:xfrm>
                            <a:off x="2113488" y="1221786"/>
                            <a:ext cx="783914" cy="783664"/>
                          </a:xfrm>
                          <a:custGeom>
                            <a:avLst/>
                            <a:gdLst/>
                            <a:ahLst/>
                            <a:cxnLst/>
                            <a:rect l="l" t="t" r="r" b="b"/>
                            <a:pathLst>
                              <a:path w="37661" h="37649" extrusionOk="0">
                                <a:moveTo>
                                  <a:pt x="18836" y="1"/>
                                </a:moveTo>
                                <a:cubicBezTo>
                                  <a:pt x="8430" y="1"/>
                                  <a:pt x="1" y="8431"/>
                                  <a:pt x="1" y="18825"/>
                                </a:cubicBezTo>
                                <a:cubicBezTo>
                                  <a:pt x="1" y="29219"/>
                                  <a:pt x="8430" y="37648"/>
                                  <a:pt x="18836" y="37648"/>
                                </a:cubicBezTo>
                                <a:cubicBezTo>
                                  <a:pt x="29231" y="37648"/>
                                  <a:pt x="37660" y="29219"/>
                                  <a:pt x="37660" y="18825"/>
                                </a:cubicBezTo>
                                <a:cubicBezTo>
                                  <a:pt x="37660" y="8431"/>
                                  <a:pt x="29231" y="1"/>
                                  <a:pt x="18836" y="1"/>
                                </a:cubicBezTo>
                                <a:close/>
                              </a:path>
                            </a:pathLst>
                          </a:custGeom>
                          <a:solidFill>
                            <a:srgbClr val="69E781"/>
                          </a:solidFill>
                          <a:ln>
                            <a:noFill/>
                          </a:ln>
                        </wps:spPr>
                        <wps:txbx>
                          <w:txbxContent>
                            <w:p w14:paraId="429281C2" w14:textId="77777777" w:rsidR="009F124E" w:rsidRPr="009C6C9D" w:rsidRDefault="009F124E" w:rsidP="009F124E">
                              <w:pPr>
                                <w:jc w:val="center"/>
                                <w:rPr>
                                  <w:rFonts w:ascii="Fira Sans Extra Condensed" w:hAnsi="Fira Sans Extra Condensed" w:cs="Fira Sans Extra Condensed"/>
                                  <w:color w:val="FFFFFF"/>
                                  <w:sz w:val="18"/>
                                  <w:szCs w:val="18"/>
                                  <w:lang w:val="en-US"/>
                                </w:rPr>
                              </w:pPr>
                              <w:r w:rsidRPr="009C6C9D">
                                <w:rPr>
                                  <w:rFonts w:ascii="Fira Sans Extra Condensed" w:hAnsi="Fira Sans Extra Condensed" w:cs="Fira Sans Extra Condensed"/>
                                  <w:color w:val="FFFFFF"/>
                                  <w:sz w:val="18"/>
                                  <w:szCs w:val="18"/>
                                  <w:lang w:val="en-US"/>
                                </w:rPr>
                                <w:t>Modelos Fiscales Ambientales</w:t>
                              </w:r>
                            </w:p>
                          </w:txbxContent>
                        </wps:txbx>
                        <wps:bodyPr spcFirstLastPara="1" wrap="square" lIns="91425" tIns="91425" rIns="91425" bIns="91425" anchor="ctr" anchorCtr="0">
                          <a:noAutofit/>
                        </wps:bodyPr>
                      </wps:wsp>
                      <wps:wsp>
                        <wps:cNvPr id="1905" name="Google Shape;1751;p36"/>
                        <wps:cNvSpPr/>
                        <wps:spPr>
                          <a:xfrm>
                            <a:off x="1588592" y="2013116"/>
                            <a:ext cx="486259" cy="486259"/>
                          </a:xfrm>
                          <a:custGeom>
                            <a:avLst/>
                            <a:gdLst/>
                            <a:ahLst/>
                            <a:cxnLst/>
                            <a:rect l="l" t="t" r="r" b="b"/>
                            <a:pathLst>
                              <a:path w="23361" h="23361" extrusionOk="0">
                                <a:moveTo>
                                  <a:pt x="11680" y="1"/>
                                </a:moveTo>
                                <a:cubicBezTo>
                                  <a:pt x="5227" y="1"/>
                                  <a:pt x="0" y="5227"/>
                                  <a:pt x="0" y="11681"/>
                                </a:cubicBezTo>
                                <a:cubicBezTo>
                                  <a:pt x="0" y="18134"/>
                                  <a:pt x="5227" y="23361"/>
                                  <a:pt x="11680" y="23361"/>
                                </a:cubicBezTo>
                                <a:cubicBezTo>
                                  <a:pt x="18134" y="23361"/>
                                  <a:pt x="23360" y="18134"/>
                                  <a:pt x="23360" y="11681"/>
                                </a:cubicBezTo>
                                <a:cubicBezTo>
                                  <a:pt x="23360" y="5227"/>
                                  <a:pt x="18134" y="1"/>
                                  <a:pt x="11680" y="1"/>
                                </a:cubicBezTo>
                                <a:close/>
                              </a:path>
                            </a:pathLst>
                          </a:custGeom>
                          <a:solidFill>
                            <a:srgbClr val="CECECE"/>
                          </a:solidFill>
                          <a:ln>
                            <a:noFill/>
                          </a:ln>
                        </wps:spPr>
                        <wps:bodyPr spcFirstLastPara="1" wrap="square" lIns="91425" tIns="91425" rIns="91425" bIns="91425" anchor="ctr" anchorCtr="0">
                          <a:noAutofit/>
                        </wps:bodyPr>
                      </wps:wsp>
                      <wps:wsp>
                        <wps:cNvPr id="1906" name="Google Shape;1752;p36"/>
                        <wps:cNvSpPr/>
                        <wps:spPr>
                          <a:xfrm>
                            <a:off x="2861440" y="921424"/>
                            <a:ext cx="359621" cy="359621"/>
                          </a:xfrm>
                          <a:custGeom>
                            <a:avLst/>
                            <a:gdLst/>
                            <a:ahLst/>
                            <a:cxnLst/>
                            <a:rect l="l" t="t" r="r" b="b"/>
                            <a:pathLst>
                              <a:path w="17277" h="17277" extrusionOk="0">
                                <a:moveTo>
                                  <a:pt x="8645" y="1"/>
                                </a:moveTo>
                                <a:cubicBezTo>
                                  <a:pt x="3870" y="1"/>
                                  <a:pt x="1" y="3858"/>
                                  <a:pt x="1" y="8633"/>
                                </a:cubicBezTo>
                                <a:cubicBezTo>
                                  <a:pt x="1" y="13407"/>
                                  <a:pt x="3870" y="17277"/>
                                  <a:pt x="8645" y="17277"/>
                                </a:cubicBezTo>
                                <a:cubicBezTo>
                                  <a:pt x="13419" y="17277"/>
                                  <a:pt x="17277" y="13407"/>
                                  <a:pt x="17277" y="8633"/>
                                </a:cubicBezTo>
                                <a:cubicBezTo>
                                  <a:pt x="17277" y="3858"/>
                                  <a:pt x="13419" y="1"/>
                                  <a:pt x="8645" y="1"/>
                                </a:cubicBezTo>
                                <a:close/>
                              </a:path>
                            </a:pathLst>
                          </a:custGeom>
                          <a:solidFill>
                            <a:srgbClr val="CECECE"/>
                          </a:solidFill>
                          <a:ln>
                            <a:noFill/>
                          </a:ln>
                        </wps:spPr>
                        <wps:bodyPr spcFirstLastPara="1" wrap="square" lIns="91425" tIns="91425" rIns="91425" bIns="91425" anchor="ctr" anchorCtr="0">
                          <a:noAutofit/>
                        </wps:bodyPr>
                      </wps:wsp>
                      <wps:wsp>
                        <wps:cNvPr id="1907" name="Google Shape;1753;p36"/>
                        <wps:cNvSpPr/>
                        <wps:spPr>
                          <a:xfrm>
                            <a:off x="2786337" y="807994"/>
                            <a:ext cx="585451" cy="534143"/>
                          </a:xfrm>
                          <a:custGeom>
                            <a:avLst/>
                            <a:gdLst/>
                            <a:ahLst/>
                            <a:cxnLst/>
                            <a:rect l="l" t="t" r="r" b="b"/>
                            <a:pathLst>
                              <a:path w="17277" h="17277" extrusionOk="0">
                                <a:moveTo>
                                  <a:pt x="8633" y="1"/>
                                </a:moveTo>
                                <a:cubicBezTo>
                                  <a:pt x="3870" y="1"/>
                                  <a:pt x="1" y="3870"/>
                                  <a:pt x="1" y="8645"/>
                                </a:cubicBezTo>
                                <a:cubicBezTo>
                                  <a:pt x="1" y="13407"/>
                                  <a:pt x="3870" y="17277"/>
                                  <a:pt x="8633" y="17277"/>
                                </a:cubicBezTo>
                                <a:cubicBezTo>
                                  <a:pt x="13407" y="17277"/>
                                  <a:pt x="17277" y="13407"/>
                                  <a:pt x="17277" y="8645"/>
                                </a:cubicBezTo>
                                <a:cubicBezTo>
                                  <a:pt x="17277" y="3870"/>
                                  <a:pt x="13407" y="1"/>
                                  <a:pt x="8633" y="1"/>
                                </a:cubicBezTo>
                                <a:close/>
                              </a:path>
                            </a:pathLst>
                          </a:custGeom>
                          <a:solidFill>
                            <a:srgbClr val="69E781"/>
                          </a:solidFill>
                          <a:ln>
                            <a:noFill/>
                          </a:ln>
                        </wps:spPr>
                        <wps:bodyPr spcFirstLastPara="1" wrap="square" lIns="91425" tIns="91425" rIns="91425" bIns="91425" anchor="ctr" anchorCtr="0">
                          <a:noAutofit/>
                        </wps:bodyPr>
                      </wps:wsp>
                      <wps:wsp>
                        <wps:cNvPr id="1908" name="Google Shape;1754;p36"/>
                        <wps:cNvSpPr/>
                        <wps:spPr>
                          <a:xfrm>
                            <a:off x="1563802" y="1988575"/>
                            <a:ext cx="486259" cy="486259"/>
                          </a:xfrm>
                          <a:custGeom>
                            <a:avLst/>
                            <a:gdLst/>
                            <a:ahLst/>
                            <a:cxnLst/>
                            <a:rect l="l" t="t" r="r" b="b"/>
                            <a:pathLst>
                              <a:path w="23361" h="23361" extrusionOk="0">
                                <a:moveTo>
                                  <a:pt x="11681" y="1"/>
                                </a:moveTo>
                                <a:cubicBezTo>
                                  <a:pt x="5228" y="1"/>
                                  <a:pt x="1" y="5228"/>
                                  <a:pt x="1" y="11681"/>
                                </a:cubicBezTo>
                                <a:cubicBezTo>
                                  <a:pt x="1" y="18134"/>
                                  <a:pt x="5228" y="23361"/>
                                  <a:pt x="11681" y="23361"/>
                                </a:cubicBezTo>
                                <a:cubicBezTo>
                                  <a:pt x="18134" y="23361"/>
                                  <a:pt x="23361" y="18134"/>
                                  <a:pt x="23361" y="11681"/>
                                </a:cubicBezTo>
                                <a:cubicBezTo>
                                  <a:pt x="23361" y="5228"/>
                                  <a:pt x="18134" y="1"/>
                                  <a:pt x="11681" y="1"/>
                                </a:cubicBezTo>
                                <a:close/>
                              </a:path>
                            </a:pathLst>
                          </a:custGeom>
                          <a:solidFill>
                            <a:srgbClr val="69E781"/>
                          </a:solidFill>
                          <a:ln>
                            <a:noFill/>
                          </a:ln>
                        </wps:spPr>
                        <wps:txbx>
                          <w:txbxContent>
                            <w:p w14:paraId="5F525D96" w14:textId="77777777" w:rsidR="009F124E" w:rsidRDefault="009F124E" w:rsidP="009F124E">
                              <w:pPr>
                                <w:jc w:val="center"/>
                                <w:rPr>
                                  <w:rFonts w:ascii="Fira Sans Extra Condensed" w:hAnsi="Fira Sans Extra Condensed" w:cs="Fira Sans Extra Condensed"/>
                                  <w:color w:val="FFFFFF"/>
                                  <w:sz w:val="30"/>
                                  <w:szCs w:val="30"/>
                                  <w:lang w:val="en-US"/>
                                </w:rPr>
                              </w:pPr>
                              <w:r>
                                <w:rPr>
                                  <w:rFonts w:ascii="Fira Sans Extra Condensed" w:hAnsi="Fira Sans Extra Condensed" w:cs="Fira Sans Extra Condensed"/>
                                  <w:color w:val="FFFFFF"/>
                                  <w:sz w:val="30"/>
                                  <w:szCs w:val="30"/>
                                  <w:lang w:val="en-US"/>
                                </w:rPr>
                                <w:t>03</w:t>
                              </w:r>
                            </w:p>
                          </w:txbxContent>
                        </wps:txbx>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6CEA4A20" id="Grupo 1747" o:spid="_x0000_s1065" style="position:absolute;margin-left:54.3pt;margin-top:18.7pt;width:210.8pt;height:206.3pt;z-index:251778048;mso-width-relative:margin;mso-height-relative:margin" coordorigin="6939,8079" coordsize="26778,26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">
                <v:shape id="Google Shape;1748;p36" o:spid="_x0000_s1066" style="position:absolute;left:6939;top:11134;width:23159;height:23158;visibility:visible;mso-wrap-style:square;v-text-anchor:middle" coordsize="111265,111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" path="m1,111253nfl111265,1e" filled="f" strokeweight=".30625mm">
                  <v:stroke startarrowwidth="narrow" startarrowlength="short" endarrowwidth="narrow" endarrowlength="short" miterlimit="7803f" joinstyle="miter"/>
                  <v:path arrowok="t" o:extrusionok="f"/>
                </v:shape>
                <v:shape id="Google Shape;1749;p36" o:spid="_x0000_s1067" style="position:absolute;left:21533;top:12614;width:7837;height:7837;visibility:visible;mso-wrap-style:square;v-text-anchor:middle" coordsize="37649,37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" path="m18824,1c8430,1,1,8431,1,18825v,10394,8429,18823,18823,18823c29219,37648,37648,29219,37648,18825,37648,8431,29219,1,18824,1xe" fillcolor="#cecece" stroked="f">
                  <v:path arrowok="t" o:extrusionok="f"/>
                </v:shape>
                <v:shape id="Google Shape;1750;p36" o:spid="_x0000_s1068" style="position:absolute;left:21134;top:12217;width:7840;height:7837;visibility:visible;mso-wrap-style:square;v-text-anchor:middle" coordsize="37661,3764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" adj="-11796480,,5400" path="m18836,1c8430,1,1,8431,1,18825v,10394,8429,18823,18835,18823c29231,37648,37660,29219,37660,18825,37660,8431,29231,1,18836,1xe" fillcolor="#69e781" stroked="f">
                  <v:stroke joinstyle="miter"/>
                  <v:formulas/>
                  <v:path arrowok="t" o:extrusionok="f" o:connecttype="custom" textboxrect="0,0,37661,37649"/>
                  <v:textbox inset="2.53958mm,2.53958mm,2.53958mm,2.53958mm">
                    <w:txbxContent>
                      <w:p w14:paraId="429281C2" w14:textId="77777777" w:rsidR="009F124E" w:rsidRPr="009C6C9D" w:rsidRDefault="009F124E" w:rsidP="009F124E">
                        <w:pPr>
                          <w:jc w:val="center"/>
                          <w:rPr>
                            <w:rFonts w:ascii="Fira Sans Extra Condensed" w:hAnsi="Fira Sans Extra Condensed" w:cs="Fira Sans Extra Condensed"/>
                            <w:color w:val="FFFFFF"/>
                            <w:sz w:val="18"/>
                            <w:szCs w:val="18"/>
                            <w:lang w:val="en-US"/>
                          </w:rPr>
                        </w:pPr>
                        <w:r w:rsidRPr="009C6C9D">
                          <w:rPr>
                            <w:rFonts w:ascii="Fira Sans Extra Condensed" w:hAnsi="Fira Sans Extra Condensed" w:cs="Fira Sans Extra Condensed"/>
                            <w:color w:val="FFFFFF"/>
                            <w:sz w:val="18"/>
                            <w:szCs w:val="18"/>
                            <w:lang w:val="en-US"/>
                          </w:rPr>
                          <w:t>Modelos Fiscales Ambientales</w:t>
                        </w:r>
                      </w:p>
                    </w:txbxContent>
                  </v:textbox>
                </v:shape>
                <v:shape id="Google Shape;1751;p36" o:spid="_x0000_s1069" style="position:absolute;left:15885;top:20131;width:4863;height:4862;visibility:visible;mso-wrap-style:square;v-text-anchor:middle" coordsize="23361,23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" path="m11680,1c5227,1,,5227,,11681v,6453,5227,11680,11680,11680c18134,23361,23360,18134,23360,11681,23360,5227,18134,1,11680,1xe" fillcolor="#cecece" stroked="f">
                  <v:path arrowok="t" o:extrusionok="f"/>
                </v:shape>
                <v:shape id="Google Shape;1752;p36" o:spid="_x0000_s1070" style="position:absolute;left:28614;top:9214;width:3596;height:3596;visibility:visible;mso-wrap-style:square;v-text-anchor:middle" coordsize="17277,17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" path="m8645,1c3870,1,1,3858,1,8633v,4774,3869,8644,8644,8644c13419,17277,17277,13407,17277,8633,17277,3858,13419,1,8645,1xe" fillcolor="#cecece" stroked="f">
                  <v:path arrowok="t" o:extrusionok="f"/>
                </v:shape>
                <v:shape id="Google Shape;1753;p36" o:spid="_x0000_s1071" style="position:absolute;left:27863;top:8079;width:5854;height:5342;visibility:visible;mso-wrap-style:square;v-text-anchor:middle" coordsize="17277,17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" path="m8633,1c3870,1,1,3870,1,8645v,4762,3869,8632,8632,8632c13407,17277,17277,13407,17277,8645,17277,3870,13407,1,8633,1xe" fillcolor="#69e781" stroked="f">
                  <v:path arrowok="t" o:extrusionok="f"/>
                </v:shape>
                <v:shape id="Google Shape;1754;p36" o:spid="_x0000_s1072" style="position:absolute;left:15638;top:19885;width:4862;height:4863;visibility:visible;mso-wrap-style:square;v-text-anchor:middle" coordsize="23361,233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" adj="-11796480,,5400" path="m11681,1c5228,1,1,5228,1,11681v,6453,5227,11680,11680,11680c18134,23361,23361,18134,23361,11681,23361,5228,18134,1,11681,1xe" fillcolor="#69e781" stroked="f">
                  <v:stroke joinstyle="miter"/>
                  <v:formulas/>
                  <v:path arrowok="t" o:extrusionok="f" o:connecttype="custom" textboxrect="0,0,23361,23361"/>
                  <v:textbox inset="2.53958mm,2.53958mm,2.53958mm,2.53958mm">
                    <w:txbxContent>
                      <w:p w14:paraId="5F525D96" w14:textId="77777777" w:rsidR="009F124E" w:rsidRDefault="009F124E" w:rsidP="009F124E">
                        <w:pPr>
                          <w:jc w:val="center"/>
                          <w:rPr>
                            <w:rFonts w:ascii="Fira Sans Extra Condensed" w:hAnsi="Fira Sans Extra Condensed" w:cs="Fira Sans Extra Condensed"/>
                            <w:color w:val="FFFFFF"/>
                            <w:sz w:val="30"/>
                            <w:szCs w:val="30"/>
                            <w:lang w:val="en-US"/>
                          </w:rPr>
                        </w:pPr>
                        <w:r>
                          <w:rPr>
                            <w:rFonts w:ascii="Fira Sans Extra Condensed" w:hAnsi="Fira Sans Extra Condensed" w:cs="Fira Sans Extra Condensed"/>
                            <w:color w:val="FFFFFF"/>
                            <w:sz w:val="30"/>
                            <w:szCs w:val="30"/>
                            <w:lang w:val="en-US"/>
                          </w:rPr>
                          <w:t>03</w:t>
                        </w:r>
                      </w:p>
                    </w:txbxContent>
                  </v:textbox>
                </v:shape>
              </v:group>
            </w:pict>
          </mc:Fallback>
        </mc:AlternateContent>
      </w:r>
    </w:p>
    <w:p w14:paraId="17EFD9F8" w14:textId="68423F2F" w:rsidR="009F124E" w:rsidRPr="009F124E" w:rsidRDefault="009F124E" w:rsidP="009F124E">
      <w:pPr>
        <w:spacing w:after="160" w:line="259" w:lineRule="auto"/>
        <w:rPr>
          <w:rFonts w:asciiTheme="minorHAnsi" w:hAnsiTheme="minorHAnsi"/>
          <w:sz w:val="22"/>
          <w:szCs w:val="22"/>
          <w:lang w:eastAsia="en-US"/>
        </w:rPr>
      </w:pPr>
      <w:r w:rsidRPr="009F124E">
        <w:rPr>
          <w:rFonts w:asciiTheme="minorHAnsi" w:hAnsiTheme="minorHAnsi"/>
          <w:noProof/>
          <w:sz w:val="22"/>
          <w:szCs w:val="22"/>
          <w:lang w:eastAsia="en-US"/>
        </w:rPr>
        <w:drawing>
          <wp:anchor distT="0" distB="0" distL="114300" distR="114300" simplePos="0" relativeHeight="251789312" behindDoc="0" locked="0" layoutInCell="1" allowOverlap="1" wp14:anchorId="732AAC67" wp14:editId="40C88926">
            <wp:simplePos x="0" y="0"/>
            <wp:positionH relativeFrom="column">
              <wp:posOffset>2907030</wp:posOffset>
            </wp:positionH>
            <wp:positionV relativeFrom="paragraph">
              <wp:posOffset>21590</wp:posOffset>
            </wp:positionV>
            <wp:extent cx="308610" cy="343535"/>
            <wp:effectExtent l="0" t="0" r="0" b="0"/>
            <wp:wrapNone/>
            <wp:docPr id="1901" name="Imagen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197">
                      <a:extLst>
                        <a:ext uri="{28A0092B-C50C-407E-A947-70E740481C1C}">
                          <a14:useLocalDpi xmlns:a14="http://schemas.microsoft.com/office/drawing/2010/main" val="0"/>
                        </a:ext>
                      </a:extLst>
                    </a:blip>
                    <a:srcRect l="15147" r="12930" b="8569"/>
                    <a:stretch>
                      <a:fillRect/>
                    </a:stretch>
                  </pic:blipFill>
                  <pic:spPr bwMode="auto">
                    <a:xfrm>
                      <a:off x="0" y="0"/>
                      <a:ext cx="308610" cy="343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89CDB1" w14:textId="46FE4366" w:rsidR="009F124E" w:rsidRPr="009F124E" w:rsidRDefault="009F124E" w:rsidP="009F124E">
      <w:pPr>
        <w:spacing w:after="160" w:line="259" w:lineRule="auto"/>
        <w:rPr>
          <w:rFonts w:asciiTheme="minorHAnsi" w:hAnsiTheme="minorHAnsi"/>
          <w:sz w:val="22"/>
          <w:szCs w:val="22"/>
          <w:lang w:eastAsia="en-US"/>
        </w:rPr>
      </w:pPr>
      <w:r w:rsidRPr="009F124E">
        <w:rPr>
          <w:rFonts w:asciiTheme="minorHAnsi" w:hAnsiTheme="minorHAnsi"/>
          <w:noProof/>
          <w:sz w:val="22"/>
          <w:szCs w:val="22"/>
          <w:lang w:eastAsia="en-US"/>
        </w:rPr>
        <mc:AlternateContent>
          <mc:Choice Requires="wps">
            <w:drawing>
              <wp:anchor distT="0" distB="0" distL="114300" distR="114300" simplePos="0" relativeHeight="251790336" behindDoc="0" locked="0" layoutInCell="1" allowOverlap="1" wp14:anchorId="4724D225" wp14:editId="2BED3B07">
                <wp:simplePos x="0" y="0"/>
                <wp:positionH relativeFrom="column">
                  <wp:posOffset>3301365</wp:posOffset>
                </wp:positionH>
                <wp:positionV relativeFrom="paragraph">
                  <wp:posOffset>83185</wp:posOffset>
                </wp:positionV>
                <wp:extent cx="1020445" cy="493395"/>
                <wp:effectExtent l="0" t="0" r="65405" b="97155"/>
                <wp:wrapNone/>
                <wp:docPr id="1900" name="Conector: angular 19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0445" cy="493395"/>
                        </a:xfrm>
                        <a:prstGeom prst="bentConnector3">
                          <a:avLst>
                            <a:gd name="adj1" fmla="val 49095"/>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599F51C" id="Conector: angular 1900" o:spid="_x0000_s1026" type="#_x0000_t34" style="position:absolute;margin-left:259.95pt;margin-top:6.55pt;width:80.35pt;height:38.8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" adj="10605" strokecolor="#4472c4" strokeweight=".5pt">
                <v:stroke endarrow="block"/>
                <o:lock v:ext="edit" shapetype="f"/>
              </v:shape>
            </w:pict>
          </mc:Fallback>
        </mc:AlternateContent>
      </w:r>
    </w:p>
    <w:p w14:paraId="2CA4EDE5" w14:textId="5C71956E" w:rsidR="009F124E" w:rsidRPr="009F124E" w:rsidRDefault="009F124E" w:rsidP="009F124E">
      <w:pPr>
        <w:spacing w:after="160" w:line="259" w:lineRule="auto"/>
        <w:rPr>
          <w:rFonts w:asciiTheme="minorHAnsi" w:hAnsiTheme="minorHAnsi"/>
          <w:sz w:val="22"/>
          <w:szCs w:val="22"/>
          <w:lang w:eastAsia="en-US"/>
        </w:rPr>
      </w:pPr>
    </w:p>
    <w:p w14:paraId="4E4747ED" w14:textId="0C7E78E7" w:rsidR="009F124E" w:rsidRPr="009F124E" w:rsidRDefault="008C0BF7" w:rsidP="009F124E">
      <w:pPr>
        <w:spacing w:after="160" w:line="259" w:lineRule="auto"/>
        <w:rPr>
          <w:rFonts w:asciiTheme="minorHAnsi" w:hAnsiTheme="minorHAnsi"/>
          <w:sz w:val="22"/>
          <w:szCs w:val="22"/>
          <w:lang w:eastAsia="en-US"/>
        </w:rPr>
      </w:pPr>
      <w:r w:rsidRPr="009F124E">
        <w:rPr>
          <w:rFonts w:asciiTheme="minorHAnsi" w:hAnsiTheme="minorHAnsi"/>
          <w:noProof/>
          <w:sz w:val="22"/>
          <w:szCs w:val="22"/>
          <w:lang w:eastAsia="en-US"/>
        </w:rPr>
        <mc:AlternateContent>
          <mc:Choice Requires="wps">
            <w:drawing>
              <wp:anchor distT="45720" distB="45720" distL="114300" distR="114300" simplePos="0" relativeHeight="251791360" behindDoc="0" locked="0" layoutInCell="1" allowOverlap="1" wp14:anchorId="6A9EB07A" wp14:editId="3B2ED680">
                <wp:simplePos x="0" y="0"/>
                <wp:positionH relativeFrom="page">
                  <wp:posOffset>5422780</wp:posOffset>
                </wp:positionH>
                <wp:positionV relativeFrom="paragraph">
                  <wp:posOffset>39550</wp:posOffset>
                </wp:positionV>
                <wp:extent cx="1724660" cy="1009650"/>
                <wp:effectExtent l="0" t="0" r="8890" b="0"/>
                <wp:wrapSquare wrapText="bothSides"/>
                <wp:docPr id="1899" name="Cuadro de texto 1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660" cy="1009650"/>
                        </a:xfrm>
                        <a:prstGeom prst="rect">
                          <a:avLst/>
                        </a:prstGeom>
                        <a:solidFill>
                          <a:srgbClr val="FFFFFF"/>
                        </a:solidFill>
                        <a:ln w="9525">
                          <a:noFill/>
                          <a:miter lim="800000"/>
                          <a:headEnd/>
                          <a:tailEnd/>
                        </a:ln>
                      </wps:spPr>
                      <wps:txbx>
                        <w:txbxContent>
                          <w:p w14:paraId="43D6FCB5" w14:textId="77777777" w:rsidR="009F124E" w:rsidRPr="009E2C92" w:rsidRDefault="009F124E" w:rsidP="009F124E">
                            <w:pPr>
                              <w:jc w:val="both"/>
                              <w:rPr>
                                <w:rFonts w:cs="Arial"/>
                                <w:sz w:val="16"/>
                                <w:szCs w:val="16"/>
                              </w:rPr>
                            </w:pPr>
                            <w:r>
                              <w:rPr>
                                <w:rFonts w:cs="Arial"/>
                                <w:sz w:val="16"/>
                                <w:szCs w:val="16"/>
                              </w:rPr>
                              <w:t>Promoción de</w:t>
                            </w:r>
                            <w:r w:rsidRPr="009E2C92">
                              <w:rPr>
                                <w:rFonts w:cs="Arial"/>
                                <w:sz w:val="16"/>
                                <w:szCs w:val="16"/>
                              </w:rPr>
                              <w:t xml:space="preserve"> la creación de instrumentos económicos y regulatorios incluyéndose la incorporación de tributos y programas verdes al sistema de financiamiento público actual y modificar los que se consideren oportunos.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9EB07A" id="Cuadro de texto 1899" o:spid="_x0000_s1073" type="#_x0000_t202" style="position:absolute;margin-left:427pt;margin-top:3.1pt;width:135.8pt;height:79.5pt;z-index:2517913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" stroked="f">
                <v:textbox>
                  <w:txbxContent>
                    <w:p w14:paraId="43D6FCB5" w14:textId="77777777" w:rsidR="009F124E" w:rsidRPr="009E2C92" w:rsidRDefault="009F124E" w:rsidP="009F124E">
                      <w:pPr>
                        <w:jc w:val="both"/>
                        <w:rPr>
                          <w:rFonts w:cs="Arial"/>
                          <w:sz w:val="16"/>
                          <w:szCs w:val="16"/>
                        </w:rPr>
                      </w:pPr>
                      <w:r>
                        <w:rPr>
                          <w:rFonts w:cs="Arial"/>
                          <w:sz w:val="16"/>
                          <w:szCs w:val="16"/>
                        </w:rPr>
                        <w:t>Promoción de</w:t>
                      </w:r>
                      <w:r w:rsidRPr="009E2C92">
                        <w:rPr>
                          <w:rFonts w:cs="Arial"/>
                          <w:sz w:val="16"/>
                          <w:szCs w:val="16"/>
                        </w:rPr>
                        <w:t xml:space="preserve"> la creación de instrumentos económicos y regulatorios incluyéndose la incorporación de tributos y programas verdes al sistema de financiamiento público actual y modificar los que se consideren oportunos.</w:t>
                      </w:r>
                    </w:p>
                  </w:txbxContent>
                </v:textbox>
                <w10:wrap type="square" anchorx="page"/>
              </v:shape>
            </w:pict>
          </mc:Fallback>
        </mc:AlternateContent>
      </w:r>
      <w:r w:rsidR="009F124E" w:rsidRPr="009F124E">
        <w:rPr>
          <w:rFonts w:asciiTheme="minorHAnsi" w:hAnsiTheme="minorHAnsi"/>
          <w:noProof/>
          <w:sz w:val="22"/>
          <w:szCs w:val="22"/>
          <w:lang w:eastAsia="en-US"/>
        </w:rPr>
        <w:drawing>
          <wp:anchor distT="0" distB="0" distL="114300" distR="114300" simplePos="0" relativeHeight="251792384" behindDoc="0" locked="0" layoutInCell="1" allowOverlap="1" wp14:anchorId="64E52CC2" wp14:editId="538A01B4">
            <wp:simplePos x="0" y="0"/>
            <wp:positionH relativeFrom="column">
              <wp:posOffset>3681730</wp:posOffset>
            </wp:positionH>
            <wp:positionV relativeFrom="paragraph">
              <wp:posOffset>240665</wp:posOffset>
            </wp:positionV>
            <wp:extent cx="365760" cy="365760"/>
            <wp:effectExtent l="0" t="0" r="0" b="0"/>
            <wp:wrapNone/>
            <wp:docPr id="1898" name="Imagen 1898" descr="Reducción Del Riesgo De Desastres, Inundación, Desastre Natural imagen png  - imagen transparente descarga gratu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Reducción Del Riesgo De Desastres, Inundación, Desastre Natural imagen png  - imagen transparente descarga gratuita"/>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14:sizeRelH relativeFrom="page">
              <wp14:pctWidth>0</wp14:pctWidth>
            </wp14:sizeRelH>
            <wp14:sizeRelV relativeFrom="page">
              <wp14:pctHeight>0</wp14:pctHeight>
            </wp14:sizeRelV>
          </wp:anchor>
        </w:drawing>
      </w:r>
      <w:r w:rsidR="009F124E" w:rsidRPr="009F124E">
        <w:rPr>
          <w:rFonts w:asciiTheme="minorHAnsi" w:hAnsiTheme="minorHAnsi"/>
          <w:noProof/>
          <w:sz w:val="22"/>
          <w:szCs w:val="22"/>
          <w:lang w:eastAsia="en-US"/>
        </w:rPr>
        <mc:AlternateContent>
          <mc:Choice Requires="wpg">
            <w:drawing>
              <wp:anchor distT="0" distB="0" distL="114300" distR="114300" simplePos="0" relativeHeight="251781120" behindDoc="0" locked="0" layoutInCell="1" allowOverlap="1" wp14:anchorId="46F2F2A8" wp14:editId="6D8578B5">
                <wp:simplePos x="0" y="0"/>
                <wp:positionH relativeFrom="column">
                  <wp:posOffset>711835</wp:posOffset>
                </wp:positionH>
                <wp:positionV relativeFrom="paragraph">
                  <wp:posOffset>177800</wp:posOffset>
                </wp:positionV>
                <wp:extent cx="3437890" cy="1543685"/>
                <wp:effectExtent l="0" t="0" r="0" b="18415"/>
                <wp:wrapNone/>
                <wp:docPr id="101" name="Grupo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37890" cy="1543685"/>
                          <a:chOff x="711275" y="1893597"/>
                          <a:chExt cx="3438694" cy="1544056"/>
                        </a:xfrm>
                      </wpg:grpSpPr>
                      <wps:wsp>
                        <wps:cNvPr id="102" name="Google Shape;1785;p36"/>
                        <wps:cNvSpPr/>
                        <wps:spPr>
                          <a:xfrm>
                            <a:off x="711275" y="2143231"/>
                            <a:ext cx="3008163" cy="1294422"/>
                          </a:xfrm>
                          <a:custGeom>
                            <a:avLst/>
                            <a:gdLst/>
                            <a:ahLst/>
                            <a:cxnLst/>
                            <a:rect l="l" t="t" r="r" b="b"/>
                            <a:pathLst>
                              <a:path w="144519" h="62187" fill="none" extrusionOk="0">
                                <a:moveTo>
                                  <a:pt x="0" y="62187"/>
                                </a:moveTo>
                                <a:lnTo>
                                  <a:pt x="144518" y="0"/>
                                </a:lnTo>
                              </a:path>
                            </a:pathLst>
                          </a:custGeom>
                          <a:noFill/>
                          <a:ln w="11025" cap="flat" cmpd="sng">
                            <a:solidFill>
                              <a:srgbClr val="000000"/>
                            </a:solidFill>
                            <a:prstDash val="solid"/>
                            <a:miter lim="11906"/>
                            <a:headEnd type="none" w="sm" len="sm"/>
                            <a:tailEnd type="none" w="sm" len="sm"/>
                          </a:ln>
                        </wps:spPr>
                        <wps:bodyPr spcFirstLastPara="1" wrap="square" lIns="91425" tIns="91425" rIns="91425" bIns="91425" anchor="ctr" anchorCtr="0">
                          <a:noAutofit/>
                        </wps:bodyPr>
                      </wps:wsp>
                      <wps:wsp>
                        <wps:cNvPr id="103" name="Google Shape;1786;p36"/>
                        <wps:cNvSpPr/>
                        <wps:spPr>
                          <a:xfrm>
                            <a:off x="3732325" y="2132074"/>
                            <a:ext cx="12656" cy="5474"/>
                          </a:xfrm>
                          <a:custGeom>
                            <a:avLst/>
                            <a:gdLst/>
                            <a:ahLst/>
                            <a:cxnLst/>
                            <a:rect l="l" t="t" r="r" b="b"/>
                            <a:pathLst>
                              <a:path w="608" h="263" fill="none" extrusionOk="0">
                                <a:moveTo>
                                  <a:pt x="0" y="262"/>
                                </a:moveTo>
                                <a:lnTo>
                                  <a:pt x="608" y="1"/>
                                </a:lnTo>
                              </a:path>
                            </a:pathLst>
                          </a:custGeom>
                          <a:noFill/>
                          <a:ln w="11025" cap="flat" cmpd="sng">
                            <a:solidFill>
                              <a:srgbClr val="000000"/>
                            </a:solidFill>
                            <a:prstDash val="solid"/>
                            <a:miter lim="11906"/>
                            <a:headEnd type="none" w="sm" len="sm"/>
                            <a:tailEnd type="none" w="sm" len="sm"/>
                          </a:ln>
                        </wps:spPr>
                        <wps:bodyPr spcFirstLastPara="1" wrap="square" lIns="91425" tIns="91425" rIns="91425" bIns="91425" anchor="ctr" anchorCtr="0">
                          <a:noAutofit/>
                        </wps:bodyPr>
                      </wps:wsp>
                      <wps:wsp>
                        <wps:cNvPr id="104" name="Google Shape;1787;p36"/>
                        <wps:cNvSpPr/>
                        <wps:spPr>
                          <a:xfrm>
                            <a:off x="2718939" y="2075332"/>
                            <a:ext cx="783914" cy="783643"/>
                          </a:xfrm>
                          <a:custGeom>
                            <a:avLst/>
                            <a:gdLst/>
                            <a:ahLst/>
                            <a:cxnLst/>
                            <a:rect l="l" t="t" r="r" b="b"/>
                            <a:pathLst>
                              <a:path w="37661" h="37648" extrusionOk="0">
                                <a:moveTo>
                                  <a:pt x="18824" y="0"/>
                                </a:moveTo>
                                <a:cubicBezTo>
                                  <a:pt x="8430" y="0"/>
                                  <a:pt x="1" y="8418"/>
                                  <a:pt x="1" y="18824"/>
                                </a:cubicBezTo>
                                <a:cubicBezTo>
                                  <a:pt x="1" y="29218"/>
                                  <a:pt x="8430" y="37648"/>
                                  <a:pt x="18824" y="37648"/>
                                </a:cubicBezTo>
                                <a:cubicBezTo>
                                  <a:pt x="29231" y="37648"/>
                                  <a:pt x="37660" y="29218"/>
                                  <a:pt x="37660" y="18824"/>
                                </a:cubicBezTo>
                                <a:cubicBezTo>
                                  <a:pt x="37660" y="8418"/>
                                  <a:pt x="29231" y="0"/>
                                  <a:pt x="18824" y="0"/>
                                </a:cubicBezTo>
                                <a:close/>
                              </a:path>
                            </a:pathLst>
                          </a:custGeom>
                          <a:solidFill>
                            <a:srgbClr val="CECECE"/>
                          </a:solidFill>
                          <a:ln>
                            <a:noFill/>
                          </a:ln>
                        </wps:spPr>
                        <wps:bodyPr spcFirstLastPara="1" wrap="square" lIns="91425" tIns="91425" rIns="91425" bIns="91425" anchor="ctr" anchorCtr="0">
                          <a:noAutofit/>
                        </wps:bodyPr>
                      </wps:wsp>
                      <wps:wsp>
                        <wps:cNvPr id="105" name="Google Shape;1788;p36"/>
                        <wps:cNvSpPr/>
                        <wps:spPr>
                          <a:xfrm>
                            <a:off x="2679286" y="2035430"/>
                            <a:ext cx="783914" cy="783893"/>
                          </a:xfrm>
                          <a:custGeom>
                            <a:avLst/>
                            <a:gdLst/>
                            <a:ahLst/>
                            <a:cxnLst/>
                            <a:rect l="l" t="t" r="r" b="b"/>
                            <a:pathLst>
                              <a:path w="37661" h="37660" extrusionOk="0">
                                <a:moveTo>
                                  <a:pt x="18824" y="0"/>
                                </a:moveTo>
                                <a:cubicBezTo>
                                  <a:pt x="8430" y="0"/>
                                  <a:pt x="1" y="8430"/>
                                  <a:pt x="1" y="18836"/>
                                </a:cubicBezTo>
                                <a:cubicBezTo>
                                  <a:pt x="1" y="29230"/>
                                  <a:pt x="8430" y="37660"/>
                                  <a:pt x="18824" y="37660"/>
                                </a:cubicBezTo>
                                <a:cubicBezTo>
                                  <a:pt x="29231" y="37660"/>
                                  <a:pt x="37660" y="29230"/>
                                  <a:pt x="37660" y="18836"/>
                                </a:cubicBezTo>
                                <a:cubicBezTo>
                                  <a:pt x="37660" y="8430"/>
                                  <a:pt x="29231" y="0"/>
                                  <a:pt x="18824" y="0"/>
                                </a:cubicBezTo>
                                <a:close/>
                              </a:path>
                            </a:pathLst>
                          </a:custGeom>
                          <a:solidFill>
                            <a:srgbClr val="7030A0"/>
                          </a:solidFill>
                          <a:ln>
                            <a:noFill/>
                          </a:ln>
                        </wps:spPr>
                        <wps:txbx>
                          <w:txbxContent>
                            <w:p w14:paraId="681DA263" w14:textId="77777777" w:rsidR="009F124E" w:rsidRPr="00A36326" w:rsidRDefault="009F124E" w:rsidP="009F124E">
                              <w:pPr>
                                <w:jc w:val="center"/>
                                <w:rPr>
                                  <w:rFonts w:ascii="Fira Sans Extra Condensed" w:hAnsi="Fira Sans Extra Condensed" w:cs="Fira Sans Extra Condensed"/>
                                  <w:color w:val="FFFFFF"/>
                                  <w:sz w:val="16"/>
                                  <w:szCs w:val="16"/>
                                </w:rPr>
                              </w:pPr>
                              <w:r w:rsidRPr="00A36326">
                                <w:rPr>
                                  <w:rFonts w:ascii="Fira Sans Extra Condensed" w:hAnsi="Fira Sans Extra Condensed" w:cs="Fira Sans Extra Condensed"/>
                                  <w:color w:val="FFFFFF"/>
                                  <w:sz w:val="16"/>
                                  <w:szCs w:val="16"/>
                                </w:rPr>
                                <w:t>Gestión del riesgos y contin</w:t>
                              </w:r>
                              <w:r>
                                <w:rPr>
                                  <w:rFonts w:ascii="Fira Sans Extra Condensed" w:hAnsi="Fira Sans Extra Condensed" w:cs="Fira Sans Extra Condensed"/>
                                  <w:color w:val="FFFFFF"/>
                                  <w:sz w:val="16"/>
                                  <w:szCs w:val="16"/>
                                </w:rPr>
                                <w:t>g</w:t>
                              </w:r>
                              <w:r w:rsidRPr="00A36326">
                                <w:rPr>
                                  <w:rFonts w:ascii="Fira Sans Extra Condensed" w:hAnsi="Fira Sans Extra Condensed" w:cs="Fira Sans Extra Condensed"/>
                                  <w:color w:val="FFFFFF"/>
                                  <w:sz w:val="16"/>
                                  <w:szCs w:val="16"/>
                                </w:rPr>
                                <w:t>encias ambientales</w:t>
                              </w:r>
                            </w:p>
                          </w:txbxContent>
                        </wps:txbx>
                        <wps:bodyPr spcFirstLastPara="1" wrap="square" lIns="91425" tIns="91425" rIns="91425" bIns="91425" anchor="ctr" anchorCtr="0">
                          <a:noAutofit/>
                        </wps:bodyPr>
                      </wps:wsp>
                      <wps:wsp>
                        <wps:cNvPr id="106" name="Google Shape;1789;p36"/>
                        <wps:cNvSpPr/>
                        <wps:spPr>
                          <a:xfrm>
                            <a:off x="1949423" y="2557848"/>
                            <a:ext cx="486259" cy="486259"/>
                          </a:xfrm>
                          <a:custGeom>
                            <a:avLst/>
                            <a:gdLst/>
                            <a:ahLst/>
                            <a:cxnLst/>
                            <a:rect l="l" t="t" r="r" b="b"/>
                            <a:pathLst>
                              <a:path w="23361" h="23361" extrusionOk="0">
                                <a:moveTo>
                                  <a:pt x="11681" y="0"/>
                                </a:moveTo>
                                <a:cubicBezTo>
                                  <a:pt x="5228" y="0"/>
                                  <a:pt x="1" y="5227"/>
                                  <a:pt x="1" y="11680"/>
                                </a:cubicBezTo>
                                <a:cubicBezTo>
                                  <a:pt x="1" y="18134"/>
                                  <a:pt x="5228" y="23360"/>
                                  <a:pt x="11681" y="23360"/>
                                </a:cubicBezTo>
                                <a:cubicBezTo>
                                  <a:pt x="18134" y="23360"/>
                                  <a:pt x="23361" y="18134"/>
                                  <a:pt x="23361" y="11680"/>
                                </a:cubicBezTo>
                                <a:cubicBezTo>
                                  <a:pt x="23361" y="5227"/>
                                  <a:pt x="18134" y="0"/>
                                  <a:pt x="11681" y="0"/>
                                </a:cubicBezTo>
                                <a:close/>
                              </a:path>
                            </a:pathLst>
                          </a:custGeom>
                          <a:solidFill>
                            <a:srgbClr val="CECECE"/>
                          </a:solidFill>
                          <a:ln>
                            <a:noFill/>
                          </a:ln>
                        </wps:spPr>
                        <wps:bodyPr spcFirstLastPara="1" wrap="square" lIns="91425" tIns="91425" rIns="91425" bIns="91425" anchor="ctr" anchorCtr="0">
                          <a:noAutofit/>
                        </wps:bodyPr>
                      </wps:wsp>
                      <wps:wsp>
                        <wps:cNvPr id="107" name="Google Shape;1790;p36"/>
                        <wps:cNvSpPr/>
                        <wps:spPr>
                          <a:xfrm>
                            <a:off x="3605935" y="1963305"/>
                            <a:ext cx="359600" cy="359621"/>
                          </a:xfrm>
                          <a:custGeom>
                            <a:avLst/>
                            <a:gdLst/>
                            <a:ahLst/>
                            <a:cxnLst/>
                            <a:rect l="l" t="t" r="r" b="b"/>
                            <a:pathLst>
                              <a:path w="17276" h="17277" extrusionOk="0">
                                <a:moveTo>
                                  <a:pt x="8632" y="0"/>
                                </a:moveTo>
                                <a:cubicBezTo>
                                  <a:pt x="3870" y="0"/>
                                  <a:pt x="0" y="3870"/>
                                  <a:pt x="0" y="8644"/>
                                </a:cubicBezTo>
                                <a:cubicBezTo>
                                  <a:pt x="0" y="13419"/>
                                  <a:pt x="3870" y="17276"/>
                                  <a:pt x="8632" y="17276"/>
                                </a:cubicBezTo>
                                <a:cubicBezTo>
                                  <a:pt x="13407" y="17276"/>
                                  <a:pt x="17276" y="13419"/>
                                  <a:pt x="17276" y="8644"/>
                                </a:cubicBezTo>
                                <a:cubicBezTo>
                                  <a:pt x="17276" y="3870"/>
                                  <a:pt x="13407" y="0"/>
                                  <a:pt x="8632" y="0"/>
                                </a:cubicBezTo>
                                <a:close/>
                              </a:path>
                            </a:pathLst>
                          </a:custGeom>
                          <a:solidFill>
                            <a:srgbClr val="CECECE"/>
                          </a:solidFill>
                          <a:ln>
                            <a:noFill/>
                          </a:ln>
                        </wps:spPr>
                        <wps:bodyPr spcFirstLastPara="1" wrap="square" lIns="91425" tIns="91425" rIns="91425" bIns="91425" anchor="ctr" anchorCtr="0">
                          <a:noAutofit/>
                        </wps:bodyPr>
                      </wps:wsp>
                      <wps:wsp>
                        <wps:cNvPr id="108" name="Google Shape;1791;p36"/>
                        <wps:cNvSpPr/>
                        <wps:spPr>
                          <a:xfrm>
                            <a:off x="3594783" y="1893597"/>
                            <a:ext cx="555186" cy="534075"/>
                          </a:xfrm>
                          <a:custGeom>
                            <a:avLst/>
                            <a:gdLst/>
                            <a:ahLst/>
                            <a:cxnLst/>
                            <a:rect l="l" t="t" r="r" b="b"/>
                            <a:pathLst>
                              <a:path w="17276" h="17277" extrusionOk="0">
                                <a:moveTo>
                                  <a:pt x="8644" y="0"/>
                                </a:moveTo>
                                <a:cubicBezTo>
                                  <a:pt x="3870" y="0"/>
                                  <a:pt x="0" y="3870"/>
                                  <a:pt x="0" y="8632"/>
                                </a:cubicBezTo>
                                <a:cubicBezTo>
                                  <a:pt x="0" y="13407"/>
                                  <a:pt x="3870" y="17276"/>
                                  <a:pt x="8644" y="17276"/>
                                </a:cubicBezTo>
                                <a:cubicBezTo>
                                  <a:pt x="13407" y="17276"/>
                                  <a:pt x="17276" y="13407"/>
                                  <a:pt x="17276" y="8632"/>
                                </a:cubicBezTo>
                                <a:cubicBezTo>
                                  <a:pt x="17276" y="3870"/>
                                  <a:pt x="13407" y="0"/>
                                  <a:pt x="8644" y="0"/>
                                </a:cubicBezTo>
                                <a:close/>
                              </a:path>
                            </a:pathLst>
                          </a:custGeom>
                          <a:solidFill>
                            <a:srgbClr val="7030A0"/>
                          </a:solidFill>
                          <a:ln>
                            <a:noFill/>
                          </a:ln>
                        </wps:spPr>
                        <wps:bodyPr spcFirstLastPara="1" wrap="square" lIns="91425" tIns="91425" rIns="91425" bIns="91425" anchor="ctr" anchorCtr="0">
                          <a:noAutofit/>
                        </wps:bodyPr>
                      </wps:wsp>
                      <wps:wsp>
                        <wps:cNvPr id="109" name="Google Shape;1792;p36"/>
                        <wps:cNvSpPr/>
                        <wps:spPr>
                          <a:xfrm>
                            <a:off x="1924903" y="2533057"/>
                            <a:ext cx="486238" cy="486509"/>
                          </a:xfrm>
                          <a:custGeom>
                            <a:avLst/>
                            <a:gdLst/>
                            <a:ahLst/>
                            <a:cxnLst/>
                            <a:rect l="l" t="t" r="r" b="b"/>
                            <a:pathLst>
                              <a:path w="23360" h="23373" extrusionOk="0">
                                <a:moveTo>
                                  <a:pt x="11680" y="1"/>
                                </a:moveTo>
                                <a:cubicBezTo>
                                  <a:pt x="5227" y="1"/>
                                  <a:pt x="0" y="5240"/>
                                  <a:pt x="0" y="11681"/>
                                </a:cubicBezTo>
                                <a:cubicBezTo>
                                  <a:pt x="0" y="18134"/>
                                  <a:pt x="5227" y="23373"/>
                                  <a:pt x="11680" y="23373"/>
                                </a:cubicBezTo>
                                <a:cubicBezTo>
                                  <a:pt x="18133" y="23373"/>
                                  <a:pt x="23360" y="18134"/>
                                  <a:pt x="23360" y="11681"/>
                                </a:cubicBezTo>
                                <a:cubicBezTo>
                                  <a:pt x="23360" y="5240"/>
                                  <a:pt x="18133" y="1"/>
                                  <a:pt x="11680" y="1"/>
                                </a:cubicBezTo>
                                <a:close/>
                              </a:path>
                            </a:pathLst>
                          </a:custGeom>
                          <a:solidFill>
                            <a:srgbClr val="7030A0"/>
                          </a:solidFill>
                          <a:ln>
                            <a:noFill/>
                          </a:ln>
                        </wps:spPr>
                        <wps:txbx>
                          <w:txbxContent>
                            <w:p w14:paraId="126DC355" w14:textId="77777777" w:rsidR="009F124E" w:rsidRDefault="009F124E" w:rsidP="009F124E">
                              <w:pPr>
                                <w:jc w:val="center"/>
                                <w:rPr>
                                  <w:rFonts w:ascii="Fira Sans Extra Condensed" w:hAnsi="Fira Sans Extra Condensed" w:cs="Fira Sans Extra Condensed"/>
                                  <w:color w:val="FFFFFF"/>
                                  <w:sz w:val="30"/>
                                  <w:szCs w:val="30"/>
                                  <w:lang w:val="en-US"/>
                                </w:rPr>
                              </w:pPr>
                              <w:r>
                                <w:rPr>
                                  <w:rFonts w:ascii="Fira Sans Extra Condensed" w:hAnsi="Fira Sans Extra Condensed" w:cs="Fira Sans Extra Condensed"/>
                                  <w:color w:val="FFFFFF"/>
                                  <w:sz w:val="30"/>
                                  <w:szCs w:val="30"/>
                                  <w:lang w:val="en-US"/>
                                </w:rPr>
                                <w:t>04</w:t>
                              </w:r>
                            </w:p>
                          </w:txbxContent>
                        </wps:txbx>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46F2F2A8" id="Grupo 101" o:spid="_x0000_s1074" style="position:absolute;margin-left:56.05pt;margin-top:14pt;width:270.7pt;height:121.55pt;z-index:251781120;mso-width-relative:margin;mso-height-relative:margin" coordorigin="7112,18935" coordsize="34386,15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">
                <v:shape id="Google Shape;1785;p36" o:spid="_x0000_s1075" style="position:absolute;left:7112;top:21432;width:30082;height:12944;visibility:visible;mso-wrap-style:square;v-text-anchor:middle" coordsize="144519,62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" path="m,62187nfl144518,e" filled="f" strokeweight=".30625mm">
                  <v:stroke startarrowwidth="narrow" startarrowlength="short" endarrowwidth="narrow" endarrowlength="short" miterlimit="7803f" joinstyle="miter"/>
                  <v:path arrowok="t" o:extrusionok="f"/>
                </v:shape>
                <v:shape id="Google Shape;1786;p36" o:spid="_x0000_s1076" style="position:absolute;left:37323;top:21320;width:126;height:55;visibility:visible;mso-wrap-style:square;v-text-anchor:middle" coordsize="608,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" path="m,262nfl608,1e" filled="f" strokeweight=".30625mm">
                  <v:stroke startarrowwidth="narrow" startarrowlength="short" endarrowwidth="narrow" endarrowlength="short" miterlimit="7803f" joinstyle="miter"/>
                  <v:path arrowok="t" o:extrusionok="f"/>
                </v:shape>
                <v:shape id="Google Shape;1787;p36" o:spid="_x0000_s1077" style="position:absolute;left:27189;top:20753;width:7839;height:7836;visibility:visible;mso-wrap-style:square;v-text-anchor:middle" coordsize="37661,37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" path="m18824,c8430,,1,8418,1,18824v,10394,8429,18824,18823,18824c29231,37648,37660,29218,37660,18824,37660,8418,29231,,18824,xe" fillcolor="#cecece" stroked="f">
                  <v:path arrowok="t" o:extrusionok="f"/>
                </v:shape>
                <v:shape id="Google Shape;1788;p36" o:spid="_x0000_s1078" style="position:absolute;left:26792;top:20354;width:7840;height:7839;visibility:visible;mso-wrap-style:square;v-text-anchor:middle" coordsize="37661,376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" adj="-11796480,,5400" path="m18824,c8430,,1,8430,1,18836v,10394,8429,18824,18823,18824c29231,37660,37660,29230,37660,18836,37660,8430,29231,,18824,xe" fillcolor="#7030a0" stroked="f">
                  <v:stroke joinstyle="miter"/>
                  <v:formulas/>
                  <v:path arrowok="t" o:extrusionok="f" o:connecttype="custom" textboxrect="0,0,37661,37660"/>
                  <v:textbox inset="2.53958mm,2.53958mm,2.53958mm,2.53958mm">
                    <w:txbxContent>
                      <w:p w14:paraId="681DA263" w14:textId="77777777" w:rsidR="009F124E" w:rsidRPr="00A36326" w:rsidRDefault="009F124E" w:rsidP="009F124E">
                        <w:pPr>
                          <w:jc w:val="center"/>
                          <w:rPr>
                            <w:rFonts w:ascii="Fira Sans Extra Condensed" w:hAnsi="Fira Sans Extra Condensed" w:cs="Fira Sans Extra Condensed"/>
                            <w:color w:val="FFFFFF"/>
                            <w:sz w:val="16"/>
                            <w:szCs w:val="16"/>
                          </w:rPr>
                        </w:pPr>
                        <w:r w:rsidRPr="00A36326">
                          <w:rPr>
                            <w:rFonts w:ascii="Fira Sans Extra Condensed" w:hAnsi="Fira Sans Extra Condensed" w:cs="Fira Sans Extra Condensed"/>
                            <w:color w:val="FFFFFF"/>
                            <w:sz w:val="16"/>
                            <w:szCs w:val="16"/>
                          </w:rPr>
                          <w:t>Gestión del riesgos y contin</w:t>
                        </w:r>
                        <w:r>
                          <w:rPr>
                            <w:rFonts w:ascii="Fira Sans Extra Condensed" w:hAnsi="Fira Sans Extra Condensed" w:cs="Fira Sans Extra Condensed"/>
                            <w:color w:val="FFFFFF"/>
                            <w:sz w:val="16"/>
                            <w:szCs w:val="16"/>
                          </w:rPr>
                          <w:t>g</w:t>
                        </w:r>
                        <w:r w:rsidRPr="00A36326">
                          <w:rPr>
                            <w:rFonts w:ascii="Fira Sans Extra Condensed" w:hAnsi="Fira Sans Extra Condensed" w:cs="Fira Sans Extra Condensed"/>
                            <w:color w:val="FFFFFF"/>
                            <w:sz w:val="16"/>
                            <w:szCs w:val="16"/>
                          </w:rPr>
                          <w:t>encias ambientales</w:t>
                        </w:r>
                      </w:p>
                    </w:txbxContent>
                  </v:textbox>
                </v:shape>
                <v:shape id="Google Shape;1789;p36" o:spid="_x0000_s1079" style="position:absolute;left:19494;top:25578;width:4862;height:4863;visibility:visible;mso-wrap-style:square;v-text-anchor:middle" coordsize="23361,23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" path="m11681,c5228,,1,5227,1,11680v,6454,5227,11680,11680,11680c18134,23360,23361,18134,23361,11680,23361,5227,18134,,11681,xe" fillcolor="#cecece" stroked="f">
                  <v:path arrowok="t" o:extrusionok="f"/>
                </v:shape>
                <v:shape id="Google Shape;1790;p36" o:spid="_x0000_s1080" style="position:absolute;left:36059;top:19633;width:3596;height:3596;visibility:visible;mso-wrap-style:square;v-text-anchor:middle" coordsize="17276,17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" path="m8632,c3870,,,3870,,8644v,4775,3870,8632,8632,8632c13407,17276,17276,13419,17276,8644,17276,3870,13407,,8632,xe" fillcolor="#cecece" stroked="f">
                  <v:path arrowok="t" o:extrusionok="f"/>
                </v:shape>
                <v:shape id="Google Shape;1791;p36" o:spid="_x0000_s1081" style="position:absolute;left:35947;top:18935;width:5552;height:5341;visibility:visible;mso-wrap-style:square;v-text-anchor:middle" coordsize="17276,17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" path="m8644,c3870,,,3870,,8632v,4775,3870,8644,8644,8644c13407,17276,17276,13407,17276,8632,17276,3870,13407,,8644,xe" fillcolor="#7030a0" stroked="f">
                  <v:path arrowok="t" o:extrusionok="f"/>
                </v:shape>
                <v:shape id="Google Shape;1792;p36" o:spid="_x0000_s1082" style="position:absolute;left:19249;top:25330;width:4862;height:4865;visibility:visible;mso-wrap-style:square;v-text-anchor:middle" coordsize="23360,233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" adj="-11796480,,5400" path="m11680,1c5227,1,,5240,,11681v,6453,5227,11692,11680,11692c18133,23373,23360,18134,23360,11681,23360,5240,18133,1,11680,1xe" fillcolor="#7030a0" stroked="f">
                  <v:stroke joinstyle="miter"/>
                  <v:formulas/>
                  <v:path arrowok="t" o:extrusionok="f" o:connecttype="custom" textboxrect="0,0,23360,23373"/>
                  <v:textbox inset="2.53958mm,2.53958mm,2.53958mm,2.53958mm">
                    <w:txbxContent>
                      <w:p w14:paraId="126DC355" w14:textId="77777777" w:rsidR="009F124E" w:rsidRDefault="009F124E" w:rsidP="009F124E">
                        <w:pPr>
                          <w:jc w:val="center"/>
                          <w:rPr>
                            <w:rFonts w:ascii="Fira Sans Extra Condensed" w:hAnsi="Fira Sans Extra Condensed" w:cs="Fira Sans Extra Condensed"/>
                            <w:color w:val="FFFFFF"/>
                            <w:sz w:val="30"/>
                            <w:szCs w:val="30"/>
                            <w:lang w:val="en-US"/>
                          </w:rPr>
                        </w:pPr>
                        <w:r>
                          <w:rPr>
                            <w:rFonts w:ascii="Fira Sans Extra Condensed" w:hAnsi="Fira Sans Extra Condensed" w:cs="Fira Sans Extra Condensed"/>
                            <w:color w:val="FFFFFF"/>
                            <w:sz w:val="30"/>
                            <w:szCs w:val="30"/>
                            <w:lang w:val="en-US"/>
                          </w:rPr>
                          <w:t>04</w:t>
                        </w:r>
                      </w:p>
                    </w:txbxContent>
                  </v:textbox>
                </v:shape>
              </v:group>
            </w:pict>
          </mc:Fallback>
        </mc:AlternateContent>
      </w:r>
    </w:p>
    <w:p w14:paraId="1F9F31DB" w14:textId="77777777" w:rsidR="009F124E" w:rsidRPr="009F124E" w:rsidRDefault="009F124E" w:rsidP="009F124E">
      <w:pPr>
        <w:spacing w:after="160" w:line="259" w:lineRule="auto"/>
        <w:rPr>
          <w:rFonts w:asciiTheme="minorHAnsi" w:hAnsiTheme="minorHAnsi"/>
          <w:sz w:val="22"/>
          <w:szCs w:val="22"/>
          <w:lang w:eastAsia="en-US"/>
        </w:rPr>
      </w:pPr>
    </w:p>
    <w:p w14:paraId="39486178" w14:textId="706EA070" w:rsidR="009F124E" w:rsidRPr="009F124E" w:rsidRDefault="009F124E" w:rsidP="009F124E">
      <w:pPr>
        <w:spacing w:after="160" w:line="259" w:lineRule="auto"/>
        <w:rPr>
          <w:rFonts w:asciiTheme="minorHAnsi" w:hAnsiTheme="minorHAnsi"/>
          <w:sz w:val="22"/>
          <w:szCs w:val="22"/>
          <w:lang w:eastAsia="en-US"/>
        </w:rPr>
      </w:pPr>
      <w:r w:rsidRPr="009F124E">
        <w:rPr>
          <w:rFonts w:asciiTheme="minorHAnsi" w:hAnsiTheme="minorHAnsi"/>
          <w:noProof/>
          <w:sz w:val="22"/>
          <w:szCs w:val="22"/>
          <w:lang w:eastAsia="en-US"/>
        </w:rPr>
        <mc:AlternateContent>
          <mc:Choice Requires="wpg">
            <w:drawing>
              <wp:anchor distT="0" distB="0" distL="114300" distR="114300" simplePos="0" relativeHeight="251782144" behindDoc="0" locked="0" layoutInCell="1" allowOverlap="1" wp14:anchorId="3B74D662" wp14:editId="6A19CD76">
                <wp:simplePos x="0" y="0"/>
                <wp:positionH relativeFrom="margin">
                  <wp:align>left</wp:align>
                </wp:positionH>
                <wp:positionV relativeFrom="paragraph">
                  <wp:posOffset>187325</wp:posOffset>
                </wp:positionV>
                <wp:extent cx="1510665" cy="1336040"/>
                <wp:effectExtent l="0" t="0" r="0" b="0"/>
                <wp:wrapNone/>
                <wp:docPr id="1896" name="Grupo 18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0665" cy="1336040"/>
                          <a:chOff x="0" y="2472340"/>
                          <a:chExt cx="1597010" cy="1597031"/>
                        </a:xfrm>
                      </wpg:grpSpPr>
                      <wps:wsp>
                        <wps:cNvPr id="66" name="Google Shape;1797;p36"/>
                        <wps:cNvSpPr/>
                        <wps:spPr>
                          <a:xfrm>
                            <a:off x="39653" y="2512242"/>
                            <a:ext cx="1557357" cy="1557129"/>
                          </a:xfrm>
                          <a:custGeom>
                            <a:avLst/>
                            <a:gdLst/>
                            <a:ahLst/>
                            <a:cxnLst/>
                            <a:rect l="l" t="t" r="r" b="b"/>
                            <a:pathLst>
                              <a:path w="74819" h="74808" extrusionOk="0">
                                <a:moveTo>
                                  <a:pt x="37410" y="1"/>
                                </a:moveTo>
                                <a:cubicBezTo>
                                  <a:pt x="16752" y="1"/>
                                  <a:pt x="0" y="16741"/>
                                  <a:pt x="0" y="37410"/>
                                </a:cubicBezTo>
                                <a:cubicBezTo>
                                  <a:pt x="0" y="58067"/>
                                  <a:pt x="16752" y="74808"/>
                                  <a:pt x="37410" y="74808"/>
                                </a:cubicBezTo>
                                <a:cubicBezTo>
                                  <a:pt x="58067" y="74808"/>
                                  <a:pt x="74819" y="58067"/>
                                  <a:pt x="74819" y="37410"/>
                                </a:cubicBezTo>
                                <a:cubicBezTo>
                                  <a:pt x="74819" y="16741"/>
                                  <a:pt x="58067" y="1"/>
                                  <a:pt x="37410" y="1"/>
                                </a:cubicBezTo>
                                <a:close/>
                              </a:path>
                            </a:pathLst>
                          </a:custGeom>
                          <a:solidFill>
                            <a:srgbClr val="CECECE"/>
                          </a:solidFill>
                          <a:ln>
                            <a:noFill/>
                          </a:ln>
                        </wps:spPr>
                        <wps:bodyPr spcFirstLastPara="1" wrap="square" lIns="91425" tIns="91425" rIns="91425" bIns="91425" anchor="ctr" anchorCtr="0">
                          <a:noAutofit/>
                        </wps:bodyPr>
                      </wps:wsp>
                      <wps:wsp>
                        <wps:cNvPr id="67" name="Google Shape;1798;p36"/>
                        <wps:cNvSpPr/>
                        <wps:spPr>
                          <a:xfrm>
                            <a:off x="0" y="2472340"/>
                            <a:ext cx="1574287" cy="1497781"/>
                          </a:xfrm>
                          <a:custGeom>
                            <a:avLst/>
                            <a:gdLst/>
                            <a:ahLst/>
                            <a:cxnLst/>
                            <a:rect l="l" t="t" r="r" b="b"/>
                            <a:pathLst>
                              <a:path w="74819" h="74820" extrusionOk="0">
                                <a:moveTo>
                                  <a:pt x="37410" y="1"/>
                                </a:moveTo>
                                <a:cubicBezTo>
                                  <a:pt x="16752" y="1"/>
                                  <a:pt x="0" y="16753"/>
                                  <a:pt x="0" y="37410"/>
                                </a:cubicBezTo>
                                <a:cubicBezTo>
                                  <a:pt x="0" y="58079"/>
                                  <a:pt x="16752" y="74820"/>
                                  <a:pt x="37410" y="74820"/>
                                </a:cubicBezTo>
                                <a:cubicBezTo>
                                  <a:pt x="58067" y="74820"/>
                                  <a:pt x="74819" y="58079"/>
                                  <a:pt x="74819" y="37410"/>
                                </a:cubicBezTo>
                                <a:cubicBezTo>
                                  <a:pt x="74819" y="16753"/>
                                  <a:pt x="58067" y="1"/>
                                  <a:pt x="37410" y="1"/>
                                </a:cubicBezTo>
                                <a:close/>
                              </a:path>
                            </a:pathLst>
                          </a:custGeom>
                          <a:solidFill>
                            <a:srgbClr val="869FB2"/>
                          </a:solidFill>
                          <a:ln>
                            <a:noFill/>
                          </a:ln>
                        </wps:spPr>
                        <wps:txbx>
                          <w:txbxContent>
                            <w:p w14:paraId="3A9F386A" w14:textId="77777777" w:rsidR="009F124E" w:rsidRPr="000865E5" w:rsidRDefault="009F124E" w:rsidP="009F124E">
                              <w:pPr>
                                <w:jc w:val="center"/>
                                <w:rPr>
                                  <w:rFonts w:ascii="Fira Sans Extra Condensed" w:hAnsi="Fira Sans Extra Condensed" w:cs="Fira Sans Extra Condensed"/>
                                  <w:color w:val="FFFFFF"/>
                                  <w:sz w:val="20"/>
                                  <w:szCs w:val="20"/>
                                  <w:lang w:val="en-US"/>
                                </w:rPr>
                              </w:pPr>
                              <w:r w:rsidRPr="000865E5">
                                <w:rPr>
                                  <w:color w:val="FFFFFF"/>
                                  <w:lang w:val="en-US"/>
                                </w:rPr>
                                <w:t>Acuerdo Ministerial No. 388-2022</w:t>
                              </w:r>
                            </w:p>
                          </w:txbxContent>
                        </wps:txbx>
                        <wps:bodyPr spcFirstLastPara="1" wrap="square" lIns="182875" tIns="91425" rIns="18287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3B74D662" id="Grupo 1896" o:spid="_x0000_s1083" style="position:absolute;margin-left:0;margin-top:14.75pt;width:118.95pt;height:105.2pt;z-index:251782144;mso-position-horizontal:left;mso-position-horizontal-relative:margin;mso-width-relative:margin;mso-height-relative:margin" coordorigin=",24723" coordsize="15970,1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">
                <v:shape id="Google Shape;1797;p36" o:spid="_x0000_s1084" style="position:absolute;left:396;top:25122;width:15574;height:15571;visibility:visible;mso-wrap-style:square;v-text-anchor:middle" coordsize="74819,74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" path="m37410,1c16752,1,,16741,,37410,,58067,16752,74808,37410,74808v20657,,37409,-16741,37409,-37398c74819,16741,58067,1,37410,1xe" fillcolor="#cecece" stroked="f">
                  <v:path arrowok="t" o:extrusionok="f"/>
                </v:shape>
                <v:shape id="Google Shape;1798;p36" o:spid="_x0000_s1085" style="position:absolute;top:24723;width:15742;height:14978;visibility:visible;mso-wrap-style:square;v-text-anchor:middle" coordsize="74819,748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" adj="-11796480,,5400" path="m37410,1c16752,1,,16753,,37410,,58079,16752,74820,37410,74820v20657,,37409,-16741,37409,-37410c74819,16753,58067,1,37410,1xe" fillcolor="#869fb2" stroked="f">
                  <v:stroke joinstyle="miter"/>
                  <v:formulas/>
                  <v:path arrowok="t" o:extrusionok="f" o:connecttype="custom" textboxrect="0,0,74819,74820"/>
                  <v:textbox inset="5.07986mm,2.53958mm,5.07986mm,2.53958mm">
                    <w:txbxContent>
                      <w:p w14:paraId="3A9F386A" w14:textId="77777777" w:rsidR="009F124E" w:rsidRPr="000865E5" w:rsidRDefault="009F124E" w:rsidP="009F124E">
                        <w:pPr>
                          <w:jc w:val="center"/>
                          <w:rPr>
                            <w:rFonts w:ascii="Fira Sans Extra Condensed" w:hAnsi="Fira Sans Extra Condensed" w:cs="Fira Sans Extra Condensed"/>
                            <w:color w:val="FFFFFF"/>
                            <w:sz w:val="20"/>
                            <w:szCs w:val="20"/>
                            <w:lang w:val="en-US"/>
                          </w:rPr>
                        </w:pPr>
                        <w:r w:rsidRPr="000865E5">
                          <w:rPr>
                            <w:color w:val="FFFFFF"/>
                            <w:lang w:val="en-US"/>
                          </w:rPr>
                          <w:t>Acuerdo Ministerial No. 388-2022</w:t>
                        </w:r>
                      </w:p>
                    </w:txbxContent>
                  </v:textbox>
                </v:shape>
                <w10:wrap anchorx="margin"/>
              </v:group>
            </w:pict>
          </mc:Fallback>
        </mc:AlternateContent>
      </w:r>
      <w:r w:rsidRPr="009F124E">
        <w:rPr>
          <w:rFonts w:asciiTheme="minorHAnsi" w:hAnsiTheme="minorHAnsi"/>
          <w:noProof/>
          <w:sz w:val="22"/>
          <w:szCs w:val="22"/>
          <w:lang w:eastAsia="en-US"/>
        </w:rPr>
        <mc:AlternateContent>
          <mc:Choice Requires="wps">
            <w:drawing>
              <wp:anchor distT="0" distB="0" distL="114300" distR="114300" simplePos="0" relativeHeight="251793408" behindDoc="0" locked="0" layoutInCell="1" allowOverlap="1" wp14:anchorId="0C51493E" wp14:editId="626507A6">
                <wp:simplePos x="0" y="0"/>
                <wp:positionH relativeFrom="column">
                  <wp:posOffset>3923665</wp:posOffset>
                </wp:positionH>
                <wp:positionV relativeFrom="paragraph">
                  <wp:posOffset>140970</wp:posOffset>
                </wp:positionV>
                <wp:extent cx="394970" cy="372745"/>
                <wp:effectExtent l="0" t="0" r="43180" b="103505"/>
                <wp:wrapNone/>
                <wp:docPr id="1895" name="Conector: angular 18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4970" cy="372745"/>
                        </a:xfrm>
                        <a:prstGeom prst="bentConnector3">
                          <a:avLst>
                            <a:gd name="adj1" fmla="val 49095"/>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8D2D8CE" id="Conector: angular 1895" o:spid="_x0000_s1026" type="#_x0000_t34" style="position:absolute;margin-left:308.95pt;margin-top:11.1pt;width:31.1pt;height:29.3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" adj="10605" strokecolor="#4472c4" strokeweight=".5pt">
                <v:stroke endarrow="block"/>
                <o:lock v:ext="edit" shapetype="f"/>
              </v:shape>
            </w:pict>
          </mc:Fallback>
        </mc:AlternateContent>
      </w:r>
    </w:p>
    <w:p w14:paraId="28D01A4D" w14:textId="5F0DCA64" w:rsidR="009F124E" w:rsidRPr="009F124E" w:rsidRDefault="008C0BF7" w:rsidP="009F124E">
      <w:pPr>
        <w:spacing w:after="160" w:line="259" w:lineRule="auto"/>
        <w:jc w:val="right"/>
        <w:rPr>
          <w:rFonts w:asciiTheme="minorHAnsi" w:hAnsiTheme="minorHAnsi"/>
          <w:sz w:val="22"/>
          <w:szCs w:val="22"/>
          <w:lang w:eastAsia="en-US"/>
        </w:rPr>
      </w:pPr>
      <w:r w:rsidRPr="009F124E">
        <w:rPr>
          <w:rFonts w:asciiTheme="minorHAnsi" w:hAnsiTheme="minorHAnsi"/>
          <w:noProof/>
          <w:sz w:val="22"/>
          <w:szCs w:val="22"/>
          <w:lang w:eastAsia="en-US"/>
        </w:rPr>
        <mc:AlternateContent>
          <mc:Choice Requires="wps">
            <w:drawing>
              <wp:anchor distT="45720" distB="45720" distL="114300" distR="114300" simplePos="0" relativeHeight="251794432" behindDoc="0" locked="0" layoutInCell="1" allowOverlap="1" wp14:anchorId="7153EB3F" wp14:editId="3C981931">
                <wp:simplePos x="0" y="0"/>
                <wp:positionH relativeFrom="page">
                  <wp:posOffset>5521660</wp:posOffset>
                </wp:positionH>
                <wp:positionV relativeFrom="paragraph">
                  <wp:posOffset>193837</wp:posOffset>
                </wp:positionV>
                <wp:extent cx="1758950" cy="914400"/>
                <wp:effectExtent l="0" t="0" r="0" b="0"/>
                <wp:wrapSquare wrapText="bothSides"/>
                <wp:docPr id="1897" name="Cuadro de texto 1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914400"/>
                        </a:xfrm>
                        <a:prstGeom prst="rect">
                          <a:avLst/>
                        </a:prstGeom>
                        <a:solidFill>
                          <a:srgbClr val="FFFFFF"/>
                        </a:solidFill>
                        <a:ln w="9525">
                          <a:noFill/>
                          <a:miter lim="800000"/>
                          <a:headEnd/>
                          <a:tailEnd/>
                        </a:ln>
                      </wps:spPr>
                      <wps:txbx>
                        <w:txbxContent>
                          <w:p w14:paraId="39E36B4C" w14:textId="77777777" w:rsidR="009F124E" w:rsidRPr="009E2C92" w:rsidRDefault="009F124E" w:rsidP="009F124E">
                            <w:pPr>
                              <w:jc w:val="both"/>
                              <w:rPr>
                                <w:rFonts w:cs="Arial"/>
                                <w:sz w:val="16"/>
                                <w:szCs w:val="16"/>
                              </w:rPr>
                            </w:pPr>
                            <w:r>
                              <w:rPr>
                                <w:rFonts w:cs="Arial"/>
                                <w:sz w:val="16"/>
                                <w:szCs w:val="16"/>
                              </w:rPr>
                              <w:t>Acciones para contribuir</w:t>
                            </w:r>
                            <w:r w:rsidRPr="009E2C92">
                              <w:rPr>
                                <w:rFonts w:cs="Arial"/>
                                <w:sz w:val="16"/>
                                <w:szCs w:val="16"/>
                              </w:rPr>
                              <w:t xml:space="preserve"> a la construcción de un sistema de gestión del riesgo apegado al estado actual de la vulnerabilidad del país, proveyendo a las instituciones de mejores soportes técnicos y presupuestarios</w:t>
                            </w:r>
                            <w:r>
                              <w:rPr>
                                <w:rFonts w:cs="Arial"/>
                                <w:sz w:val="16"/>
                                <w:szCs w:val="16"/>
                              </w:rPr>
                              <w:t xml:space="preserve">, </w:t>
                            </w:r>
                            <w:r w:rsidRPr="009E2C92">
                              <w:rPr>
                                <w:rFonts w:cs="Arial"/>
                                <w:sz w:val="16"/>
                                <w:szCs w:val="16"/>
                              </w:rPr>
                              <w:t>velando por el interés de las finanzas públicas.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53EB3F" id="Cuadro de texto 1897" o:spid="_x0000_s1086" type="#_x0000_t202" style="position:absolute;left:0;text-align:left;margin-left:434.8pt;margin-top:15.25pt;width:138.5pt;height:1in;z-index:2517944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" stroked="f">
                <v:textbox>
                  <w:txbxContent>
                    <w:p w14:paraId="39E36B4C" w14:textId="77777777" w:rsidR="009F124E" w:rsidRPr="009E2C92" w:rsidRDefault="009F124E" w:rsidP="009F124E">
                      <w:pPr>
                        <w:jc w:val="both"/>
                        <w:rPr>
                          <w:rFonts w:cs="Arial"/>
                          <w:sz w:val="16"/>
                          <w:szCs w:val="16"/>
                        </w:rPr>
                      </w:pPr>
                      <w:r>
                        <w:rPr>
                          <w:rFonts w:cs="Arial"/>
                          <w:sz w:val="16"/>
                          <w:szCs w:val="16"/>
                        </w:rPr>
                        <w:t>Acciones para contribuir</w:t>
                      </w:r>
                      <w:r w:rsidRPr="009E2C92">
                        <w:rPr>
                          <w:rFonts w:cs="Arial"/>
                          <w:sz w:val="16"/>
                          <w:szCs w:val="16"/>
                        </w:rPr>
                        <w:t xml:space="preserve"> a la construcción de un sistema de gestión del riesgo apegado al estado actual de la vulnerabilidad del país, proveyendo a las instituciones de mejores soportes técnicos y presupuestarios</w:t>
                      </w:r>
                      <w:r>
                        <w:rPr>
                          <w:rFonts w:cs="Arial"/>
                          <w:sz w:val="16"/>
                          <w:szCs w:val="16"/>
                        </w:rPr>
                        <w:t xml:space="preserve">, </w:t>
                      </w:r>
                      <w:r w:rsidRPr="009E2C92">
                        <w:rPr>
                          <w:rFonts w:cs="Arial"/>
                          <w:sz w:val="16"/>
                          <w:szCs w:val="16"/>
                        </w:rPr>
                        <w:t>velando por el interés de las finanzas públicas.</w:t>
                      </w:r>
                    </w:p>
                  </w:txbxContent>
                </v:textbox>
                <w10:wrap type="square" anchorx="page"/>
              </v:shape>
            </w:pict>
          </mc:Fallback>
        </mc:AlternateContent>
      </w:r>
    </w:p>
    <w:p w14:paraId="528DD06B" w14:textId="58A1A234" w:rsidR="009F124E" w:rsidRPr="009F124E" w:rsidRDefault="009F124E" w:rsidP="009F124E">
      <w:pPr>
        <w:spacing w:after="160" w:line="259" w:lineRule="auto"/>
        <w:rPr>
          <w:rFonts w:asciiTheme="minorHAnsi" w:hAnsiTheme="minorHAnsi"/>
          <w:sz w:val="22"/>
          <w:szCs w:val="22"/>
          <w:lang w:eastAsia="en-US"/>
        </w:rPr>
      </w:pPr>
      <w:r w:rsidRPr="009F124E">
        <w:rPr>
          <w:rFonts w:asciiTheme="minorHAnsi" w:hAnsiTheme="minorHAnsi"/>
          <w:noProof/>
          <w:sz w:val="22"/>
          <w:szCs w:val="22"/>
          <w:lang w:eastAsia="en-US"/>
        </w:rPr>
        <mc:AlternateContent>
          <mc:Choice Requires="wpg">
            <w:drawing>
              <wp:anchor distT="0" distB="0" distL="114300" distR="114300" simplePos="0" relativeHeight="251780096" behindDoc="0" locked="0" layoutInCell="1" allowOverlap="1" wp14:anchorId="2573889F" wp14:editId="2923AC9C">
                <wp:simplePos x="0" y="0"/>
                <wp:positionH relativeFrom="column">
                  <wp:posOffset>704850</wp:posOffset>
                </wp:positionH>
                <wp:positionV relativeFrom="paragraph">
                  <wp:posOffset>212725</wp:posOffset>
                </wp:positionV>
                <wp:extent cx="3602990" cy="822960"/>
                <wp:effectExtent l="0" t="0" r="0" b="0"/>
                <wp:wrapNone/>
                <wp:docPr id="85" name="Grupo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2990" cy="822960"/>
                          <a:chOff x="707299" y="3067632"/>
                          <a:chExt cx="3602881" cy="823546"/>
                        </a:xfrm>
                      </wpg:grpSpPr>
                      <wps:wsp>
                        <wps:cNvPr id="86" name="Google Shape;1772;p36"/>
                        <wps:cNvSpPr/>
                        <wps:spPr>
                          <a:xfrm>
                            <a:off x="707299" y="3459956"/>
                            <a:ext cx="3274574" cy="21"/>
                          </a:xfrm>
                          <a:custGeom>
                            <a:avLst/>
                            <a:gdLst/>
                            <a:ahLst/>
                            <a:cxnLst/>
                            <a:rect l="l" t="t" r="r" b="b"/>
                            <a:pathLst>
                              <a:path w="157318" h="1" fill="none" extrusionOk="0">
                                <a:moveTo>
                                  <a:pt x="1" y="0"/>
                                </a:moveTo>
                                <a:lnTo>
                                  <a:pt x="157318" y="0"/>
                                </a:lnTo>
                              </a:path>
                            </a:pathLst>
                          </a:custGeom>
                          <a:noFill/>
                          <a:ln w="11300" cap="flat" cmpd="sng">
                            <a:solidFill>
                              <a:srgbClr val="000000"/>
                            </a:solidFill>
                            <a:prstDash val="solid"/>
                            <a:miter lim="11906"/>
                            <a:headEnd type="none" w="sm" len="sm"/>
                            <a:tailEnd type="none" w="sm" len="sm"/>
                          </a:ln>
                        </wps:spPr>
                        <wps:bodyPr spcFirstLastPara="1" wrap="square" lIns="91425" tIns="91425" rIns="91425" bIns="91425" anchor="ctr" anchorCtr="0">
                          <a:noAutofit/>
                        </wps:bodyPr>
                      </wps:wsp>
                      <wps:wsp>
                        <wps:cNvPr id="87" name="Google Shape;1773;p36"/>
                        <wps:cNvSpPr/>
                        <wps:spPr>
                          <a:xfrm>
                            <a:off x="3994284" y="3459956"/>
                            <a:ext cx="15382" cy="21"/>
                          </a:xfrm>
                          <a:custGeom>
                            <a:avLst/>
                            <a:gdLst/>
                            <a:ahLst/>
                            <a:cxnLst/>
                            <a:rect l="l" t="t" r="r" b="b"/>
                            <a:pathLst>
                              <a:path w="739" h="1" fill="none" extrusionOk="0">
                                <a:moveTo>
                                  <a:pt x="0" y="0"/>
                                </a:moveTo>
                                <a:lnTo>
                                  <a:pt x="738" y="0"/>
                                </a:lnTo>
                              </a:path>
                            </a:pathLst>
                          </a:custGeom>
                          <a:noFill/>
                          <a:ln w="11300" cap="flat" cmpd="sng">
                            <a:solidFill>
                              <a:srgbClr val="000000"/>
                            </a:solidFill>
                            <a:prstDash val="solid"/>
                            <a:miter lim="11906"/>
                            <a:headEnd type="none" w="sm" len="sm"/>
                            <a:tailEnd type="none" w="sm" len="sm"/>
                          </a:ln>
                        </wps:spPr>
                        <wps:bodyPr spcFirstLastPara="1" wrap="square" lIns="91425" tIns="91425" rIns="91425" bIns="91425" anchor="ctr" anchorCtr="0">
                          <a:noAutofit/>
                        </wps:bodyPr>
                      </wps:wsp>
                      <wps:wsp>
                        <wps:cNvPr id="88" name="Google Shape;1774;p36"/>
                        <wps:cNvSpPr/>
                        <wps:spPr>
                          <a:xfrm>
                            <a:off x="2927361" y="3107285"/>
                            <a:ext cx="783914" cy="783893"/>
                          </a:xfrm>
                          <a:custGeom>
                            <a:avLst/>
                            <a:gdLst/>
                            <a:ahLst/>
                            <a:cxnLst/>
                            <a:rect l="l" t="t" r="r" b="b"/>
                            <a:pathLst>
                              <a:path w="37661" h="37660" extrusionOk="0">
                                <a:moveTo>
                                  <a:pt x="18825" y="1"/>
                                </a:moveTo>
                                <a:cubicBezTo>
                                  <a:pt x="8430" y="1"/>
                                  <a:pt x="1" y="8430"/>
                                  <a:pt x="1" y="18836"/>
                                </a:cubicBezTo>
                                <a:cubicBezTo>
                                  <a:pt x="1" y="29230"/>
                                  <a:pt x="8430" y="37660"/>
                                  <a:pt x="18825" y="37660"/>
                                </a:cubicBezTo>
                                <a:cubicBezTo>
                                  <a:pt x="29231" y="37660"/>
                                  <a:pt x="37660" y="29230"/>
                                  <a:pt x="37660" y="18836"/>
                                </a:cubicBezTo>
                                <a:cubicBezTo>
                                  <a:pt x="37660" y="8430"/>
                                  <a:pt x="29231" y="1"/>
                                  <a:pt x="18825" y="1"/>
                                </a:cubicBezTo>
                                <a:close/>
                              </a:path>
                            </a:pathLst>
                          </a:custGeom>
                          <a:solidFill>
                            <a:srgbClr val="CECECE"/>
                          </a:solidFill>
                          <a:ln>
                            <a:noFill/>
                          </a:ln>
                        </wps:spPr>
                        <wps:bodyPr spcFirstLastPara="1" wrap="square" lIns="91425" tIns="91425" rIns="91425" bIns="91425" anchor="ctr" anchorCtr="0">
                          <a:noAutofit/>
                        </wps:bodyPr>
                      </wps:wsp>
                      <wps:wsp>
                        <wps:cNvPr id="89" name="Google Shape;1775;p36"/>
                        <wps:cNvSpPr/>
                        <wps:spPr>
                          <a:xfrm>
                            <a:off x="2887708" y="3067632"/>
                            <a:ext cx="783664" cy="783893"/>
                          </a:xfrm>
                          <a:custGeom>
                            <a:avLst/>
                            <a:gdLst/>
                            <a:ahLst/>
                            <a:cxnLst/>
                            <a:rect l="l" t="t" r="r" b="b"/>
                            <a:pathLst>
                              <a:path w="37649" h="37660" extrusionOk="0">
                                <a:moveTo>
                                  <a:pt x="18825" y="1"/>
                                </a:moveTo>
                                <a:cubicBezTo>
                                  <a:pt x="8430" y="1"/>
                                  <a:pt x="1" y="8430"/>
                                  <a:pt x="1" y="18824"/>
                                </a:cubicBezTo>
                                <a:cubicBezTo>
                                  <a:pt x="1" y="29230"/>
                                  <a:pt x="8430" y="37660"/>
                                  <a:pt x="18825" y="37660"/>
                                </a:cubicBezTo>
                                <a:cubicBezTo>
                                  <a:pt x="29231" y="37660"/>
                                  <a:pt x="37648" y="29230"/>
                                  <a:pt x="37648" y="18824"/>
                                </a:cubicBezTo>
                                <a:cubicBezTo>
                                  <a:pt x="37648" y="8430"/>
                                  <a:pt x="29231" y="1"/>
                                  <a:pt x="18825" y="1"/>
                                </a:cubicBezTo>
                                <a:close/>
                              </a:path>
                            </a:pathLst>
                          </a:custGeom>
                          <a:solidFill>
                            <a:srgbClr val="FCBD24"/>
                          </a:solidFill>
                          <a:ln>
                            <a:noFill/>
                          </a:ln>
                        </wps:spPr>
                        <wps:txbx>
                          <w:txbxContent>
                            <w:p w14:paraId="148B2379" w14:textId="77777777" w:rsidR="009F124E" w:rsidRPr="00A36326" w:rsidRDefault="009F124E" w:rsidP="009F124E">
                              <w:pPr>
                                <w:jc w:val="center"/>
                                <w:rPr>
                                  <w:rFonts w:ascii="Fira Sans Extra Condensed" w:hAnsi="Fira Sans Extra Condensed" w:cs="Fira Sans Extra Condensed"/>
                                  <w:color w:val="FFFFFF"/>
                                  <w:sz w:val="16"/>
                                  <w:szCs w:val="16"/>
                                </w:rPr>
                              </w:pPr>
                              <w:r w:rsidRPr="00A36326">
                                <w:rPr>
                                  <w:rFonts w:ascii="Fira Sans Extra Condensed" w:hAnsi="Fira Sans Extra Condensed" w:cs="Fira Sans Extra Condensed"/>
                                  <w:color w:val="FFFFFF"/>
                                  <w:sz w:val="16"/>
                                  <w:szCs w:val="16"/>
                                </w:rPr>
                                <w:t>Acceso a financiamiento verde y clim</w:t>
                              </w:r>
                              <w:r>
                                <w:rPr>
                                  <w:rFonts w:ascii="Fira Sans Extra Condensed" w:hAnsi="Fira Sans Extra Condensed" w:cs="Fira Sans Extra Condensed"/>
                                  <w:color w:val="FFFFFF"/>
                                  <w:sz w:val="16"/>
                                  <w:szCs w:val="16"/>
                                </w:rPr>
                                <w:t>á</w:t>
                              </w:r>
                              <w:r w:rsidRPr="00A36326">
                                <w:rPr>
                                  <w:rFonts w:ascii="Fira Sans Extra Condensed" w:hAnsi="Fira Sans Extra Condensed" w:cs="Fira Sans Extra Condensed"/>
                                  <w:color w:val="FFFFFF"/>
                                  <w:sz w:val="16"/>
                                  <w:szCs w:val="16"/>
                                </w:rPr>
                                <w:t>tico</w:t>
                              </w:r>
                            </w:p>
                          </w:txbxContent>
                        </wps:txbx>
                        <wps:bodyPr spcFirstLastPara="1" wrap="square" lIns="91425" tIns="91425" rIns="91425" bIns="91425" anchor="ctr" anchorCtr="0">
                          <a:noAutofit/>
                        </wps:bodyPr>
                      </wps:wsp>
                      <wps:wsp>
                        <wps:cNvPr id="90" name="Google Shape;1776;p36"/>
                        <wps:cNvSpPr/>
                        <wps:spPr>
                          <a:xfrm>
                            <a:off x="2068881" y="3227971"/>
                            <a:ext cx="486259" cy="486259"/>
                          </a:xfrm>
                          <a:custGeom>
                            <a:avLst/>
                            <a:gdLst/>
                            <a:ahLst/>
                            <a:cxnLst/>
                            <a:rect l="l" t="t" r="r" b="b"/>
                            <a:pathLst>
                              <a:path w="23361" h="23361" extrusionOk="0">
                                <a:moveTo>
                                  <a:pt x="11681" y="1"/>
                                </a:moveTo>
                                <a:cubicBezTo>
                                  <a:pt x="5227" y="1"/>
                                  <a:pt x="1" y="5228"/>
                                  <a:pt x="1" y="11681"/>
                                </a:cubicBezTo>
                                <a:cubicBezTo>
                                  <a:pt x="1" y="18134"/>
                                  <a:pt x="5227" y="23361"/>
                                  <a:pt x="11681" y="23361"/>
                                </a:cubicBezTo>
                                <a:cubicBezTo>
                                  <a:pt x="18134" y="23361"/>
                                  <a:pt x="23361" y="18134"/>
                                  <a:pt x="23361" y="11681"/>
                                </a:cubicBezTo>
                                <a:cubicBezTo>
                                  <a:pt x="23361" y="5228"/>
                                  <a:pt x="18134" y="1"/>
                                  <a:pt x="11681" y="1"/>
                                </a:cubicBezTo>
                                <a:close/>
                              </a:path>
                            </a:pathLst>
                          </a:custGeom>
                          <a:solidFill>
                            <a:srgbClr val="CECECE"/>
                          </a:solidFill>
                          <a:ln>
                            <a:noFill/>
                          </a:ln>
                        </wps:spPr>
                        <wps:bodyPr spcFirstLastPara="1" wrap="square" lIns="91425" tIns="91425" rIns="91425" bIns="91425" anchor="ctr" anchorCtr="0">
                          <a:noAutofit/>
                        </wps:bodyPr>
                      </wps:wsp>
                      <wps:wsp>
                        <wps:cNvPr id="91" name="Google Shape;1777;p36"/>
                        <wps:cNvSpPr/>
                        <wps:spPr>
                          <a:xfrm>
                            <a:off x="3844103" y="3293414"/>
                            <a:ext cx="359600" cy="359371"/>
                          </a:xfrm>
                          <a:custGeom>
                            <a:avLst/>
                            <a:gdLst/>
                            <a:ahLst/>
                            <a:cxnLst/>
                            <a:rect l="l" t="t" r="r" b="b"/>
                            <a:pathLst>
                              <a:path w="17276" h="17265" extrusionOk="0">
                                <a:moveTo>
                                  <a:pt x="8632" y="0"/>
                                </a:moveTo>
                                <a:cubicBezTo>
                                  <a:pt x="3870" y="0"/>
                                  <a:pt x="0" y="3858"/>
                                  <a:pt x="0" y="8632"/>
                                </a:cubicBezTo>
                                <a:cubicBezTo>
                                  <a:pt x="0" y="13407"/>
                                  <a:pt x="3870" y="17264"/>
                                  <a:pt x="8632" y="17264"/>
                                </a:cubicBezTo>
                                <a:cubicBezTo>
                                  <a:pt x="13407" y="17264"/>
                                  <a:pt x="17276" y="13407"/>
                                  <a:pt x="17276" y="8632"/>
                                </a:cubicBezTo>
                                <a:cubicBezTo>
                                  <a:pt x="17276" y="3858"/>
                                  <a:pt x="13407" y="0"/>
                                  <a:pt x="8632" y="0"/>
                                </a:cubicBezTo>
                                <a:close/>
                              </a:path>
                            </a:pathLst>
                          </a:custGeom>
                          <a:solidFill>
                            <a:srgbClr val="CECECE"/>
                          </a:solidFill>
                          <a:ln>
                            <a:noFill/>
                          </a:ln>
                        </wps:spPr>
                        <wps:bodyPr spcFirstLastPara="1" wrap="square" lIns="91425" tIns="91425" rIns="91425" bIns="91425" anchor="ctr" anchorCtr="0">
                          <a:noAutofit/>
                        </wps:bodyPr>
                      </wps:wsp>
                      <wps:wsp>
                        <wps:cNvPr id="92" name="Google Shape;1778;p36"/>
                        <wps:cNvSpPr/>
                        <wps:spPr>
                          <a:xfrm>
                            <a:off x="3844100" y="3227971"/>
                            <a:ext cx="466080" cy="502636"/>
                          </a:xfrm>
                          <a:custGeom>
                            <a:avLst/>
                            <a:gdLst/>
                            <a:ahLst/>
                            <a:cxnLst/>
                            <a:rect l="l" t="t" r="r" b="b"/>
                            <a:pathLst>
                              <a:path w="17276" h="17276" extrusionOk="0">
                                <a:moveTo>
                                  <a:pt x="8644" y="0"/>
                                </a:moveTo>
                                <a:cubicBezTo>
                                  <a:pt x="3870" y="0"/>
                                  <a:pt x="0" y="3870"/>
                                  <a:pt x="0" y="8644"/>
                                </a:cubicBezTo>
                                <a:cubicBezTo>
                                  <a:pt x="0" y="13406"/>
                                  <a:pt x="3870" y="17276"/>
                                  <a:pt x="8644" y="17276"/>
                                </a:cubicBezTo>
                                <a:cubicBezTo>
                                  <a:pt x="13418" y="17276"/>
                                  <a:pt x="17276" y="13406"/>
                                  <a:pt x="17276" y="8644"/>
                                </a:cubicBezTo>
                                <a:cubicBezTo>
                                  <a:pt x="17276" y="3870"/>
                                  <a:pt x="13418" y="0"/>
                                  <a:pt x="8644" y="0"/>
                                </a:cubicBezTo>
                                <a:close/>
                              </a:path>
                            </a:pathLst>
                          </a:custGeom>
                          <a:solidFill>
                            <a:srgbClr val="FCBD24"/>
                          </a:solidFill>
                          <a:ln>
                            <a:noFill/>
                          </a:ln>
                        </wps:spPr>
                        <wps:bodyPr spcFirstLastPara="1" wrap="square" lIns="91425" tIns="91425" rIns="91425" bIns="91425" anchor="ctr" anchorCtr="0">
                          <a:noAutofit/>
                        </wps:bodyPr>
                      </wps:wsp>
                      <wps:wsp>
                        <wps:cNvPr id="93" name="Google Shape;1779;p36"/>
                        <wps:cNvSpPr/>
                        <wps:spPr>
                          <a:xfrm>
                            <a:off x="2044091" y="3203451"/>
                            <a:ext cx="486509" cy="486259"/>
                          </a:xfrm>
                          <a:custGeom>
                            <a:avLst/>
                            <a:gdLst/>
                            <a:ahLst/>
                            <a:cxnLst/>
                            <a:rect l="l" t="t" r="r" b="b"/>
                            <a:pathLst>
                              <a:path w="23373" h="23361" extrusionOk="0">
                                <a:moveTo>
                                  <a:pt x="11681" y="0"/>
                                </a:moveTo>
                                <a:cubicBezTo>
                                  <a:pt x="5240" y="0"/>
                                  <a:pt x="1" y="5227"/>
                                  <a:pt x="1" y="11680"/>
                                </a:cubicBezTo>
                                <a:cubicBezTo>
                                  <a:pt x="1" y="18133"/>
                                  <a:pt x="5240" y="23360"/>
                                  <a:pt x="11681" y="23360"/>
                                </a:cubicBezTo>
                                <a:cubicBezTo>
                                  <a:pt x="18134" y="23360"/>
                                  <a:pt x="23373" y="18133"/>
                                  <a:pt x="23373" y="11680"/>
                                </a:cubicBezTo>
                                <a:cubicBezTo>
                                  <a:pt x="23373" y="5227"/>
                                  <a:pt x="18134" y="0"/>
                                  <a:pt x="11681" y="0"/>
                                </a:cubicBezTo>
                                <a:close/>
                              </a:path>
                            </a:pathLst>
                          </a:custGeom>
                          <a:solidFill>
                            <a:srgbClr val="FCBD24"/>
                          </a:solidFill>
                          <a:ln>
                            <a:noFill/>
                          </a:ln>
                        </wps:spPr>
                        <wps:txbx>
                          <w:txbxContent>
                            <w:p w14:paraId="7F6ED6B8" w14:textId="77777777" w:rsidR="009F124E" w:rsidRDefault="009F124E" w:rsidP="009F124E">
                              <w:pPr>
                                <w:jc w:val="center"/>
                                <w:rPr>
                                  <w:rFonts w:ascii="Fira Sans Extra Condensed" w:hAnsi="Fira Sans Extra Condensed" w:cs="Fira Sans Extra Condensed"/>
                                  <w:color w:val="FFFFFF"/>
                                  <w:sz w:val="30"/>
                                  <w:szCs w:val="30"/>
                                  <w:lang w:val="en-US"/>
                                </w:rPr>
                              </w:pPr>
                              <w:r>
                                <w:rPr>
                                  <w:rFonts w:ascii="Fira Sans Extra Condensed" w:hAnsi="Fira Sans Extra Condensed" w:cs="Fira Sans Extra Condensed"/>
                                  <w:color w:val="FFFFFF"/>
                                  <w:sz w:val="30"/>
                                  <w:szCs w:val="30"/>
                                  <w:lang w:val="en-US"/>
                                </w:rPr>
                                <w:t>05</w:t>
                              </w:r>
                            </w:p>
                          </w:txbxContent>
                        </wps:txbx>
                        <wps:bodyPr spcFirstLastPara="1" wrap="square" lIns="91425" tIns="91425" rIns="91425" bIns="91425" anchor="ctr" anchorCtr="0">
                          <a:noAutofit/>
                        </wps:bodyPr>
                      </wps:wsp>
                    </wpg:wgp>
                  </a:graphicData>
                </a:graphic>
                <wp14:sizeRelH relativeFrom="margin">
                  <wp14:pctWidth>0</wp14:pctWidth>
                </wp14:sizeRelH>
                <wp14:sizeRelV relativeFrom="page">
                  <wp14:pctHeight>0</wp14:pctHeight>
                </wp14:sizeRelV>
              </wp:anchor>
            </w:drawing>
          </mc:Choice>
          <mc:Fallback>
            <w:pict>
              <v:group w14:anchorId="2573889F" id="Grupo 85" o:spid="_x0000_s1087" style="position:absolute;margin-left:55.5pt;margin-top:16.75pt;width:283.7pt;height:64.8pt;z-index:251780096;mso-width-relative:margin" coordorigin="7072,30676" coordsize="36028,8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">
                <v:shape id="Google Shape;1772;p36" o:spid="_x0000_s1088" style="position:absolute;left:7072;top:34599;width:32746;height:0;visibility:visible;mso-wrap-style:square;v-text-anchor:middle" coordsize="1573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" path="m1,nfl157318,e" filled="f" strokeweight=".31389mm">
                  <v:stroke startarrowwidth="narrow" startarrowlength="short" endarrowwidth="narrow" endarrowlength="short" miterlimit="7803f" joinstyle="miter"/>
                  <v:path arrowok="t" o:extrusionok="f"/>
                </v:shape>
                <v:shape id="Google Shape;1773;p36" o:spid="_x0000_s1089" style="position:absolute;left:39942;top:34599;width:154;height:0;visibility:visible;mso-wrap-style:square;v-text-anchor:middle" coordsize="7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" path="m,nfl738,e" filled="f" strokeweight=".31389mm">
                  <v:stroke startarrowwidth="narrow" startarrowlength="short" endarrowwidth="narrow" endarrowlength="short" miterlimit="7803f" joinstyle="miter"/>
                  <v:path arrowok="t" o:extrusionok="f"/>
                </v:shape>
                <v:shape id="Google Shape;1774;p36" o:spid="_x0000_s1090" style="position:absolute;left:29273;top:31072;width:7839;height:7839;visibility:visible;mso-wrap-style:square;v-text-anchor:middle" coordsize="37661,3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" path="m18825,1c8430,1,1,8430,1,18836v,10394,8429,18824,18824,18824c29231,37660,37660,29230,37660,18836,37660,8430,29231,1,18825,1xe" fillcolor="#cecece" stroked="f">
                  <v:path arrowok="t" o:extrusionok="f"/>
                </v:shape>
                <v:shape id="Google Shape;1775;p36" o:spid="_x0000_s1091" style="position:absolute;left:28877;top:30676;width:7836;height:7839;visibility:visible;mso-wrap-style:square;v-text-anchor:middle" coordsize="37649,376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" adj="-11796480,,5400" path="m18825,1c8430,1,1,8430,1,18824v,10406,8429,18836,18824,18836c29231,37660,37648,29230,37648,18824,37648,8430,29231,1,18825,1xe" fillcolor="#fcbd24" stroked="f">
                  <v:stroke joinstyle="miter"/>
                  <v:formulas/>
                  <v:path arrowok="t" o:extrusionok="f" o:connecttype="custom" textboxrect="0,0,37649,37660"/>
                  <v:textbox inset="2.53958mm,2.53958mm,2.53958mm,2.53958mm">
                    <w:txbxContent>
                      <w:p w14:paraId="148B2379" w14:textId="77777777" w:rsidR="009F124E" w:rsidRPr="00A36326" w:rsidRDefault="009F124E" w:rsidP="009F124E">
                        <w:pPr>
                          <w:jc w:val="center"/>
                          <w:rPr>
                            <w:rFonts w:ascii="Fira Sans Extra Condensed" w:hAnsi="Fira Sans Extra Condensed" w:cs="Fira Sans Extra Condensed"/>
                            <w:color w:val="FFFFFF"/>
                            <w:sz w:val="16"/>
                            <w:szCs w:val="16"/>
                          </w:rPr>
                        </w:pPr>
                        <w:r w:rsidRPr="00A36326">
                          <w:rPr>
                            <w:rFonts w:ascii="Fira Sans Extra Condensed" w:hAnsi="Fira Sans Extra Condensed" w:cs="Fira Sans Extra Condensed"/>
                            <w:color w:val="FFFFFF"/>
                            <w:sz w:val="16"/>
                            <w:szCs w:val="16"/>
                          </w:rPr>
                          <w:t>Acceso a financiamiento verde y clim</w:t>
                        </w:r>
                        <w:r>
                          <w:rPr>
                            <w:rFonts w:ascii="Fira Sans Extra Condensed" w:hAnsi="Fira Sans Extra Condensed" w:cs="Fira Sans Extra Condensed"/>
                            <w:color w:val="FFFFFF"/>
                            <w:sz w:val="16"/>
                            <w:szCs w:val="16"/>
                          </w:rPr>
                          <w:t>á</w:t>
                        </w:r>
                        <w:r w:rsidRPr="00A36326">
                          <w:rPr>
                            <w:rFonts w:ascii="Fira Sans Extra Condensed" w:hAnsi="Fira Sans Extra Condensed" w:cs="Fira Sans Extra Condensed"/>
                            <w:color w:val="FFFFFF"/>
                            <w:sz w:val="16"/>
                            <w:szCs w:val="16"/>
                          </w:rPr>
                          <w:t>tico</w:t>
                        </w:r>
                      </w:p>
                    </w:txbxContent>
                  </v:textbox>
                </v:shape>
                <v:shape id="Google Shape;1776;p36" o:spid="_x0000_s1092" style="position:absolute;left:20688;top:32279;width:4863;height:4863;visibility:visible;mso-wrap-style:square;v-text-anchor:middle" coordsize="23361,23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" path="m11681,1c5227,1,1,5228,1,11681v,6453,5226,11680,11680,11680c18134,23361,23361,18134,23361,11681,23361,5228,18134,1,11681,1xe" fillcolor="#cecece" stroked="f">
                  <v:path arrowok="t" o:extrusionok="f"/>
                </v:shape>
                <v:shape id="Google Shape;1777;p36" o:spid="_x0000_s1093" style="position:absolute;left:38441;top:32934;width:3596;height:3593;visibility:visible;mso-wrap-style:square;v-text-anchor:middle" coordsize="17276,1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" path="m8632,c3870,,,3858,,8632v,4775,3870,8632,8632,8632c13407,17264,17276,13407,17276,8632,17276,3858,13407,,8632,xe" fillcolor="#cecece" stroked="f">
                  <v:path arrowok="t" o:extrusionok="f"/>
                </v:shape>
                <v:shape id="Google Shape;1778;p36" o:spid="_x0000_s1094" style="position:absolute;left:38441;top:32279;width:4660;height:5027;visibility:visible;mso-wrap-style:square;v-text-anchor:middle" coordsize="17276,17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" path="m8644,c3870,,,3870,,8644v,4762,3870,8632,8644,8632c13418,17276,17276,13406,17276,8644,17276,3870,13418,,8644,xe" fillcolor="#fcbd24" stroked="f">
                  <v:path arrowok="t" o:extrusionok="f"/>
                </v:shape>
                <v:shape id="Google Shape;1779;p36" o:spid="_x0000_s1095" style="position:absolute;left:20440;top:32034;width:4866;height:4863;visibility:visible;mso-wrap-style:square;v-text-anchor:middle" coordsize="23373,233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" adj="-11796480,,5400" path="m11681,c5240,,1,5227,1,11680v,6453,5239,11680,11680,11680c18134,23360,23373,18133,23373,11680,23373,5227,18134,,11681,xe" fillcolor="#fcbd24" stroked="f">
                  <v:stroke joinstyle="miter"/>
                  <v:formulas/>
                  <v:path arrowok="t" o:extrusionok="f" o:connecttype="custom" textboxrect="0,0,23373,23361"/>
                  <v:textbox inset="2.53958mm,2.53958mm,2.53958mm,2.53958mm">
                    <w:txbxContent>
                      <w:p w14:paraId="7F6ED6B8" w14:textId="77777777" w:rsidR="009F124E" w:rsidRDefault="009F124E" w:rsidP="009F124E">
                        <w:pPr>
                          <w:jc w:val="center"/>
                          <w:rPr>
                            <w:rFonts w:ascii="Fira Sans Extra Condensed" w:hAnsi="Fira Sans Extra Condensed" w:cs="Fira Sans Extra Condensed"/>
                            <w:color w:val="FFFFFF"/>
                            <w:sz w:val="30"/>
                            <w:szCs w:val="30"/>
                            <w:lang w:val="en-US"/>
                          </w:rPr>
                        </w:pPr>
                        <w:r>
                          <w:rPr>
                            <w:rFonts w:ascii="Fira Sans Extra Condensed" w:hAnsi="Fira Sans Extra Condensed" w:cs="Fira Sans Extra Condensed"/>
                            <w:color w:val="FFFFFF"/>
                            <w:sz w:val="30"/>
                            <w:szCs w:val="30"/>
                            <w:lang w:val="en-US"/>
                          </w:rPr>
                          <w:t>05</w:t>
                        </w:r>
                      </w:p>
                    </w:txbxContent>
                  </v:textbox>
                </v:shape>
              </v:group>
            </w:pict>
          </mc:Fallback>
        </mc:AlternateContent>
      </w:r>
    </w:p>
    <w:p w14:paraId="2581678C" w14:textId="5E090313" w:rsidR="009F124E" w:rsidRPr="009F124E" w:rsidRDefault="009F124E" w:rsidP="009F124E">
      <w:pPr>
        <w:spacing w:after="160" w:line="259" w:lineRule="auto"/>
        <w:rPr>
          <w:rFonts w:asciiTheme="minorHAnsi" w:hAnsiTheme="minorHAnsi"/>
          <w:sz w:val="22"/>
          <w:szCs w:val="22"/>
          <w:lang w:eastAsia="en-US"/>
        </w:rPr>
      </w:pPr>
      <w:r w:rsidRPr="009F124E">
        <w:rPr>
          <w:rFonts w:asciiTheme="minorHAnsi" w:hAnsiTheme="minorHAnsi"/>
          <w:noProof/>
          <w:sz w:val="22"/>
          <w:szCs w:val="22"/>
          <w:lang w:eastAsia="en-US"/>
        </w:rPr>
        <w:drawing>
          <wp:anchor distT="0" distB="0" distL="114300" distR="114300" simplePos="0" relativeHeight="251797504" behindDoc="0" locked="0" layoutInCell="1" allowOverlap="1" wp14:anchorId="5C4CFEF9" wp14:editId="729F22DA">
            <wp:simplePos x="0" y="0"/>
            <wp:positionH relativeFrom="margin">
              <wp:posOffset>3904615</wp:posOffset>
            </wp:positionH>
            <wp:positionV relativeFrom="paragraph">
              <wp:posOffset>134620</wp:posOffset>
            </wp:positionV>
            <wp:extent cx="357505" cy="316865"/>
            <wp:effectExtent l="0" t="0" r="4445" b="6985"/>
            <wp:wrapNone/>
            <wp:docPr id="1847" name="Imagen 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199">
                      <a:extLst>
                        <a:ext uri="{28A0092B-C50C-407E-A947-70E740481C1C}">
                          <a14:useLocalDpi xmlns:a14="http://schemas.microsoft.com/office/drawing/2010/main" val="0"/>
                        </a:ext>
                      </a:extLst>
                    </a:blip>
                    <a:srcRect l="10188" t="14854" r="9573" b="14053"/>
                    <a:stretch>
                      <a:fillRect/>
                    </a:stretch>
                  </pic:blipFill>
                  <pic:spPr bwMode="auto">
                    <a:xfrm>
                      <a:off x="0" y="0"/>
                      <a:ext cx="357505" cy="316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6E350E" w14:textId="38D73BA0" w:rsidR="009F124E" w:rsidRPr="009F124E" w:rsidRDefault="009F124E" w:rsidP="009F124E">
      <w:pPr>
        <w:spacing w:after="160" w:line="259" w:lineRule="auto"/>
        <w:rPr>
          <w:rFonts w:asciiTheme="minorHAnsi" w:hAnsiTheme="minorHAnsi"/>
          <w:sz w:val="22"/>
          <w:szCs w:val="22"/>
          <w:lang w:eastAsia="en-US"/>
        </w:rPr>
      </w:pPr>
    </w:p>
    <w:p w14:paraId="4EF65A10" w14:textId="34174D3B" w:rsidR="009F124E" w:rsidRPr="009F124E" w:rsidRDefault="008C0BF7" w:rsidP="009F124E">
      <w:pPr>
        <w:spacing w:after="160" w:line="259" w:lineRule="auto"/>
        <w:rPr>
          <w:rFonts w:asciiTheme="minorHAnsi" w:hAnsiTheme="minorHAnsi"/>
          <w:sz w:val="22"/>
          <w:szCs w:val="22"/>
          <w:lang w:eastAsia="en-US"/>
        </w:rPr>
      </w:pPr>
      <w:r w:rsidRPr="009F124E">
        <w:rPr>
          <w:rFonts w:asciiTheme="minorHAnsi" w:hAnsiTheme="minorHAnsi"/>
          <w:noProof/>
          <w:sz w:val="22"/>
          <w:szCs w:val="22"/>
          <w:lang w:eastAsia="en-US"/>
        </w:rPr>
        <mc:AlternateContent>
          <mc:Choice Requires="wps">
            <w:drawing>
              <wp:anchor distT="45720" distB="45720" distL="114300" distR="114300" simplePos="0" relativeHeight="251796480" behindDoc="0" locked="0" layoutInCell="1" allowOverlap="1" wp14:anchorId="10DE6DAD" wp14:editId="6268C8F2">
                <wp:simplePos x="0" y="0"/>
                <wp:positionH relativeFrom="page">
                  <wp:posOffset>5598160</wp:posOffset>
                </wp:positionH>
                <wp:positionV relativeFrom="paragraph">
                  <wp:posOffset>16510</wp:posOffset>
                </wp:positionV>
                <wp:extent cx="1682115" cy="749935"/>
                <wp:effectExtent l="0" t="0" r="0" b="0"/>
                <wp:wrapSquare wrapText="bothSides"/>
                <wp:docPr id="1846" name="Cuadro de texto 1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115" cy="749935"/>
                        </a:xfrm>
                        <a:prstGeom prst="rect">
                          <a:avLst/>
                        </a:prstGeom>
                        <a:solidFill>
                          <a:srgbClr val="FFFFFF"/>
                        </a:solidFill>
                        <a:ln w="9525">
                          <a:noFill/>
                          <a:miter lim="800000"/>
                          <a:headEnd/>
                          <a:tailEnd/>
                        </a:ln>
                      </wps:spPr>
                      <wps:txbx>
                        <w:txbxContent>
                          <w:p w14:paraId="082F674E" w14:textId="77777777" w:rsidR="009F124E" w:rsidRPr="009E2C92" w:rsidRDefault="009F124E" w:rsidP="009F124E">
                            <w:pPr>
                              <w:jc w:val="both"/>
                              <w:rPr>
                                <w:rFonts w:cs="Arial"/>
                                <w:sz w:val="16"/>
                                <w:szCs w:val="16"/>
                              </w:rPr>
                            </w:pPr>
                            <w:r>
                              <w:rPr>
                                <w:rFonts w:cs="Arial"/>
                                <w:sz w:val="16"/>
                                <w:szCs w:val="16"/>
                              </w:rPr>
                              <w:t>Cooperación para el</w:t>
                            </w:r>
                            <w:r w:rsidRPr="009E2C92">
                              <w:rPr>
                                <w:rFonts w:cs="Arial"/>
                                <w:sz w:val="16"/>
                                <w:szCs w:val="16"/>
                              </w:rPr>
                              <w:t xml:space="preserve"> establecimiento de mecanismos y procedimiento de acceso a fuentes de financiamiento verde y climático, tanto nacional como internacional.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DE6DAD" id="Cuadro de texto 1846" o:spid="_x0000_s1096" type="#_x0000_t202" style="position:absolute;margin-left:440.8pt;margin-top:1.3pt;width:132.45pt;height:59.05pt;z-index:2517964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" stroked="f">
                <v:textbox>
                  <w:txbxContent>
                    <w:p w14:paraId="082F674E" w14:textId="77777777" w:rsidR="009F124E" w:rsidRPr="009E2C92" w:rsidRDefault="009F124E" w:rsidP="009F124E">
                      <w:pPr>
                        <w:jc w:val="both"/>
                        <w:rPr>
                          <w:rFonts w:cs="Arial"/>
                          <w:sz w:val="16"/>
                          <w:szCs w:val="16"/>
                        </w:rPr>
                      </w:pPr>
                      <w:r>
                        <w:rPr>
                          <w:rFonts w:cs="Arial"/>
                          <w:sz w:val="16"/>
                          <w:szCs w:val="16"/>
                        </w:rPr>
                        <w:t>Cooperación para el</w:t>
                      </w:r>
                      <w:r w:rsidRPr="009E2C92">
                        <w:rPr>
                          <w:rFonts w:cs="Arial"/>
                          <w:sz w:val="16"/>
                          <w:szCs w:val="16"/>
                        </w:rPr>
                        <w:t xml:space="preserve"> establecimiento de mecanismos y procedimiento de acceso a fuentes de financiamiento verde y climático, tanto nacional como internacional.</w:t>
                      </w:r>
                    </w:p>
                  </w:txbxContent>
                </v:textbox>
                <w10:wrap type="square" anchorx="page"/>
              </v:shape>
            </w:pict>
          </mc:Fallback>
        </mc:AlternateContent>
      </w:r>
      <w:r w:rsidR="009F124E" w:rsidRPr="009F124E">
        <w:rPr>
          <w:rFonts w:asciiTheme="minorHAnsi" w:hAnsiTheme="minorHAnsi"/>
          <w:noProof/>
          <w:sz w:val="22"/>
          <w:szCs w:val="22"/>
          <w:lang w:eastAsia="en-US"/>
        </w:rPr>
        <mc:AlternateContent>
          <mc:Choice Requires="wps">
            <w:drawing>
              <wp:anchor distT="0" distB="0" distL="114300" distR="114300" simplePos="0" relativeHeight="251795456" behindDoc="0" locked="0" layoutInCell="1" allowOverlap="1" wp14:anchorId="402249CF" wp14:editId="166122F3">
                <wp:simplePos x="0" y="0"/>
                <wp:positionH relativeFrom="column">
                  <wp:posOffset>4056380</wp:posOffset>
                </wp:positionH>
                <wp:positionV relativeFrom="paragraph">
                  <wp:posOffset>6985</wp:posOffset>
                </wp:positionV>
                <wp:extent cx="429260" cy="222885"/>
                <wp:effectExtent l="0" t="0" r="66040" b="100965"/>
                <wp:wrapNone/>
                <wp:docPr id="1845" name="Conector: angular 18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9260" cy="222885"/>
                        </a:xfrm>
                        <a:prstGeom prst="bentConnector3">
                          <a:avLst>
                            <a:gd name="adj1" fmla="val 49095"/>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9516C21" id="Conector: angular 1845" o:spid="_x0000_s1026" type="#_x0000_t34" style="position:absolute;margin-left:319.4pt;margin-top:.55pt;width:33.8pt;height:17.5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" adj="10605" strokecolor="#4472c4" strokeweight=".5pt">
                <v:stroke endarrow="block"/>
                <o:lock v:ext="edit" shapetype="f"/>
              </v:shape>
            </w:pict>
          </mc:Fallback>
        </mc:AlternateContent>
      </w:r>
    </w:p>
    <w:p w14:paraId="5BE9FAF1" w14:textId="77777777" w:rsidR="009F124E" w:rsidRPr="009F124E" w:rsidRDefault="009F124E" w:rsidP="009F124E">
      <w:pPr>
        <w:tabs>
          <w:tab w:val="left" w:pos="1002"/>
        </w:tabs>
        <w:spacing w:after="160" w:line="259" w:lineRule="auto"/>
        <w:jc w:val="center"/>
        <w:rPr>
          <w:rFonts w:asciiTheme="minorHAnsi" w:hAnsiTheme="minorHAnsi"/>
          <w:sz w:val="18"/>
          <w:szCs w:val="18"/>
          <w:lang w:eastAsia="en-US"/>
        </w:rPr>
      </w:pPr>
    </w:p>
    <w:p w14:paraId="3A4CD54E" w14:textId="77777777" w:rsidR="009F124E" w:rsidRPr="009F124E" w:rsidRDefault="009F124E" w:rsidP="009F124E">
      <w:pPr>
        <w:tabs>
          <w:tab w:val="left" w:pos="1002"/>
        </w:tabs>
        <w:spacing w:after="160" w:line="259" w:lineRule="auto"/>
        <w:jc w:val="center"/>
        <w:rPr>
          <w:sz w:val="18"/>
          <w:szCs w:val="18"/>
          <w:lang w:eastAsia="en-US"/>
        </w:rPr>
      </w:pPr>
      <w:r w:rsidRPr="009F124E">
        <w:rPr>
          <w:sz w:val="18"/>
          <w:szCs w:val="18"/>
          <w:lang w:eastAsia="en-US"/>
        </w:rPr>
        <w:t xml:space="preserve">Fuente:  Dirección de Análisis y Política Fiscal </w:t>
      </w:r>
    </w:p>
    <w:p w14:paraId="309FDE70" w14:textId="77777777" w:rsidR="009F124E" w:rsidRPr="009F124E" w:rsidRDefault="009F124E" w:rsidP="009F124E">
      <w:pPr>
        <w:tabs>
          <w:tab w:val="left" w:pos="1002"/>
        </w:tabs>
        <w:spacing w:after="160" w:line="259" w:lineRule="auto"/>
        <w:rPr>
          <w:rFonts w:asciiTheme="minorHAnsi" w:hAnsiTheme="minorHAnsi"/>
          <w:b/>
          <w:bCs/>
          <w:i/>
          <w:iCs/>
          <w:sz w:val="22"/>
          <w:szCs w:val="22"/>
          <w:lang w:eastAsia="en-US"/>
        </w:rPr>
      </w:pPr>
    </w:p>
    <w:p w14:paraId="00254502" w14:textId="77777777" w:rsidR="009F124E" w:rsidRPr="009F124E" w:rsidRDefault="009F124E" w:rsidP="009F124E">
      <w:pPr>
        <w:tabs>
          <w:tab w:val="left" w:pos="1002"/>
        </w:tabs>
        <w:spacing w:after="160" w:line="259" w:lineRule="auto"/>
        <w:rPr>
          <w:rFonts w:asciiTheme="minorHAnsi" w:hAnsiTheme="minorHAnsi"/>
          <w:b/>
          <w:bCs/>
          <w:i/>
          <w:iCs/>
          <w:sz w:val="22"/>
          <w:szCs w:val="22"/>
          <w:lang w:eastAsia="en-US"/>
        </w:rPr>
      </w:pPr>
    </w:p>
    <w:p w14:paraId="30D51ACB" w14:textId="77777777" w:rsidR="009F124E" w:rsidRPr="009F124E" w:rsidRDefault="009F124E" w:rsidP="009F124E">
      <w:pPr>
        <w:tabs>
          <w:tab w:val="left" w:pos="1002"/>
        </w:tabs>
        <w:spacing w:after="160" w:line="259" w:lineRule="auto"/>
        <w:rPr>
          <w:rFonts w:asciiTheme="minorHAnsi" w:hAnsiTheme="minorHAnsi"/>
          <w:b/>
          <w:bCs/>
          <w:i/>
          <w:iCs/>
          <w:sz w:val="22"/>
          <w:szCs w:val="22"/>
          <w:lang w:eastAsia="en-US"/>
        </w:rPr>
      </w:pPr>
    </w:p>
    <w:p w14:paraId="7A71B902" w14:textId="77777777" w:rsidR="009F124E" w:rsidRPr="009F124E" w:rsidRDefault="009F124E" w:rsidP="009F124E">
      <w:pPr>
        <w:tabs>
          <w:tab w:val="left" w:pos="1002"/>
        </w:tabs>
        <w:spacing w:after="160" w:line="259" w:lineRule="auto"/>
        <w:jc w:val="both"/>
        <w:rPr>
          <w:sz w:val="22"/>
          <w:szCs w:val="22"/>
          <w:lang w:eastAsia="en-US"/>
        </w:rPr>
      </w:pPr>
      <w:r w:rsidRPr="009F124E">
        <w:rPr>
          <w:sz w:val="22"/>
          <w:szCs w:val="22"/>
          <w:lang w:eastAsia="en-US"/>
        </w:rPr>
        <w:t>Así mismo se ha avanzado en la implementación de las acciones de La Alianza para la Acción sobre Economía Verde -PAGE- por sus siglas en inglés, el cual es un programa que se encuentra conformado por cinco agencias de las Naciones Unidas, las cuales son; Instituto de las Naciones Unidas para Formación Profesional e Investigaciones- UNITAR-, Programa de las Naciones Unidas para el Medio Ambiente-PNUMA-, Programa de las Naciones Unidas para el Desarrollo- PNUD-, Organización Internacional del Trabajo-OIT-, y Organización de las Naciones Unidas para el Desarrollo Industrial -ONUDI-,  que apoyan a los países y regiones en la reformulación de políticas y prácticas económicas entorno a la sostenibilidad.  En Guatemala el punto focal de dicho programa es el Ministerio de Finanzas Públicas con el apoyo de los beneficiarios directos que son; Ministerio de Ambiente y Recursos Naturales y Ministerio de Economía. El programa se engloba en el apoyo a la implementación de  la Estrategia Fiscal Ambiental; fortalecimiento a la implementación del Plan de Acción Nacional de Cambio Climático; fortalecimiento a la implementación del Estrategia de Desarrollo con Bajas Emisiones;</w:t>
      </w:r>
      <w:r w:rsidRPr="009F124E">
        <w:rPr>
          <w:sz w:val="22"/>
          <w:szCs w:val="22"/>
          <w:lang w:eastAsia="en-US"/>
        </w:rPr>
        <w:tab/>
        <w:t xml:space="preserve"> acciones que contribuyan al cumplimiento de la Contribución Nacionalmente Determinada (NDC por sus siglas en inglés) de Guatemala; desarrollo y promoción de modelos de negocio que fomenten servicios ambientales e inversión en desarrollo de innovación y tecnología para nuevos modelos de negocio amigables con el ambiente.</w:t>
      </w:r>
    </w:p>
    <w:p w14:paraId="77D37317" w14:textId="77777777" w:rsidR="009F124E" w:rsidRPr="009F124E" w:rsidRDefault="009F124E" w:rsidP="009F124E">
      <w:pPr>
        <w:tabs>
          <w:tab w:val="left" w:pos="1002"/>
        </w:tabs>
        <w:spacing w:after="160" w:line="259" w:lineRule="auto"/>
        <w:jc w:val="both"/>
        <w:rPr>
          <w:sz w:val="22"/>
          <w:szCs w:val="22"/>
          <w:lang w:eastAsia="en-US"/>
        </w:rPr>
      </w:pPr>
      <w:r w:rsidRPr="009F124E">
        <w:rPr>
          <w:sz w:val="22"/>
          <w:szCs w:val="22"/>
          <w:lang w:eastAsia="en-US"/>
        </w:rPr>
        <w:t xml:space="preserve">PAGE Guatemala, apoya a los Ministerios a desarrollar iniciativas que contribuyan a mediano y largo plazo hacia una recuperación económica verde e inclusiva tomando en cuenta la planificación a nivel nacional. Las políticas fiscales y económicas tienen un rol importante al permitir que la sociedad transite hacia una economía verde inclusiva, por ello el proyecto busca contribuir a una transición hacia un desarrollo más verde e inclusivo a través de: incidir en la reformulación de políticas sistémicas con enfoque de sostenibilidad que incluye políticas fiscales verdes; promover reformas macroeconómicas, sectoriales y temáticas. </w:t>
      </w:r>
    </w:p>
    <w:p w14:paraId="05F332D1" w14:textId="3E5A17CE" w:rsidR="009F124E" w:rsidRPr="00F93305" w:rsidRDefault="009F124E" w:rsidP="009F124E">
      <w:pPr>
        <w:tabs>
          <w:tab w:val="left" w:pos="1002"/>
        </w:tabs>
        <w:spacing w:after="160" w:line="259" w:lineRule="auto"/>
        <w:jc w:val="center"/>
        <w:rPr>
          <w:b/>
          <w:bCs/>
          <w:sz w:val="22"/>
          <w:szCs w:val="22"/>
          <w:lang w:eastAsia="en-US"/>
        </w:rPr>
      </w:pPr>
      <w:r w:rsidRPr="00F93305">
        <w:rPr>
          <w:b/>
          <w:bCs/>
          <w:sz w:val="22"/>
          <w:szCs w:val="22"/>
          <w:lang w:eastAsia="en-US"/>
        </w:rPr>
        <w:t xml:space="preserve">Objetivos de la </w:t>
      </w:r>
      <w:r w:rsidR="00F93305">
        <w:rPr>
          <w:b/>
          <w:bCs/>
          <w:sz w:val="22"/>
          <w:szCs w:val="22"/>
          <w:lang w:eastAsia="en-US"/>
        </w:rPr>
        <w:t>e</w:t>
      </w:r>
      <w:r w:rsidRPr="00F93305">
        <w:rPr>
          <w:b/>
          <w:bCs/>
          <w:sz w:val="22"/>
          <w:szCs w:val="22"/>
          <w:lang w:eastAsia="en-US"/>
        </w:rPr>
        <w:t xml:space="preserve">strategia </w:t>
      </w:r>
      <w:r w:rsidR="00F93305">
        <w:rPr>
          <w:b/>
          <w:bCs/>
          <w:sz w:val="22"/>
          <w:szCs w:val="22"/>
          <w:lang w:eastAsia="en-US"/>
        </w:rPr>
        <w:t>f</w:t>
      </w:r>
      <w:r w:rsidRPr="00F93305">
        <w:rPr>
          <w:b/>
          <w:bCs/>
          <w:sz w:val="22"/>
          <w:szCs w:val="22"/>
          <w:lang w:eastAsia="en-US"/>
        </w:rPr>
        <w:t xml:space="preserve">iscal </w:t>
      </w:r>
      <w:r w:rsidR="00F93305">
        <w:rPr>
          <w:b/>
          <w:bCs/>
          <w:sz w:val="22"/>
          <w:szCs w:val="22"/>
          <w:lang w:eastAsia="en-US"/>
        </w:rPr>
        <w:t>a</w:t>
      </w:r>
      <w:r w:rsidRPr="00F93305">
        <w:rPr>
          <w:b/>
          <w:bCs/>
          <w:sz w:val="22"/>
          <w:szCs w:val="22"/>
          <w:lang w:eastAsia="en-US"/>
        </w:rPr>
        <w:t xml:space="preserve">mbiental a mediano plazo </w:t>
      </w:r>
    </w:p>
    <w:tbl>
      <w:tblPr>
        <w:tblStyle w:val="Tabladelista3-nfasis1"/>
        <w:tblW w:w="8926" w:type="dxa"/>
        <w:jc w:val="center"/>
        <w:tblLook w:val="01E0" w:firstRow="1" w:lastRow="1" w:firstColumn="1" w:lastColumn="1" w:noHBand="0" w:noVBand="0"/>
      </w:tblPr>
      <w:tblGrid>
        <w:gridCol w:w="2978"/>
        <w:gridCol w:w="5948"/>
      </w:tblGrid>
      <w:tr w:rsidR="009F124E" w:rsidRPr="009F124E" w14:paraId="63344B08" w14:textId="77777777" w:rsidTr="008C0BF7">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978" w:type="dxa"/>
            <w:tcBorders>
              <w:top w:val="single" w:sz="4" w:space="0" w:color="4472C4" w:themeColor="accent1"/>
            </w:tcBorders>
            <w:vAlign w:val="center"/>
          </w:tcPr>
          <w:p w14:paraId="5DF14055" w14:textId="327EDE89" w:rsidR="009F124E" w:rsidRPr="009F124E" w:rsidRDefault="009F124E" w:rsidP="008C0BF7">
            <w:pPr>
              <w:tabs>
                <w:tab w:val="left" w:pos="1002"/>
              </w:tabs>
              <w:spacing w:after="160" w:line="259" w:lineRule="auto"/>
              <w:jc w:val="center"/>
              <w:rPr>
                <w:sz w:val="22"/>
                <w:szCs w:val="22"/>
                <w:lang w:eastAsia="en-US"/>
              </w:rPr>
            </w:pPr>
            <w:r w:rsidRPr="009F124E">
              <w:rPr>
                <w:sz w:val="22"/>
                <w:szCs w:val="22"/>
                <w:lang w:eastAsia="en-US"/>
              </w:rPr>
              <w:t>ACTIVIDAD</w:t>
            </w:r>
          </w:p>
        </w:tc>
        <w:tc>
          <w:tcPr>
            <w:cnfStyle w:val="000100001000" w:firstRow="0" w:lastRow="0" w:firstColumn="0" w:lastColumn="1" w:oddVBand="0" w:evenVBand="0" w:oddHBand="0" w:evenHBand="0" w:firstRowFirstColumn="0" w:firstRowLastColumn="1" w:lastRowFirstColumn="0" w:lastRowLastColumn="0"/>
            <w:tcW w:w="5948" w:type="dxa"/>
            <w:tcBorders>
              <w:top w:val="single" w:sz="4" w:space="0" w:color="4472C4" w:themeColor="accent1"/>
            </w:tcBorders>
            <w:vAlign w:val="center"/>
          </w:tcPr>
          <w:p w14:paraId="0B3DF6DE" w14:textId="77777777" w:rsidR="009F124E" w:rsidRPr="009F124E" w:rsidRDefault="009F124E" w:rsidP="008C0BF7">
            <w:pPr>
              <w:tabs>
                <w:tab w:val="left" w:pos="1002"/>
              </w:tabs>
              <w:spacing w:after="160" w:line="259" w:lineRule="auto"/>
              <w:jc w:val="center"/>
              <w:rPr>
                <w:sz w:val="22"/>
                <w:szCs w:val="22"/>
                <w:lang w:eastAsia="en-US"/>
              </w:rPr>
            </w:pPr>
            <w:r w:rsidRPr="009F124E">
              <w:rPr>
                <w:sz w:val="22"/>
                <w:szCs w:val="22"/>
                <w:lang w:eastAsia="en-US"/>
              </w:rPr>
              <w:t>OBJETIVOS</w:t>
            </w:r>
          </w:p>
        </w:tc>
      </w:tr>
      <w:tr w:rsidR="009F124E" w:rsidRPr="009F124E" w14:paraId="2BB8FC37" w14:textId="77777777" w:rsidTr="003507E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8" w:type="dxa"/>
            <w:vAlign w:val="center"/>
          </w:tcPr>
          <w:p w14:paraId="7EAC942D" w14:textId="4DB4B0B8" w:rsidR="009F124E" w:rsidRPr="009F124E" w:rsidRDefault="009F124E" w:rsidP="003507E6">
            <w:pPr>
              <w:tabs>
                <w:tab w:val="left" w:pos="1002"/>
              </w:tabs>
              <w:spacing w:after="160" w:line="259" w:lineRule="auto"/>
              <w:rPr>
                <w:b w:val="0"/>
                <w:bCs w:val="0"/>
                <w:sz w:val="16"/>
                <w:szCs w:val="16"/>
              </w:rPr>
            </w:pPr>
            <w:r w:rsidRPr="009F124E">
              <w:rPr>
                <w:b w:val="0"/>
                <w:bCs w:val="0"/>
                <w:sz w:val="16"/>
                <w:szCs w:val="16"/>
              </w:rPr>
              <w:t>Propuesta de Criterios Sustentables</w:t>
            </w:r>
            <w:r w:rsidR="003507E6">
              <w:rPr>
                <w:b w:val="0"/>
                <w:bCs w:val="0"/>
                <w:sz w:val="16"/>
                <w:szCs w:val="16"/>
              </w:rPr>
              <w:t xml:space="preserve"> </w:t>
            </w:r>
            <w:r w:rsidRPr="009F124E">
              <w:rPr>
                <w:b w:val="0"/>
                <w:bCs w:val="0"/>
                <w:sz w:val="16"/>
                <w:szCs w:val="16"/>
              </w:rPr>
              <w:t>para 4 categorías de productos priorizados en Guatemala</w:t>
            </w:r>
          </w:p>
        </w:tc>
        <w:tc>
          <w:tcPr>
            <w:cnfStyle w:val="000100000000" w:firstRow="0" w:lastRow="0" w:firstColumn="0" w:lastColumn="1" w:oddVBand="0" w:evenVBand="0" w:oddHBand="0" w:evenHBand="0" w:firstRowFirstColumn="0" w:firstRowLastColumn="0" w:lastRowFirstColumn="0" w:lastRowLastColumn="0"/>
            <w:tcW w:w="5948" w:type="dxa"/>
            <w:vAlign w:val="center"/>
          </w:tcPr>
          <w:p w14:paraId="3DBD8C37" w14:textId="77777777" w:rsidR="009F124E" w:rsidRPr="009F124E" w:rsidRDefault="009F124E" w:rsidP="003507E6">
            <w:pPr>
              <w:tabs>
                <w:tab w:val="left" w:pos="1002"/>
              </w:tabs>
              <w:spacing w:after="160" w:line="259" w:lineRule="auto"/>
              <w:jc w:val="both"/>
              <w:rPr>
                <w:b w:val="0"/>
                <w:bCs w:val="0"/>
                <w:sz w:val="16"/>
                <w:szCs w:val="16"/>
              </w:rPr>
            </w:pPr>
            <w:r w:rsidRPr="009F124E">
              <w:rPr>
                <w:b w:val="0"/>
                <w:bCs w:val="0"/>
                <w:sz w:val="16"/>
                <w:szCs w:val="16"/>
              </w:rPr>
              <w:t>Para el 2023 se espera que la Dirección General de Adquisiciones del Estado -DIGAE- cuente con una serie de criterios ambientales de bienes y productos adquiridos por las instituciones gubernamentales basándose en la planificación y política pública en Guatemala con el fin de contribuir a la reducción de la huella de carbono y fomentar la generación de empleos y activación económica por medio de las MiPymes, e implementar las Compras Públicas Sostenibles.</w:t>
            </w:r>
          </w:p>
        </w:tc>
      </w:tr>
      <w:tr w:rsidR="009F124E" w:rsidRPr="009F124E" w14:paraId="6EBF257C" w14:textId="77777777" w:rsidTr="003507E6">
        <w:trPr>
          <w:jc w:val="center"/>
        </w:trPr>
        <w:tc>
          <w:tcPr>
            <w:cnfStyle w:val="001000000000" w:firstRow="0" w:lastRow="0" w:firstColumn="1" w:lastColumn="0" w:oddVBand="0" w:evenVBand="0" w:oddHBand="0" w:evenHBand="0" w:firstRowFirstColumn="0" w:firstRowLastColumn="0" w:lastRowFirstColumn="0" w:lastRowLastColumn="0"/>
            <w:tcW w:w="2978" w:type="dxa"/>
            <w:vAlign w:val="center"/>
          </w:tcPr>
          <w:p w14:paraId="72B08279" w14:textId="77777777" w:rsidR="009F124E" w:rsidRPr="009F124E" w:rsidRDefault="009F124E" w:rsidP="003507E6">
            <w:pPr>
              <w:tabs>
                <w:tab w:val="left" w:pos="1002"/>
              </w:tabs>
              <w:spacing w:after="160" w:line="259" w:lineRule="auto"/>
              <w:rPr>
                <w:b w:val="0"/>
                <w:bCs w:val="0"/>
                <w:sz w:val="16"/>
                <w:szCs w:val="16"/>
              </w:rPr>
            </w:pPr>
            <w:r w:rsidRPr="009F124E">
              <w:rPr>
                <w:b w:val="0"/>
                <w:bCs w:val="0"/>
                <w:sz w:val="16"/>
                <w:szCs w:val="16"/>
              </w:rPr>
              <w:t xml:space="preserve">Desarrollo de guía didáctica para fortalecer el plan de capacitaciones de la Dirección de Asistencia a la Administración Financiera Municipal                       </w:t>
            </w:r>
          </w:p>
        </w:tc>
        <w:tc>
          <w:tcPr>
            <w:cnfStyle w:val="000100000000" w:firstRow="0" w:lastRow="0" w:firstColumn="0" w:lastColumn="1" w:oddVBand="0" w:evenVBand="0" w:oddHBand="0" w:evenHBand="0" w:firstRowFirstColumn="0" w:firstRowLastColumn="0" w:lastRowFirstColumn="0" w:lastRowLastColumn="0"/>
            <w:tcW w:w="5948" w:type="dxa"/>
            <w:vAlign w:val="center"/>
          </w:tcPr>
          <w:p w14:paraId="788A5A82" w14:textId="1E29B1FE" w:rsidR="009F124E" w:rsidRPr="009F124E" w:rsidRDefault="009F124E" w:rsidP="003507E6">
            <w:pPr>
              <w:tabs>
                <w:tab w:val="left" w:pos="1002"/>
              </w:tabs>
              <w:spacing w:after="160" w:line="259" w:lineRule="auto"/>
              <w:jc w:val="both"/>
              <w:rPr>
                <w:b w:val="0"/>
                <w:bCs w:val="0"/>
                <w:sz w:val="16"/>
                <w:szCs w:val="16"/>
              </w:rPr>
            </w:pPr>
            <w:r w:rsidRPr="009F124E">
              <w:rPr>
                <w:b w:val="0"/>
                <w:bCs w:val="0"/>
                <w:sz w:val="16"/>
                <w:szCs w:val="16"/>
              </w:rPr>
              <w:t>Para el 2023 se espera que la Dirección de Asistencia a la Administración Financiera Municipal</w:t>
            </w:r>
            <w:r w:rsidR="003507E6">
              <w:rPr>
                <w:b w:val="0"/>
                <w:bCs w:val="0"/>
                <w:sz w:val="16"/>
                <w:szCs w:val="16"/>
              </w:rPr>
              <w:t xml:space="preserve"> </w:t>
            </w:r>
            <w:r w:rsidRPr="009F124E">
              <w:rPr>
                <w:b w:val="0"/>
                <w:bCs w:val="0"/>
                <w:sz w:val="16"/>
                <w:szCs w:val="16"/>
              </w:rPr>
              <w:t>-DAAFIM- cuente con una guía didáctica para fortalecer el plan de capacitaciones en el tema de formulación de presupuestos municipales que incluya con temas ambientales, cambio climático, gestión de riesgo y fiscalidad ambiental.</w:t>
            </w:r>
          </w:p>
        </w:tc>
      </w:tr>
      <w:tr w:rsidR="009F124E" w:rsidRPr="009F124E" w14:paraId="05C12305" w14:textId="77777777" w:rsidTr="003507E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8" w:type="dxa"/>
            <w:vAlign w:val="center"/>
          </w:tcPr>
          <w:p w14:paraId="360DF46B" w14:textId="77777777" w:rsidR="009F124E" w:rsidRPr="009F124E" w:rsidRDefault="009F124E" w:rsidP="003507E6">
            <w:pPr>
              <w:tabs>
                <w:tab w:val="left" w:pos="1002"/>
              </w:tabs>
              <w:spacing w:after="160" w:line="259" w:lineRule="auto"/>
              <w:rPr>
                <w:b w:val="0"/>
                <w:bCs w:val="0"/>
                <w:sz w:val="16"/>
                <w:szCs w:val="16"/>
              </w:rPr>
            </w:pPr>
            <w:r w:rsidRPr="009F124E">
              <w:rPr>
                <w:b w:val="0"/>
                <w:bCs w:val="0"/>
                <w:sz w:val="16"/>
                <w:szCs w:val="16"/>
              </w:rPr>
              <w:t>Desarrollo de un programa de capacitaciones periódicamente al personal municipal en el conocimiento en temas ambientales, cambio climático y fiscalidad ambiental</w:t>
            </w:r>
          </w:p>
        </w:tc>
        <w:tc>
          <w:tcPr>
            <w:cnfStyle w:val="000100000000" w:firstRow="0" w:lastRow="0" w:firstColumn="0" w:lastColumn="1" w:oddVBand="0" w:evenVBand="0" w:oddHBand="0" w:evenHBand="0" w:firstRowFirstColumn="0" w:firstRowLastColumn="0" w:lastRowFirstColumn="0" w:lastRowLastColumn="0"/>
            <w:tcW w:w="5948" w:type="dxa"/>
            <w:vAlign w:val="center"/>
          </w:tcPr>
          <w:p w14:paraId="506675C7" w14:textId="27A406A8" w:rsidR="009F124E" w:rsidRPr="009F124E" w:rsidRDefault="009F124E" w:rsidP="003507E6">
            <w:pPr>
              <w:tabs>
                <w:tab w:val="left" w:pos="1002"/>
              </w:tabs>
              <w:spacing w:after="160" w:line="259" w:lineRule="auto"/>
              <w:jc w:val="both"/>
              <w:rPr>
                <w:b w:val="0"/>
                <w:bCs w:val="0"/>
                <w:sz w:val="16"/>
                <w:szCs w:val="16"/>
              </w:rPr>
            </w:pPr>
            <w:r w:rsidRPr="009F124E">
              <w:rPr>
                <w:b w:val="0"/>
                <w:bCs w:val="0"/>
                <w:sz w:val="16"/>
                <w:szCs w:val="16"/>
              </w:rPr>
              <w:t>Para el 2024 se espera que la Dirección de Asistencia a la Administración Financiera Municipal</w:t>
            </w:r>
            <w:r w:rsidR="003507E6">
              <w:rPr>
                <w:b w:val="0"/>
                <w:bCs w:val="0"/>
                <w:sz w:val="16"/>
                <w:szCs w:val="16"/>
              </w:rPr>
              <w:t xml:space="preserve"> </w:t>
            </w:r>
            <w:r w:rsidRPr="009F124E">
              <w:rPr>
                <w:b w:val="0"/>
                <w:bCs w:val="0"/>
                <w:sz w:val="16"/>
                <w:szCs w:val="16"/>
              </w:rPr>
              <w:t>-DAAFIM- cuente con un programa de capacitaciones periódicamente al personal municipal en el conocimiento en temas ambientales, cambio climático y fiscalidad ambiental para mejorar la alineación de los presupuestos con los ODS, K'atun 2032 y MED, el cual estará debidamente integrado al Plan de capacitaciones de la DAAFIM.</w:t>
            </w:r>
          </w:p>
        </w:tc>
      </w:tr>
      <w:tr w:rsidR="009F124E" w:rsidRPr="009F124E" w14:paraId="6BFD61E3" w14:textId="77777777" w:rsidTr="003507E6">
        <w:trPr>
          <w:trHeight w:val="585"/>
          <w:jc w:val="center"/>
        </w:trPr>
        <w:tc>
          <w:tcPr>
            <w:cnfStyle w:val="001000000000" w:firstRow="0" w:lastRow="0" w:firstColumn="1" w:lastColumn="0" w:oddVBand="0" w:evenVBand="0" w:oddHBand="0" w:evenHBand="0" w:firstRowFirstColumn="0" w:firstRowLastColumn="0" w:lastRowFirstColumn="0" w:lastRowLastColumn="0"/>
            <w:tcW w:w="2978" w:type="dxa"/>
            <w:vAlign w:val="center"/>
          </w:tcPr>
          <w:p w14:paraId="5D69347B" w14:textId="77777777" w:rsidR="009F124E" w:rsidRPr="009F124E" w:rsidRDefault="009F124E" w:rsidP="003507E6">
            <w:pPr>
              <w:tabs>
                <w:tab w:val="left" w:pos="1002"/>
              </w:tabs>
              <w:spacing w:after="160" w:line="259" w:lineRule="auto"/>
              <w:rPr>
                <w:b w:val="0"/>
                <w:bCs w:val="0"/>
                <w:sz w:val="16"/>
                <w:szCs w:val="16"/>
              </w:rPr>
            </w:pPr>
            <w:r w:rsidRPr="009F124E">
              <w:rPr>
                <w:b w:val="0"/>
                <w:bCs w:val="0"/>
                <w:sz w:val="16"/>
                <w:szCs w:val="16"/>
              </w:rPr>
              <w:t xml:space="preserve">Desarrollo de una propuesta de paquete tributario fiscal ambiental  </w:t>
            </w:r>
          </w:p>
        </w:tc>
        <w:tc>
          <w:tcPr>
            <w:cnfStyle w:val="000100000000" w:firstRow="0" w:lastRow="0" w:firstColumn="0" w:lastColumn="1" w:oddVBand="0" w:evenVBand="0" w:oddHBand="0" w:evenHBand="0" w:firstRowFirstColumn="0" w:firstRowLastColumn="0" w:lastRowFirstColumn="0" w:lastRowLastColumn="0"/>
            <w:tcW w:w="5948" w:type="dxa"/>
            <w:vAlign w:val="center"/>
          </w:tcPr>
          <w:p w14:paraId="280F3F55" w14:textId="77777777" w:rsidR="009F124E" w:rsidRPr="009F124E" w:rsidRDefault="009F124E" w:rsidP="003507E6">
            <w:pPr>
              <w:tabs>
                <w:tab w:val="left" w:pos="1002"/>
              </w:tabs>
              <w:spacing w:after="160" w:line="259" w:lineRule="auto"/>
              <w:jc w:val="both"/>
              <w:rPr>
                <w:b w:val="0"/>
                <w:bCs w:val="0"/>
                <w:sz w:val="16"/>
                <w:szCs w:val="16"/>
              </w:rPr>
            </w:pPr>
            <w:r w:rsidRPr="009F124E">
              <w:rPr>
                <w:b w:val="0"/>
                <w:bCs w:val="0"/>
                <w:sz w:val="16"/>
                <w:szCs w:val="16"/>
              </w:rPr>
              <w:t>Para el 2024 la Dirección de Análisis y Política Fiscal deberá contar con una propuesta de política tributaria que incluya aspectos de protección ambiental para presentar y ser aprobada por el Despacho Superior.</w:t>
            </w:r>
          </w:p>
        </w:tc>
      </w:tr>
      <w:tr w:rsidR="009F124E" w:rsidRPr="009F124E" w14:paraId="5314BBCA" w14:textId="77777777" w:rsidTr="003507E6">
        <w:trPr>
          <w:cnfStyle w:val="000000100000" w:firstRow="0" w:lastRow="0" w:firstColumn="0" w:lastColumn="0" w:oddVBand="0" w:evenVBand="0" w:oddHBand="1" w:evenHBand="0" w:firstRowFirstColumn="0" w:firstRowLastColumn="0" w:lastRowFirstColumn="0" w:lastRowLastColumn="0"/>
          <w:trHeight w:val="707"/>
          <w:jc w:val="center"/>
        </w:trPr>
        <w:tc>
          <w:tcPr>
            <w:cnfStyle w:val="001000000000" w:firstRow="0" w:lastRow="0" w:firstColumn="1" w:lastColumn="0" w:oddVBand="0" w:evenVBand="0" w:oddHBand="0" w:evenHBand="0" w:firstRowFirstColumn="0" w:firstRowLastColumn="0" w:lastRowFirstColumn="0" w:lastRowLastColumn="0"/>
            <w:tcW w:w="2978" w:type="dxa"/>
            <w:vAlign w:val="center"/>
          </w:tcPr>
          <w:p w14:paraId="72A142A3" w14:textId="77777777" w:rsidR="009F124E" w:rsidRPr="009F124E" w:rsidRDefault="009F124E" w:rsidP="003507E6">
            <w:pPr>
              <w:tabs>
                <w:tab w:val="left" w:pos="1002"/>
              </w:tabs>
              <w:spacing w:after="160" w:line="259" w:lineRule="auto"/>
              <w:rPr>
                <w:b w:val="0"/>
                <w:bCs w:val="0"/>
                <w:sz w:val="16"/>
                <w:szCs w:val="16"/>
              </w:rPr>
            </w:pPr>
            <w:r w:rsidRPr="009F124E">
              <w:rPr>
                <w:b w:val="0"/>
                <w:bCs w:val="0"/>
                <w:sz w:val="16"/>
                <w:szCs w:val="16"/>
              </w:rPr>
              <w:t xml:space="preserve">Desarrollo de propuesta de lineamientos ambientales a la Política Fiscal </w:t>
            </w:r>
          </w:p>
        </w:tc>
        <w:tc>
          <w:tcPr>
            <w:cnfStyle w:val="000100000000" w:firstRow="0" w:lastRow="0" w:firstColumn="0" w:lastColumn="1" w:oddVBand="0" w:evenVBand="0" w:oddHBand="0" w:evenHBand="0" w:firstRowFirstColumn="0" w:firstRowLastColumn="0" w:lastRowFirstColumn="0" w:lastRowLastColumn="0"/>
            <w:tcW w:w="5948" w:type="dxa"/>
            <w:vAlign w:val="center"/>
          </w:tcPr>
          <w:p w14:paraId="2F866D1D" w14:textId="77777777" w:rsidR="009F124E" w:rsidRPr="009F124E" w:rsidRDefault="009F124E" w:rsidP="003507E6">
            <w:pPr>
              <w:tabs>
                <w:tab w:val="left" w:pos="1002"/>
              </w:tabs>
              <w:spacing w:after="160" w:line="259" w:lineRule="auto"/>
              <w:jc w:val="both"/>
              <w:rPr>
                <w:b w:val="0"/>
                <w:bCs w:val="0"/>
                <w:sz w:val="16"/>
                <w:szCs w:val="16"/>
              </w:rPr>
            </w:pPr>
            <w:r w:rsidRPr="009F124E">
              <w:rPr>
                <w:b w:val="0"/>
                <w:bCs w:val="0"/>
                <w:sz w:val="16"/>
                <w:szCs w:val="16"/>
              </w:rPr>
              <w:t>Para el 2024 la Dirección de Análisis y Política Fiscal deberá contar con una propuesta de lineamientos ambientes para incorporar a la Política Fiscal y su ruta de implementación para presentar y ser aprobada por el Despacho Superior.</w:t>
            </w:r>
          </w:p>
        </w:tc>
      </w:tr>
      <w:tr w:rsidR="009F124E" w:rsidRPr="009F124E" w14:paraId="26970A4D" w14:textId="77777777" w:rsidTr="003507E6">
        <w:trPr>
          <w:jc w:val="center"/>
        </w:trPr>
        <w:tc>
          <w:tcPr>
            <w:cnfStyle w:val="001000000000" w:firstRow="0" w:lastRow="0" w:firstColumn="1" w:lastColumn="0" w:oddVBand="0" w:evenVBand="0" w:oddHBand="0" w:evenHBand="0" w:firstRowFirstColumn="0" w:firstRowLastColumn="0" w:lastRowFirstColumn="0" w:lastRowLastColumn="0"/>
            <w:tcW w:w="2978" w:type="dxa"/>
            <w:vAlign w:val="center"/>
          </w:tcPr>
          <w:p w14:paraId="5D750E72" w14:textId="77777777" w:rsidR="009F124E" w:rsidRPr="009F124E" w:rsidRDefault="009F124E" w:rsidP="003507E6">
            <w:pPr>
              <w:tabs>
                <w:tab w:val="left" w:pos="1002"/>
              </w:tabs>
              <w:spacing w:after="160" w:line="259" w:lineRule="auto"/>
              <w:rPr>
                <w:b w:val="0"/>
                <w:bCs w:val="0"/>
                <w:sz w:val="16"/>
                <w:szCs w:val="16"/>
              </w:rPr>
            </w:pPr>
            <w:r w:rsidRPr="009F124E">
              <w:rPr>
                <w:b w:val="0"/>
                <w:bCs w:val="0"/>
                <w:sz w:val="16"/>
                <w:szCs w:val="16"/>
              </w:rPr>
              <w:t>Coordinar la creación o identificación de códigos de Insumo de productos sostenibles para implementar Compras Públicas Sostenibles.</w:t>
            </w:r>
          </w:p>
        </w:tc>
        <w:tc>
          <w:tcPr>
            <w:cnfStyle w:val="000100000000" w:firstRow="0" w:lastRow="0" w:firstColumn="0" w:lastColumn="1" w:oddVBand="0" w:evenVBand="0" w:oddHBand="0" w:evenHBand="0" w:firstRowFirstColumn="0" w:firstRowLastColumn="0" w:lastRowFirstColumn="0" w:lastRowLastColumn="0"/>
            <w:tcW w:w="5948" w:type="dxa"/>
            <w:vAlign w:val="center"/>
          </w:tcPr>
          <w:p w14:paraId="6EB811FD" w14:textId="77777777" w:rsidR="009F124E" w:rsidRPr="009F124E" w:rsidRDefault="009F124E" w:rsidP="003507E6">
            <w:pPr>
              <w:tabs>
                <w:tab w:val="left" w:pos="1002"/>
              </w:tabs>
              <w:spacing w:after="160" w:line="259" w:lineRule="auto"/>
              <w:jc w:val="both"/>
              <w:rPr>
                <w:b w:val="0"/>
                <w:bCs w:val="0"/>
                <w:sz w:val="16"/>
                <w:szCs w:val="16"/>
              </w:rPr>
            </w:pPr>
            <w:r w:rsidRPr="009F124E">
              <w:rPr>
                <w:b w:val="0"/>
                <w:bCs w:val="0"/>
                <w:sz w:val="16"/>
                <w:szCs w:val="16"/>
              </w:rPr>
              <w:t>Para 2025 se espera que la Dirección General de Adquisiciones de Estado -DIAGE- cuente con un catálogo de insumos que incluyan o identifiquen productos sostenibles</w:t>
            </w:r>
          </w:p>
        </w:tc>
      </w:tr>
      <w:tr w:rsidR="009F124E" w:rsidRPr="009F124E" w14:paraId="561CC47E" w14:textId="77777777" w:rsidTr="003507E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8" w:type="dxa"/>
            <w:vAlign w:val="center"/>
          </w:tcPr>
          <w:p w14:paraId="0B72FB53" w14:textId="77777777" w:rsidR="009F124E" w:rsidRPr="009F124E" w:rsidRDefault="009F124E" w:rsidP="003507E6">
            <w:pPr>
              <w:tabs>
                <w:tab w:val="left" w:pos="1002"/>
              </w:tabs>
              <w:spacing w:after="160" w:line="259" w:lineRule="auto"/>
              <w:rPr>
                <w:b w:val="0"/>
                <w:bCs w:val="0"/>
                <w:sz w:val="16"/>
                <w:szCs w:val="16"/>
              </w:rPr>
            </w:pPr>
            <w:r w:rsidRPr="009F124E">
              <w:rPr>
                <w:b w:val="0"/>
                <w:bCs w:val="0"/>
                <w:sz w:val="16"/>
                <w:szCs w:val="16"/>
              </w:rPr>
              <w:t>Programación de capacitaciones para entidades compradoras y proveedores del Estado, sobre lineamientos para implementar Compras Públicas Sostenibles.</w:t>
            </w:r>
          </w:p>
        </w:tc>
        <w:tc>
          <w:tcPr>
            <w:cnfStyle w:val="000100000000" w:firstRow="0" w:lastRow="0" w:firstColumn="0" w:lastColumn="1" w:oddVBand="0" w:evenVBand="0" w:oddHBand="0" w:evenHBand="0" w:firstRowFirstColumn="0" w:firstRowLastColumn="0" w:lastRowFirstColumn="0" w:lastRowLastColumn="0"/>
            <w:tcW w:w="5948" w:type="dxa"/>
            <w:vAlign w:val="center"/>
          </w:tcPr>
          <w:p w14:paraId="55206057" w14:textId="77777777" w:rsidR="009F124E" w:rsidRPr="009F124E" w:rsidRDefault="009F124E" w:rsidP="003507E6">
            <w:pPr>
              <w:tabs>
                <w:tab w:val="left" w:pos="1002"/>
              </w:tabs>
              <w:spacing w:after="160" w:line="259" w:lineRule="auto"/>
              <w:jc w:val="both"/>
              <w:rPr>
                <w:b w:val="0"/>
                <w:bCs w:val="0"/>
                <w:sz w:val="16"/>
                <w:szCs w:val="16"/>
              </w:rPr>
            </w:pPr>
            <w:r w:rsidRPr="009F124E">
              <w:rPr>
                <w:b w:val="0"/>
                <w:bCs w:val="0"/>
                <w:sz w:val="16"/>
                <w:szCs w:val="16"/>
              </w:rPr>
              <w:t>Para 2026 se espera que la Dirección General de Adquisiciones de Estado -DIAGE- cuente con un Programa de capacitaciones sobre lineamientos para implementar Compras Públicas Sostenibles.</w:t>
            </w:r>
          </w:p>
        </w:tc>
      </w:tr>
      <w:tr w:rsidR="009F124E" w:rsidRPr="009F124E" w14:paraId="1A907FAB" w14:textId="77777777" w:rsidTr="003507E6">
        <w:trPr>
          <w:jc w:val="center"/>
        </w:trPr>
        <w:tc>
          <w:tcPr>
            <w:cnfStyle w:val="001000000000" w:firstRow="0" w:lastRow="0" w:firstColumn="1" w:lastColumn="0" w:oddVBand="0" w:evenVBand="0" w:oddHBand="0" w:evenHBand="0" w:firstRowFirstColumn="0" w:firstRowLastColumn="0" w:lastRowFirstColumn="0" w:lastRowLastColumn="0"/>
            <w:tcW w:w="2978" w:type="dxa"/>
            <w:vAlign w:val="center"/>
          </w:tcPr>
          <w:p w14:paraId="28AAFC47" w14:textId="77777777" w:rsidR="009F124E" w:rsidRPr="009F124E" w:rsidRDefault="009F124E" w:rsidP="003507E6">
            <w:pPr>
              <w:tabs>
                <w:tab w:val="left" w:pos="1002"/>
              </w:tabs>
              <w:spacing w:after="160" w:line="259" w:lineRule="auto"/>
              <w:rPr>
                <w:b w:val="0"/>
                <w:bCs w:val="0"/>
                <w:sz w:val="16"/>
                <w:szCs w:val="16"/>
              </w:rPr>
            </w:pPr>
            <w:r w:rsidRPr="009F124E">
              <w:rPr>
                <w:b w:val="0"/>
                <w:bCs w:val="0"/>
                <w:sz w:val="16"/>
                <w:szCs w:val="16"/>
              </w:rPr>
              <w:t>Creación de incentivos financieros para el uso de tecnologías limpias</w:t>
            </w:r>
          </w:p>
        </w:tc>
        <w:tc>
          <w:tcPr>
            <w:cnfStyle w:val="000100000000" w:firstRow="0" w:lastRow="0" w:firstColumn="0" w:lastColumn="1" w:oddVBand="0" w:evenVBand="0" w:oddHBand="0" w:evenHBand="0" w:firstRowFirstColumn="0" w:firstRowLastColumn="0" w:lastRowFirstColumn="0" w:lastRowLastColumn="0"/>
            <w:tcW w:w="5948" w:type="dxa"/>
            <w:vAlign w:val="center"/>
          </w:tcPr>
          <w:p w14:paraId="429CF5DA" w14:textId="27EC6886" w:rsidR="009F124E" w:rsidRPr="009F124E" w:rsidRDefault="009F124E" w:rsidP="003507E6">
            <w:pPr>
              <w:tabs>
                <w:tab w:val="left" w:pos="1002"/>
              </w:tabs>
              <w:spacing w:after="160" w:line="259" w:lineRule="auto"/>
              <w:jc w:val="both"/>
              <w:rPr>
                <w:b w:val="0"/>
                <w:bCs w:val="0"/>
                <w:sz w:val="16"/>
                <w:szCs w:val="16"/>
              </w:rPr>
            </w:pPr>
            <w:r w:rsidRPr="009F124E">
              <w:rPr>
                <w:b w:val="0"/>
                <w:bCs w:val="0"/>
                <w:sz w:val="16"/>
                <w:szCs w:val="16"/>
              </w:rPr>
              <w:t>Para el 2026 la Dirección de Análisis y Política Fiscal deberá de contar con una propuesta de un fondo de garantía para promover la creación de incentivos financieros para el uso de tecnologías limpias.</w:t>
            </w:r>
          </w:p>
        </w:tc>
      </w:tr>
      <w:tr w:rsidR="009F124E" w:rsidRPr="009F124E" w14:paraId="10CB408B" w14:textId="77777777" w:rsidTr="003507E6">
        <w:trPr>
          <w:cnfStyle w:val="010000000000" w:firstRow="0" w:lastRow="1" w:firstColumn="0" w:lastColumn="0" w:oddVBand="0" w:evenVBand="0" w:oddHBand="0" w:evenHBand="0" w:firstRowFirstColumn="0" w:firstRowLastColumn="0" w:lastRowFirstColumn="0" w:lastRowLastColumn="0"/>
          <w:jc w:val="center"/>
        </w:trPr>
        <w:tc>
          <w:tcPr>
            <w:cnfStyle w:val="001000000001" w:firstRow="0" w:lastRow="0" w:firstColumn="1" w:lastColumn="0" w:oddVBand="0" w:evenVBand="0" w:oddHBand="0" w:evenHBand="0" w:firstRowFirstColumn="0" w:firstRowLastColumn="0" w:lastRowFirstColumn="1" w:lastRowLastColumn="0"/>
            <w:tcW w:w="2978" w:type="dxa"/>
            <w:tcBorders>
              <w:bottom w:val="single" w:sz="4" w:space="0" w:color="4472C4" w:themeColor="accent1"/>
            </w:tcBorders>
            <w:vAlign w:val="center"/>
          </w:tcPr>
          <w:p w14:paraId="347E83EF" w14:textId="77777777" w:rsidR="009F124E" w:rsidRPr="009F124E" w:rsidRDefault="009F124E" w:rsidP="003507E6">
            <w:pPr>
              <w:tabs>
                <w:tab w:val="left" w:pos="1002"/>
              </w:tabs>
              <w:spacing w:after="160" w:line="259" w:lineRule="auto"/>
              <w:rPr>
                <w:b w:val="0"/>
                <w:bCs w:val="0"/>
                <w:sz w:val="16"/>
                <w:szCs w:val="16"/>
              </w:rPr>
            </w:pPr>
            <w:r w:rsidRPr="009F124E">
              <w:rPr>
                <w:b w:val="0"/>
                <w:bCs w:val="0"/>
                <w:sz w:val="16"/>
                <w:szCs w:val="16"/>
              </w:rPr>
              <w:t xml:space="preserve">conformación de una mesa técnica interinstitucional para el fomento de mecanismos financieros/ fiscales para la prevención, mitigación, control y combate de incendios forestales. </w:t>
            </w:r>
          </w:p>
        </w:tc>
        <w:tc>
          <w:tcPr>
            <w:cnfStyle w:val="000100000010" w:firstRow="0" w:lastRow="0" w:firstColumn="0" w:lastColumn="1" w:oddVBand="0" w:evenVBand="0" w:oddHBand="0" w:evenHBand="0" w:firstRowFirstColumn="0" w:firstRowLastColumn="0" w:lastRowFirstColumn="0" w:lastRowLastColumn="1"/>
            <w:tcW w:w="5948" w:type="dxa"/>
            <w:tcBorders>
              <w:bottom w:val="single" w:sz="4" w:space="0" w:color="4472C4" w:themeColor="accent1"/>
            </w:tcBorders>
            <w:vAlign w:val="center"/>
          </w:tcPr>
          <w:p w14:paraId="7498463B" w14:textId="77777777" w:rsidR="009F124E" w:rsidRPr="009F124E" w:rsidRDefault="009F124E" w:rsidP="003507E6">
            <w:pPr>
              <w:tabs>
                <w:tab w:val="left" w:pos="1002"/>
              </w:tabs>
              <w:spacing w:after="160" w:line="259" w:lineRule="auto"/>
              <w:jc w:val="both"/>
              <w:rPr>
                <w:b w:val="0"/>
                <w:bCs w:val="0"/>
                <w:sz w:val="16"/>
                <w:szCs w:val="16"/>
              </w:rPr>
            </w:pPr>
            <w:r w:rsidRPr="009F124E">
              <w:rPr>
                <w:b w:val="0"/>
                <w:bCs w:val="0"/>
                <w:sz w:val="16"/>
                <w:szCs w:val="16"/>
              </w:rPr>
              <w:t>Para el 2026 la Dirección de Análisis y Política Fiscal deberá de contar con la conformación de una mesa técnica interinstitucional para el fomento de mecanismos financieros/ fiscales para la prevención, mitigación, control y combate de incendios forestales.</w:t>
            </w:r>
          </w:p>
        </w:tc>
      </w:tr>
    </w:tbl>
    <w:p w14:paraId="6077D8C1" w14:textId="77777777" w:rsidR="009F124E" w:rsidRPr="009F124E" w:rsidRDefault="009F124E" w:rsidP="00F93305">
      <w:pPr>
        <w:tabs>
          <w:tab w:val="left" w:pos="1002"/>
        </w:tabs>
        <w:spacing w:after="160" w:line="259" w:lineRule="auto"/>
        <w:rPr>
          <w:sz w:val="18"/>
          <w:szCs w:val="18"/>
          <w:lang w:eastAsia="en-US"/>
        </w:rPr>
      </w:pPr>
      <w:r w:rsidRPr="009F124E">
        <w:rPr>
          <w:sz w:val="18"/>
          <w:szCs w:val="18"/>
          <w:lang w:eastAsia="en-US"/>
        </w:rPr>
        <w:t>Fuente: Dirección de Análisis y Política Fiscal</w:t>
      </w:r>
    </w:p>
    <w:p w14:paraId="70C35028" w14:textId="77777777" w:rsidR="009F124E" w:rsidRPr="009F124E" w:rsidRDefault="009F124E" w:rsidP="009F124E">
      <w:pPr>
        <w:tabs>
          <w:tab w:val="left" w:pos="1002"/>
        </w:tabs>
        <w:spacing w:after="160" w:line="259" w:lineRule="auto"/>
        <w:jc w:val="both"/>
        <w:rPr>
          <w:sz w:val="22"/>
          <w:szCs w:val="22"/>
          <w:lang w:eastAsia="en-US"/>
        </w:rPr>
      </w:pPr>
      <w:r w:rsidRPr="009F124E">
        <w:rPr>
          <w:sz w:val="22"/>
          <w:szCs w:val="22"/>
          <w:lang w:eastAsia="en-US"/>
        </w:rPr>
        <w:t xml:space="preserve">Con los resultados obtenidos dentro de la Estrategia Fiscal Ambiental y con la implementación de la Alianza para la Acción sobre Economía Verde (PAGE) y con las acciones a desarrollarse en un mediano y largo plazo lo que se busca coadyuvar a dar atención efectiva a los impactos del cambio climático que ha experimentado el país, en búsqueda de implementar acciones que promuevan un desarrollo sostenible para obtener un crecimiento económico enfocado a la transformación verde, es por ello que se visualiza a mediano y largo plazo la implementación de  herramientas fiscales ambientales que tiene por objetivo cambiar patrones de consumo, patrones de producción e internalizar costos de externalidades negativas, lineamientos ambientales de política fiscal para apoyar a las demás instituciones de gobierno hacia la transición de una economía tradicional a una economía circular, fomentar las compras públicas sostenibles, fortalecer las capacidades Municipales en presupuesto con enfoque ambiental, cambio climático y de gestión de riesgo, así como apoyar y fortalecer la resiliencia económica y fiscal del país y su capacidad de respuesta ante el riesgo de desastres por medio del análisis de diversos instrumentos financieros y apoyando a la continuidad de seguros paramétricos como los es el CCRIF en Guatemala. </w:t>
      </w:r>
    </w:p>
    <w:p w14:paraId="0FE70BE4" w14:textId="77777777" w:rsidR="009F124E" w:rsidRPr="009F124E" w:rsidRDefault="009F124E" w:rsidP="009F124E">
      <w:pPr>
        <w:tabs>
          <w:tab w:val="left" w:pos="1002"/>
        </w:tabs>
        <w:spacing w:after="160" w:line="259" w:lineRule="auto"/>
        <w:jc w:val="both"/>
        <w:rPr>
          <w:sz w:val="22"/>
          <w:szCs w:val="22"/>
          <w:lang w:eastAsia="en-US"/>
        </w:rPr>
      </w:pPr>
      <w:r w:rsidRPr="009F124E">
        <w:rPr>
          <w:sz w:val="22"/>
          <w:szCs w:val="22"/>
          <w:lang w:eastAsia="en-US"/>
        </w:rPr>
        <w:t xml:space="preserve">Se espera con la implementación de acciones de los diferentes instrumentos atendidos por el Ministerio de Finanzas Públicas por medio de la Estrategia Fiscal Ambiental, se logre contribuir al cumplimento de los Objetivos de Desarrollo Sostenible,  Plan Nacional de Desarrollo: K'atun Nuestra Guatemala 2032, Ley Marco para regular la reducción de la vulnerabilidad, la adaptación obligatoria ante los efectos del cambio climático y la mitigación de gases de efecto invernadero y los Acuerdo de Paris por medio del cumplimiento de contribuciones nacionales determinadas (NDC) de Guatemala. </w:t>
      </w:r>
    </w:p>
    <w:p w14:paraId="2DBFD8F6" w14:textId="2F60F8AC" w:rsidR="009F124E" w:rsidRDefault="009F124E" w:rsidP="009F124E">
      <w:pPr>
        <w:tabs>
          <w:tab w:val="left" w:pos="1002"/>
        </w:tabs>
        <w:spacing w:after="160" w:line="259" w:lineRule="auto"/>
        <w:jc w:val="both"/>
        <w:rPr>
          <w:sz w:val="22"/>
          <w:szCs w:val="22"/>
          <w:lang w:eastAsia="en-US"/>
        </w:rPr>
      </w:pPr>
      <w:r w:rsidRPr="009F124E">
        <w:rPr>
          <w:sz w:val="22"/>
          <w:szCs w:val="22"/>
          <w:lang w:eastAsia="en-US"/>
        </w:rPr>
        <w:t xml:space="preserve">En ese sentido, se fijaron metas cualitativas para el período 2023-2028 para medir el avance de la implementación de la Estrategia Fiscal Ambiental. </w:t>
      </w:r>
    </w:p>
    <w:p w14:paraId="3630A90A" w14:textId="03D1B436" w:rsidR="00E77A24" w:rsidRDefault="00E77A24" w:rsidP="009F124E">
      <w:pPr>
        <w:tabs>
          <w:tab w:val="left" w:pos="1002"/>
        </w:tabs>
        <w:spacing w:after="160" w:line="259" w:lineRule="auto"/>
        <w:jc w:val="both"/>
        <w:rPr>
          <w:sz w:val="22"/>
          <w:szCs w:val="22"/>
          <w:lang w:eastAsia="en-US"/>
        </w:rPr>
      </w:pPr>
    </w:p>
    <w:p w14:paraId="1EFB2B59" w14:textId="24BAC3DC" w:rsidR="00E77A24" w:rsidRDefault="00E77A24" w:rsidP="009F124E">
      <w:pPr>
        <w:tabs>
          <w:tab w:val="left" w:pos="1002"/>
        </w:tabs>
        <w:spacing w:after="160" w:line="259" w:lineRule="auto"/>
        <w:jc w:val="both"/>
        <w:rPr>
          <w:sz w:val="22"/>
          <w:szCs w:val="22"/>
          <w:lang w:eastAsia="en-US"/>
        </w:rPr>
      </w:pPr>
    </w:p>
    <w:p w14:paraId="2BF89030" w14:textId="79C03CED" w:rsidR="00E77A24" w:rsidRDefault="00E77A24" w:rsidP="009F124E">
      <w:pPr>
        <w:tabs>
          <w:tab w:val="left" w:pos="1002"/>
        </w:tabs>
        <w:spacing w:after="160" w:line="259" w:lineRule="auto"/>
        <w:jc w:val="both"/>
        <w:rPr>
          <w:sz w:val="22"/>
          <w:szCs w:val="22"/>
          <w:lang w:eastAsia="en-US"/>
        </w:rPr>
      </w:pPr>
    </w:p>
    <w:p w14:paraId="5EEE58D7" w14:textId="77777777" w:rsidR="00E77A24" w:rsidRDefault="00E77A24" w:rsidP="009F124E">
      <w:pPr>
        <w:tabs>
          <w:tab w:val="left" w:pos="1002"/>
        </w:tabs>
        <w:spacing w:after="160" w:line="259" w:lineRule="auto"/>
        <w:jc w:val="both"/>
        <w:rPr>
          <w:sz w:val="22"/>
          <w:szCs w:val="22"/>
          <w:lang w:eastAsia="en-US"/>
        </w:rPr>
      </w:pPr>
    </w:p>
    <w:p w14:paraId="0F19E776" w14:textId="77777777" w:rsidR="009F124E" w:rsidRPr="009F124E" w:rsidRDefault="009F124E" w:rsidP="009F124E">
      <w:pPr>
        <w:widowControl w:val="0"/>
        <w:autoSpaceDE w:val="0"/>
        <w:autoSpaceDN w:val="0"/>
        <w:spacing w:line="276" w:lineRule="auto"/>
        <w:contextualSpacing/>
        <w:jc w:val="center"/>
        <w:rPr>
          <w:b/>
          <w:bCs/>
          <w:sz w:val="22"/>
          <w:szCs w:val="22"/>
        </w:rPr>
      </w:pPr>
      <w:r w:rsidRPr="009F124E">
        <w:rPr>
          <w:b/>
          <w:bCs/>
          <w:sz w:val="22"/>
          <w:szCs w:val="22"/>
        </w:rPr>
        <w:t>Metas cualitativas de EFA para el período 2023-2028</w:t>
      </w:r>
    </w:p>
    <w:tbl>
      <w:tblPr>
        <w:tblW w:w="6320" w:type="dxa"/>
        <w:jc w:val="center"/>
        <w:tblCellMar>
          <w:left w:w="70" w:type="dxa"/>
          <w:right w:w="70" w:type="dxa"/>
        </w:tblCellMar>
        <w:tblLook w:val="04A0" w:firstRow="1" w:lastRow="0" w:firstColumn="1" w:lastColumn="0" w:noHBand="0" w:noVBand="1"/>
      </w:tblPr>
      <w:tblGrid>
        <w:gridCol w:w="4900"/>
        <w:gridCol w:w="1420"/>
      </w:tblGrid>
      <w:tr w:rsidR="009F124E" w:rsidRPr="009F124E" w14:paraId="7059F5B7" w14:textId="77777777" w:rsidTr="003507E6">
        <w:trPr>
          <w:trHeight w:val="600"/>
          <w:jc w:val="center"/>
        </w:trPr>
        <w:tc>
          <w:tcPr>
            <w:tcW w:w="4900" w:type="dxa"/>
            <w:tcBorders>
              <w:top w:val="single" w:sz="8" w:space="0" w:color="auto"/>
              <w:left w:val="single" w:sz="8" w:space="0" w:color="auto"/>
              <w:bottom w:val="single" w:sz="8" w:space="0" w:color="auto"/>
              <w:right w:val="single" w:sz="4" w:space="0" w:color="auto"/>
            </w:tcBorders>
            <w:shd w:val="clear" w:color="000000" w:fill="1F4E78"/>
            <w:noWrap/>
            <w:vAlign w:val="center"/>
            <w:hideMark/>
          </w:tcPr>
          <w:p w14:paraId="6FD1525C" w14:textId="77777777" w:rsidR="009F124E" w:rsidRPr="009F124E" w:rsidRDefault="009F124E" w:rsidP="009F124E">
            <w:pPr>
              <w:widowControl w:val="0"/>
              <w:autoSpaceDE w:val="0"/>
              <w:autoSpaceDN w:val="0"/>
              <w:spacing w:line="276" w:lineRule="auto"/>
              <w:contextualSpacing/>
              <w:jc w:val="center"/>
              <w:rPr>
                <w:b/>
                <w:bCs/>
                <w:color w:val="FFFFFF"/>
                <w:sz w:val="20"/>
                <w:szCs w:val="20"/>
              </w:rPr>
            </w:pPr>
            <w:r w:rsidRPr="009F124E">
              <w:rPr>
                <w:b/>
                <w:bCs/>
                <w:color w:val="FFFFFF"/>
                <w:sz w:val="20"/>
                <w:szCs w:val="20"/>
              </w:rPr>
              <w:t xml:space="preserve">Meta </w:t>
            </w:r>
          </w:p>
        </w:tc>
        <w:tc>
          <w:tcPr>
            <w:tcW w:w="1420" w:type="dxa"/>
            <w:tcBorders>
              <w:top w:val="single" w:sz="8" w:space="0" w:color="auto"/>
              <w:left w:val="nil"/>
              <w:bottom w:val="single" w:sz="8" w:space="0" w:color="auto"/>
              <w:right w:val="single" w:sz="8" w:space="0" w:color="auto"/>
            </w:tcBorders>
            <w:shd w:val="clear" w:color="000000" w:fill="1F4E78"/>
            <w:vAlign w:val="center"/>
            <w:hideMark/>
          </w:tcPr>
          <w:p w14:paraId="4C5191FA" w14:textId="77777777" w:rsidR="009F124E" w:rsidRPr="009F124E" w:rsidRDefault="009F124E" w:rsidP="009F124E">
            <w:pPr>
              <w:widowControl w:val="0"/>
              <w:autoSpaceDE w:val="0"/>
              <w:autoSpaceDN w:val="0"/>
              <w:spacing w:line="276" w:lineRule="auto"/>
              <w:contextualSpacing/>
              <w:jc w:val="center"/>
              <w:rPr>
                <w:b/>
                <w:bCs/>
                <w:color w:val="FFFFFF"/>
                <w:sz w:val="20"/>
                <w:szCs w:val="20"/>
              </w:rPr>
            </w:pPr>
            <w:r w:rsidRPr="009F124E">
              <w:rPr>
                <w:b/>
                <w:bCs/>
                <w:color w:val="FFFFFF"/>
                <w:sz w:val="20"/>
                <w:szCs w:val="20"/>
              </w:rPr>
              <w:t>Estado</w:t>
            </w:r>
          </w:p>
        </w:tc>
      </w:tr>
      <w:tr w:rsidR="009F124E" w:rsidRPr="009F124E" w14:paraId="76CD0268" w14:textId="77777777" w:rsidTr="003507E6">
        <w:trPr>
          <w:trHeight w:val="600"/>
          <w:jc w:val="center"/>
        </w:trPr>
        <w:tc>
          <w:tcPr>
            <w:tcW w:w="4900" w:type="dxa"/>
            <w:tcBorders>
              <w:top w:val="nil"/>
              <w:left w:val="single" w:sz="8" w:space="0" w:color="auto"/>
              <w:bottom w:val="single" w:sz="4" w:space="0" w:color="auto"/>
              <w:right w:val="single" w:sz="4" w:space="0" w:color="auto"/>
            </w:tcBorders>
            <w:vAlign w:val="center"/>
            <w:hideMark/>
          </w:tcPr>
          <w:p w14:paraId="46345BC6" w14:textId="77777777" w:rsidR="009F124E" w:rsidRPr="009F124E" w:rsidRDefault="009F124E" w:rsidP="009F124E">
            <w:pPr>
              <w:widowControl w:val="0"/>
              <w:autoSpaceDE w:val="0"/>
              <w:autoSpaceDN w:val="0"/>
              <w:spacing w:line="276" w:lineRule="auto"/>
              <w:contextualSpacing/>
              <w:jc w:val="both"/>
              <w:rPr>
                <w:sz w:val="20"/>
                <w:szCs w:val="20"/>
              </w:rPr>
            </w:pPr>
            <w:r w:rsidRPr="009F124E">
              <w:rPr>
                <w:sz w:val="20"/>
                <w:szCs w:val="20"/>
              </w:rPr>
              <w:t>Para 2028 los proveedores del Estado deben de reportar de forma voluntaria los criterios ambientales</w:t>
            </w:r>
            <w:r w:rsidRPr="009F124E">
              <w:rPr>
                <w:rFonts w:asciiTheme="minorHAnsi" w:hAnsiTheme="minorHAnsi"/>
                <w:sz w:val="20"/>
                <w:szCs w:val="20"/>
                <w:lang w:eastAsia="en-US"/>
              </w:rPr>
              <w:t xml:space="preserve"> </w:t>
            </w:r>
            <w:r w:rsidRPr="009F124E">
              <w:rPr>
                <w:sz w:val="20"/>
                <w:szCs w:val="20"/>
              </w:rPr>
              <w:t>de bienes y productos adquiridos por las instituciones gubernamentales.</w:t>
            </w:r>
          </w:p>
        </w:tc>
        <w:tc>
          <w:tcPr>
            <w:tcW w:w="1420" w:type="dxa"/>
            <w:tcBorders>
              <w:top w:val="nil"/>
              <w:left w:val="nil"/>
              <w:bottom w:val="single" w:sz="4" w:space="0" w:color="auto"/>
              <w:right w:val="single" w:sz="8" w:space="0" w:color="auto"/>
            </w:tcBorders>
            <w:noWrap/>
            <w:vAlign w:val="center"/>
            <w:hideMark/>
          </w:tcPr>
          <w:p w14:paraId="61B1A327" w14:textId="77777777" w:rsidR="009F124E" w:rsidRPr="009F124E" w:rsidRDefault="009F124E" w:rsidP="009F124E">
            <w:pPr>
              <w:widowControl w:val="0"/>
              <w:autoSpaceDE w:val="0"/>
              <w:autoSpaceDN w:val="0"/>
              <w:spacing w:line="276" w:lineRule="auto"/>
              <w:contextualSpacing/>
              <w:jc w:val="center"/>
              <w:rPr>
                <w:b/>
                <w:bCs/>
                <w:color w:val="00B0F0"/>
                <w:sz w:val="20"/>
                <w:szCs w:val="20"/>
              </w:rPr>
            </w:pPr>
            <w:r w:rsidRPr="009F124E">
              <w:rPr>
                <w:b/>
                <w:bCs/>
                <w:color w:val="00B0F0"/>
                <w:sz w:val="20"/>
                <w:szCs w:val="20"/>
              </w:rPr>
              <w:t>En proceso</w:t>
            </w:r>
          </w:p>
        </w:tc>
      </w:tr>
      <w:tr w:rsidR="009F124E" w:rsidRPr="009F124E" w14:paraId="40EE6D3F" w14:textId="77777777" w:rsidTr="003507E6">
        <w:trPr>
          <w:trHeight w:val="510"/>
          <w:jc w:val="center"/>
        </w:trPr>
        <w:tc>
          <w:tcPr>
            <w:tcW w:w="4900" w:type="dxa"/>
            <w:tcBorders>
              <w:top w:val="single" w:sz="4" w:space="0" w:color="auto"/>
              <w:left w:val="single" w:sz="8" w:space="0" w:color="auto"/>
              <w:bottom w:val="single" w:sz="4" w:space="0" w:color="auto"/>
              <w:right w:val="single" w:sz="4" w:space="0" w:color="auto"/>
            </w:tcBorders>
            <w:vAlign w:val="center"/>
            <w:hideMark/>
          </w:tcPr>
          <w:p w14:paraId="31E2378F" w14:textId="77777777" w:rsidR="009F124E" w:rsidRPr="009F124E" w:rsidRDefault="009F124E" w:rsidP="009F124E">
            <w:pPr>
              <w:widowControl w:val="0"/>
              <w:autoSpaceDE w:val="0"/>
              <w:autoSpaceDN w:val="0"/>
              <w:spacing w:line="276" w:lineRule="auto"/>
              <w:contextualSpacing/>
              <w:jc w:val="both"/>
              <w:rPr>
                <w:sz w:val="20"/>
                <w:szCs w:val="20"/>
              </w:rPr>
            </w:pPr>
            <w:r w:rsidRPr="009F124E">
              <w:rPr>
                <w:sz w:val="20"/>
                <w:szCs w:val="20"/>
              </w:rPr>
              <w:t xml:space="preserve">Para 2028 las unidades compradoras del Estado deberán realizar sus compras tomando en cuenta los criterios ambientales de bienes y productos. </w:t>
            </w:r>
          </w:p>
        </w:tc>
        <w:tc>
          <w:tcPr>
            <w:tcW w:w="1420" w:type="dxa"/>
            <w:tcBorders>
              <w:top w:val="single" w:sz="4" w:space="0" w:color="auto"/>
              <w:left w:val="nil"/>
              <w:bottom w:val="single" w:sz="4" w:space="0" w:color="auto"/>
              <w:right w:val="single" w:sz="8" w:space="0" w:color="auto"/>
            </w:tcBorders>
            <w:noWrap/>
            <w:vAlign w:val="center"/>
            <w:hideMark/>
          </w:tcPr>
          <w:p w14:paraId="4E7A3274" w14:textId="77777777" w:rsidR="009F124E" w:rsidRPr="009F124E" w:rsidRDefault="009F124E" w:rsidP="009F124E">
            <w:pPr>
              <w:widowControl w:val="0"/>
              <w:autoSpaceDE w:val="0"/>
              <w:autoSpaceDN w:val="0"/>
              <w:spacing w:line="276" w:lineRule="auto"/>
              <w:contextualSpacing/>
              <w:jc w:val="center"/>
              <w:rPr>
                <w:b/>
                <w:bCs/>
                <w:color w:val="00B0F0"/>
                <w:sz w:val="20"/>
                <w:szCs w:val="20"/>
              </w:rPr>
            </w:pPr>
            <w:r w:rsidRPr="009F124E">
              <w:rPr>
                <w:b/>
                <w:bCs/>
                <w:color w:val="00B0F0"/>
                <w:sz w:val="20"/>
                <w:szCs w:val="20"/>
              </w:rPr>
              <w:t>En proceso</w:t>
            </w:r>
          </w:p>
        </w:tc>
      </w:tr>
      <w:tr w:rsidR="009F124E" w:rsidRPr="009F124E" w14:paraId="6C4CB52B" w14:textId="77777777" w:rsidTr="003507E6">
        <w:trPr>
          <w:trHeight w:val="510"/>
          <w:jc w:val="center"/>
        </w:trPr>
        <w:tc>
          <w:tcPr>
            <w:tcW w:w="4900" w:type="dxa"/>
            <w:tcBorders>
              <w:top w:val="single" w:sz="4" w:space="0" w:color="auto"/>
              <w:left w:val="single" w:sz="8" w:space="0" w:color="auto"/>
              <w:bottom w:val="single" w:sz="4" w:space="0" w:color="auto"/>
              <w:right w:val="single" w:sz="4" w:space="0" w:color="auto"/>
            </w:tcBorders>
            <w:vAlign w:val="center"/>
          </w:tcPr>
          <w:p w14:paraId="15E1F350" w14:textId="77777777" w:rsidR="009F124E" w:rsidRPr="009F124E" w:rsidRDefault="009F124E" w:rsidP="009F124E">
            <w:pPr>
              <w:widowControl w:val="0"/>
              <w:autoSpaceDE w:val="0"/>
              <w:autoSpaceDN w:val="0"/>
              <w:spacing w:line="276" w:lineRule="auto"/>
              <w:contextualSpacing/>
              <w:jc w:val="both"/>
              <w:rPr>
                <w:sz w:val="20"/>
                <w:szCs w:val="20"/>
              </w:rPr>
            </w:pPr>
            <w:r w:rsidRPr="009F124E">
              <w:rPr>
                <w:sz w:val="20"/>
                <w:szCs w:val="20"/>
              </w:rPr>
              <w:t xml:space="preserve">Para el 2028 el Manual de capacitaciones y el programa de capacitación de la Dirección de Asistencia a la Administración Financiera Municipal deberá de contener un apartado especial en materia de formulación de presupuestos municipales que incluya temas ambientales, cambio climático, gestión de riesgo y fiscalidad ambiental.                       </w:t>
            </w:r>
          </w:p>
        </w:tc>
        <w:tc>
          <w:tcPr>
            <w:tcW w:w="1420" w:type="dxa"/>
            <w:tcBorders>
              <w:top w:val="single" w:sz="4" w:space="0" w:color="auto"/>
              <w:left w:val="nil"/>
              <w:bottom w:val="single" w:sz="4" w:space="0" w:color="auto"/>
              <w:right w:val="single" w:sz="8" w:space="0" w:color="auto"/>
            </w:tcBorders>
            <w:noWrap/>
            <w:vAlign w:val="center"/>
          </w:tcPr>
          <w:p w14:paraId="18400D58" w14:textId="77777777" w:rsidR="009F124E" w:rsidRPr="009F124E" w:rsidRDefault="009F124E" w:rsidP="009F124E">
            <w:pPr>
              <w:widowControl w:val="0"/>
              <w:autoSpaceDE w:val="0"/>
              <w:autoSpaceDN w:val="0"/>
              <w:spacing w:line="276" w:lineRule="auto"/>
              <w:contextualSpacing/>
              <w:jc w:val="center"/>
              <w:rPr>
                <w:b/>
                <w:bCs/>
                <w:color w:val="00B0F0"/>
                <w:sz w:val="20"/>
                <w:szCs w:val="20"/>
              </w:rPr>
            </w:pPr>
            <w:r w:rsidRPr="009F124E">
              <w:rPr>
                <w:b/>
                <w:bCs/>
                <w:color w:val="00B0F0"/>
                <w:sz w:val="20"/>
                <w:szCs w:val="20"/>
              </w:rPr>
              <w:t>En proceso</w:t>
            </w:r>
          </w:p>
        </w:tc>
      </w:tr>
      <w:tr w:rsidR="009F124E" w:rsidRPr="009F124E" w14:paraId="583ABCBD" w14:textId="77777777" w:rsidTr="003507E6">
        <w:trPr>
          <w:trHeight w:val="510"/>
          <w:jc w:val="center"/>
        </w:trPr>
        <w:tc>
          <w:tcPr>
            <w:tcW w:w="4900" w:type="dxa"/>
            <w:tcBorders>
              <w:top w:val="single" w:sz="4" w:space="0" w:color="auto"/>
              <w:left w:val="single" w:sz="8" w:space="0" w:color="auto"/>
              <w:bottom w:val="single" w:sz="4" w:space="0" w:color="auto"/>
              <w:right w:val="single" w:sz="4" w:space="0" w:color="auto"/>
            </w:tcBorders>
            <w:vAlign w:val="center"/>
          </w:tcPr>
          <w:p w14:paraId="55CF2868" w14:textId="77777777" w:rsidR="009F124E" w:rsidRPr="009F124E" w:rsidRDefault="009F124E" w:rsidP="009F124E">
            <w:pPr>
              <w:widowControl w:val="0"/>
              <w:autoSpaceDE w:val="0"/>
              <w:autoSpaceDN w:val="0"/>
              <w:spacing w:line="276" w:lineRule="auto"/>
              <w:contextualSpacing/>
              <w:jc w:val="both"/>
              <w:rPr>
                <w:sz w:val="20"/>
                <w:szCs w:val="20"/>
              </w:rPr>
            </w:pPr>
            <w:r w:rsidRPr="009F124E">
              <w:rPr>
                <w:sz w:val="20"/>
                <w:szCs w:val="20"/>
              </w:rPr>
              <w:t xml:space="preserve">Para 2028 contar, al menos, con un impuesto ambiental aprobado e ingresado al Congreso.  </w:t>
            </w:r>
          </w:p>
        </w:tc>
        <w:tc>
          <w:tcPr>
            <w:tcW w:w="1420" w:type="dxa"/>
            <w:tcBorders>
              <w:top w:val="single" w:sz="4" w:space="0" w:color="auto"/>
              <w:left w:val="nil"/>
              <w:bottom w:val="single" w:sz="4" w:space="0" w:color="auto"/>
              <w:right w:val="single" w:sz="8" w:space="0" w:color="auto"/>
            </w:tcBorders>
            <w:noWrap/>
            <w:vAlign w:val="center"/>
          </w:tcPr>
          <w:p w14:paraId="074E0C4E" w14:textId="77777777" w:rsidR="009F124E" w:rsidRPr="009F124E" w:rsidRDefault="009F124E" w:rsidP="009F124E">
            <w:pPr>
              <w:widowControl w:val="0"/>
              <w:autoSpaceDE w:val="0"/>
              <w:autoSpaceDN w:val="0"/>
              <w:spacing w:line="276" w:lineRule="auto"/>
              <w:contextualSpacing/>
              <w:jc w:val="center"/>
              <w:rPr>
                <w:b/>
                <w:bCs/>
                <w:color w:val="00B0F0"/>
                <w:sz w:val="20"/>
                <w:szCs w:val="20"/>
              </w:rPr>
            </w:pPr>
            <w:r w:rsidRPr="009F124E">
              <w:rPr>
                <w:b/>
                <w:bCs/>
                <w:color w:val="00B0F0"/>
                <w:sz w:val="20"/>
                <w:szCs w:val="20"/>
              </w:rPr>
              <w:t>En proceso</w:t>
            </w:r>
          </w:p>
        </w:tc>
      </w:tr>
      <w:tr w:rsidR="009F124E" w:rsidRPr="009F124E" w14:paraId="4664A259" w14:textId="77777777" w:rsidTr="003507E6">
        <w:trPr>
          <w:trHeight w:val="744"/>
          <w:jc w:val="center"/>
        </w:trPr>
        <w:tc>
          <w:tcPr>
            <w:tcW w:w="4900" w:type="dxa"/>
            <w:tcBorders>
              <w:top w:val="single" w:sz="4" w:space="0" w:color="auto"/>
              <w:left w:val="single" w:sz="8" w:space="0" w:color="auto"/>
              <w:bottom w:val="single" w:sz="4" w:space="0" w:color="auto"/>
              <w:right w:val="single" w:sz="4" w:space="0" w:color="auto"/>
            </w:tcBorders>
            <w:vAlign w:val="center"/>
            <w:hideMark/>
          </w:tcPr>
          <w:p w14:paraId="60678589" w14:textId="77777777" w:rsidR="009F124E" w:rsidRPr="009F124E" w:rsidRDefault="009F124E" w:rsidP="009F124E">
            <w:pPr>
              <w:widowControl w:val="0"/>
              <w:autoSpaceDE w:val="0"/>
              <w:autoSpaceDN w:val="0"/>
              <w:spacing w:line="276" w:lineRule="auto"/>
              <w:contextualSpacing/>
              <w:jc w:val="both"/>
              <w:rPr>
                <w:sz w:val="20"/>
                <w:szCs w:val="20"/>
              </w:rPr>
            </w:pPr>
            <w:r w:rsidRPr="009F124E">
              <w:rPr>
                <w:sz w:val="20"/>
                <w:szCs w:val="20"/>
              </w:rPr>
              <w:t>Para 2028 se ha logrado que todas las Direcciones que forman parte de la EFA incorporen dentro de sus POA acciones relacionadas al cumplimiento de los objetivos propuestos.</w:t>
            </w:r>
          </w:p>
        </w:tc>
        <w:tc>
          <w:tcPr>
            <w:tcW w:w="1420" w:type="dxa"/>
            <w:tcBorders>
              <w:top w:val="single" w:sz="4" w:space="0" w:color="auto"/>
              <w:left w:val="nil"/>
              <w:bottom w:val="single" w:sz="4" w:space="0" w:color="auto"/>
              <w:right w:val="single" w:sz="8" w:space="0" w:color="auto"/>
            </w:tcBorders>
            <w:noWrap/>
            <w:vAlign w:val="center"/>
            <w:hideMark/>
          </w:tcPr>
          <w:p w14:paraId="7E7AC1AA" w14:textId="77777777" w:rsidR="009F124E" w:rsidRPr="009F124E" w:rsidRDefault="009F124E" w:rsidP="009F124E">
            <w:pPr>
              <w:widowControl w:val="0"/>
              <w:autoSpaceDE w:val="0"/>
              <w:autoSpaceDN w:val="0"/>
              <w:spacing w:line="276" w:lineRule="auto"/>
              <w:contextualSpacing/>
              <w:jc w:val="center"/>
              <w:rPr>
                <w:b/>
                <w:bCs/>
                <w:color w:val="00B0F0"/>
                <w:sz w:val="20"/>
                <w:szCs w:val="20"/>
              </w:rPr>
            </w:pPr>
            <w:r w:rsidRPr="009F124E">
              <w:rPr>
                <w:b/>
                <w:bCs/>
                <w:color w:val="00B0F0"/>
                <w:sz w:val="20"/>
                <w:szCs w:val="20"/>
              </w:rPr>
              <w:t>En proceso</w:t>
            </w:r>
          </w:p>
        </w:tc>
      </w:tr>
    </w:tbl>
    <w:p w14:paraId="1DB51975" w14:textId="77777777" w:rsidR="009F124E" w:rsidRPr="009F124E" w:rsidRDefault="009F124E" w:rsidP="00F93305">
      <w:pPr>
        <w:widowControl w:val="0"/>
        <w:autoSpaceDE w:val="0"/>
        <w:autoSpaceDN w:val="0"/>
        <w:spacing w:line="276" w:lineRule="auto"/>
        <w:ind w:firstLine="708"/>
        <w:contextualSpacing/>
        <w:rPr>
          <w:sz w:val="18"/>
          <w:szCs w:val="18"/>
        </w:rPr>
      </w:pPr>
      <w:r w:rsidRPr="009F124E">
        <w:rPr>
          <w:sz w:val="18"/>
          <w:szCs w:val="18"/>
        </w:rPr>
        <w:t>Fuente: Dirección de Análisis y Política Fiscal</w:t>
      </w:r>
    </w:p>
    <w:p w14:paraId="479E7146" w14:textId="77777777" w:rsidR="009F124E" w:rsidRPr="009F124E" w:rsidRDefault="009F124E" w:rsidP="009F124E">
      <w:pPr>
        <w:widowControl w:val="0"/>
        <w:autoSpaceDE w:val="0"/>
        <w:autoSpaceDN w:val="0"/>
        <w:spacing w:line="276" w:lineRule="auto"/>
        <w:contextualSpacing/>
        <w:jc w:val="center"/>
        <w:rPr>
          <w:sz w:val="22"/>
          <w:szCs w:val="22"/>
        </w:rPr>
      </w:pPr>
    </w:p>
    <w:p w14:paraId="246C671E" w14:textId="77777777" w:rsidR="009F124E" w:rsidRPr="009F124E" w:rsidRDefault="009F124E" w:rsidP="009F124E">
      <w:pPr>
        <w:tabs>
          <w:tab w:val="left" w:pos="1343"/>
        </w:tabs>
        <w:spacing w:after="160" w:line="259" w:lineRule="auto"/>
        <w:rPr>
          <w:rFonts w:asciiTheme="minorHAnsi" w:hAnsiTheme="minorHAnsi"/>
          <w:sz w:val="22"/>
          <w:szCs w:val="22"/>
          <w:lang w:eastAsia="en-US"/>
        </w:rPr>
      </w:pPr>
    </w:p>
    <w:p w14:paraId="6DBCB7D2" w14:textId="77777777" w:rsidR="009F124E" w:rsidRPr="009F124E" w:rsidRDefault="009F124E" w:rsidP="009F124E">
      <w:pPr>
        <w:tabs>
          <w:tab w:val="left" w:pos="2439"/>
        </w:tabs>
        <w:spacing w:after="160" w:line="259" w:lineRule="auto"/>
        <w:rPr>
          <w:rFonts w:asciiTheme="minorHAnsi" w:hAnsiTheme="minorHAnsi"/>
          <w:sz w:val="22"/>
          <w:szCs w:val="22"/>
          <w:lang w:eastAsia="en-US"/>
        </w:rPr>
      </w:pPr>
      <w:r w:rsidRPr="009F124E">
        <w:rPr>
          <w:rFonts w:asciiTheme="minorHAnsi" w:hAnsiTheme="minorHAnsi"/>
          <w:sz w:val="22"/>
          <w:szCs w:val="22"/>
          <w:lang w:eastAsia="en-US"/>
        </w:rPr>
        <w:tab/>
      </w:r>
    </w:p>
    <w:p w14:paraId="05673728" w14:textId="77777777" w:rsidR="009F124E" w:rsidRPr="009F124E" w:rsidRDefault="009F124E" w:rsidP="009F124E"/>
    <w:sectPr w:rsidR="009F124E" w:rsidRPr="009F124E" w:rsidSect="007F2934">
      <w:pgSz w:w="12240" w:h="15840" w:code="1"/>
      <w:pgMar w:top="1418" w:right="1701" w:bottom="1418"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94E245" w14:textId="77777777" w:rsidR="005A30CD" w:rsidRDefault="005A30CD" w:rsidP="000C1D11">
      <w:r>
        <w:separator/>
      </w:r>
    </w:p>
  </w:endnote>
  <w:endnote w:type="continuationSeparator" w:id="0">
    <w:p w14:paraId="0B30644D" w14:textId="77777777" w:rsidR="005A30CD" w:rsidRDefault="005A30CD" w:rsidP="000C1D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GaramondPro-Regular">
    <w:altName w:val="Yu Gothic"/>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Fira Sans Extra Condensed">
    <w:charset w:val="00"/>
    <w:family w:val="swiss"/>
    <w:pitch w:val="variable"/>
    <w:sig w:usb0="600002FF"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5740546"/>
      <w:docPartObj>
        <w:docPartGallery w:val="Page Numbers (Bottom of Page)"/>
        <w:docPartUnique/>
      </w:docPartObj>
    </w:sdtPr>
    <w:sdtEndPr/>
    <w:sdtContent>
      <w:p w14:paraId="13CCAE14" w14:textId="41958E9D" w:rsidR="007F2934" w:rsidRDefault="007F2934">
        <w:pPr>
          <w:pStyle w:val="Piedepgina"/>
          <w:jc w:val="right"/>
        </w:pPr>
        <w:r>
          <w:fldChar w:fldCharType="begin"/>
        </w:r>
        <w:r>
          <w:instrText>PAGE   \* MERGEFORMAT</w:instrText>
        </w:r>
        <w:r>
          <w:fldChar w:fldCharType="separate"/>
        </w:r>
        <w:r>
          <w:rPr>
            <w:lang w:val="es-ES"/>
          </w:rPr>
          <w:t>2</w:t>
        </w:r>
        <w:r>
          <w:fldChar w:fldCharType="end"/>
        </w:r>
      </w:p>
    </w:sdtContent>
  </w:sdt>
  <w:p w14:paraId="64B9EB27" w14:textId="77777777" w:rsidR="007F2934" w:rsidRDefault="007F293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EE1FE2" w14:textId="77777777" w:rsidR="005A30CD" w:rsidRDefault="005A30CD" w:rsidP="000C1D11">
      <w:r>
        <w:separator/>
      </w:r>
    </w:p>
  </w:footnote>
  <w:footnote w:type="continuationSeparator" w:id="0">
    <w:p w14:paraId="1A461D88" w14:textId="77777777" w:rsidR="005A30CD" w:rsidRDefault="005A30CD" w:rsidP="000C1D11">
      <w:r>
        <w:continuationSeparator/>
      </w:r>
    </w:p>
  </w:footnote>
  <w:footnote w:id="1">
    <w:p w14:paraId="5F6B6B08" w14:textId="45035C72" w:rsidR="00634517" w:rsidRDefault="00634517">
      <w:pPr>
        <w:pStyle w:val="Textonotapie"/>
      </w:pPr>
      <w:r>
        <w:rPr>
          <w:rStyle w:val="Refdenotaalpie"/>
        </w:rPr>
        <w:footnoteRef/>
      </w:r>
      <w:r>
        <w:t xml:space="preserve"> </w:t>
      </w:r>
      <w:r w:rsidRPr="00634517">
        <w:t xml:space="preserve">El </w:t>
      </w:r>
      <w:r>
        <w:t>efecto</w:t>
      </w:r>
      <w:r w:rsidRPr="00634517">
        <w:t xml:space="preserve"> estadístico aparece cuando el patrón de comparación es muy bajo y la variación se expresa en porcentaje.</w:t>
      </w:r>
    </w:p>
  </w:footnote>
  <w:footnote w:id="2">
    <w:p w14:paraId="1B7991EA" w14:textId="539A3C93" w:rsidR="000C1D11" w:rsidRDefault="000C1D11" w:rsidP="00D0171E">
      <w:pPr>
        <w:spacing w:line="276" w:lineRule="auto"/>
        <w:ind w:right="49"/>
        <w:rPr>
          <w:sz w:val="18"/>
          <w:szCs w:val="18"/>
        </w:rPr>
      </w:pPr>
      <w:r>
        <w:rPr>
          <w:rStyle w:val="TextonotapieCar"/>
        </w:rPr>
        <w:footnoteRef/>
      </w:r>
      <w:r>
        <w:t xml:space="preserve"> </w:t>
      </w:r>
      <w:r>
        <w:rPr>
          <w:sz w:val="18"/>
          <w:szCs w:val="18"/>
        </w:rPr>
        <w:t>En resumen, la metodología de estimación que se utilizada para determinar la recaudación</w:t>
      </w:r>
      <w:r w:rsidR="00D0171E">
        <w:rPr>
          <w:sz w:val="18"/>
          <w:szCs w:val="18"/>
        </w:rPr>
        <w:t xml:space="preserve"> t</w:t>
      </w:r>
      <w:r>
        <w:rPr>
          <w:sz w:val="18"/>
          <w:szCs w:val="18"/>
        </w:rPr>
        <w:t xml:space="preserve">ributaria que se incluye en el Presupuesto General de Ingresos se puede describir de manera general con la siguiente </w:t>
      </w:r>
      <w:r w:rsidRPr="000C1D11">
        <w:rPr>
          <w:sz w:val="18"/>
          <w:szCs w:val="18"/>
        </w:rPr>
        <w:t>formula</w:t>
      </w:r>
      <w:r>
        <w:rPr>
          <w:sz w:val="18"/>
          <w:szCs w:val="18"/>
        </w:rPr>
        <w:t>:</w:t>
      </w:r>
    </w:p>
    <w:p w14:paraId="21DF803F" w14:textId="77777777" w:rsidR="000C1D11" w:rsidRDefault="000C1D11" w:rsidP="000C1D11">
      <w:pPr>
        <w:spacing w:line="276" w:lineRule="auto"/>
        <w:rPr>
          <w:sz w:val="18"/>
          <w:szCs w:val="18"/>
        </w:rPr>
      </w:pPr>
    </w:p>
    <w:p w14:paraId="39044D99" w14:textId="1647BA3F" w:rsidR="000C1D11" w:rsidRPr="00D0171E" w:rsidRDefault="000C1D11" w:rsidP="000C1D11">
      <w:pPr>
        <w:rPr>
          <w:sz w:val="16"/>
          <w:szCs w:val="16"/>
        </w:rPr>
      </w:pPr>
      <m:oMathPara>
        <m:oMath>
          <m:r>
            <w:rPr>
              <w:rFonts w:ascii="Cambria Math" w:hAnsi="Cambria Math"/>
              <w:sz w:val="16"/>
              <w:szCs w:val="16"/>
            </w:rPr>
            <m:t>Recaudaci</m:t>
          </m:r>
          <m:r>
            <m:rPr>
              <m:sty m:val="p"/>
            </m:rPr>
            <w:rPr>
              <w:rFonts w:ascii="Cambria Math" w:hAnsi="Cambria Math"/>
              <w:sz w:val="16"/>
              <w:szCs w:val="16"/>
            </w:rPr>
            <m:t>ó</m:t>
          </m:r>
          <m:r>
            <w:rPr>
              <w:rFonts w:ascii="Cambria Math" w:hAnsi="Cambria Math"/>
              <w:sz w:val="16"/>
              <w:szCs w:val="16"/>
            </w:rPr>
            <m:t>n</m:t>
          </m:r>
          <m:r>
            <m:rPr>
              <m:sty m:val="p"/>
            </m:rPr>
            <w:rPr>
              <w:rFonts w:ascii="Cambria Math" w:hAnsi="Cambria Math"/>
              <w:sz w:val="16"/>
              <w:szCs w:val="16"/>
            </w:rPr>
            <m:t>=</m:t>
          </m:r>
          <m:r>
            <w:rPr>
              <w:rFonts w:ascii="Cambria Math" w:hAnsi="Cambria Math"/>
              <w:sz w:val="16"/>
              <w:szCs w:val="16"/>
            </w:rPr>
            <m:t>Base</m:t>
          </m:r>
          <m:r>
            <m:rPr>
              <m:sty m:val="p"/>
            </m:rPr>
            <w:rPr>
              <w:rFonts w:ascii="Cambria Math" w:hAnsi="Cambria Math"/>
              <w:sz w:val="16"/>
              <w:szCs w:val="16"/>
            </w:rPr>
            <m:t xml:space="preserve"> </m:t>
          </m:r>
          <m:r>
            <w:rPr>
              <w:rFonts w:ascii="Cambria Math" w:hAnsi="Cambria Math"/>
              <w:sz w:val="16"/>
              <w:szCs w:val="16"/>
            </w:rPr>
            <m:t>Imponible</m:t>
          </m:r>
          <m:r>
            <m:rPr>
              <m:sty m:val="p"/>
            </m:rPr>
            <w:rPr>
              <w:rFonts w:ascii="Cambria Math" w:hAnsi="Cambria Math"/>
              <w:sz w:val="16"/>
              <w:szCs w:val="16"/>
            </w:rPr>
            <m:t>+</m:t>
          </m:r>
          <m:r>
            <w:rPr>
              <w:rFonts w:ascii="Cambria Math" w:hAnsi="Cambria Math"/>
              <w:sz w:val="16"/>
              <w:szCs w:val="16"/>
            </w:rPr>
            <m:t>Efecto</m:t>
          </m:r>
          <m:r>
            <m:rPr>
              <m:sty m:val="p"/>
            </m:rPr>
            <w:rPr>
              <w:rFonts w:ascii="Cambria Math" w:hAnsi="Cambria Math"/>
              <w:sz w:val="16"/>
              <w:szCs w:val="16"/>
            </w:rPr>
            <m:t xml:space="preserve"> </m:t>
          </m:r>
          <m:r>
            <w:rPr>
              <w:rFonts w:ascii="Cambria Math" w:hAnsi="Cambria Math"/>
              <w:sz w:val="16"/>
              <w:szCs w:val="16"/>
            </w:rPr>
            <m:t>Escenario</m:t>
          </m:r>
          <m:r>
            <m:rPr>
              <m:sty m:val="p"/>
            </m:rPr>
            <w:rPr>
              <w:rFonts w:ascii="Cambria Math" w:hAnsi="Cambria Math"/>
              <w:sz w:val="16"/>
              <w:szCs w:val="16"/>
            </w:rPr>
            <m:t xml:space="preserve"> </m:t>
          </m:r>
          <m:r>
            <w:rPr>
              <w:rFonts w:ascii="Cambria Math" w:hAnsi="Cambria Math"/>
              <w:sz w:val="16"/>
              <w:szCs w:val="16"/>
            </w:rPr>
            <m:t>Macroecon</m:t>
          </m:r>
          <m:r>
            <m:rPr>
              <m:sty m:val="p"/>
            </m:rPr>
            <w:rPr>
              <w:rFonts w:ascii="Cambria Math" w:hAnsi="Cambria Math"/>
              <w:sz w:val="16"/>
              <w:szCs w:val="16"/>
            </w:rPr>
            <m:t>ó</m:t>
          </m:r>
          <m:r>
            <w:rPr>
              <w:rFonts w:ascii="Cambria Math" w:hAnsi="Cambria Math"/>
              <w:sz w:val="16"/>
              <w:szCs w:val="16"/>
            </w:rPr>
            <m:t>mico</m:t>
          </m:r>
          <m:r>
            <m:rPr>
              <m:sty m:val="p"/>
            </m:rPr>
            <w:rPr>
              <w:rFonts w:ascii="Cambria Math" w:hAnsi="Cambria Math"/>
              <w:sz w:val="16"/>
              <w:szCs w:val="16"/>
            </w:rPr>
            <m:t>+</m:t>
          </m:r>
          <m:r>
            <w:rPr>
              <w:rFonts w:ascii="Cambria Math" w:hAnsi="Cambria Math"/>
              <w:sz w:val="16"/>
              <w:szCs w:val="16"/>
            </w:rPr>
            <m:t>Medidas</m:t>
          </m:r>
          <m:r>
            <m:rPr>
              <m:sty m:val="p"/>
            </m:rPr>
            <w:rPr>
              <w:rFonts w:ascii="Cambria Math" w:hAnsi="Cambria Math"/>
              <w:sz w:val="16"/>
              <w:szCs w:val="16"/>
            </w:rPr>
            <m:t xml:space="preserve"> </m:t>
          </m:r>
          <m:r>
            <w:rPr>
              <w:rFonts w:ascii="Cambria Math" w:hAnsi="Cambria Math"/>
              <w:sz w:val="16"/>
              <w:szCs w:val="16"/>
            </w:rPr>
            <m:t>SAT</m:t>
          </m:r>
          <m:r>
            <m:rPr>
              <m:sty m:val="p"/>
            </m:rPr>
            <w:rPr>
              <w:rFonts w:ascii="Cambria Math" w:hAnsi="Cambria Math"/>
              <w:sz w:val="16"/>
              <w:szCs w:val="16"/>
            </w:rPr>
            <m:t xml:space="preserve"> </m:t>
          </m:r>
          <m:r>
            <w:rPr>
              <w:rFonts w:ascii="Cambria Math" w:hAnsi="Cambria Math"/>
              <w:sz w:val="16"/>
              <w:szCs w:val="16"/>
            </w:rPr>
            <m:t>contenidas</m:t>
          </m:r>
          <m:r>
            <m:rPr>
              <m:sty m:val="p"/>
            </m:rPr>
            <w:rPr>
              <w:rFonts w:ascii="Cambria Math" w:hAnsi="Cambria Math"/>
              <w:sz w:val="16"/>
              <w:szCs w:val="16"/>
            </w:rPr>
            <m:t xml:space="preserve"> </m:t>
          </m:r>
          <m:r>
            <w:rPr>
              <w:rFonts w:ascii="Cambria Math" w:hAnsi="Cambria Math"/>
              <w:sz w:val="16"/>
              <w:szCs w:val="16"/>
            </w:rPr>
            <m:t>en</m:t>
          </m:r>
          <m:r>
            <m:rPr>
              <m:sty m:val="p"/>
            </m:rPr>
            <w:rPr>
              <w:rFonts w:ascii="Cambria Math" w:hAnsi="Cambria Math"/>
              <w:sz w:val="16"/>
              <w:szCs w:val="16"/>
            </w:rPr>
            <m:t xml:space="preserve"> </m:t>
          </m:r>
          <m:r>
            <w:rPr>
              <w:rFonts w:ascii="Cambria Math" w:hAnsi="Cambria Math"/>
              <w:sz w:val="16"/>
              <w:szCs w:val="16"/>
            </w:rPr>
            <m:t>el</m:t>
          </m:r>
          <m:r>
            <m:rPr>
              <m:sty m:val="p"/>
            </m:rPr>
            <w:rPr>
              <w:rFonts w:ascii="Cambria Math" w:hAnsi="Cambria Math"/>
              <w:sz w:val="16"/>
              <w:szCs w:val="16"/>
            </w:rPr>
            <m:t xml:space="preserve"> </m:t>
          </m:r>
          <m:r>
            <w:rPr>
              <w:rFonts w:ascii="Cambria Math" w:hAnsi="Cambria Math"/>
              <w:sz w:val="16"/>
              <w:szCs w:val="16"/>
            </w:rPr>
            <m:t>POA</m:t>
          </m:r>
          <m:r>
            <m:rPr>
              <m:sty m:val="p"/>
            </m:rPr>
            <w:rPr>
              <w:rFonts w:ascii="Cambria Math" w:hAnsi="Cambria Math"/>
              <w:sz w:val="16"/>
              <w:szCs w:val="16"/>
            </w:rPr>
            <m:t>+</m:t>
          </m:r>
          <m:r>
            <w:rPr>
              <w:rFonts w:ascii="Cambria Math" w:hAnsi="Cambria Math"/>
              <w:sz w:val="16"/>
              <w:szCs w:val="16"/>
            </w:rPr>
            <m:t>Efecto</m:t>
          </m:r>
          <m:r>
            <m:rPr>
              <m:sty m:val="p"/>
            </m:rPr>
            <w:rPr>
              <w:rFonts w:ascii="Cambria Math" w:hAnsi="Cambria Math"/>
              <w:sz w:val="16"/>
              <w:szCs w:val="16"/>
            </w:rPr>
            <m:t xml:space="preserve"> </m:t>
          </m:r>
          <m:r>
            <w:rPr>
              <w:rFonts w:ascii="Cambria Math" w:hAnsi="Cambria Math"/>
              <w:sz w:val="16"/>
              <w:szCs w:val="16"/>
            </w:rPr>
            <m:t>Tipo</m:t>
          </m:r>
          <m:r>
            <m:rPr>
              <m:sty m:val="p"/>
            </m:rPr>
            <w:rPr>
              <w:rFonts w:ascii="Cambria Math" w:hAnsi="Cambria Math"/>
              <w:sz w:val="16"/>
              <w:szCs w:val="16"/>
            </w:rPr>
            <m:t xml:space="preserve"> </m:t>
          </m:r>
          <m:r>
            <w:rPr>
              <w:rFonts w:ascii="Cambria Math" w:hAnsi="Cambria Math"/>
              <w:sz w:val="16"/>
              <w:szCs w:val="16"/>
            </w:rPr>
            <m:t>de</m:t>
          </m:r>
          <m:r>
            <m:rPr>
              <m:sty m:val="p"/>
            </m:rPr>
            <w:rPr>
              <w:rFonts w:ascii="Cambria Math" w:hAnsi="Cambria Math"/>
              <w:sz w:val="16"/>
              <w:szCs w:val="16"/>
            </w:rPr>
            <m:t xml:space="preserve"> </m:t>
          </m:r>
          <m:r>
            <w:rPr>
              <w:rFonts w:ascii="Cambria Math" w:hAnsi="Cambria Math"/>
              <w:sz w:val="16"/>
              <w:szCs w:val="16"/>
            </w:rPr>
            <m:t>Cambio</m:t>
          </m:r>
          <m:r>
            <m:rPr>
              <m:sty m:val="p"/>
            </m:rPr>
            <w:rPr>
              <w:rFonts w:ascii="Cambria Math" w:hAnsi="Cambria Math"/>
              <w:sz w:val="16"/>
              <w:szCs w:val="16"/>
            </w:rPr>
            <m:t>+</m:t>
          </m:r>
          <m:r>
            <w:rPr>
              <w:rFonts w:ascii="Cambria Math" w:hAnsi="Cambria Math"/>
              <w:sz w:val="16"/>
              <w:szCs w:val="16"/>
            </w:rPr>
            <m:t>Efecto</m:t>
          </m:r>
          <m:r>
            <m:rPr>
              <m:sty m:val="p"/>
            </m:rPr>
            <w:rPr>
              <w:rFonts w:ascii="Cambria Math" w:hAnsi="Cambria Math"/>
              <w:sz w:val="16"/>
              <w:szCs w:val="16"/>
            </w:rPr>
            <m:t xml:space="preserve"> </m:t>
          </m:r>
          <m:r>
            <w:rPr>
              <w:rFonts w:ascii="Cambria Math" w:hAnsi="Cambria Math"/>
              <w:sz w:val="16"/>
              <w:szCs w:val="16"/>
            </w:rPr>
            <m:t>del</m:t>
          </m:r>
          <m:r>
            <m:rPr>
              <m:sty m:val="p"/>
            </m:rPr>
            <w:rPr>
              <w:rFonts w:ascii="Cambria Math" w:hAnsi="Cambria Math"/>
              <w:sz w:val="16"/>
              <w:szCs w:val="16"/>
            </w:rPr>
            <m:t xml:space="preserve"> </m:t>
          </m:r>
          <m:r>
            <w:rPr>
              <w:rFonts w:ascii="Cambria Math" w:hAnsi="Cambria Math"/>
              <w:sz w:val="16"/>
              <w:szCs w:val="16"/>
            </w:rPr>
            <m:t>Precio</m:t>
          </m:r>
          <m:r>
            <m:rPr>
              <m:sty m:val="p"/>
            </m:rPr>
            <w:rPr>
              <w:rFonts w:ascii="Cambria Math" w:hAnsi="Cambria Math"/>
              <w:sz w:val="16"/>
              <w:szCs w:val="16"/>
            </w:rPr>
            <m:t xml:space="preserve"> </m:t>
          </m:r>
          <m:r>
            <w:rPr>
              <w:rFonts w:ascii="Cambria Math" w:hAnsi="Cambria Math"/>
              <w:sz w:val="16"/>
              <w:szCs w:val="16"/>
            </w:rPr>
            <m:t>del</m:t>
          </m:r>
          <m:r>
            <m:rPr>
              <m:sty m:val="p"/>
            </m:rPr>
            <w:rPr>
              <w:rFonts w:ascii="Cambria Math" w:hAnsi="Cambria Math"/>
              <w:sz w:val="16"/>
              <w:szCs w:val="16"/>
            </w:rPr>
            <m:t xml:space="preserve"> </m:t>
          </m:r>
          <m:r>
            <w:rPr>
              <w:rFonts w:ascii="Cambria Math" w:hAnsi="Cambria Math"/>
              <w:sz w:val="16"/>
              <w:szCs w:val="16"/>
            </w:rPr>
            <m:t>Petr</m:t>
          </m:r>
          <m:r>
            <m:rPr>
              <m:sty m:val="p"/>
            </m:rPr>
            <w:rPr>
              <w:rFonts w:ascii="Cambria Math" w:hAnsi="Cambria Math"/>
              <w:sz w:val="16"/>
              <w:szCs w:val="16"/>
            </w:rPr>
            <m:t>ó</m:t>
          </m:r>
          <m:r>
            <w:rPr>
              <w:rFonts w:ascii="Cambria Math" w:hAnsi="Cambria Math"/>
              <w:sz w:val="16"/>
              <w:szCs w:val="16"/>
            </w:rPr>
            <m:t>leo</m:t>
          </m:r>
          <m:r>
            <m:rPr>
              <m:sty m:val="p"/>
            </m:rPr>
            <w:rPr>
              <w:rFonts w:ascii="Cambria Math" w:hAnsi="Cambria Math"/>
              <w:sz w:val="16"/>
              <w:szCs w:val="16"/>
            </w:rPr>
            <m:t>+</m:t>
          </m:r>
          <m:r>
            <w:rPr>
              <w:rFonts w:ascii="Cambria Math" w:hAnsi="Cambria Math"/>
              <w:sz w:val="16"/>
              <w:szCs w:val="16"/>
            </w:rPr>
            <m:t>Otros</m:t>
          </m:r>
        </m:oMath>
      </m:oMathPara>
    </w:p>
  </w:footnote>
  <w:footnote w:id="3">
    <w:p w14:paraId="1486F9CB" w14:textId="77777777" w:rsidR="006C707E" w:rsidRDefault="006C707E" w:rsidP="006C707E">
      <w:pPr>
        <w:pStyle w:val="Textonotapie"/>
      </w:pPr>
      <w:r>
        <w:rPr>
          <w:rStyle w:val="Refdenotaalpie"/>
          <w:rFonts w:eastAsiaTheme="majorEastAsia"/>
        </w:rPr>
        <w:footnoteRef/>
      </w:r>
      <w:r>
        <w:t xml:space="preserve"> </w:t>
      </w:r>
      <w:hyperlink r:id="rId1" w:anchor="1506976607273-ea43c8ac-0ad0" w:history="1">
        <w:r w:rsidRPr="002B0336">
          <w:rPr>
            <w:rStyle w:val="Hipervnculo"/>
            <w:rFonts w:eastAsiaTheme="majorEastAsia"/>
          </w:rPr>
          <w:t>https://portal.sat.gob.gt/portal/analisis-estudios-tributarios/#1506976607273-ea43c8ac-0ad0</w:t>
        </w:r>
      </w:hyperlink>
    </w:p>
    <w:p w14:paraId="192999D8" w14:textId="77777777" w:rsidR="006C707E" w:rsidRDefault="006C707E" w:rsidP="006C707E">
      <w:pPr>
        <w:pStyle w:val="Textonotapie"/>
      </w:pPr>
    </w:p>
  </w:footnote>
  <w:footnote w:id="4">
    <w:p w14:paraId="34E3D003" w14:textId="77777777" w:rsidR="00CC30AC" w:rsidRDefault="00CC30AC" w:rsidP="00CC30AC">
      <w:pPr>
        <w:pStyle w:val="Textonotapie"/>
      </w:pPr>
      <w:r>
        <w:rPr>
          <w:rStyle w:val="Refdenotaalpie"/>
          <w:rFonts w:eastAsiaTheme="majorEastAsia"/>
        </w:rPr>
        <w:footnoteRef/>
      </w:r>
      <w:r>
        <w:t xml:space="preserve"> </w:t>
      </w:r>
      <w:r w:rsidRPr="00094E70">
        <w:rPr>
          <w:sz w:val="14"/>
          <w:szCs w:val="14"/>
        </w:rPr>
        <w:t>Ocurrencia de eventos como cambio de gobierno en 2024 y factores externos como los ocasionados por la guerra de Rusia y Ucrania y su impacto en el precio de los comodities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1D1515" w14:textId="7B651204" w:rsidR="00F71553" w:rsidRPr="00F71553" w:rsidRDefault="00F71553" w:rsidP="00F71553">
    <w:pPr>
      <w:jc w:val="right"/>
      <w:rPr>
        <w:color w:val="4472C4" w:themeColor="accent1"/>
        <w:sz w:val="20"/>
        <w:szCs w:val="20"/>
      </w:rPr>
    </w:pPr>
    <w:r>
      <w:rPr>
        <w:noProof/>
        <w:color w:val="4472C4" w:themeColor="accent1"/>
        <w:sz w:val="20"/>
        <w:szCs w:val="20"/>
      </w:rPr>
      <mc:AlternateContent>
        <mc:Choice Requires="wps">
          <w:drawing>
            <wp:anchor distT="0" distB="0" distL="114300" distR="114300" simplePos="0" relativeHeight="251659264" behindDoc="0" locked="0" layoutInCell="1" allowOverlap="1" wp14:anchorId="6F712BAC" wp14:editId="424535D0">
              <wp:simplePos x="0" y="0"/>
              <wp:positionH relativeFrom="column">
                <wp:posOffset>1473757</wp:posOffset>
              </wp:positionH>
              <wp:positionV relativeFrom="paragraph">
                <wp:posOffset>184785</wp:posOffset>
              </wp:positionV>
              <wp:extent cx="5547071" cy="0"/>
              <wp:effectExtent l="19050" t="38100" r="73025" b="114300"/>
              <wp:wrapNone/>
              <wp:docPr id="1837" name="Conector recto 1837"/>
              <wp:cNvGraphicFramePr/>
              <a:graphic xmlns:a="http://schemas.openxmlformats.org/drawingml/2006/main">
                <a:graphicData uri="http://schemas.microsoft.com/office/word/2010/wordprocessingShape">
                  <wps:wsp>
                    <wps:cNvCnPr/>
                    <wps:spPr>
                      <a:xfrm flipV="1">
                        <a:off x="0" y="0"/>
                        <a:ext cx="5547071" cy="0"/>
                      </a:xfrm>
                      <a:prstGeom prst="line">
                        <a:avLst/>
                      </a:prstGeom>
                      <a:ln w="3175" cmpd="dbl"/>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63D334" id="Conector recto 1837"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05pt,14.55pt" to="552.85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" strokecolor="#4472c4 [3204]" strokeweight=".25pt">
              <v:stroke linestyle="thinThin" joinstyle="miter"/>
              <v:shadow on="t" color="black" opacity="26214f" origin="-.5,-.5" offset=".74836mm,.74836mm"/>
            </v:line>
          </w:pict>
        </mc:Fallback>
      </mc:AlternateContent>
    </w:r>
    <w:r w:rsidRPr="00F71553">
      <w:rPr>
        <w:color w:val="4472C4" w:themeColor="accent1"/>
        <w:sz w:val="20"/>
        <w:szCs w:val="20"/>
      </w:rPr>
      <w:t>Marco Fiscal de Mediano Plazo 2024-2028</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B23BC"/>
    <w:multiLevelType w:val="hybridMultilevel"/>
    <w:tmpl w:val="4A122342"/>
    <w:lvl w:ilvl="0" w:tplc="F7029C5A">
      <w:numFmt w:val="bullet"/>
      <w:lvlText w:val=""/>
      <w:lvlJc w:val="left"/>
      <w:pPr>
        <w:ind w:left="467" w:hanging="360"/>
      </w:pPr>
      <w:rPr>
        <w:rFonts w:ascii="Symbol" w:eastAsia="Symbol" w:hAnsi="Symbol" w:cs="Symbol" w:hint="default"/>
        <w:w w:val="100"/>
        <w:sz w:val="22"/>
        <w:szCs w:val="22"/>
        <w:lang w:val="es-GT" w:eastAsia="es-GT" w:bidi="es-GT"/>
      </w:rPr>
    </w:lvl>
    <w:lvl w:ilvl="1" w:tplc="B28A08EC">
      <w:numFmt w:val="bullet"/>
      <w:lvlText w:val="•"/>
      <w:lvlJc w:val="left"/>
      <w:pPr>
        <w:ind w:left="1319" w:hanging="360"/>
      </w:pPr>
      <w:rPr>
        <w:rFonts w:hint="default"/>
        <w:lang w:val="es-GT" w:eastAsia="es-GT" w:bidi="es-GT"/>
      </w:rPr>
    </w:lvl>
    <w:lvl w:ilvl="2" w:tplc="C192B1D8">
      <w:numFmt w:val="bullet"/>
      <w:lvlText w:val="•"/>
      <w:lvlJc w:val="left"/>
      <w:pPr>
        <w:ind w:left="2178" w:hanging="360"/>
      </w:pPr>
      <w:rPr>
        <w:rFonts w:hint="default"/>
        <w:lang w:val="es-GT" w:eastAsia="es-GT" w:bidi="es-GT"/>
      </w:rPr>
    </w:lvl>
    <w:lvl w:ilvl="3" w:tplc="455E81EE">
      <w:numFmt w:val="bullet"/>
      <w:lvlText w:val="•"/>
      <w:lvlJc w:val="left"/>
      <w:pPr>
        <w:ind w:left="3038" w:hanging="360"/>
      </w:pPr>
      <w:rPr>
        <w:rFonts w:hint="default"/>
        <w:lang w:val="es-GT" w:eastAsia="es-GT" w:bidi="es-GT"/>
      </w:rPr>
    </w:lvl>
    <w:lvl w:ilvl="4" w:tplc="2AC40F8E">
      <w:numFmt w:val="bullet"/>
      <w:lvlText w:val="•"/>
      <w:lvlJc w:val="left"/>
      <w:pPr>
        <w:ind w:left="3897" w:hanging="360"/>
      </w:pPr>
      <w:rPr>
        <w:rFonts w:hint="default"/>
        <w:lang w:val="es-GT" w:eastAsia="es-GT" w:bidi="es-GT"/>
      </w:rPr>
    </w:lvl>
    <w:lvl w:ilvl="5" w:tplc="21668D7A">
      <w:numFmt w:val="bullet"/>
      <w:lvlText w:val="•"/>
      <w:lvlJc w:val="left"/>
      <w:pPr>
        <w:ind w:left="4757" w:hanging="360"/>
      </w:pPr>
      <w:rPr>
        <w:rFonts w:hint="default"/>
        <w:lang w:val="es-GT" w:eastAsia="es-GT" w:bidi="es-GT"/>
      </w:rPr>
    </w:lvl>
    <w:lvl w:ilvl="6" w:tplc="E8B2A556">
      <w:numFmt w:val="bullet"/>
      <w:lvlText w:val="•"/>
      <w:lvlJc w:val="left"/>
      <w:pPr>
        <w:ind w:left="5616" w:hanging="360"/>
      </w:pPr>
      <w:rPr>
        <w:rFonts w:hint="default"/>
        <w:lang w:val="es-GT" w:eastAsia="es-GT" w:bidi="es-GT"/>
      </w:rPr>
    </w:lvl>
    <w:lvl w:ilvl="7" w:tplc="441E9302">
      <w:numFmt w:val="bullet"/>
      <w:lvlText w:val="•"/>
      <w:lvlJc w:val="left"/>
      <w:pPr>
        <w:ind w:left="6476" w:hanging="360"/>
      </w:pPr>
      <w:rPr>
        <w:rFonts w:hint="default"/>
        <w:lang w:val="es-GT" w:eastAsia="es-GT" w:bidi="es-GT"/>
      </w:rPr>
    </w:lvl>
    <w:lvl w:ilvl="8" w:tplc="57B89120">
      <w:numFmt w:val="bullet"/>
      <w:lvlText w:val="•"/>
      <w:lvlJc w:val="left"/>
      <w:pPr>
        <w:ind w:left="7335" w:hanging="360"/>
      </w:pPr>
      <w:rPr>
        <w:rFonts w:hint="default"/>
        <w:lang w:val="es-GT" w:eastAsia="es-GT" w:bidi="es-GT"/>
      </w:rPr>
    </w:lvl>
  </w:abstractNum>
  <w:abstractNum w:abstractNumId="1" w15:restartNumberingAfterBreak="0">
    <w:nsid w:val="071C7630"/>
    <w:multiLevelType w:val="hybridMultilevel"/>
    <w:tmpl w:val="D8B05DD0"/>
    <w:lvl w:ilvl="0" w:tplc="100A0003">
      <w:start w:val="1"/>
      <w:numFmt w:val="bullet"/>
      <w:lvlText w:val="o"/>
      <w:lvlJc w:val="left"/>
      <w:pPr>
        <w:ind w:left="720" w:hanging="360"/>
      </w:pPr>
      <w:rPr>
        <w:rFonts w:ascii="Courier New" w:hAnsi="Courier New" w:hint="default"/>
      </w:rPr>
    </w:lvl>
    <w:lvl w:ilvl="1" w:tplc="100A0003" w:tentative="1">
      <w:start w:val="1"/>
      <w:numFmt w:val="bullet"/>
      <w:lvlText w:val="o"/>
      <w:lvlJc w:val="left"/>
      <w:pPr>
        <w:ind w:left="1440" w:hanging="360"/>
      </w:pPr>
      <w:rPr>
        <w:rFonts w:ascii="Courier New" w:hAnsi="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 w15:restartNumberingAfterBreak="0">
    <w:nsid w:val="08A962A9"/>
    <w:multiLevelType w:val="hybridMultilevel"/>
    <w:tmpl w:val="4F4CAE42"/>
    <w:lvl w:ilvl="0" w:tplc="100A0001">
      <w:start w:val="1"/>
      <w:numFmt w:val="bullet"/>
      <w:lvlText w:val=""/>
      <w:lvlJc w:val="left"/>
      <w:pPr>
        <w:ind w:left="786" w:hanging="360"/>
      </w:pPr>
      <w:rPr>
        <w:rFonts w:ascii="Symbol" w:hAnsi="Symbol" w:hint="default"/>
      </w:rPr>
    </w:lvl>
    <w:lvl w:ilvl="1" w:tplc="100A0003" w:tentative="1">
      <w:start w:val="1"/>
      <w:numFmt w:val="bullet"/>
      <w:lvlText w:val="o"/>
      <w:lvlJc w:val="left"/>
      <w:pPr>
        <w:ind w:left="1506" w:hanging="360"/>
      </w:pPr>
      <w:rPr>
        <w:rFonts w:ascii="Courier New" w:hAnsi="Courier New" w:cs="Courier New" w:hint="default"/>
      </w:rPr>
    </w:lvl>
    <w:lvl w:ilvl="2" w:tplc="100A0005" w:tentative="1">
      <w:start w:val="1"/>
      <w:numFmt w:val="bullet"/>
      <w:lvlText w:val=""/>
      <w:lvlJc w:val="left"/>
      <w:pPr>
        <w:ind w:left="2226" w:hanging="360"/>
      </w:pPr>
      <w:rPr>
        <w:rFonts w:ascii="Wingdings" w:hAnsi="Wingdings" w:hint="default"/>
      </w:rPr>
    </w:lvl>
    <w:lvl w:ilvl="3" w:tplc="100A0001" w:tentative="1">
      <w:start w:val="1"/>
      <w:numFmt w:val="bullet"/>
      <w:lvlText w:val=""/>
      <w:lvlJc w:val="left"/>
      <w:pPr>
        <w:ind w:left="2946" w:hanging="360"/>
      </w:pPr>
      <w:rPr>
        <w:rFonts w:ascii="Symbol" w:hAnsi="Symbol" w:hint="default"/>
      </w:rPr>
    </w:lvl>
    <w:lvl w:ilvl="4" w:tplc="100A0003" w:tentative="1">
      <w:start w:val="1"/>
      <w:numFmt w:val="bullet"/>
      <w:lvlText w:val="o"/>
      <w:lvlJc w:val="left"/>
      <w:pPr>
        <w:ind w:left="3666" w:hanging="360"/>
      </w:pPr>
      <w:rPr>
        <w:rFonts w:ascii="Courier New" w:hAnsi="Courier New" w:cs="Courier New" w:hint="default"/>
      </w:rPr>
    </w:lvl>
    <w:lvl w:ilvl="5" w:tplc="100A0005" w:tentative="1">
      <w:start w:val="1"/>
      <w:numFmt w:val="bullet"/>
      <w:lvlText w:val=""/>
      <w:lvlJc w:val="left"/>
      <w:pPr>
        <w:ind w:left="4386" w:hanging="360"/>
      </w:pPr>
      <w:rPr>
        <w:rFonts w:ascii="Wingdings" w:hAnsi="Wingdings" w:hint="default"/>
      </w:rPr>
    </w:lvl>
    <w:lvl w:ilvl="6" w:tplc="100A0001" w:tentative="1">
      <w:start w:val="1"/>
      <w:numFmt w:val="bullet"/>
      <w:lvlText w:val=""/>
      <w:lvlJc w:val="left"/>
      <w:pPr>
        <w:ind w:left="5106" w:hanging="360"/>
      </w:pPr>
      <w:rPr>
        <w:rFonts w:ascii="Symbol" w:hAnsi="Symbol" w:hint="default"/>
      </w:rPr>
    </w:lvl>
    <w:lvl w:ilvl="7" w:tplc="100A0003" w:tentative="1">
      <w:start w:val="1"/>
      <w:numFmt w:val="bullet"/>
      <w:lvlText w:val="o"/>
      <w:lvlJc w:val="left"/>
      <w:pPr>
        <w:ind w:left="5826" w:hanging="360"/>
      </w:pPr>
      <w:rPr>
        <w:rFonts w:ascii="Courier New" w:hAnsi="Courier New" w:cs="Courier New" w:hint="default"/>
      </w:rPr>
    </w:lvl>
    <w:lvl w:ilvl="8" w:tplc="100A0005" w:tentative="1">
      <w:start w:val="1"/>
      <w:numFmt w:val="bullet"/>
      <w:lvlText w:val=""/>
      <w:lvlJc w:val="left"/>
      <w:pPr>
        <w:ind w:left="6546" w:hanging="360"/>
      </w:pPr>
      <w:rPr>
        <w:rFonts w:ascii="Wingdings" w:hAnsi="Wingdings" w:hint="default"/>
      </w:rPr>
    </w:lvl>
  </w:abstractNum>
  <w:abstractNum w:abstractNumId="3" w15:restartNumberingAfterBreak="0">
    <w:nsid w:val="097B59DE"/>
    <w:multiLevelType w:val="hybridMultilevel"/>
    <w:tmpl w:val="F544DA0A"/>
    <w:lvl w:ilvl="0" w:tplc="7FF41B3A">
      <w:start w:val="1"/>
      <w:numFmt w:val="upp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15:restartNumberingAfterBreak="0">
    <w:nsid w:val="0E2F502C"/>
    <w:multiLevelType w:val="hybridMultilevel"/>
    <w:tmpl w:val="CE74DBAC"/>
    <w:lvl w:ilvl="0" w:tplc="100A0001">
      <w:start w:val="1"/>
      <w:numFmt w:val="bullet"/>
      <w:lvlText w:val=""/>
      <w:lvlJc w:val="left"/>
      <w:pPr>
        <w:ind w:left="720" w:hanging="360"/>
      </w:pPr>
      <w:rPr>
        <w:rFonts w:ascii="Symbol" w:hAnsi="Symbol" w:hint="default"/>
        <w:w w:val="100"/>
        <w:sz w:val="22"/>
        <w:szCs w:val="22"/>
        <w:lang w:val="es-GT" w:eastAsia="es-GT" w:bidi="es-GT"/>
      </w:rPr>
    </w:lvl>
    <w:lvl w:ilvl="1" w:tplc="100A0003">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5" w15:restartNumberingAfterBreak="0">
    <w:nsid w:val="0E946FC2"/>
    <w:multiLevelType w:val="hybridMultilevel"/>
    <w:tmpl w:val="686A3886"/>
    <w:lvl w:ilvl="0" w:tplc="100A0003">
      <w:start w:val="1"/>
      <w:numFmt w:val="bullet"/>
      <w:lvlText w:val="o"/>
      <w:lvlJc w:val="left"/>
      <w:pPr>
        <w:ind w:left="1211" w:hanging="360"/>
      </w:pPr>
      <w:rPr>
        <w:rFonts w:ascii="Courier New" w:hAnsi="Courier New" w:cs="Courier New" w:hint="default"/>
      </w:rPr>
    </w:lvl>
    <w:lvl w:ilvl="1" w:tplc="100A0003" w:tentative="1">
      <w:start w:val="1"/>
      <w:numFmt w:val="bullet"/>
      <w:lvlText w:val="o"/>
      <w:lvlJc w:val="left"/>
      <w:pPr>
        <w:ind w:left="1931" w:hanging="360"/>
      </w:pPr>
      <w:rPr>
        <w:rFonts w:ascii="Courier New" w:hAnsi="Courier New" w:cs="Courier New" w:hint="default"/>
      </w:rPr>
    </w:lvl>
    <w:lvl w:ilvl="2" w:tplc="100A0005" w:tentative="1">
      <w:start w:val="1"/>
      <w:numFmt w:val="bullet"/>
      <w:lvlText w:val=""/>
      <w:lvlJc w:val="left"/>
      <w:pPr>
        <w:ind w:left="2651" w:hanging="360"/>
      </w:pPr>
      <w:rPr>
        <w:rFonts w:ascii="Wingdings" w:hAnsi="Wingdings" w:hint="default"/>
      </w:rPr>
    </w:lvl>
    <w:lvl w:ilvl="3" w:tplc="100A0001" w:tentative="1">
      <w:start w:val="1"/>
      <w:numFmt w:val="bullet"/>
      <w:lvlText w:val=""/>
      <w:lvlJc w:val="left"/>
      <w:pPr>
        <w:ind w:left="3371" w:hanging="360"/>
      </w:pPr>
      <w:rPr>
        <w:rFonts w:ascii="Symbol" w:hAnsi="Symbol" w:hint="default"/>
      </w:rPr>
    </w:lvl>
    <w:lvl w:ilvl="4" w:tplc="100A0003" w:tentative="1">
      <w:start w:val="1"/>
      <w:numFmt w:val="bullet"/>
      <w:lvlText w:val="o"/>
      <w:lvlJc w:val="left"/>
      <w:pPr>
        <w:ind w:left="4091" w:hanging="360"/>
      </w:pPr>
      <w:rPr>
        <w:rFonts w:ascii="Courier New" w:hAnsi="Courier New" w:cs="Courier New" w:hint="default"/>
      </w:rPr>
    </w:lvl>
    <w:lvl w:ilvl="5" w:tplc="100A0005" w:tentative="1">
      <w:start w:val="1"/>
      <w:numFmt w:val="bullet"/>
      <w:lvlText w:val=""/>
      <w:lvlJc w:val="left"/>
      <w:pPr>
        <w:ind w:left="4811" w:hanging="360"/>
      </w:pPr>
      <w:rPr>
        <w:rFonts w:ascii="Wingdings" w:hAnsi="Wingdings" w:hint="default"/>
      </w:rPr>
    </w:lvl>
    <w:lvl w:ilvl="6" w:tplc="100A0001" w:tentative="1">
      <w:start w:val="1"/>
      <w:numFmt w:val="bullet"/>
      <w:lvlText w:val=""/>
      <w:lvlJc w:val="left"/>
      <w:pPr>
        <w:ind w:left="5531" w:hanging="360"/>
      </w:pPr>
      <w:rPr>
        <w:rFonts w:ascii="Symbol" w:hAnsi="Symbol" w:hint="default"/>
      </w:rPr>
    </w:lvl>
    <w:lvl w:ilvl="7" w:tplc="100A0003" w:tentative="1">
      <w:start w:val="1"/>
      <w:numFmt w:val="bullet"/>
      <w:lvlText w:val="o"/>
      <w:lvlJc w:val="left"/>
      <w:pPr>
        <w:ind w:left="6251" w:hanging="360"/>
      </w:pPr>
      <w:rPr>
        <w:rFonts w:ascii="Courier New" w:hAnsi="Courier New" w:cs="Courier New" w:hint="default"/>
      </w:rPr>
    </w:lvl>
    <w:lvl w:ilvl="8" w:tplc="100A0005" w:tentative="1">
      <w:start w:val="1"/>
      <w:numFmt w:val="bullet"/>
      <w:lvlText w:val=""/>
      <w:lvlJc w:val="left"/>
      <w:pPr>
        <w:ind w:left="6971" w:hanging="360"/>
      </w:pPr>
      <w:rPr>
        <w:rFonts w:ascii="Wingdings" w:hAnsi="Wingdings" w:hint="default"/>
      </w:rPr>
    </w:lvl>
  </w:abstractNum>
  <w:abstractNum w:abstractNumId="6" w15:restartNumberingAfterBreak="0">
    <w:nsid w:val="0EEF0FFB"/>
    <w:multiLevelType w:val="hybridMultilevel"/>
    <w:tmpl w:val="673CD208"/>
    <w:lvl w:ilvl="0" w:tplc="100A0001">
      <w:start w:val="1"/>
      <w:numFmt w:val="bullet"/>
      <w:lvlText w:val=""/>
      <w:lvlJc w:val="left"/>
      <w:pPr>
        <w:ind w:left="720" w:hanging="360"/>
      </w:pPr>
      <w:rPr>
        <w:rFonts w:ascii="Symbol" w:hAnsi="Symbol" w:hint="default"/>
        <w:w w:val="100"/>
        <w:sz w:val="22"/>
        <w:szCs w:val="22"/>
        <w:lang w:val="es-GT" w:eastAsia="es-GT" w:bidi="es-GT"/>
      </w:rPr>
    </w:lvl>
    <w:lvl w:ilvl="1" w:tplc="100A0003">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7" w15:restartNumberingAfterBreak="0">
    <w:nsid w:val="13665B5A"/>
    <w:multiLevelType w:val="hybridMultilevel"/>
    <w:tmpl w:val="8A7EA930"/>
    <w:lvl w:ilvl="0" w:tplc="100A0003">
      <w:start w:val="1"/>
      <w:numFmt w:val="bullet"/>
      <w:lvlText w:val="o"/>
      <w:lvlJc w:val="left"/>
      <w:pPr>
        <w:ind w:left="720" w:hanging="360"/>
      </w:pPr>
      <w:rPr>
        <w:rFonts w:ascii="Courier New" w:hAnsi="Courier New" w:cs="Courier New"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8" w15:restartNumberingAfterBreak="0">
    <w:nsid w:val="14105CA9"/>
    <w:multiLevelType w:val="hybridMultilevel"/>
    <w:tmpl w:val="6AACB18C"/>
    <w:lvl w:ilvl="0" w:tplc="3CF28AFA">
      <w:start w:val="1"/>
      <w:numFmt w:val="decimal"/>
      <w:pStyle w:val="ParagraphNumbering"/>
      <w:lvlText w:val="%1.     "/>
      <w:lvlJc w:val="left"/>
      <w:pPr>
        <w:tabs>
          <w:tab w:val="num" w:pos="720"/>
        </w:tabs>
      </w:pPr>
      <w:rPr>
        <w:rFonts w:cs="Times New Roman" w:hint="default"/>
      </w:rPr>
    </w:lvl>
    <w:lvl w:ilvl="1" w:tplc="0409000F">
      <w:start w:val="1"/>
      <w:numFmt w:val="decimal"/>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 w15:restartNumberingAfterBreak="0">
    <w:nsid w:val="146467E7"/>
    <w:multiLevelType w:val="hybridMultilevel"/>
    <w:tmpl w:val="AAD4114A"/>
    <w:lvl w:ilvl="0" w:tplc="100A0003">
      <w:start w:val="1"/>
      <w:numFmt w:val="bullet"/>
      <w:lvlText w:val="o"/>
      <w:lvlJc w:val="left"/>
      <w:pPr>
        <w:ind w:left="1440" w:hanging="360"/>
      </w:pPr>
      <w:rPr>
        <w:rFonts w:ascii="Courier New" w:hAnsi="Courier New" w:cs="Courier New" w:hint="default"/>
      </w:rPr>
    </w:lvl>
    <w:lvl w:ilvl="1" w:tplc="100A0003">
      <w:start w:val="1"/>
      <w:numFmt w:val="bullet"/>
      <w:lvlText w:val="o"/>
      <w:lvlJc w:val="left"/>
      <w:pPr>
        <w:ind w:left="2160" w:hanging="360"/>
      </w:pPr>
      <w:rPr>
        <w:rFonts w:ascii="Courier New" w:hAnsi="Courier New" w:cs="Courier New" w:hint="default"/>
      </w:rPr>
    </w:lvl>
    <w:lvl w:ilvl="2" w:tplc="100A0005" w:tentative="1">
      <w:start w:val="1"/>
      <w:numFmt w:val="bullet"/>
      <w:lvlText w:val=""/>
      <w:lvlJc w:val="left"/>
      <w:pPr>
        <w:ind w:left="2880" w:hanging="360"/>
      </w:pPr>
      <w:rPr>
        <w:rFonts w:ascii="Wingdings" w:hAnsi="Wingdings" w:hint="default"/>
      </w:rPr>
    </w:lvl>
    <w:lvl w:ilvl="3" w:tplc="100A0001" w:tentative="1">
      <w:start w:val="1"/>
      <w:numFmt w:val="bullet"/>
      <w:lvlText w:val=""/>
      <w:lvlJc w:val="left"/>
      <w:pPr>
        <w:ind w:left="3600" w:hanging="360"/>
      </w:pPr>
      <w:rPr>
        <w:rFonts w:ascii="Symbol" w:hAnsi="Symbol" w:hint="default"/>
      </w:rPr>
    </w:lvl>
    <w:lvl w:ilvl="4" w:tplc="100A0003" w:tentative="1">
      <w:start w:val="1"/>
      <w:numFmt w:val="bullet"/>
      <w:lvlText w:val="o"/>
      <w:lvlJc w:val="left"/>
      <w:pPr>
        <w:ind w:left="4320" w:hanging="360"/>
      </w:pPr>
      <w:rPr>
        <w:rFonts w:ascii="Courier New" w:hAnsi="Courier New" w:cs="Courier New" w:hint="default"/>
      </w:rPr>
    </w:lvl>
    <w:lvl w:ilvl="5" w:tplc="100A0005" w:tentative="1">
      <w:start w:val="1"/>
      <w:numFmt w:val="bullet"/>
      <w:lvlText w:val=""/>
      <w:lvlJc w:val="left"/>
      <w:pPr>
        <w:ind w:left="5040" w:hanging="360"/>
      </w:pPr>
      <w:rPr>
        <w:rFonts w:ascii="Wingdings" w:hAnsi="Wingdings" w:hint="default"/>
      </w:rPr>
    </w:lvl>
    <w:lvl w:ilvl="6" w:tplc="100A0001" w:tentative="1">
      <w:start w:val="1"/>
      <w:numFmt w:val="bullet"/>
      <w:lvlText w:val=""/>
      <w:lvlJc w:val="left"/>
      <w:pPr>
        <w:ind w:left="5760" w:hanging="360"/>
      </w:pPr>
      <w:rPr>
        <w:rFonts w:ascii="Symbol" w:hAnsi="Symbol" w:hint="default"/>
      </w:rPr>
    </w:lvl>
    <w:lvl w:ilvl="7" w:tplc="100A0003" w:tentative="1">
      <w:start w:val="1"/>
      <w:numFmt w:val="bullet"/>
      <w:lvlText w:val="o"/>
      <w:lvlJc w:val="left"/>
      <w:pPr>
        <w:ind w:left="6480" w:hanging="360"/>
      </w:pPr>
      <w:rPr>
        <w:rFonts w:ascii="Courier New" w:hAnsi="Courier New" w:cs="Courier New" w:hint="default"/>
      </w:rPr>
    </w:lvl>
    <w:lvl w:ilvl="8" w:tplc="100A0005" w:tentative="1">
      <w:start w:val="1"/>
      <w:numFmt w:val="bullet"/>
      <w:lvlText w:val=""/>
      <w:lvlJc w:val="left"/>
      <w:pPr>
        <w:ind w:left="7200" w:hanging="360"/>
      </w:pPr>
      <w:rPr>
        <w:rFonts w:ascii="Wingdings" w:hAnsi="Wingdings" w:hint="default"/>
      </w:rPr>
    </w:lvl>
  </w:abstractNum>
  <w:abstractNum w:abstractNumId="10" w15:restartNumberingAfterBreak="0">
    <w:nsid w:val="1583071A"/>
    <w:multiLevelType w:val="hybridMultilevel"/>
    <w:tmpl w:val="542C8D54"/>
    <w:lvl w:ilvl="0" w:tplc="100A001B">
      <w:start w:val="1"/>
      <w:numFmt w:val="lowerRoman"/>
      <w:lvlText w:val="%1."/>
      <w:lvlJc w:val="right"/>
      <w:pPr>
        <w:ind w:left="720" w:hanging="360"/>
      </w:pPr>
      <w:rPr>
        <w:rFonts w:cs="Times New Roman"/>
      </w:rPr>
    </w:lvl>
    <w:lvl w:ilvl="1" w:tplc="100A0019" w:tentative="1">
      <w:start w:val="1"/>
      <w:numFmt w:val="lowerLetter"/>
      <w:lvlText w:val="%2."/>
      <w:lvlJc w:val="left"/>
      <w:pPr>
        <w:ind w:left="1440" w:hanging="360"/>
      </w:pPr>
      <w:rPr>
        <w:rFonts w:cs="Times New Roman"/>
      </w:rPr>
    </w:lvl>
    <w:lvl w:ilvl="2" w:tplc="100A001B" w:tentative="1">
      <w:start w:val="1"/>
      <w:numFmt w:val="lowerRoman"/>
      <w:lvlText w:val="%3."/>
      <w:lvlJc w:val="right"/>
      <w:pPr>
        <w:ind w:left="2160" w:hanging="180"/>
      </w:pPr>
      <w:rPr>
        <w:rFonts w:cs="Times New Roman"/>
      </w:rPr>
    </w:lvl>
    <w:lvl w:ilvl="3" w:tplc="100A000F" w:tentative="1">
      <w:start w:val="1"/>
      <w:numFmt w:val="decimal"/>
      <w:lvlText w:val="%4."/>
      <w:lvlJc w:val="left"/>
      <w:pPr>
        <w:ind w:left="2880" w:hanging="360"/>
      </w:pPr>
      <w:rPr>
        <w:rFonts w:cs="Times New Roman"/>
      </w:rPr>
    </w:lvl>
    <w:lvl w:ilvl="4" w:tplc="100A0019" w:tentative="1">
      <w:start w:val="1"/>
      <w:numFmt w:val="lowerLetter"/>
      <w:lvlText w:val="%5."/>
      <w:lvlJc w:val="left"/>
      <w:pPr>
        <w:ind w:left="3600" w:hanging="360"/>
      </w:pPr>
      <w:rPr>
        <w:rFonts w:cs="Times New Roman"/>
      </w:rPr>
    </w:lvl>
    <w:lvl w:ilvl="5" w:tplc="100A001B" w:tentative="1">
      <w:start w:val="1"/>
      <w:numFmt w:val="lowerRoman"/>
      <w:lvlText w:val="%6."/>
      <w:lvlJc w:val="right"/>
      <w:pPr>
        <w:ind w:left="4320" w:hanging="180"/>
      </w:pPr>
      <w:rPr>
        <w:rFonts w:cs="Times New Roman"/>
      </w:rPr>
    </w:lvl>
    <w:lvl w:ilvl="6" w:tplc="100A000F" w:tentative="1">
      <w:start w:val="1"/>
      <w:numFmt w:val="decimal"/>
      <w:lvlText w:val="%7."/>
      <w:lvlJc w:val="left"/>
      <w:pPr>
        <w:ind w:left="5040" w:hanging="360"/>
      </w:pPr>
      <w:rPr>
        <w:rFonts w:cs="Times New Roman"/>
      </w:rPr>
    </w:lvl>
    <w:lvl w:ilvl="7" w:tplc="100A0019" w:tentative="1">
      <w:start w:val="1"/>
      <w:numFmt w:val="lowerLetter"/>
      <w:lvlText w:val="%8."/>
      <w:lvlJc w:val="left"/>
      <w:pPr>
        <w:ind w:left="5760" w:hanging="360"/>
      </w:pPr>
      <w:rPr>
        <w:rFonts w:cs="Times New Roman"/>
      </w:rPr>
    </w:lvl>
    <w:lvl w:ilvl="8" w:tplc="100A001B" w:tentative="1">
      <w:start w:val="1"/>
      <w:numFmt w:val="lowerRoman"/>
      <w:lvlText w:val="%9."/>
      <w:lvlJc w:val="right"/>
      <w:pPr>
        <w:ind w:left="6480" w:hanging="180"/>
      </w:pPr>
      <w:rPr>
        <w:rFonts w:cs="Times New Roman"/>
      </w:rPr>
    </w:lvl>
  </w:abstractNum>
  <w:abstractNum w:abstractNumId="11" w15:restartNumberingAfterBreak="0">
    <w:nsid w:val="1CAF1A46"/>
    <w:multiLevelType w:val="hybridMultilevel"/>
    <w:tmpl w:val="463E314A"/>
    <w:lvl w:ilvl="0" w:tplc="100A0003">
      <w:start w:val="1"/>
      <w:numFmt w:val="bullet"/>
      <w:lvlText w:val="o"/>
      <w:lvlJc w:val="left"/>
      <w:pPr>
        <w:ind w:left="720" w:hanging="360"/>
      </w:pPr>
      <w:rPr>
        <w:rFonts w:ascii="Courier New" w:hAnsi="Courier New" w:cs="Courier New"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2" w15:restartNumberingAfterBreak="0">
    <w:nsid w:val="1E710C8C"/>
    <w:multiLevelType w:val="hybridMultilevel"/>
    <w:tmpl w:val="25EE68CA"/>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3" w15:restartNumberingAfterBreak="0">
    <w:nsid w:val="26B4131C"/>
    <w:multiLevelType w:val="hybridMultilevel"/>
    <w:tmpl w:val="C06C786C"/>
    <w:lvl w:ilvl="0" w:tplc="100A0001">
      <w:start w:val="1"/>
      <w:numFmt w:val="bullet"/>
      <w:lvlText w:val=""/>
      <w:lvlJc w:val="left"/>
      <w:pPr>
        <w:ind w:left="720" w:hanging="360"/>
      </w:pPr>
      <w:rPr>
        <w:rFonts w:ascii="Symbol" w:hAnsi="Symbol" w:hint="default"/>
      </w:rPr>
    </w:lvl>
    <w:lvl w:ilvl="1" w:tplc="100A0003">
      <w:start w:val="1"/>
      <w:numFmt w:val="bullet"/>
      <w:lvlText w:val="o"/>
      <w:lvlJc w:val="left"/>
      <w:pPr>
        <w:ind w:left="1440" w:hanging="360"/>
      </w:pPr>
      <w:rPr>
        <w:rFonts w:ascii="Courier New" w:hAnsi="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4" w15:restartNumberingAfterBreak="0">
    <w:nsid w:val="282D1172"/>
    <w:multiLevelType w:val="multilevel"/>
    <w:tmpl w:val="AD36618A"/>
    <w:lvl w:ilvl="0">
      <w:start w:val="1"/>
      <w:numFmt w:val="decimal"/>
      <w:lvlText w:val="%1."/>
      <w:lvlJc w:val="left"/>
      <w:pPr>
        <w:ind w:left="360" w:hanging="360"/>
      </w:pPr>
      <w:rPr>
        <w:sz w:val="24"/>
        <w:szCs w:val="24"/>
      </w:rPr>
    </w:lvl>
    <w:lvl w:ilvl="1">
      <w:start w:val="1"/>
      <w:numFmt w:val="decimal"/>
      <w:lvlText w:val="%1.%2."/>
      <w:lvlJc w:val="left"/>
      <w:pPr>
        <w:ind w:left="792" w:hanging="432"/>
      </w:pPr>
      <w:rPr>
        <w:b/>
        <w:bCs/>
        <w:sz w:val="24"/>
        <w:szCs w:val="24"/>
      </w:rPr>
    </w:lvl>
    <w:lvl w:ilvl="2">
      <w:start w:val="1"/>
      <w:numFmt w:val="decimal"/>
      <w:lvlText w:val="%1.%2.%3."/>
      <w:lvlJc w:val="left"/>
      <w:pPr>
        <w:ind w:left="1224" w:hanging="504"/>
      </w:pPr>
      <w:rPr>
        <w:b/>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8F85978"/>
    <w:multiLevelType w:val="hybridMultilevel"/>
    <w:tmpl w:val="33F6F68C"/>
    <w:lvl w:ilvl="0" w:tplc="100A0003">
      <w:start w:val="1"/>
      <w:numFmt w:val="bullet"/>
      <w:lvlText w:val="o"/>
      <w:lvlJc w:val="left"/>
      <w:pPr>
        <w:ind w:left="720" w:hanging="360"/>
      </w:pPr>
      <w:rPr>
        <w:rFonts w:ascii="Courier New" w:hAnsi="Courier New" w:cs="Courier New"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6" w15:restartNumberingAfterBreak="0">
    <w:nsid w:val="2B004D00"/>
    <w:multiLevelType w:val="hybridMultilevel"/>
    <w:tmpl w:val="5C5CB8EC"/>
    <w:lvl w:ilvl="0" w:tplc="100A0003">
      <w:start w:val="1"/>
      <w:numFmt w:val="bullet"/>
      <w:lvlText w:val="o"/>
      <w:lvlJc w:val="left"/>
      <w:pPr>
        <w:ind w:left="720" w:hanging="360"/>
      </w:pPr>
      <w:rPr>
        <w:rFonts w:ascii="Courier New" w:hAnsi="Courier New" w:cs="Courier New"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7" w15:restartNumberingAfterBreak="0">
    <w:nsid w:val="2EB9326D"/>
    <w:multiLevelType w:val="hybridMultilevel"/>
    <w:tmpl w:val="86026B50"/>
    <w:lvl w:ilvl="0" w:tplc="100A0001">
      <w:start w:val="1"/>
      <w:numFmt w:val="bullet"/>
      <w:lvlText w:val=""/>
      <w:lvlJc w:val="left"/>
      <w:pPr>
        <w:ind w:left="786" w:hanging="360"/>
      </w:pPr>
      <w:rPr>
        <w:rFonts w:ascii="Symbol" w:hAnsi="Symbol" w:hint="default"/>
      </w:rPr>
    </w:lvl>
    <w:lvl w:ilvl="1" w:tplc="100A0003" w:tentative="1">
      <w:start w:val="1"/>
      <w:numFmt w:val="bullet"/>
      <w:lvlText w:val="o"/>
      <w:lvlJc w:val="left"/>
      <w:pPr>
        <w:ind w:left="1506" w:hanging="360"/>
      </w:pPr>
      <w:rPr>
        <w:rFonts w:ascii="Courier New" w:hAnsi="Courier New" w:cs="Courier New" w:hint="default"/>
      </w:rPr>
    </w:lvl>
    <w:lvl w:ilvl="2" w:tplc="100A0005" w:tentative="1">
      <w:start w:val="1"/>
      <w:numFmt w:val="bullet"/>
      <w:lvlText w:val=""/>
      <w:lvlJc w:val="left"/>
      <w:pPr>
        <w:ind w:left="2226" w:hanging="360"/>
      </w:pPr>
      <w:rPr>
        <w:rFonts w:ascii="Wingdings" w:hAnsi="Wingdings" w:hint="default"/>
      </w:rPr>
    </w:lvl>
    <w:lvl w:ilvl="3" w:tplc="100A0001" w:tentative="1">
      <w:start w:val="1"/>
      <w:numFmt w:val="bullet"/>
      <w:lvlText w:val=""/>
      <w:lvlJc w:val="left"/>
      <w:pPr>
        <w:ind w:left="2946" w:hanging="360"/>
      </w:pPr>
      <w:rPr>
        <w:rFonts w:ascii="Symbol" w:hAnsi="Symbol" w:hint="default"/>
      </w:rPr>
    </w:lvl>
    <w:lvl w:ilvl="4" w:tplc="100A0003" w:tentative="1">
      <w:start w:val="1"/>
      <w:numFmt w:val="bullet"/>
      <w:lvlText w:val="o"/>
      <w:lvlJc w:val="left"/>
      <w:pPr>
        <w:ind w:left="3666" w:hanging="360"/>
      </w:pPr>
      <w:rPr>
        <w:rFonts w:ascii="Courier New" w:hAnsi="Courier New" w:cs="Courier New" w:hint="default"/>
      </w:rPr>
    </w:lvl>
    <w:lvl w:ilvl="5" w:tplc="100A0005" w:tentative="1">
      <w:start w:val="1"/>
      <w:numFmt w:val="bullet"/>
      <w:lvlText w:val=""/>
      <w:lvlJc w:val="left"/>
      <w:pPr>
        <w:ind w:left="4386" w:hanging="360"/>
      </w:pPr>
      <w:rPr>
        <w:rFonts w:ascii="Wingdings" w:hAnsi="Wingdings" w:hint="default"/>
      </w:rPr>
    </w:lvl>
    <w:lvl w:ilvl="6" w:tplc="100A0001" w:tentative="1">
      <w:start w:val="1"/>
      <w:numFmt w:val="bullet"/>
      <w:lvlText w:val=""/>
      <w:lvlJc w:val="left"/>
      <w:pPr>
        <w:ind w:left="5106" w:hanging="360"/>
      </w:pPr>
      <w:rPr>
        <w:rFonts w:ascii="Symbol" w:hAnsi="Symbol" w:hint="default"/>
      </w:rPr>
    </w:lvl>
    <w:lvl w:ilvl="7" w:tplc="100A0003" w:tentative="1">
      <w:start w:val="1"/>
      <w:numFmt w:val="bullet"/>
      <w:lvlText w:val="o"/>
      <w:lvlJc w:val="left"/>
      <w:pPr>
        <w:ind w:left="5826" w:hanging="360"/>
      </w:pPr>
      <w:rPr>
        <w:rFonts w:ascii="Courier New" w:hAnsi="Courier New" w:cs="Courier New" w:hint="default"/>
      </w:rPr>
    </w:lvl>
    <w:lvl w:ilvl="8" w:tplc="100A0005" w:tentative="1">
      <w:start w:val="1"/>
      <w:numFmt w:val="bullet"/>
      <w:lvlText w:val=""/>
      <w:lvlJc w:val="left"/>
      <w:pPr>
        <w:ind w:left="6546" w:hanging="360"/>
      </w:pPr>
      <w:rPr>
        <w:rFonts w:ascii="Wingdings" w:hAnsi="Wingdings" w:hint="default"/>
      </w:rPr>
    </w:lvl>
  </w:abstractNum>
  <w:abstractNum w:abstractNumId="18" w15:restartNumberingAfterBreak="0">
    <w:nsid w:val="2F806FDB"/>
    <w:multiLevelType w:val="hybridMultilevel"/>
    <w:tmpl w:val="E9B8B89A"/>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9" w15:restartNumberingAfterBreak="0">
    <w:nsid w:val="308C2866"/>
    <w:multiLevelType w:val="hybridMultilevel"/>
    <w:tmpl w:val="05DAFC02"/>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0" w15:restartNumberingAfterBreak="0">
    <w:nsid w:val="37D8094F"/>
    <w:multiLevelType w:val="hybridMultilevel"/>
    <w:tmpl w:val="964A0A22"/>
    <w:lvl w:ilvl="0" w:tplc="100A0003">
      <w:start w:val="1"/>
      <w:numFmt w:val="bullet"/>
      <w:lvlText w:val="o"/>
      <w:lvlJc w:val="left"/>
      <w:pPr>
        <w:ind w:left="720" w:hanging="360"/>
      </w:pPr>
      <w:rPr>
        <w:rFonts w:ascii="Courier New" w:hAnsi="Courier New" w:cs="Courier New"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1" w15:restartNumberingAfterBreak="0">
    <w:nsid w:val="3AEF31B5"/>
    <w:multiLevelType w:val="hybridMultilevel"/>
    <w:tmpl w:val="62CCAFA8"/>
    <w:lvl w:ilvl="0" w:tplc="100A0003">
      <w:start w:val="1"/>
      <w:numFmt w:val="bullet"/>
      <w:lvlText w:val="o"/>
      <w:lvlJc w:val="left"/>
      <w:pPr>
        <w:ind w:left="720" w:hanging="360"/>
      </w:pPr>
      <w:rPr>
        <w:rFonts w:ascii="Courier New" w:hAnsi="Courier New" w:cs="Courier New"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2" w15:restartNumberingAfterBreak="0">
    <w:nsid w:val="3CD85B76"/>
    <w:multiLevelType w:val="hybridMultilevel"/>
    <w:tmpl w:val="F82095B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3" w15:restartNumberingAfterBreak="0">
    <w:nsid w:val="3E4C1FFA"/>
    <w:multiLevelType w:val="hybridMultilevel"/>
    <w:tmpl w:val="F96068F8"/>
    <w:lvl w:ilvl="0" w:tplc="100A0003">
      <w:start w:val="1"/>
      <w:numFmt w:val="bullet"/>
      <w:lvlText w:val="o"/>
      <w:lvlJc w:val="left"/>
      <w:pPr>
        <w:ind w:left="1211" w:hanging="360"/>
      </w:pPr>
      <w:rPr>
        <w:rFonts w:ascii="Courier New" w:hAnsi="Courier New" w:cs="Courier New" w:hint="default"/>
      </w:rPr>
    </w:lvl>
    <w:lvl w:ilvl="1" w:tplc="100A0003" w:tentative="1">
      <w:start w:val="1"/>
      <w:numFmt w:val="bullet"/>
      <w:lvlText w:val="o"/>
      <w:lvlJc w:val="left"/>
      <w:pPr>
        <w:ind w:left="1931" w:hanging="360"/>
      </w:pPr>
      <w:rPr>
        <w:rFonts w:ascii="Courier New" w:hAnsi="Courier New" w:cs="Courier New" w:hint="default"/>
      </w:rPr>
    </w:lvl>
    <w:lvl w:ilvl="2" w:tplc="100A0005" w:tentative="1">
      <w:start w:val="1"/>
      <w:numFmt w:val="bullet"/>
      <w:lvlText w:val=""/>
      <w:lvlJc w:val="left"/>
      <w:pPr>
        <w:ind w:left="2651" w:hanging="360"/>
      </w:pPr>
      <w:rPr>
        <w:rFonts w:ascii="Wingdings" w:hAnsi="Wingdings" w:hint="default"/>
      </w:rPr>
    </w:lvl>
    <w:lvl w:ilvl="3" w:tplc="100A0001" w:tentative="1">
      <w:start w:val="1"/>
      <w:numFmt w:val="bullet"/>
      <w:lvlText w:val=""/>
      <w:lvlJc w:val="left"/>
      <w:pPr>
        <w:ind w:left="3371" w:hanging="360"/>
      </w:pPr>
      <w:rPr>
        <w:rFonts w:ascii="Symbol" w:hAnsi="Symbol" w:hint="default"/>
      </w:rPr>
    </w:lvl>
    <w:lvl w:ilvl="4" w:tplc="100A0003" w:tentative="1">
      <w:start w:val="1"/>
      <w:numFmt w:val="bullet"/>
      <w:lvlText w:val="o"/>
      <w:lvlJc w:val="left"/>
      <w:pPr>
        <w:ind w:left="4091" w:hanging="360"/>
      </w:pPr>
      <w:rPr>
        <w:rFonts w:ascii="Courier New" w:hAnsi="Courier New" w:cs="Courier New" w:hint="default"/>
      </w:rPr>
    </w:lvl>
    <w:lvl w:ilvl="5" w:tplc="100A0005" w:tentative="1">
      <w:start w:val="1"/>
      <w:numFmt w:val="bullet"/>
      <w:lvlText w:val=""/>
      <w:lvlJc w:val="left"/>
      <w:pPr>
        <w:ind w:left="4811" w:hanging="360"/>
      </w:pPr>
      <w:rPr>
        <w:rFonts w:ascii="Wingdings" w:hAnsi="Wingdings" w:hint="default"/>
      </w:rPr>
    </w:lvl>
    <w:lvl w:ilvl="6" w:tplc="100A0001" w:tentative="1">
      <w:start w:val="1"/>
      <w:numFmt w:val="bullet"/>
      <w:lvlText w:val=""/>
      <w:lvlJc w:val="left"/>
      <w:pPr>
        <w:ind w:left="5531" w:hanging="360"/>
      </w:pPr>
      <w:rPr>
        <w:rFonts w:ascii="Symbol" w:hAnsi="Symbol" w:hint="default"/>
      </w:rPr>
    </w:lvl>
    <w:lvl w:ilvl="7" w:tplc="100A0003" w:tentative="1">
      <w:start w:val="1"/>
      <w:numFmt w:val="bullet"/>
      <w:lvlText w:val="o"/>
      <w:lvlJc w:val="left"/>
      <w:pPr>
        <w:ind w:left="6251" w:hanging="360"/>
      </w:pPr>
      <w:rPr>
        <w:rFonts w:ascii="Courier New" w:hAnsi="Courier New" w:cs="Courier New" w:hint="default"/>
      </w:rPr>
    </w:lvl>
    <w:lvl w:ilvl="8" w:tplc="100A0005" w:tentative="1">
      <w:start w:val="1"/>
      <w:numFmt w:val="bullet"/>
      <w:lvlText w:val=""/>
      <w:lvlJc w:val="left"/>
      <w:pPr>
        <w:ind w:left="6971" w:hanging="360"/>
      </w:pPr>
      <w:rPr>
        <w:rFonts w:ascii="Wingdings" w:hAnsi="Wingdings" w:hint="default"/>
      </w:rPr>
    </w:lvl>
  </w:abstractNum>
  <w:abstractNum w:abstractNumId="24" w15:restartNumberingAfterBreak="0">
    <w:nsid w:val="3F2F1EE5"/>
    <w:multiLevelType w:val="hybridMultilevel"/>
    <w:tmpl w:val="BA1AF2F0"/>
    <w:lvl w:ilvl="0" w:tplc="100A0017">
      <w:start w:val="1"/>
      <w:numFmt w:val="lowerLetter"/>
      <w:lvlText w:val="%1)"/>
      <w:lvlJc w:val="left"/>
      <w:pPr>
        <w:ind w:left="720" w:hanging="360"/>
      </w:pPr>
      <w:rPr>
        <w:rFonts w:cs="Times New Roman"/>
      </w:rPr>
    </w:lvl>
    <w:lvl w:ilvl="1" w:tplc="100A0019" w:tentative="1">
      <w:start w:val="1"/>
      <w:numFmt w:val="lowerLetter"/>
      <w:lvlText w:val="%2."/>
      <w:lvlJc w:val="left"/>
      <w:pPr>
        <w:ind w:left="1440" w:hanging="360"/>
      </w:pPr>
      <w:rPr>
        <w:rFonts w:cs="Times New Roman"/>
      </w:rPr>
    </w:lvl>
    <w:lvl w:ilvl="2" w:tplc="100A001B" w:tentative="1">
      <w:start w:val="1"/>
      <w:numFmt w:val="lowerRoman"/>
      <w:lvlText w:val="%3."/>
      <w:lvlJc w:val="right"/>
      <w:pPr>
        <w:ind w:left="2160" w:hanging="180"/>
      </w:pPr>
      <w:rPr>
        <w:rFonts w:cs="Times New Roman"/>
      </w:rPr>
    </w:lvl>
    <w:lvl w:ilvl="3" w:tplc="100A000F" w:tentative="1">
      <w:start w:val="1"/>
      <w:numFmt w:val="decimal"/>
      <w:lvlText w:val="%4."/>
      <w:lvlJc w:val="left"/>
      <w:pPr>
        <w:ind w:left="2880" w:hanging="360"/>
      </w:pPr>
      <w:rPr>
        <w:rFonts w:cs="Times New Roman"/>
      </w:rPr>
    </w:lvl>
    <w:lvl w:ilvl="4" w:tplc="100A0019" w:tentative="1">
      <w:start w:val="1"/>
      <w:numFmt w:val="lowerLetter"/>
      <w:lvlText w:val="%5."/>
      <w:lvlJc w:val="left"/>
      <w:pPr>
        <w:ind w:left="3600" w:hanging="360"/>
      </w:pPr>
      <w:rPr>
        <w:rFonts w:cs="Times New Roman"/>
      </w:rPr>
    </w:lvl>
    <w:lvl w:ilvl="5" w:tplc="100A001B" w:tentative="1">
      <w:start w:val="1"/>
      <w:numFmt w:val="lowerRoman"/>
      <w:lvlText w:val="%6."/>
      <w:lvlJc w:val="right"/>
      <w:pPr>
        <w:ind w:left="4320" w:hanging="180"/>
      </w:pPr>
      <w:rPr>
        <w:rFonts w:cs="Times New Roman"/>
      </w:rPr>
    </w:lvl>
    <w:lvl w:ilvl="6" w:tplc="100A000F" w:tentative="1">
      <w:start w:val="1"/>
      <w:numFmt w:val="decimal"/>
      <w:lvlText w:val="%7."/>
      <w:lvlJc w:val="left"/>
      <w:pPr>
        <w:ind w:left="5040" w:hanging="360"/>
      </w:pPr>
      <w:rPr>
        <w:rFonts w:cs="Times New Roman"/>
      </w:rPr>
    </w:lvl>
    <w:lvl w:ilvl="7" w:tplc="100A0019" w:tentative="1">
      <w:start w:val="1"/>
      <w:numFmt w:val="lowerLetter"/>
      <w:lvlText w:val="%8."/>
      <w:lvlJc w:val="left"/>
      <w:pPr>
        <w:ind w:left="5760" w:hanging="360"/>
      </w:pPr>
      <w:rPr>
        <w:rFonts w:cs="Times New Roman"/>
      </w:rPr>
    </w:lvl>
    <w:lvl w:ilvl="8" w:tplc="100A001B" w:tentative="1">
      <w:start w:val="1"/>
      <w:numFmt w:val="lowerRoman"/>
      <w:lvlText w:val="%9."/>
      <w:lvlJc w:val="right"/>
      <w:pPr>
        <w:ind w:left="6480" w:hanging="180"/>
      </w:pPr>
      <w:rPr>
        <w:rFonts w:cs="Times New Roman"/>
      </w:rPr>
    </w:lvl>
  </w:abstractNum>
  <w:abstractNum w:abstractNumId="25" w15:restartNumberingAfterBreak="0">
    <w:nsid w:val="406239F3"/>
    <w:multiLevelType w:val="hybridMultilevel"/>
    <w:tmpl w:val="A41E7E3A"/>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26" w15:restartNumberingAfterBreak="0">
    <w:nsid w:val="41791270"/>
    <w:multiLevelType w:val="hybridMultilevel"/>
    <w:tmpl w:val="3604BF9E"/>
    <w:lvl w:ilvl="0" w:tplc="100A0003">
      <w:start w:val="1"/>
      <w:numFmt w:val="bullet"/>
      <w:lvlText w:val="o"/>
      <w:lvlJc w:val="left"/>
      <w:pPr>
        <w:ind w:left="720" w:hanging="360"/>
      </w:pPr>
      <w:rPr>
        <w:rFonts w:ascii="Courier New" w:hAnsi="Courier New" w:cs="Courier New" w:hint="default"/>
        <w:w w:val="100"/>
        <w:sz w:val="22"/>
        <w:szCs w:val="22"/>
        <w:lang w:val="es-GT" w:eastAsia="es-GT" w:bidi="es-GT"/>
      </w:rPr>
    </w:lvl>
    <w:lvl w:ilvl="1" w:tplc="100A0003">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7" w15:restartNumberingAfterBreak="0">
    <w:nsid w:val="42F27300"/>
    <w:multiLevelType w:val="hybridMultilevel"/>
    <w:tmpl w:val="5D725D46"/>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28" w15:restartNumberingAfterBreak="0">
    <w:nsid w:val="443D2C6F"/>
    <w:multiLevelType w:val="hybridMultilevel"/>
    <w:tmpl w:val="D6864CE6"/>
    <w:lvl w:ilvl="0" w:tplc="100A0003">
      <w:start w:val="1"/>
      <w:numFmt w:val="bullet"/>
      <w:lvlText w:val="o"/>
      <w:lvlJc w:val="left"/>
      <w:pPr>
        <w:ind w:left="720" w:hanging="360"/>
      </w:pPr>
      <w:rPr>
        <w:rFonts w:ascii="Courier New" w:hAnsi="Courier New" w:cs="Courier New"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9" w15:restartNumberingAfterBreak="0">
    <w:nsid w:val="4528418B"/>
    <w:multiLevelType w:val="hybridMultilevel"/>
    <w:tmpl w:val="7B4A2C32"/>
    <w:lvl w:ilvl="0" w:tplc="100A0003">
      <w:start w:val="1"/>
      <w:numFmt w:val="bullet"/>
      <w:lvlText w:val="o"/>
      <w:lvlJc w:val="left"/>
      <w:pPr>
        <w:ind w:left="720" w:hanging="360"/>
      </w:pPr>
      <w:rPr>
        <w:rFonts w:ascii="Courier New" w:hAnsi="Courier New" w:cs="Courier New"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0" w15:restartNumberingAfterBreak="0">
    <w:nsid w:val="457F6DA0"/>
    <w:multiLevelType w:val="hybridMultilevel"/>
    <w:tmpl w:val="F3E6609A"/>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31" w15:restartNumberingAfterBreak="0">
    <w:nsid w:val="47DD2317"/>
    <w:multiLevelType w:val="hybridMultilevel"/>
    <w:tmpl w:val="C120984E"/>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2" w15:restartNumberingAfterBreak="0">
    <w:nsid w:val="4B5F3C0A"/>
    <w:multiLevelType w:val="hybridMultilevel"/>
    <w:tmpl w:val="15629D3C"/>
    <w:lvl w:ilvl="0" w:tplc="8A14BF66">
      <w:start w:val="1"/>
      <w:numFmt w:val="bullet"/>
      <w:lvlText w:val="•"/>
      <w:lvlJc w:val="left"/>
      <w:pPr>
        <w:tabs>
          <w:tab w:val="num" w:pos="720"/>
        </w:tabs>
        <w:ind w:left="720" w:hanging="360"/>
      </w:pPr>
      <w:rPr>
        <w:rFonts w:ascii="Times New Roman" w:hAnsi="Times New Roman" w:hint="default"/>
      </w:rPr>
    </w:lvl>
    <w:lvl w:ilvl="1" w:tplc="31EED134" w:tentative="1">
      <w:start w:val="1"/>
      <w:numFmt w:val="bullet"/>
      <w:lvlText w:val="•"/>
      <w:lvlJc w:val="left"/>
      <w:pPr>
        <w:tabs>
          <w:tab w:val="num" w:pos="1440"/>
        </w:tabs>
        <w:ind w:left="1440" w:hanging="360"/>
      </w:pPr>
      <w:rPr>
        <w:rFonts w:ascii="Times New Roman" w:hAnsi="Times New Roman" w:hint="default"/>
      </w:rPr>
    </w:lvl>
    <w:lvl w:ilvl="2" w:tplc="518E4190" w:tentative="1">
      <w:start w:val="1"/>
      <w:numFmt w:val="bullet"/>
      <w:lvlText w:val="•"/>
      <w:lvlJc w:val="left"/>
      <w:pPr>
        <w:tabs>
          <w:tab w:val="num" w:pos="2160"/>
        </w:tabs>
        <w:ind w:left="2160" w:hanging="360"/>
      </w:pPr>
      <w:rPr>
        <w:rFonts w:ascii="Times New Roman" w:hAnsi="Times New Roman" w:hint="default"/>
      </w:rPr>
    </w:lvl>
    <w:lvl w:ilvl="3" w:tplc="B03A431A" w:tentative="1">
      <w:start w:val="1"/>
      <w:numFmt w:val="bullet"/>
      <w:lvlText w:val="•"/>
      <w:lvlJc w:val="left"/>
      <w:pPr>
        <w:tabs>
          <w:tab w:val="num" w:pos="2880"/>
        </w:tabs>
        <w:ind w:left="2880" w:hanging="360"/>
      </w:pPr>
      <w:rPr>
        <w:rFonts w:ascii="Times New Roman" w:hAnsi="Times New Roman" w:hint="default"/>
      </w:rPr>
    </w:lvl>
    <w:lvl w:ilvl="4" w:tplc="C1D487AA" w:tentative="1">
      <w:start w:val="1"/>
      <w:numFmt w:val="bullet"/>
      <w:lvlText w:val="•"/>
      <w:lvlJc w:val="left"/>
      <w:pPr>
        <w:tabs>
          <w:tab w:val="num" w:pos="3600"/>
        </w:tabs>
        <w:ind w:left="3600" w:hanging="360"/>
      </w:pPr>
      <w:rPr>
        <w:rFonts w:ascii="Times New Roman" w:hAnsi="Times New Roman" w:hint="default"/>
      </w:rPr>
    </w:lvl>
    <w:lvl w:ilvl="5" w:tplc="E7322D84" w:tentative="1">
      <w:start w:val="1"/>
      <w:numFmt w:val="bullet"/>
      <w:lvlText w:val="•"/>
      <w:lvlJc w:val="left"/>
      <w:pPr>
        <w:tabs>
          <w:tab w:val="num" w:pos="4320"/>
        </w:tabs>
        <w:ind w:left="4320" w:hanging="360"/>
      </w:pPr>
      <w:rPr>
        <w:rFonts w:ascii="Times New Roman" w:hAnsi="Times New Roman" w:hint="default"/>
      </w:rPr>
    </w:lvl>
    <w:lvl w:ilvl="6" w:tplc="A4E09064" w:tentative="1">
      <w:start w:val="1"/>
      <w:numFmt w:val="bullet"/>
      <w:lvlText w:val="•"/>
      <w:lvlJc w:val="left"/>
      <w:pPr>
        <w:tabs>
          <w:tab w:val="num" w:pos="5040"/>
        </w:tabs>
        <w:ind w:left="5040" w:hanging="360"/>
      </w:pPr>
      <w:rPr>
        <w:rFonts w:ascii="Times New Roman" w:hAnsi="Times New Roman" w:hint="default"/>
      </w:rPr>
    </w:lvl>
    <w:lvl w:ilvl="7" w:tplc="D1AEAC5A" w:tentative="1">
      <w:start w:val="1"/>
      <w:numFmt w:val="bullet"/>
      <w:lvlText w:val="•"/>
      <w:lvlJc w:val="left"/>
      <w:pPr>
        <w:tabs>
          <w:tab w:val="num" w:pos="5760"/>
        </w:tabs>
        <w:ind w:left="5760" w:hanging="360"/>
      </w:pPr>
      <w:rPr>
        <w:rFonts w:ascii="Times New Roman" w:hAnsi="Times New Roman" w:hint="default"/>
      </w:rPr>
    </w:lvl>
    <w:lvl w:ilvl="8" w:tplc="9EE05F98"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51F3263F"/>
    <w:multiLevelType w:val="multilevel"/>
    <w:tmpl w:val="BF12B926"/>
    <w:lvl w:ilvl="0">
      <w:start w:val="1"/>
      <w:numFmt w:val="decimal"/>
      <w:pStyle w:val="Ttulo1"/>
      <w:lvlText w:val="%1"/>
      <w:lvlJc w:val="left"/>
      <w:pPr>
        <w:ind w:left="432" w:hanging="432"/>
      </w:pPr>
      <w:rPr>
        <w:b/>
        <w:bCs/>
      </w:rPr>
    </w:lvl>
    <w:lvl w:ilvl="1">
      <w:start w:val="1"/>
      <w:numFmt w:val="decimal"/>
      <w:pStyle w:val="Ttulo2"/>
      <w:lvlText w:val="%1.%2"/>
      <w:lvlJc w:val="left"/>
      <w:pPr>
        <w:ind w:left="576" w:hanging="576"/>
      </w:pPr>
      <w:rPr>
        <w:rFonts w:ascii="Times New Roman" w:hAnsi="Times New Roman" w:cs="Times New Roman" w:hint="default"/>
        <w:color w:val="auto"/>
        <w:sz w:val="24"/>
        <w:szCs w:val="24"/>
      </w:rPr>
    </w:lvl>
    <w:lvl w:ilvl="2">
      <w:start w:val="1"/>
      <w:numFmt w:val="decimal"/>
      <w:pStyle w:val="Ttulo3"/>
      <w:lvlText w:val="%1.%2.%3"/>
      <w:lvlJc w:val="left"/>
      <w:pPr>
        <w:ind w:left="720" w:hanging="720"/>
      </w:pPr>
      <w:rPr>
        <w:rFonts w:ascii="Times New Roman" w:hAnsi="Times New Roman" w:cs="Times New Roman" w:hint="default"/>
        <w:color w:val="auto"/>
      </w:rPr>
    </w:lvl>
    <w:lvl w:ilvl="3">
      <w:start w:val="1"/>
      <w:numFmt w:val="decimal"/>
      <w:pStyle w:val="Ttulo4"/>
      <w:lvlText w:val="%1.%2.%3.%4"/>
      <w:lvlJc w:val="left"/>
      <w:pPr>
        <w:ind w:left="864" w:hanging="864"/>
      </w:pPr>
      <w:rPr>
        <w:color w:val="auto"/>
      </w:r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4" w15:restartNumberingAfterBreak="0">
    <w:nsid w:val="54603387"/>
    <w:multiLevelType w:val="hybridMultilevel"/>
    <w:tmpl w:val="F9C45690"/>
    <w:lvl w:ilvl="0" w:tplc="100A0003">
      <w:start w:val="1"/>
      <w:numFmt w:val="bullet"/>
      <w:lvlText w:val="o"/>
      <w:lvlJc w:val="left"/>
      <w:pPr>
        <w:ind w:left="720" w:hanging="360"/>
      </w:pPr>
      <w:rPr>
        <w:rFonts w:ascii="Courier New" w:hAnsi="Courier New" w:cs="Courier New"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5" w15:restartNumberingAfterBreak="0">
    <w:nsid w:val="55D2322F"/>
    <w:multiLevelType w:val="multilevel"/>
    <w:tmpl w:val="8E689200"/>
    <w:lvl w:ilvl="0">
      <w:start w:val="1"/>
      <w:numFmt w:val="decimal"/>
      <w:lvlText w:val="%1."/>
      <w:lvlJc w:val="left"/>
      <w:pPr>
        <w:ind w:left="360" w:hanging="360"/>
      </w:pPr>
      <w:rPr>
        <w:rFonts w:cs="Times New Roman" w:hint="default"/>
      </w:rPr>
    </w:lvl>
    <w:lvl w:ilvl="1">
      <w:start w:val="1"/>
      <w:numFmt w:val="none"/>
      <w:lvlText w:val="2.3."/>
      <w:lvlJc w:val="left"/>
      <w:pPr>
        <w:ind w:left="792" w:hanging="432"/>
      </w:pPr>
      <w:rPr>
        <w:rFonts w:cs="Times New Roman" w:hint="default"/>
      </w:rPr>
    </w:lvl>
    <w:lvl w:ilvl="2">
      <w:start w:val="1"/>
      <w:numFmt w:val="none"/>
      <w:lvlText w:val="3.4.8."/>
      <w:lvlJc w:val="left"/>
      <w:pPr>
        <w:ind w:left="1224" w:hanging="504"/>
      </w:pPr>
      <w:rPr>
        <w:rFonts w:cs="Times New Roman" w:hint="default"/>
      </w:rPr>
    </w:lvl>
    <w:lvl w:ilvl="3">
      <w:start w:val="1"/>
      <w:numFmt w:val="decimal"/>
      <w:lvlText w:val="2.3%2.7%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36" w15:restartNumberingAfterBreak="0">
    <w:nsid w:val="58963F6F"/>
    <w:multiLevelType w:val="hybridMultilevel"/>
    <w:tmpl w:val="B27026D8"/>
    <w:lvl w:ilvl="0" w:tplc="100A0003">
      <w:start w:val="1"/>
      <w:numFmt w:val="bullet"/>
      <w:lvlText w:val="o"/>
      <w:lvlJc w:val="left"/>
      <w:pPr>
        <w:ind w:left="720" w:hanging="360"/>
      </w:pPr>
      <w:rPr>
        <w:rFonts w:ascii="Courier New" w:hAnsi="Courier New" w:cs="Courier New"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7" w15:restartNumberingAfterBreak="0">
    <w:nsid w:val="59E32B5E"/>
    <w:multiLevelType w:val="hybridMultilevel"/>
    <w:tmpl w:val="FBEC4482"/>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8" w15:restartNumberingAfterBreak="0">
    <w:nsid w:val="5A581D66"/>
    <w:multiLevelType w:val="hybridMultilevel"/>
    <w:tmpl w:val="1542C562"/>
    <w:lvl w:ilvl="0" w:tplc="100A0001">
      <w:start w:val="1"/>
      <w:numFmt w:val="bullet"/>
      <w:lvlText w:val=""/>
      <w:lvlJc w:val="left"/>
      <w:pPr>
        <w:ind w:left="720" w:hanging="360"/>
      </w:pPr>
      <w:rPr>
        <w:rFonts w:ascii="Symbol" w:hAnsi="Symbol" w:hint="default"/>
        <w:w w:val="100"/>
        <w:sz w:val="22"/>
        <w:szCs w:val="22"/>
        <w:lang w:val="es-GT" w:eastAsia="es-GT" w:bidi="es-G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9" w15:restartNumberingAfterBreak="0">
    <w:nsid w:val="5A9E3B27"/>
    <w:multiLevelType w:val="hybridMultilevel"/>
    <w:tmpl w:val="9F2A98CA"/>
    <w:lvl w:ilvl="0" w:tplc="100A0001">
      <w:start w:val="1"/>
      <w:numFmt w:val="bullet"/>
      <w:lvlText w:val=""/>
      <w:lvlJc w:val="left"/>
      <w:pPr>
        <w:ind w:left="720" w:hanging="360"/>
      </w:pPr>
      <w:rPr>
        <w:rFonts w:ascii="Symbol" w:hAnsi="Symbol" w:hint="default"/>
      </w:rPr>
    </w:lvl>
    <w:lvl w:ilvl="1" w:tplc="EEDE4C78">
      <w:numFmt w:val="bullet"/>
      <w:lvlText w:val="•"/>
      <w:lvlJc w:val="left"/>
      <w:pPr>
        <w:ind w:left="1440" w:hanging="360"/>
      </w:pPr>
      <w:rPr>
        <w:rFonts w:ascii="Times New Roman" w:eastAsia="Times New Roman" w:hAnsi="Times New Roman" w:cs="Times New Roman"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0" w15:restartNumberingAfterBreak="0">
    <w:nsid w:val="5BC016DF"/>
    <w:multiLevelType w:val="hybridMultilevel"/>
    <w:tmpl w:val="5C94176E"/>
    <w:lvl w:ilvl="0" w:tplc="100A0003">
      <w:start w:val="1"/>
      <w:numFmt w:val="bullet"/>
      <w:lvlText w:val="o"/>
      <w:lvlJc w:val="left"/>
      <w:pPr>
        <w:ind w:left="720" w:hanging="360"/>
      </w:pPr>
      <w:rPr>
        <w:rFonts w:ascii="Courier New" w:hAnsi="Courier New" w:cs="Courier New"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1" w15:restartNumberingAfterBreak="0">
    <w:nsid w:val="5C5D26FC"/>
    <w:multiLevelType w:val="multilevel"/>
    <w:tmpl w:val="9DB6F84C"/>
    <w:lvl w:ilvl="0">
      <w:start w:val="1"/>
      <w:numFmt w:val="decimal"/>
      <w:lvlText w:val="%1."/>
      <w:lvlJc w:val="left"/>
      <w:pPr>
        <w:ind w:left="720" w:hanging="360"/>
      </w:pPr>
      <w:rPr>
        <w:rFonts w:cs="Times New Roman"/>
        <w:b/>
        <w:bCs/>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1800" w:hanging="1440"/>
      </w:pPr>
      <w:rPr>
        <w:rFonts w:cs="Times New Roman" w:hint="default"/>
      </w:rPr>
    </w:lvl>
  </w:abstractNum>
  <w:abstractNum w:abstractNumId="42" w15:restartNumberingAfterBreak="0">
    <w:nsid w:val="5D7B7975"/>
    <w:multiLevelType w:val="hybridMultilevel"/>
    <w:tmpl w:val="87E27EA6"/>
    <w:lvl w:ilvl="0" w:tplc="100A000D">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3" w15:restartNumberingAfterBreak="0">
    <w:nsid w:val="5E123390"/>
    <w:multiLevelType w:val="hybridMultilevel"/>
    <w:tmpl w:val="D6BC6542"/>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4" w15:restartNumberingAfterBreak="0">
    <w:nsid w:val="5E680C68"/>
    <w:multiLevelType w:val="hybridMultilevel"/>
    <w:tmpl w:val="263C22D4"/>
    <w:lvl w:ilvl="0" w:tplc="100A0003">
      <w:start w:val="1"/>
      <w:numFmt w:val="bullet"/>
      <w:lvlText w:val="o"/>
      <w:lvlJc w:val="left"/>
      <w:pPr>
        <w:ind w:left="720" w:hanging="360"/>
      </w:pPr>
      <w:rPr>
        <w:rFonts w:ascii="Courier New" w:hAnsi="Courier New" w:cs="Courier New"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5" w15:restartNumberingAfterBreak="0">
    <w:nsid w:val="5F981363"/>
    <w:multiLevelType w:val="hybridMultilevel"/>
    <w:tmpl w:val="DBA264A8"/>
    <w:lvl w:ilvl="0" w:tplc="100A0003">
      <w:start w:val="1"/>
      <w:numFmt w:val="bullet"/>
      <w:lvlText w:val="o"/>
      <w:lvlJc w:val="left"/>
      <w:pPr>
        <w:ind w:left="720" w:hanging="360"/>
      </w:pPr>
      <w:rPr>
        <w:rFonts w:ascii="Courier New" w:hAnsi="Courier New" w:cs="Courier New" w:hint="default"/>
      </w:rPr>
    </w:lvl>
    <w:lvl w:ilvl="1" w:tplc="100A0003">
      <w:start w:val="1"/>
      <w:numFmt w:val="bullet"/>
      <w:lvlText w:val="o"/>
      <w:lvlJc w:val="left"/>
      <w:pPr>
        <w:ind w:left="1440" w:hanging="360"/>
      </w:pPr>
      <w:rPr>
        <w:rFonts w:ascii="Courier New" w:hAnsi="Courier New" w:cs="Courier New" w:hint="default"/>
      </w:rPr>
    </w:lvl>
    <w:lvl w:ilvl="2" w:tplc="100A0005">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6" w15:restartNumberingAfterBreak="0">
    <w:nsid w:val="604503B5"/>
    <w:multiLevelType w:val="multilevel"/>
    <w:tmpl w:val="AC0E14CA"/>
    <w:lvl w:ilvl="0">
      <w:start w:val="1"/>
      <w:numFmt w:val="decimal"/>
      <w:pStyle w:val="Ttulo11"/>
      <w:lvlText w:val="%1"/>
      <w:lvlJc w:val="left"/>
      <w:pPr>
        <w:ind w:left="432" w:hanging="432"/>
      </w:pPr>
      <w:rPr>
        <w:rFonts w:cs="Times New Roman"/>
      </w:rPr>
    </w:lvl>
    <w:lvl w:ilvl="1">
      <w:start w:val="1"/>
      <w:numFmt w:val="decimal"/>
      <w:pStyle w:val="Ttulo21"/>
      <w:lvlText w:val="%1.%2"/>
      <w:lvlJc w:val="left"/>
      <w:pPr>
        <w:ind w:left="576" w:hanging="576"/>
      </w:pPr>
      <w:rPr>
        <w:rFonts w:ascii="Times New Roman" w:hAnsi="Times New Roman" w:cs="Times New Roman" w:hint="default"/>
        <w:b/>
        <w:sz w:val="24"/>
      </w:rPr>
    </w:lvl>
    <w:lvl w:ilvl="2">
      <w:start w:val="1"/>
      <w:numFmt w:val="decimal"/>
      <w:pStyle w:val="Ttulo31"/>
      <w:lvlText w:val="%1.%2.%3"/>
      <w:lvlJc w:val="left"/>
      <w:pPr>
        <w:ind w:left="720" w:hanging="720"/>
      </w:pPr>
      <w:rPr>
        <w:rFonts w:cs="Times New Roman"/>
      </w:rPr>
    </w:lvl>
    <w:lvl w:ilvl="3">
      <w:start w:val="1"/>
      <w:numFmt w:val="decimal"/>
      <w:pStyle w:val="Ttulo41"/>
      <w:lvlText w:val="%1.%2.%3.%4"/>
      <w:lvlJc w:val="left"/>
      <w:pPr>
        <w:ind w:left="864" w:hanging="864"/>
      </w:pPr>
      <w:rPr>
        <w:rFonts w:cs="Times New Roman"/>
      </w:rPr>
    </w:lvl>
    <w:lvl w:ilvl="4">
      <w:start w:val="1"/>
      <w:numFmt w:val="decimal"/>
      <w:pStyle w:val="Ttulo51"/>
      <w:lvlText w:val="%1.%2.%3.%4.%5"/>
      <w:lvlJc w:val="left"/>
      <w:pPr>
        <w:ind w:left="1008" w:hanging="1008"/>
      </w:pPr>
      <w:rPr>
        <w:rFonts w:cs="Times New Roman"/>
      </w:rPr>
    </w:lvl>
    <w:lvl w:ilvl="5">
      <w:start w:val="1"/>
      <w:numFmt w:val="decimal"/>
      <w:pStyle w:val="Ttulo61"/>
      <w:lvlText w:val="%1.%2.%3.%4.%5.%6"/>
      <w:lvlJc w:val="left"/>
      <w:pPr>
        <w:ind w:left="1152" w:hanging="1152"/>
      </w:pPr>
      <w:rPr>
        <w:rFonts w:cs="Times New Roman"/>
      </w:rPr>
    </w:lvl>
    <w:lvl w:ilvl="6">
      <w:start w:val="1"/>
      <w:numFmt w:val="decimal"/>
      <w:pStyle w:val="Ttulo71"/>
      <w:lvlText w:val="%1.%2.%3.%4.%5.%6.%7"/>
      <w:lvlJc w:val="left"/>
      <w:pPr>
        <w:ind w:left="1296" w:hanging="1296"/>
      </w:pPr>
      <w:rPr>
        <w:rFonts w:cs="Times New Roman"/>
      </w:rPr>
    </w:lvl>
    <w:lvl w:ilvl="7">
      <w:start w:val="1"/>
      <w:numFmt w:val="decimal"/>
      <w:pStyle w:val="Ttulo81"/>
      <w:lvlText w:val="%1.%2.%3.%4.%5.%6.%7.%8"/>
      <w:lvlJc w:val="left"/>
      <w:pPr>
        <w:ind w:left="1440" w:hanging="1440"/>
      </w:pPr>
      <w:rPr>
        <w:rFonts w:cs="Times New Roman"/>
      </w:rPr>
    </w:lvl>
    <w:lvl w:ilvl="8">
      <w:start w:val="1"/>
      <w:numFmt w:val="decimal"/>
      <w:pStyle w:val="Ttulo91"/>
      <w:lvlText w:val="%1.%2.%3.%4.%5.%6.%7.%8.%9"/>
      <w:lvlJc w:val="left"/>
      <w:pPr>
        <w:ind w:left="1584" w:hanging="1584"/>
      </w:pPr>
      <w:rPr>
        <w:rFonts w:cs="Times New Roman"/>
      </w:rPr>
    </w:lvl>
  </w:abstractNum>
  <w:abstractNum w:abstractNumId="47" w15:restartNumberingAfterBreak="0">
    <w:nsid w:val="6747534C"/>
    <w:multiLevelType w:val="hybridMultilevel"/>
    <w:tmpl w:val="A95C9CEA"/>
    <w:lvl w:ilvl="0" w:tplc="100A0003">
      <w:start w:val="1"/>
      <w:numFmt w:val="bullet"/>
      <w:lvlText w:val="o"/>
      <w:lvlJc w:val="left"/>
      <w:pPr>
        <w:ind w:left="1211" w:hanging="360"/>
      </w:pPr>
      <w:rPr>
        <w:rFonts w:ascii="Courier New" w:hAnsi="Courier New" w:cs="Courier New" w:hint="default"/>
      </w:rPr>
    </w:lvl>
    <w:lvl w:ilvl="1" w:tplc="100A0003" w:tentative="1">
      <w:start w:val="1"/>
      <w:numFmt w:val="bullet"/>
      <w:lvlText w:val="o"/>
      <w:lvlJc w:val="left"/>
      <w:pPr>
        <w:ind w:left="1931" w:hanging="360"/>
      </w:pPr>
      <w:rPr>
        <w:rFonts w:ascii="Courier New" w:hAnsi="Courier New" w:cs="Courier New" w:hint="default"/>
      </w:rPr>
    </w:lvl>
    <w:lvl w:ilvl="2" w:tplc="100A0005" w:tentative="1">
      <w:start w:val="1"/>
      <w:numFmt w:val="bullet"/>
      <w:lvlText w:val=""/>
      <w:lvlJc w:val="left"/>
      <w:pPr>
        <w:ind w:left="2651" w:hanging="360"/>
      </w:pPr>
      <w:rPr>
        <w:rFonts w:ascii="Wingdings" w:hAnsi="Wingdings" w:hint="default"/>
      </w:rPr>
    </w:lvl>
    <w:lvl w:ilvl="3" w:tplc="100A0001" w:tentative="1">
      <w:start w:val="1"/>
      <w:numFmt w:val="bullet"/>
      <w:lvlText w:val=""/>
      <w:lvlJc w:val="left"/>
      <w:pPr>
        <w:ind w:left="3371" w:hanging="360"/>
      </w:pPr>
      <w:rPr>
        <w:rFonts w:ascii="Symbol" w:hAnsi="Symbol" w:hint="default"/>
      </w:rPr>
    </w:lvl>
    <w:lvl w:ilvl="4" w:tplc="100A0003" w:tentative="1">
      <w:start w:val="1"/>
      <w:numFmt w:val="bullet"/>
      <w:lvlText w:val="o"/>
      <w:lvlJc w:val="left"/>
      <w:pPr>
        <w:ind w:left="4091" w:hanging="360"/>
      </w:pPr>
      <w:rPr>
        <w:rFonts w:ascii="Courier New" w:hAnsi="Courier New" w:cs="Courier New" w:hint="default"/>
      </w:rPr>
    </w:lvl>
    <w:lvl w:ilvl="5" w:tplc="100A0005" w:tentative="1">
      <w:start w:val="1"/>
      <w:numFmt w:val="bullet"/>
      <w:lvlText w:val=""/>
      <w:lvlJc w:val="left"/>
      <w:pPr>
        <w:ind w:left="4811" w:hanging="360"/>
      </w:pPr>
      <w:rPr>
        <w:rFonts w:ascii="Wingdings" w:hAnsi="Wingdings" w:hint="default"/>
      </w:rPr>
    </w:lvl>
    <w:lvl w:ilvl="6" w:tplc="100A0001" w:tentative="1">
      <w:start w:val="1"/>
      <w:numFmt w:val="bullet"/>
      <w:lvlText w:val=""/>
      <w:lvlJc w:val="left"/>
      <w:pPr>
        <w:ind w:left="5531" w:hanging="360"/>
      </w:pPr>
      <w:rPr>
        <w:rFonts w:ascii="Symbol" w:hAnsi="Symbol" w:hint="default"/>
      </w:rPr>
    </w:lvl>
    <w:lvl w:ilvl="7" w:tplc="100A0003" w:tentative="1">
      <w:start w:val="1"/>
      <w:numFmt w:val="bullet"/>
      <w:lvlText w:val="o"/>
      <w:lvlJc w:val="left"/>
      <w:pPr>
        <w:ind w:left="6251" w:hanging="360"/>
      </w:pPr>
      <w:rPr>
        <w:rFonts w:ascii="Courier New" w:hAnsi="Courier New" w:cs="Courier New" w:hint="default"/>
      </w:rPr>
    </w:lvl>
    <w:lvl w:ilvl="8" w:tplc="100A0005" w:tentative="1">
      <w:start w:val="1"/>
      <w:numFmt w:val="bullet"/>
      <w:lvlText w:val=""/>
      <w:lvlJc w:val="left"/>
      <w:pPr>
        <w:ind w:left="6971" w:hanging="360"/>
      </w:pPr>
      <w:rPr>
        <w:rFonts w:ascii="Wingdings" w:hAnsi="Wingdings" w:hint="default"/>
      </w:rPr>
    </w:lvl>
  </w:abstractNum>
  <w:abstractNum w:abstractNumId="48" w15:restartNumberingAfterBreak="0">
    <w:nsid w:val="69455287"/>
    <w:multiLevelType w:val="hybridMultilevel"/>
    <w:tmpl w:val="AF5C0B4A"/>
    <w:lvl w:ilvl="0" w:tplc="100A0001">
      <w:start w:val="1"/>
      <w:numFmt w:val="bullet"/>
      <w:lvlText w:val=""/>
      <w:lvlJc w:val="left"/>
      <w:pPr>
        <w:ind w:left="720" w:hanging="360"/>
      </w:pPr>
      <w:rPr>
        <w:rFonts w:ascii="Symbol" w:hAnsi="Symbol" w:hint="default"/>
        <w:w w:val="100"/>
        <w:sz w:val="22"/>
        <w:szCs w:val="22"/>
        <w:lang w:val="es-GT" w:eastAsia="es-GT" w:bidi="es-G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9" w15:restartNumberingAfterBreak="0">
    <w:nsid w:val="69C27C1D"/>
    <w:multiLevelType w:val="multilevel"/>
    <w:tmpl w:val="30FEF7C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0" w15:restartNumberingAfterBreak="0">
    <w:nsid w:val="6CFD73B1"/>
    <w:multiLevelType w:val="hybridMultilevel"/>
    <w:tmpl w:val="28A46F1E"/>
    <w:lvl w:ilvl="0" w:tplc="100A0003">
      <w:start w:val="1"/>
      <w:numFmt w:val="bullet"/>
      <w:lvlText w:val="o"/>
      <w:lvlJc w:val="left"/>
      <w:pPr>
        <w:ind w:left="720" w:hanging="360"/>
      </w:pPr>
      <w:rPr>
        <w:rFonts w:ascii="Courier New" w:hAnsi="Courier New" w:cs="Courier New"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51" w15:restartNumberingAfterBreak="0">
    <w:nsid w:val="6DAB1B08"/>
    <w:multiLevelType w:val="hybridMultilevel"/>
    <w:tmpl w:val="6730224C"/>
    <w:lvl w:ilvl="0" w:tplc="100A0003">
      <w:start w:val="1"/>
      <w:numFmt w:val="bullet"/>
      <w:lvlText w:val="o"/>
      <w:lvlJc w:val="left"/>
      <w:pPr>
        <w:ind w:left="720" w:hanging="360"/>
      </w:pPr>
      <w:rPr>
        <w:rFonts w:ascii="Courier New" w:hAnsi="Courier New" w:cs="Courier New"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52" w15:restartNumberingAfterBreak="0">
    <w:nsid w:val="6DFF12AA"/>
    <w:multiLevelType w:val="hybridMultilevel"/>
    <w:tmpl w:val="8F6A537C"/>
    <w:lvl w:ilvl="0" w:tplc="FB3A74FC">
      <w:numFmt w:val="bullet"/>
      <w:lvlText w:val="-"/>
      <w:lvlJc w:val="left"/>
      <w:pPr>
        <w:ind w:left="720" w:hanging="360"/>
      </w:pPr>
      <w:rPr>
        <w:rFonts w:ascii="Verdana" w:eastAsia="Verdana" w:hAnsi="Verdana" w:cs="Verdana" w:hint="default"/>
        <w:w w:val="100"/>
        <w:sz w:val="22"/>
        <w:szCs w:val="22"/>
        <w:lang w:val="es-GT" w:eastAsia="es-GT" w:bidi="es-G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53" w15:restartNumberingAfterBreak="0">
    <w:nsid w:val="708C7248"/>
    <w:multiLevelType w:val="hybridMultilevel"/>
    <w:tmpl w:val="37F88456"/>
    <w:lvl w:ilvl="0" w:tplc="100A0001">
      <w:start w:val="1"/>
      <w:numFmt w:val="bullet"/>
      <w:lvlText w:val=""/>
      <w:lvlJc w:val="left"/>
      <w:pPr>
        <w:ind w:left="786" w:hanging="360"/>
      </w:pPr>
      <w:rPr>
        <w:rFonts w:ascii="Symbol" w:hAnsi="Symbol" w:hint="default"/>
      </w:rPr>
    </w:lvl>
    <w:lvl w:ilvl="1" w:tplc="100A0003" w:tentative="1">
      <w:start w:val="1"/>
      <w:numFmt w:val="bullet"/>
      <w:lvlText w:val="o"/>
      <w:lvlJc w:val="left"/>
      <w:pPr>
        <w:ind w:left="1506" w:hanging="360"/>
      </w:pPr>
      <w:rPr>
        <w:rFonts w:ascii="Courier New" w:hAnsi="Courier New" w:cs="Courier New" w:hint="default"/>
      </w:rPr>
    </w:lvl>
    <w:lvl w:ilvl="2" w:tplc="100A0005" w:tentative="1">
      <w:start w:val="1"/>
      <w:numFmt w:val="bullet"/>
      <w:lvlText w:val=""/>
      <w:lvlJc w:val="left"/>
      <w:pPr>
        <w:ind w:left="2226" w:hanging="360"/>
      </w:pPr>
      <w:rPr>
        <w:rFonts w:ascii="Wingdings" w:hAnsi="Wingdings" w:hint="default"/>
      </w:rPr>
    </w:lvl>
    <w:lvl w:ilvl="3" w:tplc="100A0001" w:tentative="1">
      <w:start w:val="1"/>
      <w:numFmt w:val="bullet"/>
      <w:lvlText w:val=""/>
      <w:lvlJc w:val="left"/>
      <w:pPr>
        <w:ind w:left="2946" w:hanging="360"/>
      </w:pPr>
      <w:rPr>
        <w:rFonts w:ascii="Symbol" w:hAnsi="Symbol" w:hint="default"/>
      </w:rPr>
    </w:lvl>
    <w:lvl w:ilvl="4" w:tplc="100A0003" w:tentative="1">
      <w:start w:val="1"/>
      <w:numFmt w:val="bullet"/>
      <w:lvlText w:val="o"/>
      <w:lvlJc w:val="left"/>
      <w:pPr>
        <w:ind w:left="3666" w:hanging="360"/>
      </w:pPr>
      <w:rPr>
        <w:rFonts w:ascii="Courier New" w:hAnsi="Courier New" w:cs="Courier New" w:hint="default"/>
      </w:rPr>
    </w:lvl>
    <w:lvl w:ilvl="5" w:tplc="100A0005" w:tentative="1">
      <w:start w:val="1"/>
      <w:numFmt w:val="bullet"/>
      <w:lvlText w:val=""/>
      <w:lvlJc w:val="left"/>
      <w:pPr>
        <w:ind w:left="4386" w:hanging="360"/>
      </w:pPr>
      <w:rPr>
        <w:rFonts w:ascii="Wingdings" w:hAnsi="Wingdings" w:hint="default"/>
      </w:rPr>
    </w:lvl>
    <w:lvl w:ilvl="6" w:tplc="100A0001" w:tentative="1">
      <w:start w:val="1"/>
      <w:numFmt w:val="bullet"/>
      <w:lvlText w:val=""/>
      <w:lvlJc w:val="left"/>
      <w:pPr>
        <w:ind w:left="5106" w:hanging="360"/>
      </w:pPr>
      <w:rPr>
        <w:rFonts w:ascii="Symbol" w:hAnsi="Symbol" w:hint="default"/>
      </w:rPr>
    </w:lvl>
    <w:lvl w:ilvl="7" w:tplc="100A0003" w:tentative="1">
      <w:start w:val="1"/>
      <w:numFmt w:val="bullet"/>
      <w:lvlText w:val="o"/>
      <w:lvlJc w:val="left"/>
      <w:pPr>
        <w:ind w:left="5826" w:hanging="360"/>
      </w:pPr>
      <w:rPr>
        <w:rFonts w:ascii="Courier New" w:hAnsi="Courier New" w:cs="Courier New" w:hint="default"/>
      </w:rPr>
    </w:lvl>
    <w:lvl w:ilvl="8" w:tplc="100A0005" w:tentative="1">
      <w:start w:val="1"/>
      <w:numFmt w:val="bullet"/>
      <w:lvlText w:val=""/>
      <w:lvlJc w:val="left"/>
      <w:pPr>
        <w:ind w:left="6546" w:hanging="360"/>
      </w:pPr>
      <w:rPr>
        <w:rFonts w:ascii="Wingdings" w:hAnsi="Wingdings" w:hint="default"/>
      </w:rPr>
    </w:lvl>
  </w:abstractNum>
  <w:abstractNum w:abstractNumId="54" w15:restartNumberingAfterBreak="0">
    <w:nsid w:val="717D2852"/>
    <w:multiLevelType w:val="hybridMultilevel"/>
    <w:tmpl w:val="3AEE2C14"/>
    <w:lvl w:ilvl="0" w:tplc="100A0003">
      <w:start w:val="1"/>
      <w:numFmt w:val="bullet"/>
      <w:lvlText w:val="o"/>
      <w:lvlJc w:val="left"/>
      <w:pPr>
        <w:ind w:left="720" w:hanging="360"/>
      </w:pPr>
      <w:rPr>
        <w:rFonts w:ascii="Courier New" w:hAnsi="Courier New" w:cs="Courier New"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55" w15:restartNumberingAfterBreak="0">
    <w:nsid w:val="71EA00A4"/>
    <w:multiLevelType w:val="hybridMultilevel"/>
    <w:tmpl w:val="E9D41AC8"/>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56" w15:restartNumberingAfterBreak="0">
    <w:nsid w:val="79E4775E"/>
    <w:multiLevelType w:val="hybridMultilevel"/>
    <w:tmpl w:val="6F405720"/>
    <w:lvl w:ilvl="0" w:tplc="D7F8FDC0">
      <w:start w:val="1"/>
      <w:numFmt w:val="decimal"/>
      <w:lvlText w:val="%1."/>
      <w:lvlJc w:val="left"/>
      <w:pPr>
        <w:ind w:left="720" w:hanging="360"/>
      </w:pPr>
      <w:rPr>
        <w:b/>
        <w:bCs/>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7" w15:restartNumberingAfterBreak="0">
    <w:nsid w:val="7A0608C9"/>
    <w:multiLevelType w:val="hybridMultilevel"/>
    <w:tmpl w:val="79CE4440"/>
    <w:lvl w:ilvl="0" w:tplc="FB3A74FC">
      <w:numFmt w:val="bullet"/>
      <w:lvlText w:val="-"/>
      <w:lvlJc w:val="left"/>
      <w:pPr>
        <w:ind w:left="720" w:hanging="360"/>
      </w:pPr>
      <w:rPr>
        <w:rFonts w:ascii="Verdana" w:eastAsia="Verdana" w:hAnsi="Verdana" w:cs="Verdana" w:hint="default"/>
        <w:w w:val="100"/>
        <w:sz w:val="22"/>
        <w:szCs w:val="22"/>
        <w:lang w:val="es-GT" w:eastAsia="es-GT" w:bidi="es-G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num w:numId="1">
    <w:abstractNumId w:val="33"/>
  </w:num>
  <w:num w:numId="2">
    <w:abstractNumId w:val="3"/>
  </w:num>
  <w:num w:numId="3">
    <w:abstractNumId w:val="14"/>
  </w:num>
  <w:num w:numId="4">
    <w:abstractNumId w:val="26"/>
  </w:num>
  <w:num w:numId="5">
    <w:abstractNumId w:val="12"/>
  </w:num>
  <w:num w:numId="6">
    <w:abstractNumId w:val="31"/>
  </w:num>
  <w:num w:numId="7">
    <w:abstractNumId w:val="56"/>
  </w:num>
  <w:num w:numId="8">
    <w:abstractNumId w:val="55"/>
  </w:num>
  <w:num w:numId="9">
    <w:abstractNumId w:val="0"/>
  </w:num>
  <w:num w:numId="10">
    <w:abstractNumId w:val="42"/>
  </w:num>
  <w:num w:numId="11">
    <w:abstractNumId w:val="19"/>
  </w:num>
  <w:num w:numId="12">
    <w:abstractNumId w:val="52"/>
  </w:num>
  <w:num w:numId="13">
    <w:abstractNumId w:val="5"/>
  </w:num>
  <w:num w:numId="14">
    <w:abstractNumId w:val="23"/>
  </w:num>
  <w:num w:numId="15">
    <w:abstractNumId w:val="47"/>
  </w:num>
  <w:num w:numId="16">
    <w:abstractNumId w:val="45"/>
  </w:num>
  <w:num w:numId="17">
    <w:abstractNumId w:val="9"/>
  </w:num>
  <w:num w:numId="18">
    <w:abstractNumId w:val="54"/>
  </w:num>
  <w:num w:numId="19">
    <w:abstractNumId w:val="34"/>
  </w:num>
  <w:num w:numId="20">
    <w:abstractNumId w:val="16"/>
  </w:num>
  <w:num w:numId="21">
    <w:abstractNumId w:val="29"/>
  </w:num>
  <w:num w:numId="22">
    <w:abstractNumId w:val="50"/>
  </w:num>
  <w:num w:numId="23">
    <w:abstractNumId w:val="15"/>
  </w:num>
  <w:num w:numId="24">
    <w:abstractNumId w:val="20"/>
  </w:num>
  <w:num w:numId="25">
    <w:abstractNumId w:val="7"/>
  </w:num>
  <w:num w:numId="26">
    <w:abstractNumId w:val="21"/>
  </w:num>
  <w:num w:numId="27">
    <w:abstractNumId w:val="36"/>
  </w:num>
  <w:num w:numId="28">
    <w:abstractNumId w:val="28"/>
  </w:num>
  <w:num w:numId="29">
    <w:abstractNumId w:val="44"/>
  </w:num>
  <w:num w:numId="30">
    <w:abstractNumId w:val="51"/>
  </w:num>
  <w:num w:numId="31">
    <w:abstractNumId w:val="40"/>
  </w:num>
  <w:num w:numId="32">
    <w:abstractNumId w:val="11"/>
  </w:num>
  <w:num w:numId="33">
    <w:abstractNumId w:val="57"/>
  </w:num>
  <w:num w:numId="34">
    <w:abstractNumId w:val="46"/>
  </w:num>
  <w:num w:numId="35">
    <w:abstractNumId w:val="8"/>
  </w:num>
  <w:num w:numId="36">
    <w:abstractNumId w:val="41"/>
  </w:num>
  <w:num w:numId="37">
    <w:abstractNumId w:val="13"/>
  </w:num>
  <w:num w:numId="38">
    <w:abstractNumId w:val="1"/>
  </w:num>
  <w:num w:numId="39">
    <w:abstractNumId w:val="22"/>
  </w:num>
  <w:num w:numId="40">
    <w:abstractNumId w:val="30"/>
  </w:num>
  <w:num w:numId="41">
    <w:abstractNumId w:val="27"/>
  </w:num>
  <w:num w:numId="42">
    <w:abstractNumId w:val="24"/>
  </w:num>
  <w:num w:numId="43">
    <w:abstractNumId w:val="10"/>
  </w:num>
  <w:num w:numId="44">
    <w:abstractNumId w:val="37"/>
  </w:num>
  <w:num w:numId="45">
    <w:abstractNumId w:val="43"/>
  </w:num>
  <w:num w:numId="46">
    <w:abstractNumId w:val="39"/>
  </w:num>
  <w:num w:numId="47">
    <w:abstractNumId w:val="35"/>
  </w:num>
  <w:num w:numId="48">
    <w:abstractNumId w:val="49"/>
  </w:num>
  <w:num w:numId="49">
    <w:abstractNumId w:val="38"/>
  </w:num>
  <w:num w:numId="50">
    <w:abstractNumId w:val="25"/>
  </w:num>
  <w:num w:numId="51">
    <w:abstractNumId w:val="17"/>
  </w:num>
  <w:num w:numId="52">
    <w:abstractNumId w:val="53"/>
  </w:num>
  <w:num w:numId="53">
    <w:abstractNumId w:val="2"/>
  </w:num>
  <w:num w:numId="54">
    <w:abstractNumId w:val="18"/>
  </w:num>
  <w:num w:numId="55">
    <w:abstractNumId w:val="32"/>
  </w:num>
  <w:num w:numId="56">
    <w:abstractNumId w:val="6"/>
  </w:num>
  <w:num w:numId="57">
    <w:abstractNumId w:val="4"/>
  </w:num>
  <w:num w:numId="58">
    <w:abstractNumId w:val="48"/>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54CA"/>
    <w:rsid w:val="00017F3A"/>
    <w:rsid w:val="000207CF"/>
    <w:rsid w:val="00025FFB"/>
    <w:rsid w:val="0002717F"/>
    <w:rsid w:val="00033138"/>
    <w:rsid w:val="0004099D"/>
    <w:rsid w:val="00041600"/>
    <w:rsid w:val="00042B9E"/>
    <w:rsid w:val="000441E2"/>
    <w:rsid w:val="000470AA"/>
    <w:rsid w:val="0005257D"/>
    <w:rsid w:val="00064C6E"/>
    <w:rsid w:val="000679DF"/>
    <w:rsid w:val="00083378"/>
    <w:rsid w:val="00085D28"/>
    <w:rsid w:val="00087D38"/>
    <w:rsid w:val="000902AC"/>
    <w:rsid w:val="000925C1"/>
    <w:rsid w:val="00096808"/>
    <w:rsid w:val="00097A21"/>
    <w:rsid w:val="000A2B34"/>
    <w:rsid w:val="000C025C"/>
    <w:rsid w:val="000C0A40"/>
    <w:rsid w:val="000C1D11"/>
    <w:rsid w:val="000C6B5E"/>
    <w:rsid w:val="000D332B"/>
    <w:rsid w:val="000E2118"/>
    <w:rsid w:val="000E5A15"/>
    <w:rsid w:val="000F0E21"/>
    <w:rsid w:val="000F1270"/>
    <w:rsid w:val="00101164"/>
    <w:rsid w:val="00111824"/>
    <w:rsid w:val="0011182E"/>
    <w:rsid w:val="001245F7"/>
    <w:rsid w:val="00130530"/>
    <w:rsid w:val="0013455C"/>
    <w:rsid w:val="001352A1"/>
    <w:rsid w:val="00140592"/>
    <w:rsid w:val="001504AE"/>
    <w:rsid w:val="00151130"/>
    <w:rsid w:val="00151DF9"/>
    <w:rsid w:val="00170F3F"/>
    <w:rsid w:val="00177136"/>
    <w:rsid w:val="0018083F"/>
    <w:rsid w:val="0019212C"/>
    <w:rsid w:val="00192E30"/>
    <w:rsid w:val="001C7424"/>
    <w:rsid w:val="001D34CE"/>
    <w:rsid w:val="001D3B0D"/>
    <w:rsid w:val="001F6BF5"/>
    <w:rsid w:val="00203F36"/>
    <w:rsid w:val="00204A98"/>
    <w:rsid w:val="002127CF"/>
    <w:rsid w:val="00225506"/>
    <w:rsid w:val="002259C8"/>
    <w:rsid w:val="00232C80"/>
    <w:rsid w:val="002415A0"/>
    <w:rsid w:val="002536CF"/>
    <w:rsid w:val="00253F84"/>
    <w:rsid w:val="00255812"/>
    <w:rsid w:val="0025774B"/>
    <w:rsid w:val="00260510"/>
    <w:rsid w:val="0026240E"/>
    <w:rsid w:val="00263E8A"/>
    <w:rsid w:val="00270A4E"/>
    <w:rsid w:val="00280649"/>
    <w:rsid w:val="002873B3"/>
    <w:rsid w:val="0029522D"/>
    <w:rsid w:val="002A5511"/>
    <w:rsid w:val="002C25A6"/>
    <w:rsid w:val="002C55AC"/>
    <w:rsid w:val="002D2FA3"/>
    <w:rsid w:val="002D36FC"/>
    <w:rsid w:val="002D4BE1"/>
    <w:rsid w:val="002F0385"/>
    <w:rsid w:val="002F0745"/>
    <w:rsid w:val="002F1295"/>
    <w:rsid w:val="00300BE5"/>
    <w:rsid w:val="00320E19"/>
    <w:rsid w:val="00321A34"/>
    <w:rsid w:val="00323953"/>
    <w:rsid w:val="00327D34"/>
    <w:rsid w:val="00331212"/>
    <w:rsid w:val="003313A7"/>
    <w:rsid w:val="003314AC"/>
    <w:rsid w:val="003320EB"/>
    <w:rsid w:val="00332180"/>
    <w:rsid w:val="00333366"/>
    <w:rsid w:val="00335878"/>
    <w:rsid w:val="003507E6"/>
    <w:rsid w:val="003512BC"/>
    <w:rsid w:val="00354A9C"/>
    <w:rsid w:val="0035683A"/>
    <w:rsid w:val="00362674"/>
    <w:rsid w:val="00382528"/>
    <w:rsid w:val="00386942"/>
    <w:rsid w:val="003906B8"/>
    <w:rsid w:val="003A15D0"/>
    <w:rsid w:val="003A465E"/>
    <w:rsid w:val="003A4EE0"/>
    <w:rsid w:val="003B53F5"/>
    <w:rsid w:val="003C29DD"/>
    <w:rsid w:val="003D6F4B"/>
    <w:rsid w:val="003D7247"/>
    <w:rsid w:val="003E2149"/>
    <w:rsid w:val="003E3A48"/>
    <w:rsid w:val="003E5DD7"/>
    <w:rsid w:val="00406ABC"/>
    <w:rsid w:val="004147B1"/>
    <w:rsid w:val="0041675B"/>
    <w:rsid w:val="00434108"/>
    <w:rsid w:val="00435EA6"/>
    <w:rsid w:val="004423B7"/>
    <w:rsid w:val="00457FB2"/>
    <w:rsid w:val="0046286C"/>
    <w:rsid w:val="00464BB8"/>
    <w:rsid w:val="00472FE0"/>
    <w:rsid w:val="0047447B"/>
    <w:rsid w:val="0048017B"/>
    <w:rsid w:val="00486DFF"/>
    <w:rsid w:val="0049039C"/>
    <w:rsid w:val="00490943"/>
    <w:rsid w:val="00490D07"/>
    <w:rsid w:val="00493262"/>
    <w:rsid w:val="00494CE3"/>
    <w:rsid w:val="004A5045"/>
    <w:rsid w:val="004B0E06"/>
    <w:rsid w:val="004B0E4D"/>
    <w:rsid w:val="004B6A59"/>
    <w:rsid w:val="004D0076"/>
    <w:rsid w:val="004D730C"/>
    <w:rsid w:val="004E6590"/>
    <w:rsid w:val="005016CC"/>
    <w:rsid w:val="005140D6"/>
    <w:rsid w:val="00525F86"/>
    <w:rsid w:val="005318D0"/>
    <w:rsid w:val="00531A1B"/>
    <w:rsid w:val="00540355"/>
    <w:rsid w:val="00545B62"/>
    <w:rsid w:val="00546A49"/>
    <w:rsid w:val="00563EF4"/>
    <w:rsid w:val="00564970"/>
    <w:rsid w:val="005672F7"/>
    <w:rsid w:val="005750AF"/>
    <w:rsid w:val="00576643"/>
    <w:rsid w:val="005814D8"/>
    <w:rsid w:val="00581751"/>
    <w:rsid w:val="00582CA7"/>
    <w:rsid w:val="00586E14"/>
    <w:rsid w:val="00587CDB"/>
    <w:rsid w:val="00593FAE"/>
    <w:rsid w:val="005954CA"/>
    <w:rsid w:val="00595D3C"/>
    <w:rsid w:val="005A30CD"/>
    <w:rsid w:val="005A709D"/>
    <w:rsid w:val="005B7D51"/>
    <w:rsid w:val="005C146E"/>
    <w:rsid w:val="005D11FF"/>
    <w:rsid w:val="005D564F"/>
    <w:rsid w:val="005E284B"/>
    <w:rsid w:val="005F04DE"/>
    <w:rsid w:val="005F2179"/>
    <w:rsid w:val="00615524"/>
    <w:rsid w:val="0062508C"/>
    <w:rsid w:val="00634517"/>
    <w:rsid w:val="00635058"/>
    <w:rsid w:val="00635815"/>
    <w:rsid w:val="00637C2C"/>
    <w:rsid w:val="00647FD4"/>
    <w:rsid w:val="006622B2"/>
    <w:rsid w:val="0066473E"/>
    <w:rsid w:val="006735C3"/>
    <w:rsid w:val="00677AAE"/>
    <w:rsid w:val="00682421"/>
    <w:rsid w:val="006A453E"/>
    <w:rsid w:val="006A5236"/>
    <w:rsid w:val="006B06C6"/>
    <w:rsid w:val="006B670E"/>
    <w:rsid w:val="006C56A2"/>
    <w:rsid w:val="006C707E"/>
    <w:rsid w:val="006C7179"/>
    <w:rsid w:val="006D2D2A"/>
    <w:rsid w:val="006D6C1A"/>
    <w:rsid w:val="006D7CD8"/>
    <w:rsid w:val="006E7942"/>
    <w:rsid w:val="00702EDF"/>
    <w:rsid w:val="00706267"/>
    <w:rsid w:val="00707448"/>
    <w:rsid w:val="00707B83"/>
    <w:rsid w:val="00707C97"/>
    <w:rsid w:val="00711664"/>
    <w:rsid w:val="0071370B"/>
    <w:rsid w:val="007145AB"/>
    <w:rsid w:val="007223A6"/>
    <w:rsid w:val="00724F5F"/>
    <w:rsid w:val="007274AE"/>
    <w:rsid w:val="00730607"/>
    <w:rsid w:val="00733DDB"/>
    <w:rsid w:val="00734876"/>
    <w:rsid w:val="00753434"/>
    <w:rsid w:val="0076343E"/>
    <w:rsid w:val="0078088C"/>
    <w:rsid w:val="00790CDE"/>
    <w:rsid w:val="00797BA6"/>
    <w:rsid w:val="00797EE6"/>
    <w:rsid w:val="007A1162"/>
    <w:rsid w:val="007A7ED3"/>
    <w:rsid w:val="007B7995"/>
    <w:rsid w:val="007C082F"/>
    <w:rsid w:val="007C4B91"/>
    <w:rsid w:val="007D5218"/>
    <w:rsid w:val="007D6A34"/>
    <w:rsid w:val="007E03D8"/>
    <w:rsid w:val="007F2934"/>
    <w:rsid w:val="007F50E5"/>
    <w:rsid w:val="0080457D"/>
    <w:rsid w:val="00806295"/>
    <w:rsid w:val="00816CC5"/>
    <w:rsid w:val="008214B2"/>
    <w:rsid w:val="008250D8"/>
    <w:rsid w:val="00827ED5"/>
    <w:rsid w:val="00841C40"/>
    <w:rsid w:val="008438C0"/>
    <w:rsid w:val="008477DD"/>
    <w:rsid w:val="00861983"/>
    <w:rsid w:val="00871DA6"/>
    <w:rsid w:val="00873817"/>
    <w:rsid w:val="00875D00"/>
    <w:rsid w:val="0089475C"/>
    <w:rsid w:val="008A39B4"/>
    <w:rsid w:val="008B6858"/>
    <w:rsid w:val="008C0BF7"/>
    <w:rsid w:val="008D1E6B"/>
    <w:rsid w:val="008D42A4"/>
    <w:rsid w:val="008E0EF4"/>
    <w:rsid w:val="008F755E"/>
    <w:rsid w:val="008F7626"/>
    <w:rsid w:val="0090262C"/>
    <w:rsid w:val="00925ADB"/>
    <w:rsid w:val="00927815"/>
    <w:rsid w:val="009370A5"/>
    <w:rsid w:val="00941E89"/>
    <w:rsid w:val="00953DE3"/>
    <w:rsid w:val="00961968"/>
    <w:rsid w:val="00962D40"/>
    <w:rsid w:val="00965C53"/>
    <w:rsid w:val="00965FB8"/>
    <w:rsid w:val="00987D1F"/>
    <w:rsid w:val="009939AC"/>
    <w:rsid w:val="009963F4"/>
    <w:rsid w:val="009A47AF"/>
    <w:rsid w:val="009A77FE"/>
    <w:rsid w:val="009B29CD"/>
    <w:rsid w:val="009B2B9B"/>
    <w:rsid w:val="009B4398"/>
    <w:rsid w:val="009C0D05"/>
    <w:rsid w:val="009C10DC"/>
    <w:rsid w:val="009C1A60"/>
    <w:rsid w:val="009C5CEF"/>
    <w:rsid w:val="009C678F"/>
    <w:rsid w:val="009C6B0A"/>
    <w:rsid w:val="009D548B"/>
    <w:rsid w:val="009E12CA"/>
    <w:rsid w:val="009E47A4"/>
    <w:rsid w:val="009E515C"/>
    <w:rsid w:val="009F124E"/>
    <w:rsid w:val="009F727A"/>
    <w:rsid w:val="00A123C2"/>
    <w:rsid w:val="00A202ED"/>
    <w:rsid w:val="00A208C9"/>
    <w:rsid w:val="00A37A2D"/>
    <w:rsid w:val="00A45A3A"/>
    <w:rsid w:val="00A5531A"/>
    <w:rsid w:val="00A57627"/>
    <w:rsid w:val="00A743A1"/>
    <w:rsid w:val="00A76552"/>
    <w:rsid w:val="00A84127"/>
    <w:rsid w:val="00A90452"/>
    <w:rsid w:val="00A9610D"/>
    <w:rsid w:val="00AA2483"/>
    <w:rsid w:val="00AA3776"/>
    <w:rsid w:val="00AC3F5D"/>
    <w:rsid w:val="00AD159B"/>
    <w:rsid w:val="00AD245A"/>
    <w:rsid w:val="00AD5C65"/>
    <w:rsid w:val="00AF0D54"/>
    <w:rsid w:val="00AF239C"/>
    <w:rsid w:val="00B01BE4"/>
    <w:rsid w:val="00B06E3D"/>
    <w:rsid w:val="00B10558"/>
    <w:rsid w:val="00B160F9"/>
    <w:rsid w:val="00B24770"/>
    <w:rsid w:val="00B25032"/>
    <w:rsid w:val="00B36D18"/>
    <w:rsid w:val="00B425B8"/>
    <w:rsid w:val="00B42903"/>
    <w:rsid w:val="00B501A1"/>
    <w:rsid w:val="00B55493"/>
    <w:rsid w:val="00B6104D"/>
    <w:rsid w:val="00B63BBA"/>
    <w:rsid w:val="00B72D9A"/>
    <w:rsid w:val="00B77381"/>
    <w:rsid w:val="00B81581"/>
    <w:rsid w:val="00B84724"/>
    <w:rsid w:val="00B848FD"/>
    <w:rsid w:val="00B901D3"/>
    <w:rsid w:val="00B91D9C"/>
    <w:rsid w:val="00BA2924"/>
    <w:rsid w:val="00BB4CCB"/>
    <w:rsid w:val="00BC315D"/>
    <w:rsid w:val="00BD33CC"/>
    <w:rsid w:val="00BD41A8"/>
    <w:rsid w:val="00BE5417"/>
    <w:rsid w:val="00C13988"/>
    <w:rsid w:val="00C22470"/>
    <w:rsid w:val="00C31E3E"/>
    <w:rsid w:val="00C34A25"/>
    <w:rsid w:val="00C42062"/>
    <w:rsid w:val="00C46AD1"/>
    <w:rsid w:val="00C473E9"/>
    <w:rsid w:val="00C51E9B"/>
    <w:rsid w:val="00C54997"/>
    <w:rsid w:val="00C57ECF"/>
    <w:rsid w:val="00C632EE"/>
    <w:rsid w:val="00C64CB5"/>
    <w:rsid w:val="00C71383"/>
    <w:rsid w:val="00C72F2C"/>
    <w:rsid w:val="00C73E17"/>
    <w:rsid w:val="00C91AED"/>
    <w:rsid w:val="00C92089"/>
    <w:rsid w:val="00CA07B1"/>
    <w:rsid w:val="00CA0830"/>
    <w:rsid w:val="00CA1319"/>
    <w:rsid w:val="00CA1351"/>
    <w:rsid w:val="00CA557C"/>
    <w:rsid w:val="00CA6857"/>
    <w:rsid w:val="00CA6CEF"/>
    <w:rsid w:val="00CA7052"/>
    <w:rsid w:val="00CB0BEF"/>
    <w:rsid w:val="00CB298A"/>
    <w:rsid w:val="00CC30AC"/>
    <w:rsid w:val="00CC68F3"/>
    <w:rsid w:val="00CD0066"/>
    <w:rsid w:val="00CE23BA"/>
    <w:rsid w:val="00CE6B23"/>
    <w:rsid w:val="00CF1EDB"/>
    <w:rsid w:val="00CF60FC"/>
    <w:rsid w:val="00D0069E"/>
    <w:rsid w:val="00D0171E"/>
    <w:rsid w:val="00D16EA3"/>
    <w:rsid w:val="00D22BFC"/>
    <w:rsid w:val="00D31CC8"/>
    <w:rsid w:val="00D435BF"/>
    <w:rsid w:val="00D475CF"/>
    <w:rsid w:val="00D5208B"/>
    <w:rsid w:val="00D53B5C"/>
    <w:rsid w:val="00D54BB7"/>
    <w:rsid w:val="00D5743C"/>
    <w:rsid w:val="00D60DA9"/>
    <w:rsid w:val="00D65CE9"/>
    <w:rsid w:val="00D7331F"/>
    <w:rsid w:val="00D74A14"/>
    <w:rsid w:val="00D81E4B"/>
    <w:rsid w:val="00D82B32"/>
    <w:rsid w:val="00D84E7F"/>
    <w:rsid w:val="00D879F5"/>
    <w:rsid w:val="00D90665"/>
    <w:rsid w:val="00D91CFE"/>
    <w:rsid w:val="00DB0531"/>
    <w:rsid w:val="00DB19E4"/>
    <w:rsid w:val="00DB1B8C"/>
    <w:rsid w:val="00DB1FFB"/>
    <w:rsid w:val="00DB3AC5"/>
    <w:rsid w:val="00DC4EFB"/>
    <w:rsid w:val="00DD1955"/>
    <w:rsid w:val="00DD2DA9"/>
    <w:rsid w:val="00DD554D"/>
    <w:rsid w:val="00DD7C19"/>
    <w:rsid w:val="00DE52BD"/>
    <w:rsid w:val="00DF1170"/>
    <w:rsid w:val="00DF5755"/>
    <w:rsid w:val="00DF7D59"/>
    <w:rsid w:val="00E01410"/>
    <w:rsid w:val="00E06583"/>
    <w:rsid w:val="00E227AF"/>
    <w:rsid w:val="00E25C74"/>
    <w:rsid w:val="00E25C89"/>
    <w:rsid w:val="00E34703"/>
    <w:rsid w:val="00E47B4B"/>
    <w:rsid w:val="00E568A5"/>
    <w:rsid w:val="00E60EFC"/>
    <w:rsid w:val="00E707F3"/>
    <w:rsid w:val="00E756A1"/>
    <w:rsid w:val="00E77A24"/>
    <w:rsid w:val="00E807FD"/>
    <w:rsid w:val="00E85562"/>
    <w:rsid w:val="00E85FB3"/>
    <w:rsid w:val="00E97752"/>
    <w:rsid w:val="00EA023B"/>
    <w:rsid w:val="00EA4ADD"/>
    <w:rsid w:val="00EB110E"/>
    <w:rsid w:val="00ED216D"/>
    <w:rsid w:val="00ED5035"/>
    <w:rsid w:val="00EE3CFB"/>
    <w:rsid w:val="00EE3D7E"/>
    <w:rsid w:val="00EF1E0E"/>
    <w:rsid w:val="00F03014"/>
    <w:rsid w:val="00F0580F"/>
    <w:rsid w:val="00F1655E"/>
    <w:rsid w:val="00F22BFD"/>
    <w:rsid w:val="00F22D41"/>
    <w:rsid w:val="00F34098"/>
    <w:rsid w:val="00F44D6B"/>
    <w:rsid w:val="00F47F09"/>
    <w:rsid w:val="00F513F0"/>
    <w:rsid w:val="00F62B40"/>
    <w:rsid w:val="00F644DC"/>
    <w:rsid w:val="00F70155"/>
    <w:rsid w:val="00F71553"/>
    <w:rsid w:val="00F85FBC"/>
    <w:rsid w:val="00F9036A"/>
    <w:rsid w:val="00F93305"/>
    <w:rsid w:val="00F9619D"/>
    <w:rsid w:val="00F96AF6"/>
    <w:rsid w:val="00FA1F00"/>
    <w:rsid w:val="00FB2F6F"/>
    <w:rsid w:val="00FB56D6"/>
    <w:rsid w:val="00FC3452"/>
    <w:rsid w:val="00FC3890"/>
    <w:rsid w:val="00FD3861"/>
    <w:rsid w:val="00FD4DD0"/>
    <w:rsid w:val="00FE127F"/>
    <w:rsid w:val="00FE1794"/>
    <w:rsid w:val="00FE4377"/>
    <w:rsid w:val="00FF5719"/>
    <w:rsid w:val="00FF5FD1"/>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C21DF1"/>
  <w15:chartTrackingRefBased/>
  <w15:docId w15:val="{A281CFD7-5111-40A2-B779-A0AA021758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G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4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54CA"/>
    <w:pPr>
      <w:spacing w:after="0" w:line="240" w:lineRule="auto"/>
    </w:pPr>
    <w:rPr>
      <w:rFonts w:ascii="Times New Roman" w:eastAsia="Times New Roman" w:hAnsi="Times New Roman" w:cs="Times New Roman"/>
      <w:sz w:val="24"/>
      <w:szCs w:val="24"/>
      <w:lang w:eastAsia="es-GT"/>
    </w:rPr>
  </w:style>
  <w:style w:type="paragraph" w:styleId="Ttulo1">
    <w:name w:val="heading 1"/>
    <w:basedOn w:val="Normal"/>
    <w:link w:val="Ttulo1Car"/>
    <w:uiPriority w:val="9"/>
    <w:qFormat/>
    <w:rsid w:val="005954CA"/>
    <w:pPr>
      <w:numPr>
        <w:numId w:val="1"/>
      </w:numPr>
      <w:outlineLvl w:val="0"/>
    </w:pPr>
    <w:rPr>
      <w:b/>
      <w:bCs/>
      <w:sz w:val="26"/>
      <w:szCs w:val="26"/>
    </w:rPr>
  </w:style>
  <w:style w:type="paragraph" w:styleId="Ttulo2">
    <w:name w:val="heading 2"/>
    <w:basedOn w:val="Normal"/>
    <w:next w:val="Normal"/>
    <w:link w:val="Ttulo2Car"/>
    <w:uiPriority w:val="9"/>
    <w:unhideWhenUsed/>
    <w:qFormat/>
    <w:rsid w:val="005954CA"/>
    <w:pPr>
      <w:keepNext/>
      <w:keepLines/>
      <w:numPr>
        <w:ilvl w:val="1"/>
        <w:numId w:val="1"/>
      </w:numPr>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5954CA"/>
    <w:pPr>
      <w:keepNext/>
      <w:keepLines/>
      <w:numPr>
        <w:ilvl w:val="2"/>
        <w:numId w:val="1"/>
      </w:numPr>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ar"/>
    <w:uiPriority w:val="9"/>
    <w:unhideWhenUsed/>
    <w:qFormat/>
    <w:rsid w:val="005954CA"/>
    <w:pPr>
      <w:keepNext/>
      <w:keepLines/>
      <w:numPr>
        <w:ilvl w:val="3"/>
        <w:numId w:val="1"/>
      </w:numPr>
      <w:spacing w:before="4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unhideWhenUsed/>
    <w:qFormat/>
    <w:rsid w:val="005954CA"/>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semiHidden/>
    <w:unhideWhenUsed/>
    <w:qFormat/>
    <w:rsid w:val="005954CA"/>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semiHidden/>
    <w:unhideWhenUsed/>
    <w:qFormat/>
    <w:rsid w:val="005954CA"/>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5954C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5954C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954CA"/>
    <w:rPr>
      <w:rFonts w:ascii="Times New Roman" w:eastAsia="Times New Roman" w:hAnsi="Times New Roman" w:cs="Times New Roman"/>
      <w:b/>
      <w:bCs/>
      <w:sz w:val="26"/>
      <w:szCs w:val="26"/>
      <w:lang w:eastAsia="es-GT"/>
    </w:rPr>
  </w:style>
  <w:style w:type="character" w:customStyle="1" w:styleId="Ttulo2Car">
    <w:name w:val="Título 2 Car"/>
    <w:basedOn w:val="Fuentedeprrafopredeter"/>
    <w:link w:val="Ttulo2"/>
    <w:uiPriority w:val="9"/>
    <w:rsid w:val="005954CA"/>
    <w:rPr>
      <w:rFonts w:asciiTheme="majorHAnsi" w:eastAsiaTheme="majorEastAsia" w:hAnsiTheme="majorHAnsi" w:cstheme="majorBidi"/>
      <w:color w:val="2F5496" w:themeColor="accent1" w:themeShade="BF"/>
      <w:sz w:val="26"/>
      <w:szCs w:val="26"/>
      <w:lang w:eastAsia="es-GT"/>
    </w:rPr>
  </w:style>
  <w:style w:type="character" w:customStyle="1" w:styleId="Ttulo3Car">
    <w:name w:val="Título 3 Car"/>
    <w:basedOn w:val="Fuentedeprrafopredeter"/>
    <w:link w:val="Ttulo3"/>
    <w:uiPriority w:val="9"/>
    <w:rsid w:val="005954CA"/>
    <w:rPr>
      <w:rFonts w:asciiTheme="majorHAnsi" w:eastAsiaTheme="majorEastAsia" w:hAnsiTheme="majorHAnsi" w:cstheme="majorBidi"/>
      <w:color w:val="1F3763" w:themeColor="accent1" w:themeShade="7F"/>
      <w:sz w:val="24"/>
      <w:szCs w:val="24"/>
      <w:lang w:eastAsia="es-GT"/>
    </w:rPr>
  </w:style>
  <w:style w:type="character" w:customStyle="1" w:styleId="Ttulo4Car">
    <w:name w:val="Título 4 Car"/>
    <w:basedOn w:val="Fuentedeprrafopredeter"/>
    <w:link w:val="Ttulo4"/>
    <w:uiPriority w:val="9"/>
    <w:rsid w:val="005954CA"/>
    <w:rPr>
      <w:rFonts w:asciiTheme="majorHAnsi" w:eastAsiaTheme="majorEastAsia" w:hAnsiTheme="majorHAnsi" w:cstheme="majorBidi"/>
      <w:i/>
      <w:iCs/>
      <w:color w:val="2F5496" w:themeColor="accent1" w:themeShade="BF"/>
      <w:sz w:val="24"/>
      <w:szCs w:val="24"/>
      <w:lang w:eastAsia="es-GT"/>
    </w:rPr>
  </w:style>
  <w:style w:type="character" w:customStyle="1" w:styleId="Ttulo5Car">
    <w:name w:val="Título 5 Car"/>
    <w:basedOn w:val="Fuentedeprrafopredeter"/>
    <w:link w:val="Ttulo5"/>
    <w:uiPriority w:val="9"/>
    <w:rsid w:val="005954CA"/>
    <w:rPr>
      <w:rFonts w:asciiTheme="majorHAnsi" w:eastAsiaTheme="majorEastAsia" w:hAnsiTheme="majorHAnsi" w:cstheme="majorBidi"/>
      <w:color w:val="2F5496" w:themeColor="accent1" w:themeShade="BF"/>
      <w:sz w:val="24"/>
      <w:szCs w:val="24"/>
      <w:lang w:eastAsia="es-GT"/>
    </w:rPr>
  </w:style>
  <w:style w:type="character" w:customStyle="1" w:styleId="Ttulo6Car">
    <w:name w:val="Título 6 Car"/>
    <w:basedOn w:val="Fuentedeprrafopredeter"/>
    <w:link w:val="Ttulo6"/>
    <w:uiPriority w:val="9"/>
    <w:semiHidden/>
    <w:rsid w:val="005954CA"/>
    <w:rPr>
      <w:rFonts w:asciiTheme="majorHAnsi" w:eastAsiaTheme="majorEastAsia" w:hAnsiTheme="majorHAnsi" w:cstheme="majorBidi"/>
      <w:color w:val="1F3763" w:themeColor="accent1" w:themeShade="7F"/>
      <w:sz w:val="24"/>
      <w:szCs w:val="24"/>
      <w:lang w:eastAsia="es-GT"/>
    </w:rPr>
  </w:style>
  <w:style w:type="character" w:customStyle="1" w:styleId="Ttulo7Car">
    <w:name w:val="Título 7 Car"/>
    <w:basedOn w:val="Fuentedeprrafopredeter"/>
    <w:link w:val="Ttulo7"/>
    <w:uiPriority w:val="9"/>
    <w:semiHidden/>
    <w:rsid w:val="005954CA"/>
    <w:rPr>
      <w:rFonts w:asciiTheme="majorHAnsi" w:eastAsiaTheme="majorEastAsia" w:hAnsiTheme="majorHAnsi" w:cstheme="majorBidi"/>
      <w:i/>
      <w:iCs/>
      <w:color w:val="1F3763" w:themeColor="accent1" w:themeShade="7F"/>
      <w:sz w:val="24"/>
      <w:szCs w:val="24"/>
      <w:lang w:eastAsia="es-GT"/>
    </w:rPr>
  </w:style>
  <w:style w:type="character" w:customStyle="1" w:styleId="Ttulo8Car">
    <w:name w:val="Título 8 Car"/>
    <w:basedOn w:val="Fuentedeprrafopredeter"/>
    <w:link w:val="Ttulo8"/>
    <w:uiPriority w:val="9"/>
    <w:semiHidden/>
    <w:rsid w:val="005954CA"/>
    <w:rPr>
      <w:rFonts w:asciiTheme="majorHAnsi" w:eastAsiaTheme="majorEastAsia" w:hAnsiTheme="majorHAnsi" w:cstheme="majorBidi"/>
      <w:color w:val="272727" w:themeColor="text1" w:themeTint="D8"/>
      <w:sz w:val="21"/>
      <w:szCs w:val="21"/>
      <w:lang w:eastAsia="es-GT"/>
    </w:rPr>
  </w:style>
  <w:style w:type="character" w:customStyle="1" w:styleId="Ttulo9Car">
    <w:name w:val="Título 9 Car"/>
    <w:basedOn w:val="Fuentedeprrafopredeter"/>
    <w:link w:val="Ttulo9"/>
    <w:uiPriority w:val="9"/>
    <w:semiHidden/>
    <w:rsid w:val="005954CA"/>
    <w:rPr>
      <w:rFonts w:asciiTheme="majorHAnsi" w:eastAsiaTheme="majorEastAsia" w:hAnsiTheme="majorHAnsi" w:cstheme="majorBidi"/>
      <w:i/>
      <w:iCs/>
      <w:color w:val="272727" w:themeColor="text1" w:themeTint="D8"/>
      <w:sz w:val="21"/>
      <w:szCs w:val="21"/>
      <w:lang w:eastAsia="es-GT"/>
    </w:rPr>
  </w:style>
  <w:style w:type="paragraph" w:styleId="Textoindependiente">
    <w:name w:val="Body Text"/>
    <w:basedOn w:val="Normal"/>
    <w:link w:val="TextoindependienteCar"/>
    <w:uiPriority w:val="99"/>
    <w:qFormat/>
    <w:rsid w:val="005954CA"/>
  </w:style>
  <w:style w:type="character" w:customStyle="1" w:styleId="TextoindependienteCar">
    <w:name w:val="Texto independiente Car"/>
    <w:basedOn w:val="Fuentedeprrafopredeter"/>
    <w:link w:val="Textoindependiente"/>
    <w:uiPriority w:val="99"/>
    <w:rsid w:val="005954CA"/>
    <w:rPr>
      <w:rFonts w:ascii="Times New Roman" w:eastAsia="Times New Roman" w:hAnsi="Times New Roman" w:cs="Times New Roman"/>
      <w:sz w:val="24"/>
      <w:szCs w:val="24"/>
      <w:lang w:eastAsia="es-GT"/>
    </w:rPr>
  </w:style>
  <w:style w:type="table" w:styleId="Tablaconcuadrcula">
    <w:name w:val="Table Grid"/>
    <w:basedOn w:val="Tablanormal"/>
    <w:uiPriority w:val="39"/>
    <w:rsid w:val="005954C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59"/>
    <w:rsid w:val="00FB2F6F"/>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Título PDM,Párrafo de lista 2"/>
    <w:basedOn w:val="Normal"/>
    <w:link w:val="PrrafodelistaCar"/>
    <w:uiPriority w:val="42"/>
    <w:qFormat/>
    <w:rsid w:val="003D7247"/>
    <w:pPr>
      <w:ind w:left="720"/>
      <w:contextualSpacing/>
    </w:pPr>
  </w:style>
  <w:style w:type="character" w:customStyle="1" w:styleId="PrrafodelistaCar">
    <w:name w:val="Párrafo de lista Car"/>
    <w:aliases w:val="Título PDM Car,Párrafo de lista 2 Car"/>
    <w:basedOn w:val="Fuentedeprrafopredeter"/>
    <w:link w:val="Prrafodelista"/>
    <w:uiPriority w:val="42"/>
    <w:locked/>
    <w:rsid w:val="00B848FD"/>
    <w:rPr>
      <w:rFonts w:ascii="Times New Roman" w:eastAsia="Times New Roman" w:hAnsi="Times New Roman" w:cs="Times New Roman"/>
      <w:sz w:val="24"/>
      <w:szCs w:val="24"/>
      <w:lang w:eastAsia="es-GT"/>
    </w:rPr>
  </w:style>
  <w:style w:type="table" w:customStyle="1" w:styleId="Tablaconcuadrcula1">
    <w:name w:val="Tabla con cuadrícula1"/>
    <w:basedOn w:val="Tablanormal"/>
    <w:next w:val="Tablaconcuadrcula"/>
    <w:uiPriority w:val="39"/>
    <w:rsid w:val="00F1655E"/>
    <w:pPr>
      <w:spacing w:after="0" w:line="240" w:lineRule="auto"/>
    </w:pPr>
    <w:rPr>
      <w:rFonts w:eastAsia="Times New Roman" w:cs="Times New Roman"/>
      <w:sz w:val="24"/>
      <w:szCs w:val="24"/>
      <w:lang w:val="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4-nfasis1">
    <w:name w:val="Grid Table 4 Accent 1"/>
    <w:basedOn w:val="Tablanormal"/>
    <w:uiPriority w:val="49"/>
    <w:rsid w:val="00F1655E"/>
    <w:pPr>
      <w:widowControl w:val="0"/>
      <w:autoSpaceDE w:val="0"/>
      <w:autoSpaceDN w:val="0"/>
      <w:spacing w:after="0" w:line="240" w:lineRule="auto"/>
    </w:pPr>
    <w:rPr>
      <w:lang w:val="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xtonotapie">
    <w:name w:val="footnote text"/>
    <w:basedOn w:val="Normal"/>
    <w:link w:val="TextonotapieCar"/>
    <w:uiPriority w:val="99"/>
    <w:semiHidden/>
    <w:unhideWhenUsed/>
    <w:rsid w:val="000C1D11"/>
    <w:rPr>
      <w:sz w:val="20"/>
      <w:szCs w:val="20"/>
    </w:rPr>
  </w:style>
  <w:style w:type="character" w:customStyle="1" w:styleId="TextonotapieCar">
    <w:name w:val="Texto nota pie Car"/>
    <w:basedOn w:val="Fuentedeprrafopredeter"/>
    <w:link w:val="Textonotapie"/>
    <w:uiPriority w:val="99"/>
    <w:semiHidden/>
    <w:rsid w:val="000C1D11"/>
    <w:rPr>
      <w:rFonts w:ascii="Times New Roman" w:eastAsia="Times New Roman" w:hAnsi="Times New Roman" w:cs="Times New Roman"/>
      <w:sz w:val="20"/>
      <w:szCs w:val="20"/>
      <w:lang w:eastAsia="es-GT"/>
    </w:rPr>
  </w:style>
  <w:style w:type="character" w:styleId="Refdenotaalpie">
    <w:name w:val="footnote reference"/>
    <w:basedOn w:val="Fuentedeprrafopredeter"/>
    <w:uiPriority w:val="99"/>
    <w:semiHidden/>
    <w:unhideWhenUsed/>
    <w:rsid w:val="000C1D11"/>
    <w:rPr>
      <w:vertAlign w:val="superscript"/>
    </w:rPr>
  </w:style>
  <w:style w:type="paragraph" w:styleId="Piedepgina">
    <w:name w:val="footer"/>
    <w:basedOn w:val="Normal"/>
    <w:link w:val="PiedepginaCar"/>
    <w:uiPriority w:val="99"/>
    <w:unhideWhenUsed/>
    <w:rsid w:val="000C1D11"/>
    <w:pPr>
      <w:tabs>
        <w:tab w:val="center" w:pos="4419"/>
        <w:tab w:val="right" w:pos="8838"/>
      </w:tabs>
    </w:pPr>
  </w:style>
  <w:style w:type="character" w:customStyle="1" w:styleId="PiedepginaCar">
    <w:name w:val="Pie de página Car"/>
    <w:basedOn w:val="Fuentedeprrafopredeter"/>
    <w:link w:val="Piedepgina"/>
    <w:uiPriority w:val="99"/>
    <w:rsid w:val="000C1D11"/>
    <w:rPr>
      <w:rFonts w:ascii="Times New Roman" w:eastAsia="Times New Roman" w:hAnsi="Times New Roman" w:cs="Times New Roman"/>
      <w:sz w:val="24"/>
      <w:szCs w:val="24"/>
      <w:lang w:eastAsia="es-GT"/>
    </w:rPr>
  </w:style>
  <w:style w:type="character" w:customStyle="1" w:styleId="SinespaciadoCar">
    <w:name w:val="Sin espaciado Car"/>
    <w:basedOn w:val="Fuentedeprrafopredeter"/>
    <w:link w:val="Sinespaciado"/>
    <w:uiPriority w:val="1"/>
    <w:locked/>
    <w:rsid w:val="00707448"/>
    <w:rPr>
      <w:rFonts w:cs="Times New Roman"/>
    </w:rPr>
  </w:style>
  <w:style w:type="paragraph" w:styleId="Sinespaciado">
    <w:name w:val="No Spacing"/>
    <w:basedOn w:val="Normal"/>
    <w:link w:val="SinespaciadoCar"/>
    <w:uiPriority w:val="1"/>
    <w:qFormat/>
    <w:rsid w:val="00707448"/>
    <w:rPr>
      <w:rFonts w:asciiTheme="minorHAnsi" w:eastAsiaTheme="minorHAnsi" w:hAnsiTheme="minorHAnsi"/>
      <w:sz w:val="22"/>
      <w:szCs w:val="22"/>
      <w:lang w:eastAsia="en-US"/>
    </w:rPr>
  </w:style>
  <w:style w:type="paragraph" w:styleId="TtuloTDC">
    <w:name w:val="TOC Heading"/>
    <w:basedOn w:val="Ttulo1"/>
    <w:next w:val="Normal"/>
    <w:uiPriority w:val="39"/>
    <w:unhideWhenUsed/>
    <w:qFormat/>
    <w:rsid w:val="000470AA"/>
    <w:pPr>
      <w:keepNext/>
      <w:keepLines/>
      <w:numPr>
        <w:numId w:val="0"/>
      </w:numPr>
      <w:spacing w:before="240" w:line="259" w:lineRule="auto"/>
      <w:outlineLvl w:val="9"/>
    </w:pPr>
    <w:rPr>
      <w:rFonts w:asciiTheme="majorHAnsi" w:eastAsiaTheme="majorEastAsia" w:hAnsiTheme="majorHAnsi" w:cstheme="majorBidi"/>
      <w:b w:val="0"/>
      <w:bCs w:val="0"/>
      <w:color w:val="2F5496" w:themeColor="accent1" w:themeShade="BF"/>
      <w:sz w:val="32"/>
      <w:szCs w:val="32"/>
    </w:rPr>
  </w:style>
  <w:style w:type="paragraph" w:styleId="TDC1">
    <w:name w:val="toc 1"/>
    <w:basedOn w:val="Normal"/>
    <w:next w:val="Normal"/>
    <w:autoRedefine/>
    <w:uiPriority w:val="39"/>
    <w:unhideWhenUsed/>
    <w:rsid w:val="00A37A2D"/>
    <w:pPr>
      <w:tabs>
        <w:tab w:val="left" w:pos="440"/>
        <w:tab w:val="right" w:leader="dot" w:pos="9633"/>
      </w:tabs>
      <w:ind w:left="142"/>
    </w:pPr>
    <w:rPr>
      <w:rFonts w:eastAsiaTheme="majorEastAsia"/>
      <w:noProof/>
      <w:sz w:val="22"/>
      <w:szCs w:val="22"/>
    </w:rPr>
  </w:style>
  <w:style w:type="paragraph" w:styleId="TDC2">
    <w:name w:val="toc 2"/>
    <w:basedOn w:val="Normal"/>
    <w:next w:val="Normal"/>
    <w:autoRedefine/>
    <w:uiPriority w:val="39"/>
    <w:unhideWhenUsed/>
    <w:rsid w:val="00A37A2D"/>
    <w:pPr>
      <w:tabs>
        <w:tab w:val="right" w:leader="dot" w:pos="9621"/>
      </w:tabs>
      <w:ind w:left="142"/>
    </w:pPr>
  </w:style>
  <w:style w:type="paragraph" w:styleId="TDC3">
    <w:name w:val="toc 3"/>
    <w:basedOn w:val="Normal"/>
    <w:next w:val="Normal"/>
    <w:autoRedefine/>
    <w:uiPriority w:val="39"/>
    <w:unhideWhenUsed/>
    <w:rsid w:val="00A37A2D"/>
    <w:pPr>
      <w:tabs>
        <w:tab w:val="left" w:pos="1100"/>
        <w:tab w:val="right" w:leader="dot" w:pos="9621"/>
      </w:tabs>
      <w:ind w:left="142"/>
    </w:pPr>
  </w:style>
  <w:style w:type="character" w:styleId="Hipervnculo">
    <w:name w:val="Hyperlink"/>
    <w:basedOn w:val="Fuentedeprrafopredeter"/>
    <w:uiPriority w:val="99"/>
    <w:unhideWhenUsed/>
    <w:rsid w:val="000470AA"/>
    <w:rPr>
      <w:color w:val="0563C1" w:themeColor="hyperlink"/>
      <w:u w:val="single"/>
    </w:rPr>
  </w:style>
  <w:style w:type="paragraph" w:styleId="Descripcin">
    <w:name w:val="caption"/>
    <w:basedOn w:val="Normal"/>
    <w:next w:val="Normal"/>
    <w:link w:val="DescripcinCar"/>
    <w:uiPriority w:val="35"/>
    <w:unhideWhenUsed/>
    <w:qFormat/>
    <w:rsid w:val="00FC3452"/>
    <w:pPr>
      <w:spacing w:after="200"/>
    </w:pPr>
    <w:rPr>
      <w:i/>
      <w:iCs/>
      <w:color w:val="44546A" w:themeColor="text2"/>
      <w:sz w:val="18"/>
      <w:szCs w:val="18"/>
    </w:rPr>
  </w:style>
  <w:style w:type="paragraph" w:styleId="Tabladeilustraciones">
    <w:name w:val="table of figures"/>
    <w:basedOn w:val="Normal"/>
    <w:next w:val="Normal"/>
    <w:uiPriority w:val="99"/>
    <w:unhideWhenUsed/>
    <w:rsid w:val="000902AC"/>
  </w:style>
  <w:style w:type="paragraph" w:styleId="Encabezado">
    <w:name w:val="header"/>
    <w:basedOn w:val="Normal"/>
    <w:link w:val="EncabezadoCar"/>
    <w:uiPriority w:val="99"/>
    <w:unhideWhenUsed/>
    <w:rsid w:val="004B0E4D"/>
    <w:pPr>
      <w:tabs>
        <w:tab w:val="center" w:pos="4419"/>
        <w:tab w:val="right" w:pos="8838"/>
      </w:tabs>
    </w:pPr>
  </w:style>
  <w:style w:type="character" w:customStyle="1" w:styleId="EncabezadoCar">
    <w:name w:val="Encabezado Car"/>
    <w:basedOn w:val="Fuentedeprrafopredeter"/>
    <w:link w:val="Encabezado"/>
    <w:uiPriority w:val="99"/>
    <w:rsid w:val="004B0E4D"/>
    <w:rPr>
      <w:rFonts w:ascii="Times New Roman" w:eastAsia="Times New Roman" w:hAnsi="Times New Roman" w:cs="Times New Roman"/>
      <w:sz w:val="24"/>
      <w:szCs w:val="24"/>
      <w:lang w:eastAsia="es-GT"/>
    </w:rPr>
  </w:style>
  <w:style w:type="character" w:styleId="Mencinsinresolver">
    <w:name w:val="Unresolved Mention"/>
    <w:basedOn w:val="Fuentedeprrafopredeter"/>
    <w:uiPriority w:val="99"/>
    <w:semiHidden/>
    <w:unhideWhenUsed/>
    <w:rsid w:val="009C1A60"/>
    <w:rPr>
      <w:color w:val="605E5C"/>
      <w:shd w:val="clear" w:color="auto" w:fill="E1DFDD"/>
    </w:rPr>
  </w:style>
  <w:style w:type="character" w:styleId="Refdecomentario">
    <w:name w:val="annotation reference"/>
    <w:basedOn w:val="Fuentedeprrafopredeter"/>
    <w:uiPriority w:val="99"/>
    <w:semiHidden/>
    <w:unhideWhenUsed/>
    <w:rsid w:val="00965C53"/>
    <w:rPr>
      <w:sz w:val="16"/>
      <w:szCs w:val="16"/>
    </w:rPr>
  </w:style>
  <w:style w:type="paragraph" w:styleId="Textocomentario">
    <w:name w:val="annotation text"/>
    <w:basedOn w:val="Normal"/>
    <w:link w:val="TextocomentarioCar"/>
    <w:uiPriority w:val="99"/>
    <w:unhideWhenUsed/>
    <w:rsid w:val="00965C53"/>
    <w:rPr>
      <w:sz w:val="20"/>
      <w:szCs w:val="20"/>
    </w:rPr>
  </w:style>
  <w:style w:type="character" w:customStyle="1" w:styleId="TextocomentarioCar">
    <w:name w:val="Texto comentario Car"/>
    <w:basedOn w:val="Fuentedeprrafopredeter"/>
    <w:link w:val="Textocomentario"/>
    <w:uiPriority w:val="99"/>
    <w:rsid w:val="00965C53"/>
    <w:rPr>
      <w:rFonts w:ascii="Times New Roman" w:eastAsia="Times New Roman" w:hAnsi="Times New Roman" w:cs="Times New Roman"/>
      <w:sz w:val="20"/>
      <w:szCs w:val="20"/>
      <w:lang w:eastAsia="es-GT"/>
    </w:rPr>
  </w:style>
  <w:style w:type="paragraph" w:styleId="Asuntodelcomentario">
    <w:name w:val="annotation subject"/>
    <w:basedOn w:val="Textocomentario"/>
    <w:next w:val="Textocomentario"/>
    <w:link w:val="AsuntodelcomentarioCar"/>
    <w:uiPriority w:val="99"/>
    <w:semiHidden/>
    <w:unhideWhenUsed/>
    <w:rsid w:val="00965C53"/>
    <w:rPr>
      <w:b/>
      <w:bCs/>
    </w:rPr>
  </w:style>
  <w:style w:type="character" w:customStyle="1" w:styleId="AsuntodelcomentarioCar">
    <w:name w:val="Asunto del comentario Car"/>
    <w:basedOn w:val="TextocomentarioCar"/>
    <w:link w:val="Asuntodelcomentario"/>
    <w:uiPriority w:val="99"/>
    <w:semiHidden/>
    <w:rsid w:val="00965C53"/>
    <w:rPr>
      <w:rFonts w:ascii="Times New Roman" w:eastAsia="Times New Roman" w:hAnsi="Times New Roman" w:cs="Times New Roman"/>
      <w:b/>
      <w:bCs/>
      <w:sz w:val="20"/>
      <w:szCs w:val="20"/>
      <w:lang w:eastAsia="es-GT"/>
    </w:rPr>
  </w:style>
  <w:style w:type="numbering" w:customStyle="1" w:styleId="Sinlista1">
    <w:name w:val="Sin lista1"/>
    <w:next w:val="Sinlista"/>
    <w:uiPriority w:val="99"/>
    <w:semiHidden/>
    <w:unhideWhenUsed/>
    <w:rsid w:val="009F124E"/>
  </w:style>
  <w:style w:type="table" w:customStyle="1" w:styleId="Tablaconcuadrcula2">
    <w:name w:val="Tabla con cuadrícula2"/>
    <w:basedOn w:val="Tablanormal"/>
    <w:next w:val="Tablaconcuadrcula"/>
    <w:uiPriority w:val="39"/>
    <w:rsid w:val="009F124E"/>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9F124E"/>
    <w:rPr>
      <w:rFonts w:ascii="Tahoma" w:hAnsi="Tahoma" w:cs="Tahoma"/>
      <w:sz w:val="16"/>
      <w:szCs w:val="16"/>
      <w:lang w:eastAsia="en-US"/>
    </w:rPr>
  </w:style>
  <w:style w:type="character" w:customStyle="1" w:styleId="TextodegloboCar">
    <w:name w:val="Texto de globo Car"/>
    <w:basedOn w:val="Fuentedeprrafopredeter"/>
    <w:link w:val="Textodeglobo"/>
    <w:uiPriority w:val="99"/>
    <w:semiHidden/>
    <w:rsid w:val="009F124E"/>
    <w:rPr>
      <w:rFonts w:ascii="Tahoma" w:eastAsia="Times New Roman" w:hAnsi="Tahoma" w:cs="Tahoma"/>
      <w:sz w:val="16"/>
      <w:szCs w:val="16"/>
    </w:rPr>
  </w:style>
  <w:style w:type="character" w:customStyle="1" w:styleId="TextoindependienteCar1">
    <w:name w:val="Texto independiente Car1"/>
    <w:basedOn w:val="Fuentedeprrafopredeter"/>
    <w:uiPriority w:val="99"/>
    <w:locked/>
    <w:rsid w:val="009F124E"/>
    <w:rPr>
      <w:rFonts w:ascii="Times New Roman" w:hAnsi="Times New Roman" w:cs="Times New Roman"/>
      <w:spacing w:val="5"/>
      <w:sz w:val="21"/>
      <w:szCs w:val="21"/>
      <w:shd w:val="clear" w:color="auto" w:fill="FFFFFF"/>
    </w:rPr>
  </w:style>
  <w:style w:type="character" w:customStyle="1" w:styleId="TextoindependienteCar2">
    <w:name w:val="Texto independiente Car2"/>
    <w:basedOn w:val="Fuentedeprrafopredeter"/>
    <w:uiPriority w:val="99"/>
    <w:semiHidden/>
    <w:rsid w:val="009F124E"/>
    <w:rPr>
      <w:rFonts w:cs="Times New Roman"/>
    </w:rPr>
  </w:style>
  <w:style w:type="character" w:customStyle="1" w:styleId="Heading2">
    <w:name w:val="Heading #2_"/>
    <w:basedOn w:val="Fuentedeprrafopredeter"/>
    <w:link w:val="Heading20"/>
    <w:uiPriority w:val="99"/>
    <w:locked/>
    <w:rsid w:val="009F124E"/>
    <w:rPr>
      <w:rFonts w:ascii="Arial" w:hAnsi="Arial" w:cs="Arial"/>
      <w:spacing w:val="15"/>
      <w:sz w:val="25"/>
      <w:szCs w:val="25"/>
      <w:shd w:val="clear" w:color="auto" w:fill="FFFFFF"/>
    </w:rPr>
  </w:style>
  <w:style w:type="paragraph" w:customStyle="1" w:styleId="Heading20">
    <w:name w:val="Heading #2"/>
    <w:basedOn w:val="Normal"/>
    <w:link w:val="Heading2"/>
    <w:uiPriority w:val="99"/>
    <w:rsid w:val="009F124E"/>
    <w:pPr>
      <w:widowControl w:val="0"/>
      <w:shd w:val="clear" w:color="auto" w:fill="FFFFFF"/>
      <w:spacing w:line="384" w:lineRule="exact"/>
      <w:ind w:hanging="980"/>
      <w:outlineLvl w:val="1"/>
    </w:pPr>
    <w:rPr>
      <w:rFonts w:ascii="Arial" w:eastAsiaTheme="minorHAnsi" w:hAnsi="Arial" w:cs="Arial"/>
      <w:spacing w:val="15"/>
      <w:sz w:val="25"/>
      <w:szCs w:val="25"/>
      <w:lang w:eastAsia="en-US"/>
    </w:rPr>
  </w:style>
  <w:style w:type="character" w:customStyle="1" w:styleId="Heading2TimesNewRoman">
    <w:name w:val="Heading #2 + Times New Roman"/>
    <w:aliases w:val="10.5 pt,Bold1,Spacing 0 pt2"/>
    <w:basedOn w:val="Heading2"/>
    <w:uiPriority w:val="99"/>
    <w:rsid w:val="009F124E"/>
    <w:rPr>
      <w:rFonts w:ascii="Times New Roman" w:hAnsi="Times New Roman" w:cs="Times New Roman"/>
      <w:b/>
      <w:bCs/>
      <w:spacing w:val="7"/>
      <w:sz w:val="21"/>
      <w:szCs w:val="21"/>
      <w:shd w:val="clear" w:color="auto" w:fill="FFFFFF"/>
    </w:rPr>
  </w:style>
  <w:style w:type="character" w:customStyle="1" w:styleId="BodytextItalic">
    <w:name w:val="Body text + Italic"/>
    <w:aliases w:val="Spacing 0 pt5"/>
    <w:basedOn w:val="TextoindependienteCar1"/>
    <w:uiPriority w:val="99"/>
    <w:rsid w:val="009F124E"/>
    <w:rPr>
      <w:rFonts w:ascii="Times New Roman" w:hAnsi="Times New Roman" w:cs="Times New Roman"/>
      <w:i/>
      <w:iCs/>
      <w:spacing w:val="0"/>
      <w:sz w:val="21"/>
      <w:szCs w:val="21"/>
      <w:shd w:val="clear" w:color="auto" w:fill="FFFFFF"/>
    </w:rPr>
  </w:style>
  <w:style w:type="table" w:customStyle="1" w:styleId="Tabladecuadrcula4-nfasis11">
    <w:name w:val="Tabla de cuadrícula 4 - Énfasis 11"/>
    <w:basedOn w:val="Tablanormal"/>
    <w:uiPriority w:val="49"/>
    <w:rsid w:val="009F124E"/>
    <w:pPr>
      <w:spacing w:after="0" w:line="240" w:lineRule="auto"/>
    </w:pPr>
    <w:rPr>
      <w:rFonts w:eastAsia="Times New Roman" w:cs="Times New Roma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rFonts w:cs="Times New Roman"/>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rFonts w:cs="Times New Roman"/>
        <w:b/>
        <w:bCs/>
      </w:rPr>
      <w:tblPr/>
      <w:tcPr>
        <w:tcBorders>
          <w:top w:val="double" w:sz="4" w:space="0" w:color="5B9BD5"/>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EEAF6"/>
      </w:tcPr>
    </w:tblStylePr>
    <w:tblStylePr w:type="band1Horz">
      <w:rPr>
        <w:rFonts w:cs="Times New Roman"/>
      </w:rPr>
      <w:tblPr/>
      <w:tcPr>
        <w:shd w:val="clear" w:color="auto" w:fill="DEEAF6"/>
      </w:tcPr>
    </w:tblStylePr>
  </w:style>
  <w:style w:type="paragraph" w:customStyle="1" w:styleId="Ttulo11">
    <w:name w:val="Título 11"/>
    <w:basedOn w:val="Normal"/>
    <w:rsid w:val="009F124E"/>
    <w:pPr>
      <w:numPr>
        <w:numId w:val="34"/>
      </w:numPr>
      <w:spacing w:after="200" w:line="288" w:lineRule="auto"/>
    </w:pPr>
    <w:rPr>
      <w:rFonts w:ascii="Calibri" w:hAnsi="Calibri"/>
      <w:sz w:val="21"/>
      <w:szCs w:val="21"/>
      <w:lang w:eastAsia="en-US"/>
    </w:rPr>
  </w:style>
  <w:style w:type="paragraph" w:customStyle="1" w:styleId="Ttulo21">
    <w:name w:val="Título 21"/>
    <w:basedOn w:val="Normal"/>
    <w:rsid w:val="009F124E"/>
    <w:pPr>
      <w:numPr>
        <w:ilvl w:val="1"/>
        <w:numId w:val="34"/>
      </w:numPr>
      <w:spacing w:after="200" w:line="288" w:lineRule="auto"/>
    </w:pPr>
    <w:rPr>
      <w:rFonts w:ascii="Calibri" w:hAnsi="Calibri"/>
      <w:sz w:val="21"/>
      <w:szCs w:val="21"/>
      <w:lang w:eastAsia="en-US"/>
    </w:rPr>
  </w:style>
  <w:style w:type="paragraph" w:customStyle="1" w:styleId="Ttulo31">
    <w:name w:val="Título 31"/>
    <w:basedOn w:val="Normal"/>
    <w:rsid w:val="009F124E"/>
    <w:pPr>
      <w:numPr>
        <w:ilvl w:val="2"/>
        <w:numId w:val="34"/>
      </w:numPr>
      <w:spacing w:after="200" w:line="288" w:lineRule="auto"/>
    </w:pPr>
    <w:rPr>
      <w:rFonts w:ascii="Calibri" w:hAnsi="Calibri"/>
      <w:sz w:val="21"/>
      <w:szCs w:val="21"/>
      <w:lang w:eastAsia="en-US"/>
    </w:rPr>
  </w:style>
  <w:style w:type="paragraph" w:customStyle="1" w:styleId="Ttulo41">
    <w:name w:val="Título 41"/>
    <w:basedOn w:val="Normal"/>
    <w:rsid w:val="009F124E"/>
    <w:pPr>
      <w:numPr>
        <w:ilvl w:val="3"/>
        <w:numId w:val="34"/>
      </w:numPr>
      <w:spacing w:after="200" w:line="288" w:lineRule="auto"/>
    </w:pPr>
    <w:rPr>
      <w:rFonts w:ascii="Calibri" w:hAnsi="Calibri"/>
      <w:sz w:val="21"/>
      <w:szCs w:val="21"/>
      <w:lang w:eastAsia="en-US"/>
    </w:rPr>
  </w:style>
  <w:style w:type="paragraph" w:customStyle="1" w:styleId="Ttulo51">
    <w:name w:val="Título 51"/>
    <w:basedOn w:val="Normal"/>
    <w:rsid w:val="009F124E"/>
    <w:pPr>
      <w:numPr>
        <w:ilvl w:val="4"/>
        <w:numId w:val="34"/>
      </w:numPr>
      <w:spacing w:after="200" w:line="288" w:lineRule="auto"/>
    </w:pPr>
    <w:rPr>
      <w:rFonts w:ascii="Calibri" w:hAnsi="Calibri"/>
      <w:sz w:val="21"/>
      <w:szCs w:val="21"/>
      <w:lang w:eastAsia="en-US"/>
    </w:rPr>
  </w:style>
  <w:style w:type="paragraph" w:customStyle="1" w:styleId="Ttulo61">
    <w:name w:val="Título 61"/>
    <w:basedOn w:val="Normal"/>
    <w:rsid w:val="009F124E"/>
    <w:pPr>
      <w:numPr>
        <w:ilvl w:val="5"/>
        <w:numId w:val="34"/>
      </w:numPr>
      <w:spacing w:after="200" w:line="288" w:lineRule="auto"/>
    </w:pPr>
    <w:rPr>
      <w:rFonts w:ascii="Calibri" w:hAnsi="Calibri"/>
      <w:sz w:val="21"/>
      <w:szCs w:val="21"/>
      <w:lang w:eastAsia="en-US"/>
    </w:rPr>
  </w:style>
  <w:style w:type="paragraph" w:customStyle="1" w:styleId="Ttulo71">
    <w:name w:val="Título 71"/>
    <w:basedOn w:val="Normal"/>
    <w:rsid w:val="009F124E"/>
    <w:pPr>
      <w:numPr>
        <w:ilvl w:val="6"/>
        <w:numId w:val="34"/>
      </w:numPr>
      <w:spacing w:after="200" w:line="288" w:lineRule="auto"/>
    </w:pPr>
    <w:rPr>
      <w:rFonts w:ascii="Calibri" w:hAnsi="Calibri"/>
      <w:sz w:val="21"/>
      <w:szCs w:val="21"/>
      <w:lang w:eastAsia="en-US"/>
    </w:rPr>
  </w:style>
  <w:style w:type="paragraph" w:customStyle="1" w:styleId="Ttulo81">
    <w:name w:val="Título 81"/>
    <w:basedOn w:val="Normal"/>
    <w:rsid w:val="009F124E"/>
    <w:pPr>
      <w:numPr>
        <w:ilvl w:val="7"/>
        <w:numId w:val="34"/>
      </w:numPr>
      <w:spacing w:after="200" w:line="288" w:lineRule="auto"/>
    </w:pPr>
    <w:rPr>
      <w:rFonts w:ascii="Calibri" w:hAnsi="Calibri"/>
      <w:sz w:val="21"/>
      <w:szCs w:val="21"/>
      <w:lang w:eastAsia="en-US"/>
    </w:rPr>
  </w:style>
  <w:style w:type="paragraph" w:customStyle="1" w:styleId="Ttulo91">
    <w:name w:val="Título 91"/>
    <w:basedOn w:val="Normal"/>
    <w:rsid w:val="009F124E"/>
    <w:pPr>
      <w:numPr>
        <w:ilvl w:val="8"/>
        <w:numId w:val="34"/>
      </w:numPr>
      <w:spacing w:after="200" w:line="288" w:lineRule="auto"/>
    </w:pPr>
    <w:rPr>
      <w:rFonts w:ascii="Calibri" w:hAnsi="Calibri"/>
      <w:sz w:val="21"/>
      <w:szCs w:val="21"/>
      <w:lang w:eastAsia="en-US"/>
    </w:rPr>
  </w:style>
  <w:style w:type="paragraph" w:styleId="NormalWeb">
    <w:name w:val="Normal (Web)"/>
    <w:basedOn w:val="Normal"/>
    <w:uiPriority w:val="99"/>
    <w:unhideWhenUsed/>
    <w:rsid w:val="009F124E"/>
    <w:pPr>
      <w:spacing w:before="100" w:beforeAutospacing="1" w:after="100" w:afterAutospacing="1"/>
    </w:pPr>
    <w:rPr>
      <w:lang w:val="es-ES" w:eastAsia="es-ES"/>
    </w:rPr>
  </w:style>
  <w:style w:type="table" w:customStyle="1" w:styleId="Listaclara1">
    <w:name w:val="Lista clara1"/>
    <w:basedOn w:val="Tablanormal"/>
    <w:next w:val="Listaclara"/>
    <w:uiPriority w:val="61"/>
    <w:rsid w:val="009F124E"/>
    <w:pPr>
      <w:spacing w:after="0" w:line="240" w:lineRule="auto"/>
    </w:pPr>
    <w:rPr>
      <w:rFonts w:eastAsia="Times New Roman"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rFonts w:cs="Times New Roman"/>
        <w:b/>
        <w:bCs/>
        <w:color w:val="FFFFFF"/>
      </w:rPr>
      <w:tblPr/>
      <w:tcPr>
        <w:shd w:val="clear" w:color="auto" w:fill="000000"/>
      </w:tcPr>
    </w:tblStylePr>
    <w:tblStylePr w:type="lastRow">
      <w:pPr>
        <w:spacing w:before="0" w:after="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character" w:styleId="Textoennegrita">
    <w:name w:val="Strong"/>
    <w:basedOn w:val="Fuentedeprrafopredeter"/>
    <w:uiPriority w:val="22"/>
    <w:qFormat/>
    <w:rsid w:val="009F124E"/>
    <w:rPr>
      <w:rFonts w:cs="Times New Roman"/>
      <w:b/>
      <w:bCs/>
    </w:rPr>
  </w:style>
  <w:style w:type="character" w:customStyle="1" w:styleId="suffix">
    <w:name w:val="suffix"/>
    <w:basedOn w:val="Fuentedeprrafopredeter"/>
    <w:rsid w:val="009F124E"/>
    <w:rPr>
      <w:rFonts w:cs="Times New Roman"/>
    </w:rPr>
  </w:style>
  <w:style w:type="character" w:customStyle="1" w:styleId="AsuntodelcomentarioCar1">
    <w:name w:val="Asunto del comentario Car1"/>
    <w:basedOn w:val="TextocomentarioCar"/>
    <w:uiPriority w:val="99"/>
    <w:semiHidden/>
    <w:rsid w:val="009F124E"/>
    <w:rPr>
      <w:rFonts w:ascii="Times New Roman" w:eastAsia="Times New Roman" w:hAnsi="Times New Roman" w:cs="Times New Roman"/>
      <w:b/>
      <w:bCs/>
      <w:sz w:val="20"/>
      <w:szCs w:val="20"/>
      <w:lang w:eastAsia="es-GT"/>
    </w:rPr>
  </w:style>
  <w:style w:type="character" w:customStyle="1" w:styleId="AsuntodelcomentarioCar11">
    <w:name w:val="Asunto del comentario Car11"/>
    <w:basedOn w:val="TextocomentarioCar"/>
    <w:uiPriority w:val="99"/>
    <w:semiHidden/>
    <w:rsid w:val="009F124E"/>
    <w:rPr>
      <w:rFonts w:ascii="Times New Roman" w:eastAsia="Times New Roman" w:hAnsi="Times New Roman" w:cs="Times New Roman"/>
      <w:b/>
      <w:bCs/>
      <w:sz w:val="20"/>
      <w:szCs w:val="20"/>
      <w:lang w:eastAsia="es-GT"/>
    </w:rPr>
  </w:style>
  <w:style w:type="paragraph" w:customStyle="1" w:styleId="Default">
    <w:name w:val="Default"/>
    <w:rsid w:val="009F124E"/>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Subttulo1">
    <w:name w:val="Subtítulo1"/>
    <w:basedOn w:val="Normal"/>
    <w:next w:val="Subttulo"/>
    <w:link w:val="SubttuloCar"/>
    <w:uiPriority w:val="2"/>
    <w:qFormat/>
    <w:rsid w:val="009F124E"/>
    <w:pPr>
      <w:numPr>
        <w:ilvl w:val="1"/>
      </w:numPr>
      <w:spacing w:before="240" w:after="600"/>
    </w:pPr>
    <w:rPr>
      <w:rFonts w:ascii="Calibri Light" w:hAnsi="Calibri Light"/>
      <w:color w:val="5A5A5A"/>
      <w:kern w:val="2"/>
      <w:sz w:val="20"/>
      <w:szCs w:val="20"/>
      <w:lang w:val="en-US" w:eastAsia="ja-JP"/>
    </w:rPr>
  </w:style>
  <w:style w:type="character" w:customStyle="1" w:styleId="SubttuloCar">
    <w:name w:val="Subtítulo Car"/>
    <w:basedOn w:val="Fuentedeprrafopredeter"/>
    <w:link w:val="Subttulo1"/>
    <w:uiPriority w:val="2"/>
    <w:locked/>
    <w:rsid w:val="009F124E"/>
    <w:rPr>
      <w:rFonts w:ascii="Calibri Light" w:eastAsia="Times New Roman" w:hAnsi="Calibri Light" w:cs="Times New Roman"/>
      <w:color w:val="5A5A5A"/>
      <w:kern w:val="2"/>
      <w:sz w:val="20"/>
      <w:szCs w:val="20"/>
      <w:lang w:val="en-US" w:eastAsia="ja-JP"/>
    </w:rPr>
  </w:style>
  <w:style w:type="paragraph" w:customStyle="1" w:styleId="BlockHeading">
    <w:name w:val="Block Heading"/>
    <w:basedOn w:val="Normal"/>
    <w:next w:val="Textodebloque"/>
    <w:uiPriority w:val="3"/>
    <w:qFormat/>
    <w:rsid w:val="009F124E"/>
    <w:pPr>
      <w:spacing w:after="180" w:line="216" w:lineRule="auto"/>
      <w:ind w:left="288" w:right="288"/>
    </w:pPr>
    <w:rPr>
      <w:rFonts w:ascii="Calibri Light" w:hAnsi="Calibri Light"/>
      <w:b/>
      <w:bCs/>
      <w:caps/>
      <w:color w:val="FFFFFF"/>
      <w:kern w:val="2"/>
      <w:sz w:val="28"/>
      <w:szCs w:val="20"/>
      <w:lang w:val="en-US" w:eastAsia="ja-JP"/>
    </w:rPr>
  </w:style>
  <w:style w:type="paragraph" w:customStyle="1" w:styleId="Textodebloque1">
    <w:name w:val="Texto de bloque1"/>
    <w:basedOn w:val="Normal"/>
    <w:next w:val="Textodebloque"/>
    <w:uiPriority w:val="3"/>
    <w:unhideWhenUsed/>
    <w:qFormat/>
    <w:rsid w:val="009F124E"/>
    <w:pPr>
      <w:spacing w:after="180" w:line="312" w:lineRule="auto"/>
      <w:ind w:left="288" w:right="288"/>
    </w:pPr>
    <w:rPr>
      <w:rFonts w:ascii="Calibri" w:hAnsi="Calibri"/>
      <w:color w:val="FFFFFF"/>
      <w:kern w:val="2"/>
      <w:sz w:val="22"/>
      <w:szCs w:val="20"/>
      <w:lang w:val="en-US" w:eastAsia="ja-JP"/>
    </w:rPr>
  </w:style>
  <w:style w:type="table" w:customStyle="1" w:styleId="GridTable3-Accent41">
    <w:name w:val="Grid Table 3 - Accent 41"/>
    <w:basedOn w:val="Tablanormal"/>
    <w:next w:val="Tablanormal"/>
    <w:uiPriority w:val="48"/>
    <w:rsid w:val="009F124E"/>
    <w:pPr>
      <w:spacing w:after="0" w:line="240" w:lineRule="auto"/>
    </w:pPr>
    <w:rPr>
      <w:rFonts w:eastAsia="Times New Roman" w:cs="Times New Roman"/>
      <w:color w:val="404040"/>
      <w:kern w:val="2"/>
      <w:sz w:val="20"/>
      <w:szCs w:val="20"/>
      <w:lang w:val="en-US" w:eastAsia="ja-JP"/>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FFF2CC"/>
      </w:tcPr>
    </w:tblStylePr>
    <w:tblStylePr w:type="band1Horz">
      <w:rPr>
        <w:rFonts w:cs="Times New Roman"/>
      </w:rPr>
      <w:tblPr/>
      <w:tcPr>
        <w:shd w:val="clear" w:color="auto" w:fill="FFF2CC"/>
      </w:tcPr>
    </w:tblStylePr>
    <w:tblStylePr w:type="neCell">
      <w:rPr>
        <w:rFonts w:cs="Times New Roman"/>
      </w:rPr>
      <w:tblPr/>
      <w:tcPr>
        <w:tcBorders>
          <w:bottom w:val="single" w:sz="4" w:space="0" w:color="FFD966"/>
        </w:tcBorders>
      </w:tcPr>
    </w:tblStylePr>
    <w:tblStylePr w:type="nwCell">
      <w:rPr>
        <w:rFonts w:cs="Times New Roman"/>
      </w:rPr>
      <w:tblPr/>
      <w:tcPr>
        <w:tcBorders>
          <w:bottom w:val="single" w:sz="4" w:space="0" w:color="FFD966"/>
        </w:tcBorders>
      </w:tcPr>
    </w:tblStylePr>
    <w:tblStylePr w:type="seCell">
      <w:rPr>
        <w:rFonts w:cs="Times New Roman"/>
      </w:rPr>
      <w:tblPr/>
      <w:tcPr>
        <w:tcBorders>
          <w:top w:val="single" w:sz="4" w:space="0" w:color="FFD966"/>
        </w:tcBorders>
      </w:tcPr>
    </w:tblStylePr>
    <w:tblStylePr w:type="swCell">
      <w:rPr>
        <w:rFonts w:cs="Times New Roman"/>
      </w:rPr>
      <w:tblPr/>
      <w:tcPr>
        <w:tcBorders>
          <w:top w:val="single" w:sz="4" w:space="0" w:color="FFD966"/>
        </w:tcBorders>
      </w:tcPr>
    </w:tblStylePr>
  </w:style>
  <w:style w:type="paragraph" w:customStyle="1" w:styleId="Revisin1">
    <w:name w:val="Revisión1"/>
    <w:next w:val="Revisin"/>
    <w:hidden/>
    <w:uiPriority w:val="99"/>
    <w:semiHidden/>
    <w:rsid w:val="009F124E"/>
    <w:pPr>
      <w:spacing w:after="0" w:line="240" w:lineRule="auto"/>
    </w:pPr>
    <w:rPr>
      <w:rFonts w:eastAsia="Times New Roman" w:cs="Times New Roman"/>
    </w:rPr>
  </w:style>
  <w:style w:type="paragraph" w:customStyle="1" w:styleId="TDC41">
    <w:name w:val="TDC 41"/>
    <w:basedOn w:val="Normal"/>
    <w:next w:val="Normal"/>
    <w:autoRedefine/>
    <w:uiPriority w:val="39"/>
    <w:unhideWhenUsed/>
    <w:rsid w:val="009F124E"/>
    <w:pPr>
      <w:spacing w:after="100" w:line="259" w:lineRule="auto"/>
      <w:ind w:left="660"/>
    </w:pPr>
    <w:rPr>
      <w:rFonts w:ascii="Calibri" w:hAnsi="Calibri"/>
      <w:sz w:val="22"/>
      <w:szCs w:val="22"/>
    </w:rPr>
  </w:style>
  <w:style w:type="paragraph" w:customStyle="1" w:styleId="TDC51">
    <w:name w:val="TDC 51"/>
    <w:basedOn w:val="Normal"/>
    <w:next w:val="Normal"/>
    <w:autoRedefine/>
    <w:uiPriority w:val="39"/>
    <w:unhideWhenUsed/>
    <w:rsid w:val="009F124E"/>
    <w:pPr>
      <w:spacing w:after="100" w:line="259" w:lineRule="auto"/>
      <w:ind w:left="880"/>
    </w:pPr>
    <w:rPr>
      <w:rFonts w:ascii="Calibri" w:hAnsi="Calibri"/>
      <w:sz w:val="22"/>
      <w:szCs w:val="22"/>
    </w:rPr>
  </w:style>
  <w:style w:type="paragraph" w:customStyle="1" w:styleId="TDC61">
    <w:name w:val="TDC 61"/>
    <w:basedOn w:val="Normal"/>
    <w:next w:val="Normal"/>
    <w:autoRedefine/>
    <w:uiPriority w:val="39"/>
    <w:unhideWhenUsed/>
    <w:rsid w:val="009F124E"/>
    <w:pPr>
      <w:spacing w:after="100" w:line="259" w:lineRule="auto"/>
      <w:ind w:left="1100"/>
    </w:pPr>
    <w:rPr>
      <w:rFonts w:ascii="Calibri" w:hAnsi="Calibri"/>
      <w:sz w:val="22"/>
      <w:szCs w:val="22"/>
    </w:rPr>
  </w:style>
  <w:style w:type="paragraph" w:customStyle="1" w:styleId="TDC71">
    <w:name w:val="TDC 71"/>
    <w:basedOn w:val="Normal"/>
    <w:next w:val="Normal"/>
    <w:autoRedefine/>
    <w:uiPriority w:val="39"/>
    <w:unhideWhenUsed/>
    <w:rsid w:val="009F124E"/>
    <w:pPr>
      <w:spacing w:after="100" w:line="259" w:lineRule="auto"/>
      <w:ind w:left="1320"/>
    </w:pPr>
    <w:rPr>
      <w:rFonts w:ascii="Calibri" w:hAnsi="Calibri"/>
      <w:sz w:val="22"/>
      <w:szCs w:val="22"/>
    </w:rPr>
  </w:style>
  <w:style w:type="paragraph" w:customStyle="1" w:styleId="TDC81">
    <w:name w:val="TDC 81"/>
    <w:basedOn w:val="Normal"/>
    <w:next w:val="Normal"/>
    <w:autoRedefine/>
    <w:uiPriority w:val="39"/>
    <w:unhideWhenUsed/>
    <w:rsid w:val="009F124E"/>
    <w:pPr>
      <w:spacing w:after="100" w:line="259" w:lineRule="auto"/>
      <w:ind w:left="1540"/>
    </w:pPr>
    <w:rPr>
      <w:rFonts w:ascii="Calibri" w:hAnsi="Calibri"/>
      <w:sz w:val="22"/>
      <w:szCs w:val="22"/>
    </w:rPr>
  </w:style>
  <w:style w:type="paragraph" w:customStyle="1" w:styleId="TDC91">
    <w:name w:val="TDC 91"/>
    <w:basedOn w:val="Normal"/>
    <w:next w:val="Normal"/>
    <w:autoRedefine/>
    <w:uiPriority w:val="39"/>
    <w:unhideWhenUsed/>
    <w:rsid w:val="009F124E"/>
    <w:pPr>
      <w:spacing w:after="100" w:line="259" w:lineRule="auto"/>
      <w:ind w:left="1760"/>
    </w:pPr>
    <w:rPr>
      <w:rFonts w:ascii="Calibri" w:hAnsi="Calibri"/>
      <w:sz w:val="22"/>
      <w:szCs w:val="22"/>
    </w:rPr>
  </w:style>
  <w:style w:type="character" w:customStyle="1" w:styleId="Hipervnculovisitado1">
    <w:name w:val="Hipervínculo visitado1"/>
    <w:basedOn w:val="Fuentedeprrafopredeter"/>
    <w:uiPriority w:val="99"/>
    <w:semiHidden/>
    <w:unhideWhenUsed/>
    <w:rsid w:val="009F124E"/>
    <w:rPr>
      <w:rFonts w:cs="Times New Roman"/>
      <w:color w:val="954F72"/>
      <w:u w:val="single"/>
    </w:rPr>
  </w:style>
  <w:style w:type="paragraph" w:customStyle="1" w:styleId="ParagraphNumbering">
    <w:name w:val="Paragraph Numbering"/>
    <w:basedOn w:val="Normal"/>
    <w:link w:val="ParagraphNumberingChar"/>
    <w:qFormat/>
    <w:rsid w:val="009F124E"/>
    <w:pPr>
      <w:numPr>
        <w:numId w:val="35"/>
      </w:numPr>
      <w:spacing w:after="240" w:line="264" w:lineRule="auto"/>
    </w:pPr>
    <w:rPr>
      <w:lang w:val="en-US" w:eastAsia="en-US"/>
    </w:rPr>
  </w:style>
  <w:style w:type="character" w:customStyle="1" w:styleId="ParagraphNumberingChar">
    <w:name w:val="Paragraph Numbering Char"/>
    <w:basedOn w:val="Fuentedeprrafopredeter"/>
    <w:link w:val="ParagraphNumbering"/>
    <w:locked/>
    <w:rsid w:val="009F124E"/>
    <w:rPr>
      <w:rFonts w:ascii="Times New Roman" w:eastAsia="Times New Roman" w:hAnsi="Times New Roman" w:cs="Times New Roman"/>
      <w:sz w:val="24"/>
      <w:szCs w:val="24"/>
      <w:lang w:val="en-US"/>
    </w:rPr>
  </w:style>
  <w:style w:type="table" w:customStyle="1" w:styleId="Tablaconcuadrcula1clara-nfasis41">
    <w:name w:val="Tabla con cuadrícula 1 clara - Énfasis 41"/>
    <w:basedOn w:val="Tablanormal"/>
    <w:next w:val="Tablaconcuadrcula1clara-nfasis4"/>
    <w:uiPriority w:val="46"/>
    <w:rsid w:val="009F124E"/>
    <w:pPr>
      <w:spacing w:after="0" w:line="240" w:lineRule="auto"/>
    </w:pPr>
    <w:rPr>
      <w:rFonts w:eastAsia="Times New Roman" w:cs="Times New Roman"/>
    </w:rPr>
    <w:tblPr>
      <w:tblStyleRowBandSize w:val="1"/>
      <w:tblStyleColBandSize w:val="1"/>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rFonts w:cs="Times New Roman"/>
        <w:b/>
        <w:bCs/>
      </w:rPr>
      <w:tblPr/>
      <w:tcPr>
        <w:tcBorders>
          <w:bottom w:val="single" w:sz="12" w:space="0" w:color="FFD966"/>
        </w:tcBorders>
      </w:tcPr>
    </w:tblStylePr>
    <w:tblStylePr w:type="lastRow">
      <w:rPr>
        <w:rFonts w:cs="Times New Roman"/>
        <w:b/>
        <w:bCs/>
      </w:rPr>
      <w:tblPr/>
      <w:tcPr>
        <w:tcBorders>
          <w:top w:val="double" w:sz="2" w:space="0" w:color="FFD966"/>
        </w:tcBorders>
      </w:tcPr>
    </w:tblStylePr>
    <w:tblStylePr w:type="firstCol">
      <w:rPr>
        <w:rFonts w:cs="Times New Roman"/>
        <w:b/>
        <w:bCs/>
      </w:rPr>
    </w:tblStylePr>
    <w:tblStylePr w:type="lastCol">
      <w:rPr>
        <w:rFonts w:cs="Times New Roman"/>
        <w:b/>
        <w:bCs/>
      </w:rPr>
    </w:tblStylePr>
  </w:style>
  <w:style w:type="table" w:customStyle="1" w:styleId="Tabladelista4-nfasis11">
    <w:name w:val="Tabla de lista 4 - Énfasis 11"/>
    <w:basedOn w:val="Tablanormal"/>
    <w:next w:val="Tabladelista4-nfasis1"/>
    <w:uiPriority w:val="49"/>
    <w:rsid w:val="009F124E"/>
    <w:pPr>
      <w:spacing w:after="0" w:line="240" w:lineRule="auto"/>
    </w:pPr>
    <w:rPr>
      <w:rFonts w:eastAsia="Times New Roman" w:cs="Times New Roma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rFonts w:cs="Times New Roman"/>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rFonts w:cs="Times New Roman"/>
        <w:b/>
        <w:bCs/>
      </w:rPr>
      <w:tblPr/>
      <w:tcPr>
        <w:tcBorders>
          <w:top w:val="double" w:sz="4" w:space="0" w:color="9CC2E5"/>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EEAF6"/>
      </w:tcPr>
    </w:tblStylePr>
    <w:tblStylePr w:type="band1Horz">
      <w:rPr>
        <w:rFonts w:cs="Times New Roman"/>
      </w:rPr>
      <w:tblPr/>
      <w:tcPr>
        <w:shd w:val="clear" w:color="auto" w:fill="DEEAF6"/>
      </w:tcPr>
    </w:tblStylePr>
  </w:style>
  <w:style w:type="paragraph" w:customStyle="1" w:styleId="Tabla">
    <w:name w:val="Tabla"/>
    <w:basedOn w:val="Tabladeilustraciones"/>
    <w:link w:val="TablaCar"/>
    <w:qFormat/>
    <w:rsid w:val="009F124E"/>
    <w:pPr>
      <w:keepNext/>
      <w:framePr w:hSpace="141" w:wrap="around" w:vAnchor="text" w:hAnchor="margin" w:y="74"/>
      <w:spacing w:line="259" w:lineRule="auto"/>
      <w:jc w:val="center"/>
    </w:pPr>
    <w:rPr>
      <w:b/>
      <w:bCs/>
      <w:iCs/>
      <w:color w:val="44546A"/>
      <w:sz w:val="18"/>
      <w:szCs w:val="20"/>
    </w:rPr>
  </w:style>
  <w:style w:type="character" w:customStyle="1" w:styleId="DescripcinCar">
    <w:name w:val="Descripción Car"/>
    <w:basedOn w:val="Fuentedeprrafopredeter"/>
    <w:link w:val="Descripcin"/>
    <w:uiPriority w:val="35"/>
    <w:locked/>
    <w:rsid w:val="009F124E"/>
    <w:rPr>
      <w:rFonts w:ascii="Times New Roman" w:eastAsia="Times New Roman" w:hAnsi="Times New Roman" w:cs="Times New Roman"/>
      <w:i/>
      <w:iCs/>
      <w:color w:val="44546A" w:themeColor="text2"/>
      <w:sz w:val="18"/>
      <w:szCs w:val="18"/>
      <w:lang w:eastAsia="es-GT"/>
    </w:rPr>
  </w:style>
  <w:style w:type="character" w:customStyle="1" w:styleId="TablaCar">
    <w:name w:val="Tabla Car"/>
    <w:basedOn w:val="DescripcinCar"/>
    <w:link w:val="Tabla"/>
    <w:locked/>
    <w:rsid w:val="009F124E"/>
    <w:rPr>
      <w:rFonts w:ascii="Times New Roman" w:eastAsia="Times New Roman" w:hAnsi="Times New Roman" w:cs="Times New Roman"/>
      <w:b/>
      <w:bCs/>
      <w:i w:val="0"/>
      <w:iCs/>
      <w:color w:val="44546A"/>
      <w:sz w:val="18"/>
      <w:szCs w:val="20"/>
      <w:lang w:eastAsia="es-GT"/>
    </w:rPr>
  </w:style>
  <w:style w:type="paragraph" w:customStyle="1" w:styleId="ndice11">
    <w:name w:val="Índice 11"/>
    <w:basedOn w:val="Normal"/>
    <w:next w:val="Normal"/>
    <w:autoRedefine/>
    <w:uiPriority w:val="99"/>
    <w:semiHidden/>
    <w:unhideWhenUsed/>
    <w:rsid w:val="009F124E"/>
    <w:pPr>
      <w:ind w:left="220" w:hanging="220"/>
    </w:pPr>
    <w:rPr>
      <w:rFonts w:ascii="Calibri" w:hAnsi="Calibri"/>
      <w:sz w:val="22"/>
      <w:szCs w:val="22"/>
      <w:lang w:eastAsia="en-US"/>
    </w:rPr>
  </w:style>
  <w:style w:type="table" w:customStyle="1" w:styleId="TableGrid1">
    <w:name w:val="Table Grid1"/>
    <w:basedOn w:val="Tablanormal"/>
    <w:next w:val="Tablaconcuadrcula"/>
    <w:uiPriority w:val="39"/>
    <w:rsid w:val="009F124E"/>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4-nfasis51">
    <w:name w:val="Tabla de lista 4 - Énfasis 51"/>
    <w:basedOn w:val="Tablanormal"/>
    <w:next w:val="Tabladelista4-nfasis5"/>
    <w:uiPriority w:val="49"/>
    <w:rsid w:val="009F124E"/>
    <w:pPr>
      <w:spacing w:after="0" w:line="240" w:lineRule="auto"/>
    </w:pPr>
    <w:rPr>
      <w:rFonts w:eastAsia="Times New Roman"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rFonts w:cs="Times New Roman"/>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rFonts w:cs="Times New Roman"/>
        <w:b/>
        <w:bCs/>
      </w:rPr>
      <w:tblPr/>
      <w:tcPr>
        <w:tcBorders>
          <w:top w:val="double" w:sz="4" w:space="0" w:color="8EAADB"/>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9E2F3"/>
      </w:tcPr>
    </w:tblStylePr>
    <w:tblStylePr w:type="band1Horz">
      <w:rPr>
        <w:rFonts w:cs="Times New Roman"/>
      </w:rPr>
      <w:tblPr/>
      <w:tcPr>
        <w:shd w:val="clear" w:color="auto" w:fill="D9E2F3"/>
      </w:tcPr>
    </w:tblStylePr>
  </w:style>
  <w:style w:type="table" w:customStyle="1" w:styleId="Tablaconcuadrcula1clara-nfasis31">
    <w:name w:val="Tabla con cuadrícula 1 clara - Énfasis 31"/>
    <w:basedOn w:val="Tablanormal"/>
    <w:next w:val="Tablaconcuadrcula1clara-nfasis3"/>
    <w:uiPriority w:val="46"/>
    <w:rsid w:val="009F124E"/>
    <w:pPr>
      <w:spacing w:after="0" w:line="240" w:lineRule="auto"/>
    </w:pPr>
    <w:rPr>
      <w:rFonts w:eastAsia="Times New Roman" w:cs="Times New Roman"/>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rFonts w:cs="Times New Roman"/>
        <w:b/>
        <w:bCs/>
      </w:rPr>
      <w:tblPr/>
      <w:tcPr>
        <w:tcBorders>
          <w:bottom w:val="single" w:sz="12" w:space="0" w:color="C9C9C9"/>
        </w:tcBorders>
      </w:tcPr>
    </w:tblStylePr>
    <w:tblStylePr w:type="lastRow">
      <w:rPr>
        <w:rFonts w:cs="Times New Roman"/>
        <w:b/>
        <w:bCs/>
      </w:rPr>
      <w:tblPr/>
      <w:tcPr>
        <w:tcBorders>
          <w:top w:val="double" w:sz="2" w:space="0" w:color="C9C9C9"/>
        </w:tcBorders>
      </w:tcPr>
    </w:tblStylePr>
    <w:tblStylePr w:type="firstCol">
      <w:rPr>
        <w:rFonts w:cs="Times New Roman"/>
        <w:b/>
        <w:bCs/>
      </w:rPr>
    </w:tblStylePr>
    <w:tblStylePr w:type="lastCol">
      <w:rPr>
        <w:rFonts w:cs="Times New Roman"/>
        <w:b/>
        <w:bCs/>
      </w:rPr>
    </w:tblStylePr>
  </w:style>
  <w:style w:type="table" w:customStyle="1" w:styleId="Tablaconcuadrcula5oscura-nfasis11">
    <w:name w:val="Tabla con cuadrícula 5 oscura - Énfasis 11"/>
    <w:basedOn w:val="Tablanormal"/>
    <w:next w:val="Tablaconcuadrcula5oscura-nfasis1"/>
    <w:uiPriority w:val="50"/>
    <w:rsid w:val="009F124E"/>
    <w:pPr>
      <w:spacing w:after="0" w:line="240" w:lineRule="auto"/>
    </w:pPr>
    <w:rPr>
      <w:rFonts w:eastAsia="Times New Roman"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rPr>
        <w:rFonts w:cs="Times New Roman"/>
      </w:rPr>
      <w:tblPr/>
      <w:tcPr>
        <w:shd w:val="clear" w:color="auto" w:fill="BDD6EE"/>
      </w:tcPr>
    </w:tblStylePr>
    <w:tblStylePr w:type="band1Horz">
      <w:rPr>
        <w:rFonts w:cs="Times New Roman"/>
      </w:rPr>
      <w:tblPr/>
      <w:tcPr>
        <w:shd w:val="clear" w:color="auto" w:fill="BDD6EE"/>
      </w:tcPr>
    </w:tblStylePr>
  </w:style>
  <w:style w:type="table" w:customStyle="1" w:styleId="Tablaconcuadrcula4-nfasis11">
    <w:name w:val="Tabla con cuadrícula 4 - Énfasis 11"/>
    <w:basedOn w:val="Tablanormal"/>
    <w:next w:val="Tablaconcuadrcula4-nfasis1"/>
    <w:uiPriority w:val="49"/>
    <w:rsid w:val="009F124E"/>
    <w:pPr>
      <w:spacing w:after="0" w:line="240" w:lineRule="auto"/>
    </w:pPr>
    <w:rPr>
      <w:rFonts w:eastAsia="Times New Roman" w:cs="Times New Roma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rFonts w:cs="Times New Roman"/>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rFonts w:cs="Times New Roman"/>
        <w:b/>
        <w:bCs/>
      </w:rPr>
      <w:tblPr/>
      <w:tcPr>
        <w:tcBorders>
          <w:top w:val="double" w:sz="4" w:space="0" w:color="5B9BD5"/>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EEAF6"/>
      </w:tcPr>
    </w:tblStylePr>
    <w:tblStylePr w:type="band1Horz">
      <w:rPr>
        <w:rFonts w:cs="Times New Roman"/>
      </w:rPr>
      <w:tblPr/>
      <w:tcPr>
        <w:shd w:val="clear" w:color="auto" w:fill="DEEAF6"/>
      </w:tcPr>
    </w:tblStylePr>
  </w:style>
  <w:style w:type="paragraph" w:customStyle="1" w:styleId="Bibliografa1">
    <w:name w:val="Bibliografía1"/>
    <w:basedOn w:val="Normal"/>
    <w:next w:val="Normal"/>
    <w:uiPriority w:val="37"/>
    <w:unhideWhenUsed/>
    <w:rsid w:val="009F124E"/>
    <w:pPr>
      <w:spacing w:after="160" w:line="259" w:lineRule="auto"/>
    </w:pPr>
    <w:rPr>
      <w:rFonts w:ascii="Calibri" w:hAnsi="Calibri"/>
      <w:sz w:val="22"/>
      <w:szCs w:val="22"/>
      <w:lang w:eastAsia="en-US"/>
    </w:rPr>
  </w:style>
  <w:style w:type="table" w:styleId="Listaclara">
    <w:name w:val="Light List"/>
    <w:basedOn w:val="Tablanormal"/>
    <w:uiPriority w:val="61"/>
    <w:semiHidden/>
    <w:unhideWhenUsed/>
    <w:rsid w:val="009F124E"/>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Subttulo">
    <w:name w:val="Subtitle"/>
    <w:basedOn w:val="Normal"/>
    <w:next w:val="Normal"/>
    <w:link w:val="SubttuloCar1"/>
    <w:uiPriority w:val="11"/>
    <w:qFormat/>
    <w:rsid w:val="009F124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1">
    <w:name w:val="Subtítulo Car1"/>
    <w:basedOn w:val="Fuentedeprrafopredeter"/>
    <w:link w:val="Subttulo"/>
    <w:uiPriority w:val="11"/>
    <w:rsid w:val="009F124E"/>
    <w:rPr>
      <w:rFonts w:eastAsiaTheme="minorEastAsia"/>
      <w:color w:val="5A5A5A" w:themeColor="text1" w:themeTint="A5"/>
      <w:spacing w:val="15"/>
      <w:lang w:eastAsia="es-GT"/>
    </w:rPr>
  </w:style>
  <w:style w:type="paragraph" w:styleId="Textodebloque">
    <w:name w:val="Block Text"/>
    <w:basedOn w:val="Normal"/>
    <w:uiPriority w:val="99"/>
    <w:semiHidden/>
    <w:unhideWhenUsed/>
    <w:rsid w:val="009F124E"/>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Revisin">
    <w:name w:val="Revision"/>
    <w:hidden/>
    <w:uiPriority w:val="99"/>
    <w:semiHidden/>
    <w:rsid w:val="009F124E"/>
    <w:pPr>
      <w:spacing w:after="0" w:line="240" w:lineRule="auto"/>
    </w:pPr>
    <w:rPr>
      <w:rFonts w:ascii="Times New Roman" w:eastAsia="Times New Roman" w:hAnsi="Times New Roman" w:cs="Times New Roman"/>
      <w:sz w:val="24"/>
      <w:szCs w:val="24"/>
      <w:lang w:eastAsia="es-GT"/>
    </w:rPr>
  </w:style>
  <w:style w:type="character" w:styleId="Hipervnculovisitado">
    <w:name w:val="FollowedHyperlink"/>
    <w:basedOn w:val="Fuentedeprrafopredeter"/>
    <w:uiPriority w:val="99"/>
    <w:semiHidden/>
    <w:unhideWhenUsed/>
    <w:rsid w:val="009F124E"/>
    <w:rPr>
      <w:color w:val="954F72" w:themeColor="followedHyperlink"/>
      <w:u w:val="single"/>
    </w:rPr>
  </w:style>
  <w:style w:type="table" w:styleId="Tablaconcuadrcula1clara-nfasis4">
    <w:name w:val="Grid Table 1 Light Accent 4"/>
    <w:basedOn w:val="Tablanormal"/>
    <w:uiPriority w:val="46"/>
    <w:rsid w:val="009F124E"/>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Tabladelista4-nfasis1">
    <w:name w:val="List Table 4 Accent 1"/>
    <w:basedOn w:val="Tablanormal"/>
    <w:uiPriority w:val="49"/>
    <w:rsid w:val="009F124E"/>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delista4-nfasis5">
    <w:name w:val="List Table 4 Accent 5"/>
    <w:basedOn w:val="Tablanormal"/>
    <w:uiPriority w:val="49"/>
    <w:rsid w:val="009F124E"/>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1clara-nfasis3">
    <w:name w:val="Grid Table 1 Light Accent 3"/>
    <w:basedOn w:val="Tablanormal"/>
    <w:uiPriority w:val="46"/>
    <w:rsid w:val="009F124E"/>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laconcuadrcula5oscura-nfasis1">
    <w:name w:val="Grid Table 5 Dark Accent 1"/>
    <w:basedOn w:val="Tablanormal"/>
    <w:uiPriority w:val="50"/>
    <w:rsid w:val="009F124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ladelista3-nfasis1">
    <w:name w:val="List Table 3 Accent 1"/>
    <w:basedOn w:val="Tablanormal"/>
    <w:uiPriority w:val="48"/>
    <w:rsid w:val="009F124E"/>
    <w:pPr>
      <w:spacing w:after="0" w:line="240" w:lineRule="auto"/>
    </w:pPr>
    <w:rPr>
      <w:rFonts w:eastAsia="Times New Roman" w:cs="Times New Roman"/>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cs="Times New Roman"/>
        <w:b/>
        <w:bCs/>
        <w:color w:val="FFFFFF" w:themeColor="background1"/>
      </w:rPr>
      <w:tblPr/>
      <w:tcPr>
        <w:shd w:val="clear" w:color="auto" w:fill="4472C4" w:themeFill="accent1"/>
      </w:tcPr>
    </w:tblStylePr>
    <w:tblStylePr w:type="lastRow">
      <w:rPr>
        <w:rFonts w:cs="Times New Roman"/>
        <w:b/>
        <w:bCs/>
      </w:rPr>
      <w:tblPr/>
      <w:tcPr>
        <w:tcBorders>
          <w:top w:val="double" w:sz="4" w:space="0" w:color="4472C4" w:themeColor="accent1"/>
        </w:tcBorders>
        <w:shd w:val="clear" w:color="auto" w:fill="FFFFFF" w:themeFill="background1"/>
      </w:tcPr>
    </w:tblStylePr>
    <w:tblStylePr w:type="firstCol">
      <w:rPr>
        <w:rFonts w:cs="Times New Roman"/>
        <w:b/>
        <w:bCs/>
      </w:rPr>
      <w:tblPr/>
      <w:tcPr>
        <w:tcBorders>
          <w:right w:val="nil"/>
        </w:tcBorders>
        <w:shd w:val="clear" w:color="auto" w:fill="FFFFFF" w:themeFill="background1"/>
      </w:tcPr>
    </w:tblStylePr>
    <w:tblStylePr w:type="lastCol">
      <w:rPr>
        <w:rFonts w:cs="Times New Roman"/>
        <w:b/>
        <w:bCs/>
      </w:rPr>
      <w:tblPr/>
      <w:tcPr>
        <w:tcBorders>
          <w:left w:val="nil"/>
        </w:tcBorders>
        <w:shd w:val="clear" w:color="auto" w:fill="FFFFFF" w:themeFill="background1"/>
      </w:tcPr>
    </w:tblStylePr>
    <w:tblStylePr w:type="band1Vert">
      <w:rPr>
        <w:rFonts w:cs="Times New Roman"/>
      </w:rPr>
      <w:tblPr/>
      <w:tcPr>
        <w:tcBorders>
          <w:left w:val="single" w:sz="4" w:space="0" w:color="4472C4" w:themeColor="accent1"/>
          <w:right w:val="single" w:sz="4" w:space="0" w:color="4472C4" w:themeColor="accent1"/>
        </w:tcBorders>
      </w:tcPr>
    </w:tblStylePr>
    <w:tblStylePr w:type="band1Horz">
      <w:rPr>
        <w:rFonts w:cs="Times New Roman"/>
      </w:rPr>
      <w:tblPr/>
      <w:tcPr>
        <w:tcBorders>
          <w:top w:val="single" w:sz="4" w:space="0" w:color="4472C4" w:themeColor="accent1"/>
          <w:bottom w:val="single" w:sz="4" w:space="0" w:color="4472C4" w:themeColor="accent1"/>
          <w:insideH w:val="nil"/>
        </w:tcBorders>
      </w:tcPr>
    </w:tblStylePr>
    <w:tblStylePr w:type="neCell">
      <w:rPr>
        <w:rFonts w:cs="Times New Roman"/>
      </w:rPr>
      <w:tblPr/>
      <w:tcPr>
        <w:tcBorders>
          <w:left w:val="nil"/>
          <w:bottom w:val="nil"/>
        </w:tcBorders>
      </w:tcPr>
    </w:tblStylePr>
    <w:tblStylePr w:type="nwCell">
      <w:rPr>
        <w:rFonts w:cs="Times New Roman"/>
      </w:rPr>
      <w:tblPr/>
      <w:tcPr>
        <w:tcBorders>
          <w:bottom w:val="nil"/>
          <w:right w:val="nil"/>
        </w:tcBorders>
      </w:tcPr>
    </w:tblStylePr>
    <w:tblStylePr w:type="seCell">
      <w:rPr>
        <w:rFonts w:cs="Times New Roman"/>
      </w:rPr>
      <w:tblPr/>
      <w:tcPr>
        <w:tcBorders>
          <w:top w:val="double" w:sz="4" w:space="0" w:color="4472C4" w:themeColor="accent1"/>
          <w:left w:val="nil"/>
        </w:tcBorders>
      </w:tcPr>
    </w:tblStylePr>
    <w:tblStylePr w:type="swCell">
      <w:rPr>
        <w:rFonts w:cs="Times New Roman"/>
      </w:rPr>
      <w:tblPr/>
      <w:tcPr>
        <w:tcBorders>
          <w:top w:val="double" w:sz="4" w:space="0" w:color="4472C4" w:themeColor="accent1"/>
          <w:right w:val="nil"/>
        </w:tcBorders>
      </w:tcPr>
    </w:tblStylePr>
  </w:style>
  <w:style w:type="table" w:customStyle="1" w:styleId="Tablaconcuadrcula3">
    <w:name w:val="Tabla con cuadrícula3"/>
    <w:basedOn w:val="Tablanormal"/>
    <w:next w:val="Tablaconcuadrcula"/>
    <w:uiPriority w:val="39"/>
    <w:rsid w:val="00B501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39"/>
    <w:rsid w:val="00CC30AC"/>
    <w:pPr>
      <w:spacing w:after="0" w:line="240" w:lineRule="auto"/>
    </w:pPr>
    <w:rPr>
      <w:rFonts w:eastAsia="Times New Roman" w:cs="Times New Roman"/>
      <w:sz w:val="24"/>
      <w:szCs w:val="24"/>
      <w:lang w:val="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FE4377"/>
    <w:pPr>
      <w:widowControl w:val="0"/>
      <w:autoSpaceDE w:val="0"/>
      <w:autoSpaceDN w:val="0"/>
      <w:spacing w:after="0" w:line="240" w:lineRule="auto"/>
    </w:pPr>
    <w:rPr>
      <w:rFonts w:eastAsia="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4">
    <w:name w:val="toc 4"/>
    <w:basedOn w:val="Normal"/>
    <w:next w:val="Normal"/>
    <w:autoRedefine/>
    <w:uiPriority w:val="39"/>
    <w:unhideWhenUsed/>
    <w:rsid w:val="00362674"/>
    <w:pPr>
      <w:spacing w:after="100" w:line="259" w:lineRule="auto"/>
      <w:ind w:left="660"/>
    </w:pPr>
    <w:rPr>
      <w:rFonts w:asciiTheme="minorHAnsi" w:eastAsiaTheme="minorEastAsia" w:hAnsiTheme="minorHAnsi" w:cstheme="minorBidi"/>
      <w:sz w:val="22"/>
      <w:szCs w:val="22"/>
    </w:rPr>
  </w:style>
  <w:style w:type="paragraph" w:styleId="TDC5">
    <w:name w:val="toc 5"/>
    <w:basedOn w:val="Normal"/>
    <w:next w:val="Normal"/>
    <w:autoRedefine/>
    <w:uiPriority w:val="39"/>
    <w:unhideWhenUsed/>
    <w:rsid w:val="00362674"/>
    <w:pPr>
      <w:spacing w:after="100" w:line="259"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362674"/>
    <w:pPr>
      <w:spacing w:after="100" w:line="259"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362674"/>
    <w:pPr>
      <w:spacing w:after="100" w:line="259"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362674"/>
    <w:pPr>
      <w:spacing w:after="100" w:line="259"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362674"/>
    <w:pPr>
      <w:spacing w:after="100" w:line="259"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5017615">
      <w:bodyDiv w:val="1"/>
      <w:marLeft w:val="0"/>
      <w:marRight w:val="0"/>
      <w:marTop w:val="0"/>
      <w:marBottom w:val="0"/>
      <w:divBdr>
        <w:top w:val="none" w:sz="0" w:space="0" w:color="auto"/>
        <w:left w:val="none" w:sz="0" w:space="0" w:color="auto"/>
        <w:bottom w:val="none" w:sz="0" w:space="0" w:color="auto"/>
        <w:right w:val="none" w:sz="0" w:space="0" w:color="auto"/>
      </w:divBdr>
      <w:divsChild>
        <w:div w:id="445387040">
          <w:marLeft w:val="547"/>
          <w:marRight w:val="0"/>
          <w:marTop w:val="0"/>
          <w:marBottom w:val="0"/>
          <w:divBdr>
            <w:top w:val="none" w:sz="0" w:space="0" w:color="auto"/>
            <w:left w:val="none" w:sz="0" w:space="0" w:color="auto"/>
            <w:bottom w:val="none" w:sz="0" w:space="0" w:color="auto"/>
            <w:right w:val="none" w:sz="0" w:space="0" w:color="auto"/>
          </w:divBdr>
        </w:div>
      </w:divsChild>
    </w:div>
    <w:div w:id="429817437">
      <w:bodyDiv w:val="1"/>
      <w:marLeft w:val="0"/>
      <w:marRight w:val="0"/>
      <w:marTop w:val="0"/>
      <w:marBottom w:val="0"/>
      <w:divBdr>
        <w:top w:val="none" w:sz="0" w:space="0" w:color="auto"/>
        <w:left w:val="none" w:sz="0" w:space="0" w:color="auto"/>
        <w:bottom w:val="none" w:sz="0" w:space="0" w:color="auto"/>
        <w:right w:val="none" w:sz="0" w:space="0" w:color="auto"/>
      </w:divBdr>
    </w:div>
    <w:div w:id="509150813">
      <w:bodyDiv w:val="1"/>
      <w:marLeft w:val="0"/>
      <w:marRight w:val="0"/>
      <w:marTop w:val="0"/>
      <w:marBottom w:val="0"/>
      <w:divBdr>
        <w:top w:val="none" w:sz="0" w:space="0" w:color="auto"/>
        <w:left w:val="none" w:sz="0" w:space="0" w:color="auto"/>
        <w:bottom w:val="none" w:sz="0" w:space="0" w:color="auto"/>
        <w:right w:val="none" w:sz="0" w:space="0" w:color="auto"/>
      </w:divBdr>
    </w:div>
    <w:div w:id="785194267">
      <w:bodyDiv w:val="1"/>
      <w:marLeft w:val="0"/>
      <w:marRight w:val="0"/>
      <w:marTop w:val="0"/>
      <w:marBottom w:val="0"/>
      <w:divBdr>
        <w:top w:val="none" w:sz="0" w:space="0" w:color="auto"/>
        <w:left w:val="none" w:sz="0" w:space="0" w:color="auto"/>
        <w:bottom w:val="none" w:sz="0" w:space="0" w:color="auto"/>
        <w:right w:val="none" w:sz="0" w:space="0" w:color="auto"/>
      </w:divBdr>
    </w:div>
    <w:div w:id="1190678624">
      <w:bodyDiv w:val="1"/>
      <w:marLeft w:val="0"/>
      <w:marRight w:val="0"/>
      <w:marTop w:val="0"/>
      <w:marBottom w:val="0"/>
      <w:divBdr>
        <w:top w:val="none" w:sz="0" w:space="0" w:color="auto"/>
        <w:left w:val="none" w:sz="0" w:space="0" w:color="auto"/>
        <w:bottom w:val="none" w:sz="0" w:space="0" w:color="auto"/>
        <w:right w:val="none" w:sz="0" w:space="0" w:color="auto"/>
      </w:divBdr>
    </w:div>
    <w:div w:id="1222446553">
      <w:bodyDiv w:val="1"/>
      <w:marLeft w:val="0"/>
      <w:marRight w:val="0"/>
      <w:marTop w:val="0"/>
      <w:marBottom w:val="0"/>
      <w:divBdr>
        <w:top w:val="none" w:sz="0" w:space="0" w:color="auto"/>
        <w:left w:val="none" w:sz="0" w:space="0" w:color="auto"/>
        <w:bottom w:val="none" w:sz="0" w:space="0" w:color="auto"/>
        <w:right w:val="none" w:sz="0" w:space="0" w:color="auto"/>
      </w:divBdr>
    </w:div>
    <w:div w:id="1759715134">
      <w:bodyDiv w:val="1"/>
      <w:marLeft w:val="0"/>
      <w:marRight w:val="0"/>
      <w:marTop w:val="0"/>
      <w:marBottom w:val="0"/>
      <w:divBdr>
        <w:top w:val="none" w:sz="0" w:space="0" w:color="auto"/>
        <w:left w:val="none" w:sz="0" w:space="0" w:color="auto"/>
        <w:bottom w:val="none" w:sz="0" w:space="0" w:color="auto"/>
        <w:right w:val="none" w:sz="0" w:space="0" w:color="auto"/>
      </w:divBdr>
    </w:div>
    <w:div w:id="1922134594">
      <w:bodyDiv w:val="1"/>
      <w:marLeft w:val="0"/>
      <w:marRight w:val="0"/>
      <w:marTop w:val="0"/>
      <w:marBottom w:val="0"/>
      <w:divBdr>
        <w:top w:val="none" w:sz="0" w:space="0" w:color="auto"/>
        <w:left w:val="none" w:sz="0" w:space="0" w:color="auto"/>
        <w:bottom w:val="none" w:sz="0" w:space="0" w:color="auto"/>
        <w:right w:val="none" w:sz="0" w:space="0" w:color="auto"/>
      </w:divBdr>
    </w:div>
    <w:div w:id="20455237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14/relationships/chartEx" Target="charts/chartEx3.xml"/><Relationship Id="rId21" Type="http://schemas.openxmlformats.org/officeDocument/2006/relationships/chart" Target="charts/chart11.xml"/><Relationship Id="rId42" Type="http://schemas.openxmlformats.org/officeDocument/2006/relationships/chart" Target="charts/chart28.xml"/><Relationship Id="rId63" Type="http://schemas.openxmlformats.org/officeDocument/2006/relationships/image" Target="media/image10.emf"/><Relationship Id="rId84" Type="http://schemas.openxmlformats.org/officeDocument/2006/relationships/chart" Target="charts/chart62.xml"/><Relationship Id="rId138" Type="http://schemas.openxmlformats.org/officeDocument/2006/relationships/chart" Target="charts/chart95.xml"/><Relationship Id="rId159" Type="http://schemas.openxmlformats.org/officeDocument/2006/relationships/chart" Target="charts/chart105.xml"/><Relationship Id="rId170" Type="http://schemas.openxmlformats.org/officeDocument/2006/relationships/image" Target="media/image33.emf"/><Relationship Id="rId191" Type="http://schemas.openxmlformats.org/officeDocument/2006/relationships/chart" Target="charts/chart119.xml"/><Relationship Id="rId107" Type="http://schemas.openxmlformats.org/officeDocument/2006/relationships/diagramQuickStyle" Target="diagrams/quickStyle2.xml"/><Relationship Id="rId11" Type="http://schemas.openxmlformats.org/officeDocument/2006/relationships/chart" Target="charts/chart2.xml"/><Relationship Id="rId32" Type="http://schemas.openxmlformats.org/officeDocument/2006/relationships/chart" Target="charts/chart19.xml"/><Relationship Id="rId53" Type="http://schemas.openxmlformats.org/officeDocument/2006/relationships/chart" Target="charts/chart35.xml"/><Relationship Id="rId74" Type="http://schemas.openxmlformats.org/officeDocument/2006/relationships/chart" Target="charts/chart55.xml"/><Relationship Id="rId128" Type="http://schemas.openxmlformats.org/officeDocument/2006/relationships/image" Target="media/image20.png"/><Relationship Id="rId149" Type="http://schemas.openxmlformats.org/officeDocument/2006/relationships/chart" Target="charts/chart100.xml"/><Relationship Id="rId5" Type="http://schemas.openxmlformats.org/officeDocument/2006/relationships/webSettings" Target="webSettings.xml"/><Relationship Id="rId95" Type="http://schemas.microsoft.com/office/2007/relationships/diagramDrawing" Target="diagrams/drawing1.xml"/><Relationship Id="rId160" Type="http://schemas.openxmlformats.org/officeDocument/2006/relationships/image" Target="media/image28.emf"/><Relationship Id="rId181" Type="http://schemas.openxmlformats.org/officeDocument/2006/relationships/image" Target="media/image35.png"/><Relationship Id="rId22" Type="http://schemas.openxmlformats.org/officeDocument/2006/relationships/chart" Target="charts/chart12.xml"/><Relationship Id="rId43" Type="http://schemas.openxmlformats.org/officeDocument/2006/relationships/chart" Target="charts/chart29.xml"/><Relationship Id="rId64" Type="http://schemas.openxmlformats.org/officeDocument/2006/relationships/chart" Target="charts/chart45.xml"/><Relationship Id="rId118" Type="http://schemas.openxmlformats.org/officeDocument/2006/relationships/image" Target="media/image18.png"/><Relationship Id="rId139" Type="http://schemas.openxmlformats.org/officeDocument/2006/relationships/chart" Target="charts/chart96.xml"/><Relationship Id="rId85" Type="http://schemas.openxmlformats.org/officeDocument/2006/relationships/chart" Target="charts/chart63.xml"/><Relationship Id="rId150" Type="http://schemas.openxmlformats.org/officeDocument/2006/relationships/chart" Target="charts/chart101.xml"/><Relationship Id="rId171" Type="http://schemas.openxmlformats.org/officeDocument/2006/relationships/diagramData" Target="diagrams/data5.xml"/><Relationship Id="rId192" Type="http://schemas.openxmlformats.org/officeDocument/2006/relationships/chart" Target="charts/chart120.xml"/><Relationship Id="rId12" Type="http://schemas.openxmlformats.org/officeDocument/2006/relationships/chart" Target="charts/chart3.xml"/><Relationship Id="rId33" Type="http://schemas.openxmlformats.org/officeDocument/2006/relationships/chart" Target="charts/chart20.xml"/><Relationship Id="rId108" Type="http://schemas.openxmlformats.org/officeDocument/2006/relationships/diagramColors" Target="diagrams/colors2.xml"/><Relationship Id="rId129" Type="http://schemas.openxmlformats.org/officeDocument/2006/relationships/chart" Target="charts/chart88.xml"/><Relationship Id="rId54" Type="http://schemas.openxmlformats.org/officeDocument/2006/relationships/chart" Target="charts/chart36.xml"/><Relationship Id="rId75" Type="http://schemas.openxmlformats.org/officeDocument/2006/relationships/chart" Target="charts/chart56.xml"/><Relationship Id="rId96" Type="http://schemas.openxmlformats.org/officeDocument/2006/relationships/image" Target="media/image15.png"/><Relationship Id="rId140" Type="http://schemas.openxmlformats.org/officeDocument/2006/relationships/image" Target="media/image22.png"/><Relationship Id="rId161" Type="http://schemas.openxmlformats.org/officeDocument/2006/relationships/image" Target="media/image29.emf"/><Relationship Id="rId182" Type="http://schemas.openxmlformats.org/officeDocument/2006/relationships/chart" Target="charts/chart115.xml"/><Relationship Id="rId6" Type="http://schemas.openxmlformats.org/officeDocument/2006/relationships/footnotes" Target="footnotes.xml"/><Relationship Id="rId23" Type="http://schemas.openxmlformats.org/officeDocument/2006/relationships/chart" Target="charts/chart13.xml"/><Relationship Id="rId119" Type="http://schemas.openxmlformats.org/officeDocument/2006/relationships/chart" Target="charts/chart82.xml"/><Relationship Id="rId44" Type="http://schemas.openxmlformats.org/officeDocument/2006/relationships/chart" Target="charts/chart30.xml"/><Relationship Id="rId65" Type="http://schemas.openxmlformats.org/officeDocument/2006/relationships/chart" Target="charts/chart46.xml"/><Relationship Id="rId86" Type="http://schemas.openxmlformats.org/officeDocument/2006/relationships/chart" Target="charts/chart64.xml"/><Relationship Id="rId130" Type="http://schemas.openxmlformats.org/officeDocument/2006/relationships/chart" Target="charts/chart89.xml"/><Relationship Id="rId151" Type="http://schemas.openxmlformats.org/officeDocument/2006/relationships/chart" Target="charts/chart102.xml"/><Relationship Id="rId172" Type="http://schemas.openxmlformats.org/officeDocument/2006/relationships/diagramLayout" Target="diagrams/layout4.xml"/><Relationship Id="rId193" Type="http://schemas.openxmlformats.org/officeDocument/2006/relationships/chart" Target="charts/chart121.xml"/><Relationship Id="rId13" Type="http://schemas.openxmlformats.org/officeDocument/2006/relationships/chart" Target="charts/chart4.xml"/><Relationship Id="rId109" Type="http://schemas.microsoft.com/office/2007/relationships/diagramDrawing" Target="diagrams/drawing2.xml"/><Relationship Id="rId34" Type="http://schemas.openxmlformats.org/officeDocument/2006/relationships/chart" Target="charts/chart21.xml"/><Relationship Id="rId55" Type="http://schemas.openxmlformats.org/officeDocument/2006/relationships/chart" Target="charts/chart37.xml"/><Relationship Id="rId76" Type="http://schemas.openxmlformats.org/officeDocument/2006/relationships/chart" Target="charts/chart57.xml"/><Relationship Id="rId97" Type="http://schemas.openxmlformats.org/officeDocument/2006/relationships/chart" Target="charts/chart68.xml"/><Relationship Id="rId120" Type="http://schemas.openxmlformats.org/officeDocument/2006/relationships/chart" Target="charts/chart83.xml"/><Relationship Id="rId141" Type="http://schemas.openxmlformats.org/officeDocument/2006/relationships/chart" Target="charts/chart97.xml"/><Relationship Id="rId7" Type="http://schemas.openxmlformats.org/officeDocument/2006/relationships/endnotes" Target="endnotes.xml"/><Relationship Id="rId162" Type="http://schemas.openxmlformats.org/officeDocument/2006/relationships/chart" Target="charts/chart106.xml"/><Relationship Id="rId183" Type="http://schemas.openxmlformats.org/officeDocument/2006/relationships/diagramData" Target="diagrams/data6.xml"/><Relationship Id="rId2" Type="http://schemas.openxmlformats.org/officeDocument/2006/relationships/numbering" Target="numbering.xml"/><Relationship Id="rId29" Type="http://schemas.openxmlformats.org/officeDocument/2006/relationships/chart" Target="charts/chart17.xml"/><Relationship Id="rId24" Type="http://schemas.openxmlformats.org/officeDocument/2006/relationships/chart" Target="charts/chart14.xml"/><Relationship Id="rId40" Type="http://schemas.openxmlformats.org/officeDocument/2006/relationships/image" Target="media/image7.png"/><Relationship Id="rId45" Type="http://schemas.microsoft.com/office/2014/relationships/chartEx" Target="charts/chartEx1.xml"/><Relationship Id="rId66" Type="http://schemas.openxmlformats.org/officeDocument/2006/relationships/chart" Target="charts/chart47.xml"/><Relationship Id="rId87" Type="http://schemas.openxmlformats.org/officeDocument/2006/relationships/chart" Target="charts/chart65.xml"/><Relationship Id="rId110" Type="http://schemas.openxmlformats.org/officeDocument/2006/relationships/diagramData" Target="diagrams/data3.xml"/><Relationship Id="rId115" Type="http://schemas.openxmlformats.org/officeDocument/2006/relationships/chart" Target="charts/chart80.xml"/><Relationship Id="rId131" Type="http://schemas.openxmlformats.org/officeDocument/2006/relationships/chart" Target="charts/chart90.xml"/><Relationship Id="rId136" Type="http://schemas.openxmlformats.org/officeDocument/2006/relationships/chart" Target="charts/chart93.xml"/><Relationship Id="rId157" Type="http://schemas.openxmlformats.org/officeDocument/2006/relationships/image" Target="media/image26.emf"/><Relationship Id="rId178" Type="http://schemas.openxmlformats.org/officeDocument/2006/relationships/chart" Target="charts/chart113.xml"/><Relationship Id="rId61" Type="http://schemas.openxmlformats.org/officeDocument/2006/relationships/chart" Target="charts/chart43.xml"/><Relationship Id="rId82" Type="http://schemas.openxmlformats.org/officeDocument/2006/relationships/image" Target="media/image13.emf"/><Relationship Id="rId152" Type="http://schemas.openxmlformats.org/officeDocument/2006/relationships/chart" Target="charts/chart103.xml"/><Relationship Id="rId173" Type="http://schemas.openxmlformats.org/officeDocument/2006/relationships/diagramQuickStyle" Target="diagrams/quickStyle4.xml"/><Relationship Id="rId194" Type="http://schemas.openxmlformats.org/officeDocument/2006/relationships/chart" Target="charts/chart122.xml"/><Relationship Id="rId199" Type="http://schemas.openxmlformats.org/officeDocument/2006/relationships/image" Target="media/image40.png"/><Relationship Id="rId19" Type="http://schemas.openxmlformats.org/officeDocument/2006/relationships/chart" Target="charts/chart9.xml"/><Relationship Id="rId14" Type="http://schemas.openxmlformats.org/officeDocument/2006/relationships/chart" Target="charts/chart5.xml"/><Relationship Id="rId30" Type="http://schemas.openxmlformats.org/officeDocument/2006/relationships/chart" Target="charts/chart18.xml"/><Relationship Id="rId35" Type="http://schemas.openxmlformats.org/officeDocument/2006/relationships/chart" Target="charts/chart22.xml"/><Relationship Id="rId56" Type="http://schemas.openxmlformats.org/officeDocument/2006/relationships/chart" Target="charts/chart38.xml"/><Relationship Id="rId77" Type="http://schemas.openxmlformats.org/officeDocument/2006/relationships/chart" Target="charts/chart58.xml"/><Relationship Id="rId100" Type="http://schemas.openxmlformats.org/officeDocument/2006/relationships/chart" Target="charts/chart71.xml"/><Relationship Id="rId105" Type="http://schemas.openxmlformats.org/officeDocument/2006/relationships/diagramData" Target="diagrams/data2.xml"/><Relationship Id="rId126" Type="http://schemas.openxmlformats.org/officeDocument/2006/relationships/chart" Target="charts/chart87.xml"/><Relationship Id="rId147" Type="http://schemas.microsoft.com/office/2007/relationships/diagramDrawing" Target="diagrams/drawing3.xml"/><Relationship Id="rId168" Type="http://schemas.openxmlformats.org/officeDocument/2006/relationships/chart" Target="charts/chart109.xml"/><Relationship Id="rId8" Type="http://schemas.openxmlformats.org/officeDocument/2006/relationships/header" Target="header1.xml"/><Relationship Id="rId51" Type="http://schemas.openxmlformats.org/officeDocument/2006/relationships/chart" Target="charts/chart33.xml"/><Relationship Id="rId72" Type="http://schemas.openxmlformats.org/officeDocument/2006/relationships/chart" Target="charts/chart53.xml"/><Relationship Id="rId93" Type="http://schemas.openxmlformats.org/officeDocument/2006/relationships/diagramQuickStyle" Target="diagrams/quickStyle1.xml"/><Relationship Id="rId98" Type="http://schemas.openxmlformats.org/officeDocument/2006/relationships/chart" Target="charts/chart69.xml"/><Relationship Id="rId121" Type="http://schemas.openxmlformats.org/officeDocument/2006/relationships/chart" Target="charts/chart84.xml"/><Relationship Id="rId142" Type="http://schemas.openxmlformats.org/officeDocument/2006/relationships/chart" Target="charts/chart98.xml"/><Relationship Id="rId163" Type="http://schemas.openxmlformats.org/officeDocument/2006/relationships/image" Target="media/image30.emf"/><Relationship Id="rId184" Type="http://schemas.openxmlformats.org/officeDocument/2006/relationships/diagramLayout" Target="diagrams/layout5.xml"/><Relationship Id="rId189" Type="http://schemas.openxmlformats.org/officeDocument/2006/relationships/chart" Target="charts/chart117.xml"/><Relationship Id="rId3" Type="http://schemas.openxmlformats.org/officeDocument/2006/relationships/styles" Target="styles.xml"/><Relationship Id="rId25" Type="http://schemas.openxmlformats.org/officeDocument/2006/relationships/chart" Target="charts/chart15.xml"/><Relationship Id="rId46" Type="http://schemas.openxmlformats.org/officeDocument/2006/relationships/image" Target="media/image8.png"/><Relationship Id="rId67" Type="http://schemas.openxmlformats.org/officeDocument/2006/relationships/chart" Target="charts/chart48.xml"/><Relationship Id="rId116" Type="http://schemas.openxmlformats.org/officeDocument/2006/relationships/chart" Target="charts/chart81.xml"/><Relationship Id="rId137" Type="http://schemas.openxmlformats.org/officeDocument/2006/relationships/chart" Target="charts/chart94.xml"/><Relationship Id="rId158" Type="http://schemas.openxmlformats.org/officeDocument/2006/relationships/image" Target="media/image27.emf"/><Relationship Id="rId20" Type="http://schemas.openxmlformats.org/officeDocument/2006/relationships/chart" Target="charts/chart10.xml"/><Relationship Id="rId41" Type="http://schemas.openxmlformats.org/officeDocument/2006/relationships/chart" Target="charts/chart27.xml"/><Relationship Id="rId62" Type="http://schemas.openxmlformats.org/officeDocument/2006/relationships/chart" Target="charts/chart44.xml"/><Relationship Id="rId83" Type="http://schemas.openxmlformats.org/officeDocument/2006/relationships/chart" Target="charts/chart61.xml"/><Relationship Id="rId88" Type="http://schemas.openxmlformats.org/officeDocument/2006/relationships/chart" Target="charts/chart66.xml"/><Relationship Id="rId111" Type="http://schemas.openxmlformats.org/officeDocument/2006/relationships/chart" Target="charts/chart76.xml"/><Relationship Id="rId132" Type="http://schemas.microsoft.com/office/2014/relationships/chartEx" Target="charts/chartEx6.xml"/><Relationship Id="rId153" Type="http://schemas.openxmlformats.org/officeDocument/2006/relationships/image" Target="media/image23.png"/><Relationship Id="rId174" Type="http://schemas.openxmlformats.org/officeDocument/2006/relationships/diagramColors" Target="diagrams/colors4.xml"/><Relationship Id="rId179" Type="http://schemas.openxmlformats.org/officeDocument/2006/relationships/chart" Target="charts/chart114.xml"/><Relationship Id="rId195" Type="http://schemas.openxmlformats.org/officeDocument/2006/relationships/image" Target="media/image36.png"/><Relationship Id="rId190" Type="http://schemas.openxmlformats.org/officeDocument/2006/relationships/chart" Target="charts/chart118.xml"/><Relationship Id="rId15" Type="http://schemas.openxmlformats.org/officeDocument/2006/relationships/chart" Target="charts/chart6.xml"/><Relationship Id="rId36" Type="http://schemas.openxmlformats.org/officeDocument/2006/relationships/chart" Target="charts/chart23.xml"/><Relationship Id="rId57" Type="http://schemas.openxmlformats.org/officeDocument/2006/relationships/chart" Target="charts/chart39.xml"/><Relationship Id="rId106" Type="http://schemas.openxmlformats.org/officeDocument/2006/relationships/diagramLayout" Target="diagrams/layout2.xml"/><Relationship Id="rId127" Type="http://schemas.microsoft.com/office/2014/relationships/chartEx" Target="charts/chartEx5.xml"/><Relationship Id="rId10" Type="http://schemas.openxmlformats.org/officeDocument/2006/relationships/chart" Target="charts/chart1.xml"/><Relationship Id="rId31" Type="http://schemas.openxmlformats.org/officeDocument/2006/relationships/image" Target="media/image6.emf"/><Relationship Id="rId52" Type="http://schemas.openxmlformats.org/officeDocument/2006/relationships/chart" Target="charts/chart34.xml"/><Relationship Id="rId73" Type="http://schemas.openxmlformats.org/officeDocument/2006/relationships/chart" Target="charts/chart54.xml"/><Relationship Id="rId78" Type="http://schemas.openxmlformats.org/officeDocument/2006/relationships/image" Target="media/image11.emf"/><Relationship Id="rId94" Type="http://schemas.openxmlformats.org/officeDocument/2006/relationships/diagramColors" Target="diagrams/colors1.xml"/><Relationship Id="rId99" Type="http://schemas.openxmlformats.org/officeDocument/2006/relationships/chart" Target="charts/chart70.xml"/><Relationship Id="rId101" Type="http://schemas.openxmlformats.org/officeDocument/2006/relationships/chart" Target="charts/chart72.xml"/><Relationship Id="rId122" Type="http://schemas.microsoft.com/office/2014/relationships/chartEx" Target="charts/chartEx4.xml"/><Relationship Id="rId143" Type="http://schemas.openxmlformats.org/officeDocument/2006/relationships/diagramData" Target="diagrams/data4.xml"/><Relationship Id="rId148" Type="http://schemas.openxmlformats.org/officeDocument/2006/relationships/chart" Target="charts/chart99.xml"/><Relationship Id="rId164" Type="http://schemas.openxmlformats.org/officeDocument/2006/relationships/image" Target="media/image31.emf"/><Relationship Id="rId169" Type="http://schemas.openxmlformats.org/officeDocument/2006/relationships/chart" Target="charts/chart110.xml"/><Relationship Id="rId185" Type="http://schemas.openxmlformats.org/officeDocument/2006/relationships/diagramQuickStyle" Target="diagrams/quickStyle5.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34.png"/><Relationship Id="rId26" Type="http://schemas.openxmlformats.org/officeDocument/2006/relationships/image" Target="media/image2.emf"/><Relationship Id="rId47" Type="http://schemas.openxmlformats.org/officeDocument/2006/relationships/chart" Target="charts/chart31.xml"/><Relationship Id="rId68" Type="http://schemas.openxmlformats.org/officeDocument/2006/relationships/chart" Target="charts/chart49.xml"/><Relationship Id="rId89" Type="http://schemas.openxmlformats.org/officeDocument/2006/relationships/image" Target="media/image14.png"/><Relationship Id="rId112" Type="http://schemas.openxmlformats.org/officeDocument/2006/relationships/chart" Target="charts/chart77.xml"/><Relationship Id="rId133" Type="http://schemas.openxmlformats.org/officeDocument/2006/relationships/image" Target="media/image21.png"/><Relationship Id="rId154" Type="http://schemas.openxmlformats.org/officeDocument/2006/relationships/image" Target="media/image24.png"/><Relationship Id="rId175" Type="http://schemas.microsoft.com/office/2007/relationships/diagramDrawing" Target="diagrams/drawing4.xml"/><Relationship Id="rId196" Type="http://schemas.openxmlformats.org/officeDocument/2006/relationships/image" Target="media/image37.png"/><Relationship Id="rId200" Type="http://schemas.openxmlformats.org/officeDocument/2006/relationships/fontTable" Target="fontTable.xml"/><Relationship Id="rId16" Type="http://schemas.openxmlformats.org/officeDocument/2006/relationships/chart" Target="charts/chart7.xml"/><Relationship Id="rId37" Type="http://schemas.openxmlformats.org/officeDocument/2006/relationships/chart" Target="charts/chart24.xml"/><Relationship Id="rId58" Type="http://schemas.openxmlformats.org/officeDocument/2006/relationships/chart" Target="charts/chart40.xml"/><Relationship Id="rId79" Type="http://schemas.openxmlformats.org/officeDocument/2006/relationships/chart" Target="charts/chart59.xml"/><Relationship Id="rId102" Type="http://schemas.openxmlformats.org/officeDocument/2006/relationships/chart" Target="charts/chart73.xml"/><Relationship Id="rId123" Type="http://schemas.openxmlformats.org/officeDocument/2006/relationships/image" Target="media/image19.png"/><Relationship Id="rId144" Type="http://schemas.openxmlformats.org/officeDocument/2006/relationships/diagramLayout" Target="diagrams/layout3.xml"/><Relationship Id="rId90" Type="http://schemas.openxmlformats.org/officeDocument/2006/relationships/chart" Target="charts/chart67.xml"/><Relationship Id="rId165" Type="http://schemas.openxmlformats.org/officeDocument/2006/relationships/chart" Target="charts/chart107.xml"/><Relationship Id="rId186" Type="http://schemas.openxmlformats.org/officeDocument/2006/relationships/diagramColors" Target="diagrams/colors5.xml"/><Relationship Id="rId27" Type="http://schemas.openxmlformats.org/officeDocument/2006/relationships/image" Target="media/image3.emf"/><Relationship Id="rId48" Type="http://schemas.microsoft.com/office/2014/relationships/chartEx" Target="charts/chartEx2.xml"/><Relationship Id="rId69" Type="http://schemas.openxmlformats.org/officeDocument/2006/relationships/chart" Target="charts/chart50.xml"/><Relationship Id="rId113" Type="http://schemas.openxmlformats.org/officeDocument/2006/relationships/chart" Target="charts/chart78.xml"/><Relationship Id="rId134" Type="http://schemas.openxmlformats.org/officeDocument/2006/relationships/chart" Target="charts/chart91.xml"/><Relationship Id="rId80" Type="http://schemas.openxmlformats.org/officeDocument/2006/relationships/chart" Target="charts/chart60.xml"/><Relationship Id="rId155" Type="http://schemas.openxmlformats.org/officeDocument/2006/relationships/chart" Target="charts/chart104.xml"/><Relationship Id="rId176" Type="http://schemas.openxmlformats.org/officeDocument/2006/relationships/chart" Target="charts/chart111.xml"/><Relationship Id="rId197" Type="http://schemas.openxmlformats.org/officeDocument/2006/relationships/image" Target="media/image38.png"/><Relationship Id="rId201" Type="http://schemas.openxmlformats.org/officeDocument/2006/relationships/theme" Target="theme/theme1.xml"/><Relationship Id="rId17" Type="http://schemas.openxmlformats.org/officeDocument/2006/relationships/image" Target="media/image1.emf"/><Relationship Id="rId38" Type="http://schemas.openxmlformats.org/officeDocument/2006/relationships/chart" Target="charts/chart25.xml"/><Relationship Id="rId59" Type="http://schemas.openxmlformats.org/officeDocument/2006/relationships/chart" Target="charts/chart41.xml"/><Relationship Id="rId103" Type="http://schemas.openxmlformats.org/officeDocument/2006/relationships/chart" Target="charts/chart74.xml"/><Relationship Id="rId124" Type="http://schemas.openxmlformats.org/officeDocument/2006/relationships/chart" Target="charts/chart85.xml"/><Relationship Id="rId70" Type="http://schemas.openxmlformats.org/officeDocument/2006/relationships/chart" Target="charts/chart51.xml"/><Relationship Id="rId91" Type="http://schemas.openxmlformats.org/officeDocument/2006/relationships/diagramData" Target="diagrams/data1.xml"/><Relationship Id="rId145" Type="http://schemas.openxmlformats.org/officeDocument/2006/relationships/diagramQuickStyle" Target="diagrams/quickStyle3.xml"/><Relationship Id="rId166" Type="http://schemas.openxmlformats.org/officeDocument/2006/relationships/image" Target="media/image32.emf"/><Relationship Id="rId187" Type="http://schemas.microsoft.com/office/2007/relationships/diagramDrawing" Target="diagrams/drawing5.xml"/><Relationship Id="rId1" Type="http://schemas.openxmlformats.org/officeDocument/2006/relationships/customXml" Target="../customXml/item1.xml"/><Relationship Id="rId28" Type="http://schemas.openxmlformats.org/officeDocument/2006/relationships/chart" Target="charts/chart16.xml"/><Relationship Id="rId49" Type="http://schemas.openxmlformats.org/officeDocument/2006/relationships/image" Target="media/image9.png"/><Relationship Id="rId114" Type="http://schemas.openxmlformats.org/officeDocument/2006/relationships/chart" Target="charts/chart79.xml"/><Relationship Id="rId60" Type="http://schemas.openxmlformats.org/officeDocument/2006/relationships/chart" Target="charts/chart42.xml"/><Relationship Id="rId81" Type="http://schemas.openxmlformats.org/officeDocument/2006/relationships/image" Target="media/image12.emf"/><Relationship Id="rId135" Type="http://schemas.openxmlformats.org/officeDocument/2006/relationships/chart" Target="charts/chart92.xml"/><Relationship Id="rId156" Type="http://schemas.openxmlformats.org/officeDocument/2006/relationships/image" Target="media/image25.emf"/><Relationship Id="rId177" Type="http://schemas.openxmlformats.org/officeDocument/2006/relationships/chart" Target="charts/chart112.xml"/><Relationship Id="rId198" Type="http://schemas.openxmlformats.org/officeDocument/2006/relationships/image" Target="media/image39.png"/><Relationship Id="rId18" Type="http://schemas.openxmlformats.org/officeDocument/2006/relationships/chart" Target="charts/chart8.xml"/><Relationship Id="rId39" Type="http://schemas.openxmlformats.org/officeDocument/2006/relationships/chart" Target="charts/chart26.xml"/><Relationship Id="rId50" Type="http://schemas.openxmlformats.org/officeDocument/2006/relationships/chart" Target="charts/chart32.xml"/><Relationship Id="rId104" Type="http://schemas.openxmlformats.org/officeDocument/2006/relationships/chart" Target="charts/chart75.xml"/><Relationship Id="rId125" Type="http://schemas.openxmlformats.org/officeDocument/2006/relationships/chart" Target="charts/chart86.xml"/><Relationship Id="rId146" Type="http://schemas.openxmlformats.org/officeDocument/2006/relationships/diagramColors" Target="diagrams/colors3.xml"/><Relationship Id="rId167" Type="http://schemas.openxmlformats.org/officeDocument/2006/relationships/chart" Target="charts/chart108.xml"/><Relationship Id="rId188" Type="http://schemas.openxmlformats.org/officeDocument/2006/relationships/chart" Target="charts/chart116.xml"/><Relationship Id="rId71" Type="http://schemas.openxmlformats.org/officeDocument/2006/relationships/chart" Target="charts/chart52.xml"/><Relationship Id="rId92" Type="http://schemas.openxmlformats.org/officeDocument/2006/relationships/diagramLayout" Target="diagrams/layout1.xml"/></Relationships>
</file>

<file path=word/_rels/footnotes.xml.rels><?xml version="1.0" encoding="UTF-8" standalone="yes"?>
<Relationships xmlns="http://schemas.openxmlformats.org/package/2006/relationships"><Relationship Id="rId1" Type="http://schemas.openxmlformats.org/officeDocument/2006/relationships/hyperlink" Target="https://portal.sat.gob.gt/portal/analisis-estudios-tributarios/"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psantizo\Desktop\Documentos%202022\MFMP\2023\Gr&#225;ficos_editables\Sector%20internacional%202022\Autoppt.xlsm"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psantizo\Desktop\Documentos%202022\MFMP\2023\Gr&#225;ficos_editables\Sector%20internacional%202022\Autoppt.xlsm" TargetMode="External"/></Relationships>
</file>

<file path=word/charts/_rels/chart100.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85.xml"/><Relationship Id="rId1" Type="http://schemas.microsoft.com/office/2011/relationships/chartStyle" Target="style85.xml"/></Relationships>
</file>

<file path=word/charts/_rels/chart101.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86.xml"/><Relationship Id="rId1" Type="http://schemas.microsoft.com/office/2011/relationships/chartStyle" Target="style86.xml"/></Relationships>
</file>

<file path=word/charts/_rels/chart102.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58.xml"/></Relationships>
</file>

<file path=word/charts/_rels/chart103.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87.xml"/><Relationship Id="rId1" Type="http://schemas.microsoft.com/office/2011/relationships/chartStyle" Target="style87.xml"/></Relationships>
</file>

<file path=word/charts/_rels/chart104.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88.xml"/><Relationship Id="rId1" Type="http://schemas.microsoft.com/office/2011/relationships/chartStyle" Target="style88.xml"/><Relationship Id="rId4" Type="http://schemas.openxmlformats.org/officeDocument/2006/relationships/package" Target="../embeddings/Microsoft_Excel_Worksheet38.xlsx"/></Relationships>
</file>

<file path=word/charts/_rels/chart105.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60.xml"/></Relationships>
</file>

<file path=word/charts/_rels/chart106.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61.xml"/></Relationships>
</file>

<file path=word/charts/_rels/chart107.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62.xml"/></Relationships>
</file>

<file path=word/charts/_rels/chart108.xml.rels><?xml version="1.0" encoding="UTF-8" standalone="yes"?>
<Relationships xmlns="http://schemas.openxmlformats.org/package/2006/relationships"><Relationship Id="rId3" Type="http://schemas.openxmlformats.org/officeDocument/2006/relationships/package" Target="../embeddings/Microsoft_Excel_Worksheet42.xlsx"/><Relationship Id="rId2" Type="http://schemas.microsoft.com/office/2011/relationships/chartColorStyle" Target="colors89.xml"/><Relationship Id="rId1" Type="http://schemas.microsoft.com/office/2011/relationships/chartStyle" Target="style89.xml"/></Relationships>
</file>

<file path=word/charts/_rels/chart109.xml.rels><?xml version="1.0" encoding="UTF-8" standalone="yes"?>
<Relationships xmlns="http://schemas.openxmlformats.org/package/2006/relationships"><Relationship Id="rId3" Type="http://schemas.openxmlformats.org/officeDocument/2006/relationships/package" Target="../embeddings/Microsoft_Excel_Worksheet43.xlsx"/><Relationship Id="rId2" Type="http://schemas.microsoft.com/office/2011/relationships/chartColorStyle" Target="colors90.xml"/><Relationship Id="rId1" Type="http://schemas.microsoft.com/office/2011/relationships/chartStyle" Target="style90.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psantizo\Desktop\Documentos%202022\MFMP\2023\Gr&#225;ficos_editables\Sector%20internacional%202022\Autoppt.xlsm" TargetMode="External"/></Relationships>
</file>

<file path=word/charts/_rels/chart110.xml.rels><?xml version="1.0" encoding="UTF-8" standalone="yes"?>
<Relationships xmlns="http://schemas.openxmlformats.org/package/2006/relationships"><Relationship Id="rId3" Type="http://schemas.openxmlformats.org/officeDocument/2006/relationships/package" Target="../embeddings/Microsoft_Excel_Worksheet44.xlsx"/><Relationship Id="rId2" Type="http://schemas.microsoft.com/office/2011/relationships/chartColorStyle" Target="colors91.xml"/><Relationship Id="rId1" Type="http://schemas.microsoft.com/office/2011/relationships/chartStyle" Target="style91.xml"/></Relationships>
</file>

<file path=word/charts/_rels/chart111.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92.xml"/><Relationship Id="rId1" Type="http://schemas.microsoft.com/office/2011/relationships/chartStyle" Target="style92.xml"/><Relationship Id="rId4" Type="http://schemas.openxmlformats.org/officeDocument/2006/relationships/package" Target="../embeddings/Microsoft_Excel_Worksheet45.xlsx"/></Relationships>
</file>

<file path=word/charts/_rels/chart112.xml.rels><?xml version="1.0" encoding="UTF-8" standalone="yes"?>
<Relationships xmlns="http://schemas.openxmlformats.org/package/2006/relationships"><Relationship Id="rId1" Type="http://schemas.openxmlformats.org/officeDocument/2006/relationships/oleObject" Target="file:///C:\Users\seargueta\AppData\Local\Microsoft\Windows\INetCache\Content.Outlook\TY54FTG6\ASD%202023-2028%20Riesgos%20fiscales.xlsm" TargetMode="External"/></Relationships>
</file>

<file path=word/charts/_rels/chart113.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93.xml"/><Relationship Id="rId1" Type="http://schemas.microsoft.com/office/2011/relationships/chartStyle" Target="style93.xml"/><Relationship Id="rId5" Type="http://schemas.openxmlformats.org/officeDocument/2006/relationships/chartUserShapes" Target="../drawings/drawing7.xml"/><Relationship Id="rId4" Type="http://schemas.openxmlformats.org/officeDocument/2006/relationships/package" Target="../embeddings/Microsoft_Excel_Worksheet46.xlsx"/></Relationships>
</file>

<file path=word/charts/_rels/chart114.xml.rels><?xml version="1.0" encoding="UTF-8" standalone="yes"?>
<Relationships xmlns="http://schemas.openxmlformats.org/package/2006/relationships"><Relationship Id="rId3" Type="http://schemas.openxmlformats.org/officeDocument/2006/relationships/package" Target="../embeddings/Microsoft_Excel_Worksheet47.xlsx"/><Relationship Id="rId2" Type="http://schemas.microsoft.com/office/2011/relationships/chartColorStyle" Target="colors94.xml"/><Relationship Id="rId1" Type="http://schemas.microsoft.com/office/2011/relationships/chartStyle" Target="style94.xml"/></Relationships>
</file>

<file path=word/charts/_rels/chart115.xml.rels><?xml version="1.0" encoding="UTF-8" standalone="yes"?>
<Relationships xmlns="http://schemas.openxmlformats.org/package/2006/relationships"><Relationship Id="rId3" Type="http://schemas.openxmlformats.org/officeDocument/2006/relationships/package" Target="../embeddings/Microsoft_Excel_Worksheet48.xlsx"/><Relationship Id="rId2" Type="http://schemas.microsoft.com/office/2011/relationships/chartColorStyle" Target="colors95.xml"/><Relationship Id="rId1" Type="http://schemas.microsoft.com/office/2011/relationships/chartStyle" Target="style95.xml"/></Relationships>
</file>

<file path=word/charts/_rels/chart116.xml.rels><?xml version="1.0" encoding="UTF-8" standalone="yes"?>
<Relationships xmlns="http://schemas.openxmlformats.org/package/2006/relationships"><Relationship Id="rId2" Type="http://schemas.openxmlformats.org/officeDocument/2006/relationships/package" Target="../embeddings/Microsoft_Excel_Worksheet49.xlsx"/><Relationship Id="rId1" Type="http://schemas.openxmlformats.org/officeDocument/2006/relationships/themeOverride" Target="../theme/themeOverride65.xml"/></Relationships>
</file>

<file path=word/charts/_rels/chart117.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package" Target="../embeddings/Microsoft_Excel_Worksheet50.xlsx"/><Relationship Id="rId1" Type="http://schemas.openxmlformats.org/officeDocument/2006/relationships/themeOverride" Target="../theme/themeOverride66.xml"/></Relationships>
</file>

<file path=word/charts/_rels/chart118.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package" Target="../embeddings/Microsoft_Excel_Worksheet51.xlsx"/><Relationship Id="rId1" Type="http://schemas.openxmlformats.org/officeDocument/2006/relationships/themeOverride" Target="../theme/themeOverride67.xml"/></Relationships>
</file>

<file path=word/charts/_rels/chart119.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package" Target="../embeddings/Microsoft_Excel_Worksheet52.xlsx"/><Relationship Id="rId1" Type="http://schemas.openxmlformats.org/officeDocument/2006/relationships/themeOverride" Target="../theme/themeOverride68.xml"/></Relationships>
</file>

<file path=word/charts/_rels/chart12.xml.rels><?xml version="1.0" encoding="UTF-8" standalone="yes"?>
<Relationships xmlns="http://schemas.openxmlformats.org/package/2006/relationships"><Relationship Id="rId1" Type="http://schemas.openxmlformats.org/officeDocument/2006/relationships/oleObject" Target="file:///C:\Users\psantizo\Desktop\Documentos%202022\MFMP\2023\Gr&#225;ficos_editables\Sector%20internacional%202022\Autoppt.xlsm" TargetMode="External"/></Relationships>
</file>

<file path=word/charts/_rels/chart120.xml.rels><?xml version="1.0" encoding="UTF-8" standalone="yes"?>
<Relationships xmlns="http://schemas.openxmlformats.org/package/2006/relationships"><Relationship Id="rId3" Type="http://schemas.openxmlformats.org/officeDocument/2006/relationships/themeOverride" Target="../theme/themeOverride69.xml"/><Relationship Id="rId2" Type="http://schemas.microsoft.com/office/2011/relationships/chartColorStyle" Target="colors96.xml"/><Relationship Id="rId1" Type="http://schemas.microsoft.com/office/2011/relationships/chartStyle" Target="style96.xml"/><Relationship Id="rId5" Type="http://schemas.openxmlformats.org/officeDocument/2006/relationships/chartUserShapes" Target="../drawings/drawing11.xml"/><Relationship Id="rId4" Type="http://schemas.openxmlformats.org/officeDocument/2006/relationships/package" Target="../embeddings/Microsoft_Excel_Worksheet53.xlsx"/></Relationships>
</file>

<file path=word/charts/_rels/chart121.xml.rels><?xml version="1.0" encoding="UTF-8" standalone="yes"?>
<Relationships xmlns="http://schemas.openxmlformats.org/package/2006/relationships"><Relationship Id="rId2" Type="http://schemas.openxmlformats.org/officeDocument/2006/relationships/package" Target="../embeddings/Microsoft_Excel_Worksheet54.xlsx"/><Relationship Id="rId1" Type="http://schemas.openxmlformats.org/officeDocument/2006/relationships/themeOverride" Target="../theme/themeOverride70.xml"/></Relationships>
</file>

<file path=word/charts/_rels/chart122.xml.rels><?xml version="1.0" encoding="UTF-8" standalone="yes"?>
<Relationships xmlns="http://schemas.openxmlformats.org/package/2006/relationships"><Relationship Id="rId3" Type="http://schemas.openxmlformats.org/officeDocument/2006/relationships/themeOverride" Target="../theme/themeOverride71.xml"/><Relationship Id="rId2" Type="http://schemas.microsoft.com/office/2011/relationships/chartColorStyle" Target="colors97.xml"/><Relationship Id="rId1" Type="http://schemas.microsoft.com/office/2011/relationships/chartStyle" Target="style97.xml"/><Relationship Id="rId5" Type="http://schemas.openxmlformats.org/officeDocument/2006/relationships/chartUserShapes" Target="../drawings/drawing12.xml"/><Relationship Id="rId4" Type="http://schemas.openxmlformats.org/officeDocument/2006/relationships/package" Target="../embeddings/Microsoft_Excel_Worksheet55.xlsx"/></Relationships>
</file>

<file path=word/charts/_rels/chart13.xml.rels><?xml version="1.0" encoding="UTF-8" standalone="yes"?>
<Relationships xmlns="http://schemas.openxmlformats.org/package/2006/relationships"><Relationship Id="rId1" Type="http://schemas.openxmlformats.org/officeDocument/2006/relationships/oleObject" Target="file:///C:\Users\psantizo\Desktop\Documentos%202022\MFMP\2023\Gr&#225;ficos_editables\Sector%20internacional%202022\Autoppt.xlsm" TargetMode="Externa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halegre\Documents\Heberto\MINFIN\marco_fiscal_db\petroleo.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1.xml"/><Relationship Id="rId4" Type="http://schemas.openxmlformats.org/officeDocument/2006/relationships/oleObject" Target="file:///C:\Users\halegre\Documents\Heberto\MINFIN\marco_fiscal_db\bases_datos\banco_mundial.xlsx" TargetMode="External"/></Relationships>
</file>

<file path=word/charts/_rels/chart18.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4.xml"/><Relationship Id="rId1" Type="http://schemas.microsoft.com/office/2011/relationships/chartStyle" Target="style4.xml"/></Relationships>
</file>

<file path=word/charts/_rels/chart19.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2.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psantizo\Desktop\Documentos%202022\MFMP\2023\Gr&#225;ficos_editables\Sector%20internacional%202022\Autoppt.xlsm"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6.xml"/><Relationship Id="rId1" Type="http://schemas.microsoft.com/office/2011/relationships/chartStyle" Target="style6.xml"/></Relationships>
</file>

<file path=word/charts/_rels/chart2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7.xml"/><Relationship Id="rId1" Type="http://schemas.microsoft.com/office/2011/relationships/chartStyle" Target="style7.xml"/></Relationships>
</file>

<file path=word/charts/_rels/chart2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8.xml"/><Relationship Id="rId1" Type="http://schemas.microsoft.com/office/2011/relationships/chartStyle" Target="style8.xml"/></Relationships>
</file>

<file path=word/charts/_rels/chart2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9.xml"/><Relationship Id="rId1" Type="http://schemas.microsoft.com/office/2011/relationships/chartStyle" Target="style9.xml"/></Relationships>
</file>

<file path=word/charts/_rels/chart24.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0.xml"/><Relationship Id="rId1" Type="http://schemas.microsoft.com/office/2011/relationships/chartStyle" Target="style10.xml"/></Relationships>
</file>

<file path=word/charts/_rels/chart25.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1.xml"/><Relationship Id="rId1" Type="http://schemas.microsoft.com/office/2011/relationships/chartStyle" Target="style11.xml"/></Relationships>
</file>

<file path=word/charts/_rels/chart26.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2.xml"/><Relationship Id="rId1" Type="http://schemas.microsoft.com/office/2011/relationships/chartStyle" Target="style12.xml"/></Relationships>
</file>

<file path=word/charts/_rels/chart27.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3.xml"/><Relationship Id="rId1" Type="http://schemas.microsoft.com/office/2011/relationships/chartStyle" Target="style13.xml"/></Relationships>
</file>

<file path=word/charts/_rels/chart28.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NULL" TargetMode="External"/></Relationships>
</file>

<file path=word/charts/_rels/chart29.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4.xml"/><Relationship Id="rId1" Type="http://schemas.microsoft.com/office/2011/relationships/chartStyle" Target="style14.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psantizo\Desktop\Documentos%202022\MFMP\2023\Gr&#225;ficos_editables\Sector%20internacional%202022\Autoppt.xlsm" TargetMode="External"/></Relationships>
</file>

<file path=word/charts/_rels/chart30.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5.xml"/><Relationship Id="rId1" Type="http://schemas.microsoft.com/office/2011/relationships/chartStyle" Target="style15.xml"/></Relationships>
</file>

<file path=word/charts/_rels/chart3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7.xml"/><Relationship Id="rId1" Type="http://schemas.microsoft.com/office/2011/relationships/chartStyle" Target="style17.xml"/></Relationships>
</file>

<file path=word/charts/_rels/chart3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9.xml"/><Relationship Id="rId1" Type="http://schemas.microsoft.com/office/2011/relationships/chartStyle" Target="style19.xml"/></Relationships>
</file>

<file path=word/charts/_rels/chart3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0.xml"/><Relationship Id="rId1" Type="http://schemas.microsoft.com/office/2011/relationships/chartStyle" Target="style20.xml"/></Relationships>
</file>

<file path=word/charts/_rels/chart34.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1.xml"/><Relationship Id="rId1" Type="http://schemas.microsoft.com/office/2011/relationships/chartStyle" Target="style21.xml"/></Relationships>
</file>

<file path=word/charts/_rels/chart35.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2.xml"/><Relationship Id="rId1" Type="http://schemas.microsoft.com/office/2011/relationships/chartStyle" Target="style22.xml"/></Relationships>
</file>

<file path=word/charts/_rels/chart36.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3.xml"/><Relationship Id="rId1" Type="http://schemas.microsoft.com/office/2011/relationships/chartStyle" Target="style23.xml"/></Relationships>
</file>

<file path=word/charts/_rels/chart37.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4.xml"/><Relationship Id="rId1" Type="http://schemas.microsoft.com/office/2011/relationships/chartStyle" Target="style24.xml"/></Relationships>
</file>

<file path=word/charts/_rels/chart38.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5.xml"/><Relationship Id="rId1" Type="http://schemas.microsoft.com/office/2011/relationships/chartStyle" Target="style25.xml"/></Relationships>
</file>

<file path=word/charts/_rels/chart39.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6.xml"/><Relationship Id="rId1" Type="http://schemas.microsoft.com/office/2011/relationships/chartStyle" Target="style26.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psantizo\Desktop\Documentos%202022\MFMP\2023\Gr&#225;ficos_editables\Sector%20internacional%202022\Autoppt.xlsm" TargetMode="External"/><Relationship Id="rId2" Type="http://schemas.microsoft.com/office/2011/relationships/chartColorStyle" Target="colors1.xml"/><Relationship Id="rId1" Type="http://schemas.microsoft.com/office/2011/relationships/chartStyle" Target="style1.xml"/></Relationships>
</file>

<file path=word/charts/_rels/chart40.xml.rels><?xml version="1.0" encoding="UTF-8" standalone="yes"?>
<Relationships xmlns="http://schemas.openxmlformats.org/package/2006/relationships"><Relationship Id="rId2" Type="http://schemas.openxmlformats.org/officeDocument/2006/relationships/oleObject" Target="file:///C:\Users\psantizo\Desktop\Asistencia%20T&#233;cnica%20febrero%20MPF\Pron&#243;sticos\Pron&#243;stico%20mfmp.xlsx" TargetMode="External"/><Relationship Id="rId1" Type="http://schemas.openxmlformats.org/officeDocument/2006/relationships/themeOverride" Target="../theme/themeOverride5.xml"/></Relationships>
</file>

<file path=word/charts/_rels/chart41.xml.rels><?xml version="1.0" encoding="UTF-8" standalone="yes"?>
<Relationships xmlns="http://schemas.openxmlformats.org/package/2006/relationships"><Relationship Id="rId2" Type="http://schemas.openxmlformats.org/officeDocument/2006/relationships/oleObject" Target="file:///C:\Users\psantizo\Desktop\Asistencia%20T&#233;cnica%20febrero%20MPF\Pron&#243;sticos\Pron&#243;stico%20mfmp.xlsx" TargetMode="External"/><Relationship Id="rId1" Type="http://schemas.openxmlformats.org/officeDocument/2006/relationships/themeOverride" Target="../theme/themeOverride6.xm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file:///C:\Users\halegre\Documents\Heberto\MINFIN\marco_fiscal_db\sector_real.xlsx" TargetMode="Externa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file:///C:\Users\halegre\Documents\Heberto\MINFIN\marco_fiscal_db\sector_real.xlsx" TargetMode="Externa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file:///C:\Users\psantizo\Desktop\Documentos%202022\MFMP\2023\sector_real%20Heberto.xlsx" TargetMode="External"/></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oleObject" Target="file:///C:\Users\halegre\Documents\Heberto\MINFIN\marco_fiscal_db\sector_real.xlsx" TargetMode="External"/></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oleObject" Target="file:///C:\Users\halegre\Documents\Heberto\MINFIN\marco_fiscal_db\sector_real.xlsx" TargetMode="External"/></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oleObject" Target="file:///C:\Users\halegre\Documents\Heberto\MINFIN\marco_fiscal_db\sector_monetario.xlsx" TargetMode="External"/></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oleObject" Target="file:///C:\Users\halegre\Documents\Heberto\MINFIN\marco_fiscal_db\sector_monetario.xlsx" TargetMode="External"/></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oleObject" Target="file:///C:\Users\halegre\Documents\Heberto\MINFIN\marco_fiscal_db\sector_monetario.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psantizo\Desktop\Documentos%202022\MFMP\2023\Gr&#225;ficos_editables\Sector%20internacional%202022\Autoppt.xlsm" TargetMode="External"/></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file:///C:\Users\halegre\Documents\Heberto\MINFIN\marco_fiscal_db\sector_monetario.xlsx" TargetMode="External"/></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file:///C:\Users\halegre\Documents\Heberto\MINFIN\marco_fiscal_db\acutalizacion\TPM.csv" TargetMode="Externa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file:///C:\Users\psantizo\AppData\Local\Microsoft\Windows\INetCache\Content.Outlook\4CRZN17L\sector_monetario.xlsx" TargetMode="External"/></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file:///C:\Users\halegre\Documents\Heberto\MINFIN\marco_fiscal_db\sector_externo.xlsx" TargetMode="External"/></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file:///C:\Users\halegre\Documents\Heberto\MINFIN\marco_fiscal_db\sector_externo.xlsx" TargetMode="External"/></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file:///C:\Users\psantizo\AppData\Local\Microsoft\Windows\INetCache\Content.Outlook\4CRZN17L\sector_externo%20(003).xlsx" TargetMode="Externa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oleObject" Target="file:///C:\Users\halegre\Documents\Heberto\MINFIN\marco_fiscal_db\sector_externo.xlsx" TargetMode="External"/></Relationships>
</file>

<file path=word/charts/_rels/chart57.xml.rels><?xml version="1.0" encoding="UTF-8" standalone="yes"?>
<Relationships xmlns="http://schemas.openxmlformats.org/package/2006/relationships"><Relationship Id="rId3" Type="http://schemas.openxmlformats.org/officeDocument/2006/relationships/oleObject" Target="file:///C:\Users\psantizo\AppData\Local\Microsoft\Windows\INetCache\Content.Outlook\4CRZN17L\sector_fmi.xlsx" TargetMode="External"/><Relationship Id="rId2" Type="http://schemas.microsoft.com/office/2011/relationships/chartColorStyle" Target="colors42.xml"/><Relationship Id="rId1" Type="http://schemas.microsoft.com/office/2011/relationships/chartStyle" Target="style42.xml"/></Relationships>
</file>

<file path=word/charts/_rels/chart58.xml.rels><?xml version="1.0" encoding="UTF-8" standalone="yes"?>
<Relationships xmlns="http://schemas.openxmlformats.org/package/2006/relationships"><Relationship Id="rId3" Type="http://schemas.openxmlformats.org/officeDocument/2006/relationships/oleObject" Target="file:///C:\Users\psantizo\AppData\Local\Microsoft\Windows\INetCache\Content.Outlook\4CRZN17L\sector_fmi.xlsx" TargetMode="Externa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chartUserShapes" Target="../drawings/drawing4.xml"/></Relationships>
</file>

<file path=word/charts/_rels/chart59.xml.rels><?xml version="1.0" encoding="UTF-8" standalone="yes"?>
<Relationships xmlns="http://schemas.openxmlformats.org/package/2006/relationships"><Relationship Id="rId3" Type="http://schemas.openxmlformats.org/officeDocument/2006/relationships/oleObject" Target="file:///C:\Users\psantizo\AppData\Local\Microsoft\Windows\INetCache\Content.Outlook\4CRZN17L\sector_fmi.xlsx" TargetMode="External"/><Relationship Id="rId2" Type="http://schemas.microsoft.com/office/2011/relationships/chartColorStyle" Target="colors44.xml"/><Relationship Id="rId1" Type="http://schemas.microsoft.com/office/2011/relationships/chartStyle" Target="style44.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psantizo\Desktop\Documentos%202022\MFMP\2023\Gr&#225;ficos_editables\Sector%20internacional%202022\Autoppt.xlsm" TargetMode="External"/></Relationships>
</file>

<file path=word/charts/_rels/chart60.xml.rels><?xml version="1.0" encoding="UTF-8" standalone="yes"?>
<Relationships xmlns="http://schemas.openxmlformats.org/package/2006/relationships"><Relationship Id="rId3" Type="http://schemas.openxmlformats.org/officeDocument/2006/relationships/oleObject" Target="file:///C:\Users\psantizo\Desktop\Documentos%202022\MFMP\2023\Archivos%20Raymundo\Tipo%20de%20cambio%20MFMP.xlsx" TargetMode="External"/><Relationship Id="rId2" Type="http://schemas.microsoft.com/office/2011/relationships/chartColorStyle" Target="colors45.xml"/><Relationship Id="rId1" Type="http://schemas.microsoft.com/office/2011/relationships/chartStyle" Target="style45.xml"/></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oleObject" Target="file:///C:\Users\psantizo\Desktop\Carpetas\Riesgos\Riesgos%202023\Errores%20de%20pron&#243;sticos%20macroecon&#243;micos.xlsx" TargetMode="External"/></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oleObject" Target="file:///C:\Users\psantizo\Desktop\Carpetas\Riesgos\Riesgos%202023\Errores%20de%20pron&#243;sticos%20macroecon&#243;micos.xlsx" TargetMode="External"/></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oleObject" Target="file:///C:\Users\psantizo\Desktop\Carpetas\Riesgos\Riesgos%202023\Errores%20de%20pron&#243;sticos%20macroecon&#243;micos.xlsx" TargetMode="External"/></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oleObject" Target="file:///C:\Users\psantizo\Desktop\Carpetas\Riesgos\Riesgos%202023\Errores%20de%20pron&#243;sticos%20macroecon&#243;micos.xlsx" TargetMode="External"/></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oleObject" Target="file:///C:\Users\psantizo\Desktop\Carpetas\Riesgos\Riesgos%202023\Errores%20de%20pron&#243;sticos%20macroecon&#243;micos.xlsx" TargetMode="External"/></Relationships>
</file>

<file path=word/charts/_rels/chart66.xml.rels><?xml version="1.0" encoding="UTF-8" standalone="yes"?>
<Relationships xmlns="http://schemas.openxmlformats.org/package/2006/relationships"><Relationship Id="rId3" Type="http://schemas.openxmlformats.org/officeDocument/2006/relationships/oleObject" Target="file:///C:\Users\psantizo\Downloads\PALLFNFINDEXM.xls" TargetMode="External"/><Relationship Id="rId2" Type="http://schemas.microsoft.com/office/2011/relationships/chartColorStyle" Target="colors51.xml"/><Relationship Id="rId1" Type="http://schemas.microsoft.com/office/2011/relationships/chartStyle" Target="style51.xml"/></Relationships>
</file>

<file path=word/charts/_rels/chart67.xml.rels><?xml version="1.0" encoding="UTF-8" standalone="yes"?>
<Relationships xmlns="http://schemas.openxmlformats.org/package/2006/relationships"><Relationship Id="rId1" Type="http://schemas.openxmlformats.org/officeDocument/2006/relationships/oleObject" Target="file:///C:\Users\psantizo\AppData\Local\Microsoft\Windows\INetCache\Content.Outlook\4CRZN17L\FanChartResults.xls" TargetMode="External"/></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52.xml"/><Relationship Id="rId1" Type="http://schemas.microsoft.com/office/2011/relationships/chartStyle" Target="style52.xml"/><Relationship Id="rId5" Type="http://schemas.openxmlformats.org/officeDocument/2006/relationships/chartUserShapes" Target="../drawings/drawing5.xml"/><Relationship Id="rId4" Type="http://schemas.openxmlformats.org/officeDocument/2006/relationships/package" Target="../embeddings/Microsoft_Excel_Worksheet2.xlsx"/></Relationships>
</file>

<file path=word/charts/_rels/chart69.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8.xml"/></Relationships>
</file>

<file path=word/charts/_rels/chart7.xml.rels><?xml version="1.0" encoding="UTF-8" standalone="yes"?>
<Relationships xmlns="http://schemas.openxmlformats.org/package/2006/relationships"><Relationship Id="rId1" Type="http://schemas.openxmlformats.org/officeDocument/2006/relationships/oleObject" Target="file:///C:\Users\psantizo\Desktop\Documentos%202022\MFMP\2023\Gr&#225;ficos_editables\Sector%20internacional%202022\Autoppt.xlsm" TargetMode="External"/></Relationships>
</file>

<file path=word/charts/_rels/chart70.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9.xml"/></Relationships>
</file>

<file path=word/charts/_rels/chart71.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package" Target="../embeddings/Microsoft_Excel_Worksheet5.xlsx"/></Relationships>
</file>

<file path=word/charts/_rels/chart72.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package" Target="../embeddings/Microsoft_Excel_Worksheet6.xlsx"/></Relationships>
</file>

<file path=word/charts/_rels/chart73.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32.xml"/></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package" Target="../embeddings/Microsoft_Excel_Worksheet8.xlsx"/></Relationships>
</file>

<file path=word/charts/_rels/chart75.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chartUserShapes" Target="../drawings/drawing6.xml"/></Relationships>
</file>

<file path=word/charts/_rels/chart76.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57.xml"/><Relationship Id="rId1" Type="http://schemas.microsoft.com/office/2011/relationships/chartStyle" Target="style57.xml"/></Relationships>
</file>

<file path=word/charts/_rels/chart77.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58.xml"/><Relationship Id="rId1" Type="http://schemas.microsoft.com/office/2011/relationships/chartStyle" Target="style58.xml"/></Relationships>
</file>

<file path=word/charts/_rels/chart78.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59.xml"/><Relationship Id="rId1" Type="http://schemas.microsoft.com/office/2011/relationships/chartStyle" Target="style59.xml"/></Relationships>
</file>

<file path=word/charts/_rels/chart79.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package" Target="../embeddings/Microsoft_Excel_Worksheet13.xlsx"/></Relationships>
</file>

<file path=word/charts/_rels/chart8.xml.rels><?xml version="1.0" encoding="UTF-8" standalone="yes"?>
<Relationships xmlns="http://schemas.openxmlformats.org/package/2006/relationships"><Relationship Id="rId1" Type="http://schemas.openxmlformats.org/officeDocument/2006/relationships/oleObject" Target="file:///C:\Users\psantizo\Desktop\Documentos%202022\MFMP\2023\Gr&#225;ficos_editables\Sector%20internacional%202022\Autoppt.xlsm" TargetMode="External"/></Relationships>
</file>

<file path=word/charts/_rels/chart80.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package" Target="../embeddings/Microsoft_Excel_Worksheet14.xlsx"/></Relationships>
</file>

<file path=word/charts/_rels/chart81.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62.xml"/><Relationship Id="rId1" Type="http://schemas.microsoft.com/office/2011/relationships/chartStyle" Target="style62.xml"/><Relationship Id="rId4" Type="http://schemas.openxmlformats.org/officeDocument/2006/relationships/package" Target="../embeddings/Microsoft_Excel_Worksheet15.xlsx"/></Relationships>
</file>

<file path=word/charts/_rels/chart82.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64.xml"/><Relationship Id="rId1" Type="http://schemas.microsoft.com/office/2011/relationships/chartStyle" Target="style64.xml"/><Relationship Id="rId4" Type="http://schemas.openxmlformats.org/officeDocument/2006/relationships/package" Target="../embeddings/Microsoft_Excel_Worksheet16.xlsx"/></Relationships>
</file>

<file path=word/charts/_rels/chart83.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65.xml"/><Relationship Id="rId1" Type="http://schemas.microsoft.com/office/2011/relationships/chartStyle" Target="style65.xml"/><Relationship Id="rId4" Type="http://schemas.openxmlformats.org/officeDocument/2006/relationships/package" Target="../embeddings/Microsoft_Excel_Worksheet17.xlsx"/></Relationships>
</file>

<file path=word/charts/_rels/chart84.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66.xml"/><Relationship Id="rId1" Type="http://schemas.microsoft.com/office/2011/relationships/chartStyle" Target="style66.xml"/><Relationship Id="rId4" Type="http://schemas.openxmlformats.org/officeDocument/2006/relationships/package" Target="../embeddings/Microsoft_Excel_Worksheet18.xlsx"/></Relationships>
</file>

<file path=word/charts/_rels/chart85.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68.xml"/><Relationship Id="rId1" Type="http://schemas.microsoft.com/office/2011/relationships/chartStyle" Target="style68.xml"/><Relationship Id="rId4" Type="http://schemas.openxmlformats.org/officeDocument/2006/relationships/package" Target="../embeddings/Microsoft_Excel_Worksheet19.xlsx"/></Relationships>
</file>

<file path=word/charts/_rels/chart86.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69.xml"/><Relationship Id="rId1" Type="http://schemas.microsoft.com/office/2011/relationships/chartStyle" Target="style69.xml"/><Relationship Id="rId4" Type="http://schemas.openxmlformats.org/officeDocument/2006/relationships/package" Target="../embeddings/Microsoft_Excel_Worksheet20.xlsx"/></Relationships>
</file>

<file path=word/charts/_rels/chart87.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70.xml"/><Relationship Id="rId1" Type="http://schemas.microsoft.com/office/2011/relationships/chartStyle" Target="style70.xml"/><Relationship Id="rId4" Type="http://schemas.openxmlformats.org/officeDocument/2006/relationships/package" Target="../embeddings/Microsoft_Excel_Worksheet21.xlsx"/></Relationships>
</file>

<file path=word/charts/_rels/chart88.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72.xml"/><Relationship Id="rId1" Type="http://schemas.microsoft.com/office/2011/relationships/chartStyle" Target="style72.xml"/><Relationship Id="rId4" Type="http://schemas.openxmlformats.org/officeDocument/2006/relationships/package" Target="../embeddings/Microsoft_Excel_Worksheet22.xlsx"/></Relationships>
</file>

<file path=word/charts/_rels/chart89.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73.xml"/><Relationship Id="rId1" Type="http://schemas.microsoft.com/office/2011/relationships/chartStyle" Target="style73.xml"/><Relationship Id="rId4" Type="http://schemas.openxmlformats.org/officeDocument/2006/relationships/package" Target="../embeddings/Microsoft_Excel_Worksheet23.xlsx"/></Relationships>
</file>

<file path=word/charts/_rels/chart9.xml.rels><?xml version="1.0" encoding="UTF-8" standalone="yes"?>
<Relationships xmlns="http://schemas.openxmlformats.org/package/2006/relationships"><Relationship Id="rId1" Type="http://schemas.openxmlformats.org/officeDocument/2006/relationships/oleObject" Target="file:///C:\Users\psantizo\Desktop\Documentos%202022\MFMP\2023\Gr&#225;ficos_editables\Sector%20internacional%202022\Autoppt.xlsm" TargetMode="External"/></Relationships>
</file>

<file path=word/charts/_rels/chart90.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74.xml"/><Relationship Id="rId1" Type="http://schemas.microsoft.com/office/2011/relationships/chartStyle" Target="style74.xml"/><Relationship Id="rId4" Type="http://schemas.openxmlformats.org/officeDocument/2006/relationships/package" Target="../embeddings/Microsoft_Excel_Worksheet24.xlsx"/></Relationships>
</file>

<file path=word/charts/_rels/chart91.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76.xml"/><Relationship Id="rId1" Type="http://schemas.microsoft.com/office/2011/relationships/chartStyle" Target="style76.xml"/><Relationship Id="rId4" Type="http://schemas.openxmlformats.org/officeDocument/2006/relationships/package" Target="../embeddings/Microsoft_Excel_Worksheet25.xlsx"/></Relationships>
</file>

<file path=word/charts/_rels/chart92.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77.xml"/><Relationship Id="rId1" Type="http://schemas.microsoft.com/office/2011/relationships/chartStyle" Target="style77.xml"/><Relationship Id="rId4" Type="http://schemas.openxmlformats.org/officeDocument/2006/relationships/package" Target="../embeddings/Microsoft_Excel_Worksheet26.xlsx"/></Relationships>
</file>

<file path=word/charts/_rels/chart93.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78.xml"/><Relationship Id="rId1" Type="http://schemas.microsoft.com/office/2011/relationships/chartStyle" Target="style78.xml"/><Relationship Id="rId4" Type="http://schemas.openxmlformats.org/officeDocument/2006/relationships/package" Target="../embeddings/Microsoft_Excel_Worksheet27.xlsx"/></Relationships>
</file>

<file path=word/charts/_rels/chart94.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79.xml"/><Relationship Id="rId1" Type="http://schemas.microsoft.com/office/2011/relationships/chartStyle" Target="style79.xml"/><Relationship Id="rId4" Type="http://schemas.openxmlformats.org/officeDocument/2006/relationships/package" Target="../embeddings/Microsoft_Excel_Worksheet28.xlsx"/></Relationships>
</file>

<file path=word/charts/_rels/chart95.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80.xml"/><Relationship Id="rId1" Type="http://schemas.microsoft.com/office/2011/relationships/chartStyle" Target="style80.xml"/><Relationship Id="rId4" Type="http://schemas.openxmlformats.org/officeDocument/2006/relationships/package" Target="../embeddings/Microsoft_Excel_Worksheet29.xlsx"/></Relationships>
</file>

<file path=word/charts/_rels/chart96.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81.xml"/><Relationship Id="rId1" Type="http://schemas.microsoft.com/office/2011/relationships/chartStyle" Target="style81.xml"/><Relationship Id="rId4" Type="http://schemas.openxmlformats.org/officeDocument/2006/relationships/package" Target="../embeddings/Microsoft_Excel_Worksheet30.xlsx"/></Relationships>
</file>

<file path=word/charts/_rels/chart97.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82.xml"/><Relationship Id="rId1" Type="http://schemas.microsoft.com/office/2011/relationships/chartStyle" Target="style82.xml"/><Relationship Id="rId4" Type="http://schemas.openxmlformats.org/officeDocument/2006/relationships/package" Target="../embeddings/Microsoft_Excel_Worksheet31.xlsx"/></Relationships>
</file>

<file path=word/charts/_rels/chart98.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83.xml"/><Relationship Id="rId1" Type="http://schemas.microsoft.com/office/2011/relationships/chartStyle" Target="style83.xml"/><Relationship Id="rId4" Type="http://schemas.openxmlformats.org/officeDocument/2006/relationships/package" Target="../embeddings/Microsoft_Excel_Worksheet32.xlsx"/></Relationships>
</file>

<file path=word/charts/_rels/chart99.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84.xml"/><Relationship Id="rId1" Type="http://schemas.microsoft.com/office/2011/relationships/chartStyle" Target="style84.xml"/></Relationships>
</file>

<file path=word/charts/_rels/chartEx1.xml.rels><?xml version="1.0" encoding="UTF-8" standalone="yes"?>
<Relationships xmlns="http://schemas.openxmlformats.org/package/2006/relationships"><Relationship Id="rId3" Type="http://schemas.microsoft.com/office/2011/relationships/chartColorStyle" Target="colors16.xml"/><Relationship Id="rId2" Type="http://schemas.microsoft.com/office/2011/relationships/chartStyle" Target="style16.xml"/><Relationship Id="rId1" Type="http://schemas.openxmlformats.org/officeDocument/2006/relationships/oleObject" Target="NULL"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18.xml"/><Relationship Id="rId2" Type="http://schemas.microsoft.com/office/2011/relationships/chartStyle" Target="style18.xml"/><Relationship Id="rId1" Type="http://schemas.openxmlformats.org/officeDocument/2006/relationships/oleObject" Target="NULL" TargetMode="External"/></Relationships>
</file>

<file path=word/charts/_rels/chartEx3.xml.rels><?xml version="1.0" encoding="UTF-8" standalone="yes"?>
<Relationships xmlns="http://schemas.openxmlformats.org/package/2006/relationships"><Relationship Id="rId3" Type="http://schemas.microsoft.com/office/2011/relationships/chartColorStyle" Target="colors63.xml"/><Relationship Id="rId2" Type="http://schemas.microsoft.com/office/2011/relationships/chartStyle" Target="style63.xml"/><Relationship Id="rId1" Type="http://schemas.openxmlformats.org/officeDocument/2006/relationships/oleObject" Target="file:///C:\Users\seargueta\Desktop\Informes%202023\Riesgos%20Fiscales%20FRAT\Riesgos%20Versi&#243;n%20Final\Errores%20de%20pron&#243;sticos%20Macroecon&#243;micos\Errores%20de%20pron&#243;sticos%20fiscales.xlsx" TargetMode="External"/><Relationship Id="rId4" Type="http://schemas.openxmlformats.org/officeDocument/2006/relationships/themeOverride" Target="../theme/themeOverride37.xml"/></Relationships>
</file>

<file path=word/charts/_rels/chartEx4.xml.rels><?xml version="1.0" encoding="UTF-8" standalone="yes"?>
<Relationships xmlns="http://schemas.openxmlformats.org/package/2006/relationships"><Relationship Id="rId3" Type="http://schemas.microsoft.com/office/2011/relationships/chartColorStyle" Target="colors67.xml"/><Relationship Id="rId2" Type="http://schemas.microsoft.com/office/2011/relationships/chartStyle" Target="style67.xml"/><Relationship Id="rId1" Type="http://schemas.openxmlformats.org/officeDocument/2006/relationships/oleObject" Target="file:///C:\Users\seargueta\Desktop\Informes%202023\Riesgos%20Fiscales%20FRAT\Riesgos%20Versi&#243;n%20Final\Errores%20de%20pron&#243;sticos%20Macroecon&#243;micos\Errores%20de%20pron&#243;sticos%20fiscales.xlsx" TargetMode="External"/><Relationship Id="rId4" Type="http://schemas.openxmlformats.org/officeDocument/2006/relationships/themeOverride" Target="../theme/themeOverride41.xml"/></Relationships>
</file>

<file path=word/charts/_rels/chartEx5.xml.rels><?xml version="1.0" encoding="UTF-8" standalone="yes"?>
<Relationships xmlns="http://schemas.openxmlformats.org/package/2006/relationships"><Relationship Id="rId3" Type="http://schemas.microsoft.com/office/2011/relationships/chartColorStyle" Target="colors71.xml"/><Relationship Id="rId2" Type="http://schemas.microsoft.com/office/2011/relationships/chartStyle" Target="style71.xml"/><Relationship Id="rId1" Type="http://schemas.openxmlformats.org/officeDocument/2006/relationships/oleObject" Target="file:///C:\Users\seargueta\Desktop\Informes%202023\Riesgos%20Fiscales%20FRAT\Riesgos%20Versi&#243;n%20Final\Errores%20de%20pron&#243;sticos%20Macroecon&#243;micos\Errores%20de%20pron&#243;sticos%20fiscales.xlsx" TargetMode="External"/><Relationship Id="rId4" Type="http://schemas.openxmlformats.org/officeDocument/2006/relationships/themeOverride" Target="../theme/themeOverride45.xml"/></Relationships>
</file>

<file path=word/charts/_rels/chartEx6.xml.rels><?xml version="1.0" encoding="UTF-8" standalone="yes"?>
<Relationships xmlns="http://schemas.openxmlformats.org/package/2006/relationships"><Relationship Id="rId3" Type="http://schemas.microsoft.com/office/2011/relationships/chartColorStyle" Target="colors75.xml"/><Relationship Id="rId2" Type="http://schemas.microsoft.com/office/2011/relationships/chartStyle" Target="style75.xml"/><Relationship Id="rId1" Type="http://schemas.openxmlformats.org/officeDocument/2006/relationships/oleObject" Target="file:///C:\Users\seargueta\Desktop\Informes%202023\Riesgos%20Fiscales%20FRAT\Riesgos%20Versi&#243;n%20Final\Errores%20de%20pron&#243;sticos%20Macroecon&#243;micos\Errores%20de%20pron&#243;sticos%20fiscales.xlsx" TargetMode="External"/><Relationship Id="rId4" Type="http://schemas.openxmlformats.org/officeDocument/2006/relationships/themeOverride" Target="../theme/themeOverride4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8215673915327238E-2"/>
          <c:y val="1.8689269251517041E-2"/>
          <c:w val="0.91984191919191927"/>
          <c:h val="0.73762094057560657"/>
        </c:manualLayout>
      </c:layout>
      <c:barChart>
        <c:barDir val="col"/>
        <c:grouping val="clustered"/>
        <c:varyColors val="0"/>
        <c:ser>
          <c:idx val="0"/>
          <c:order val="0"/>
          <c:tx>
            <c:strRef>
              <c:f>EI_1!$C$4</c:f>
              <c:strCache>
                <c:ptCount val="1"/>
                <c:pt idx="0">
                  <c:v>2020</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EI_1!$B$5:$B$9</c:f>
              <c:strCache>
                <c:ptCount val="5"/>
                <c:pt idx="0">
                  <c:v>Mundo</c:v>
                </c:pt>
                <c:pt idx="1">
                  <c:v>Economias avanzadas</c:v>
                </c:pt>
                <c:pt idx="2">
                  <c:v>Zona del Euro</c:v>
                </c:pt>
                <c:pt idx="3">
                  <c:v>Economias emergentes y en desarrollo</c:v>
                </c:pt>
                <c:pt idx="4">
                  <c:v>Latinoamerica y el Caribe</c:v>
                </c:pt>
              </c:strCache>
            </c:strRef>
          </c:cat>
          <c:val>
            <c:numRef>
              <c:f>EI_1!$C$5:$C$9</c:f>
              <c:numCache>
                <c:formatCode>0.0</c:formatCode>
                <c:ptCount val="5"/>
                <c:pt idx="0">
                  <c:v>-2.8050000000000002</c:v>
                </c:pt>
                <c:pt idx="1">
                  <c:v>-4.2119999999999997</c:v>
                </c:pt>
                <c:pt idx="2">
                  <c:v>-6.1029999999999998</c:v>
                </c:pt>
                <c:pt idx="3">
                  <c:v>-4.3970000000000002</c:v>
                </c:pt>
                <c:pt idx="4">
                  <c:v>-6.785000000000001</c:v>
                </c:pt>
              </c:numCache>
            </c:numRef>
          </c:val>
          <c:extLst>
            <c:ext xmlns:c16="http://schemas.microsoft.com/office/drawing/2014/chart" uri="{C3380CC4-5D6E-409C-BE32-E72D297353CC}">
              <c16:uniqueId val="{00000000-C15E-45C7-92E7-5BAE57C16FCD}"/>
            </c:ext>
          </c:extLst>
        </c:ser>
        <c:ser>
          <c:idx val="1"/>
          <c:order val="1"/>
          <c:tx>
            <c:strRef>
              <c:f>EI_1!$D$4</c:f>
              <c:strCache>
                <c:ptCount val="1"/>
                <c:pt idx="0">
                  <c:v>2021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EI_1!$B$5:$B$9</c:f>
              <c:strCache>
                <c:ptCount val="5"/>
                <c:pt idx="0">
                  <c:v>Mundo</c:v>
                </c:pt>
                <c:pt idx="1">
                  <c:v>Economias avanzadas</c:v>
                </c:pt>
                <c:pt idx="2">
                  <c:v>Zona del Euro</c:v>
                </c:pt>
                <c:pt idx="3">
                  <c:v>Economias emergentes y en desarrollo</c:v>
                </c:pt>
                <c:pt idx="4">
                  <c:v>Latinoamerica y el Caribe</c:v>
                </c:pt>
              </c:strCache>
            </c:strRef>
          </c:cat>
          <c:val>
            <c:numRef>
              <c:f>EI_1!$D$5:$D$9</c:f>
              <c:numCache>
                <c:formatCode>0.0</c:formatCode>
                <c:ptCount val="5"/>
                <c:pt idx="0">
                  <c:v>6.2750000000000004</c:v>
                </c:pt>
                <c:pt idx="1">
                  <c:v>5.4359999999999999</c:v>
                </c:pt>
                <c:pt idx="2">
                  <c:v>5.37</c:v>
                </c:pt>
                <c:pt idx="3">
                  <c:v>3.9550000000000001</c:v>
                </c:pt>
                <c:pt idx="4">
                  <c:v>7.016</c:v>
                </c:pt>
              </c:numCache>
            </c:numRef>
          </c:val>
          <c:extLst>
            <c:ext xmlns:c16="http://schemas.microsoft.com/office/drawing/2014/chart" uri="{C3380CC4-5D6E-409C-BE32-E72D297353CC}">
              <c16:uniqueId val="{00000001-C15E-45C7-92E7-5BAE57C16FCD}"/>
            </c:ext>
          </c:extLst>
        </c:ser>
        <c:ser>
          <c:idx val="2"/>
          <c:order val="2"/>
          <c:tx>
            <c:strRef>
              <c:f>EI_1!$E$4</c:f>
              <c:strCache>
                <c:ptCount val="1"/>
                <c:pt idx="0">
                  <c:v>2022</c:v>
                </c:pt>
              </c:strCache>
            </c:strRef>
          </c:tx>
          <c:spPr>
            <a:solidFill>
              <a:schemeClr val="bg1">
                <a:lumMod val="65000"/>
              </a:schemeClr>
            </a:solidFill>
          </c:spPr>
          <c:invertIfNegative val="0"/>
          <c:dLbls>
            <c:spPr>
              <a:noFill/>
              <a:ln>
                <a:noFill/>
              </a:ln>
              <a:effectLst/>
            </c:spPr>
            <c:txPr>
              <a:bodyPr wrap="square" lIns="38100" tIns="19050" rIns="38100" bIns="19050" anchor="ctr">
                <a:spAutoFit/>
              </a:bodyPr>
              <a:lstStyle/>
              <a:p>
                <a:pPr>
                  <a:defRPr sz="900" b="1">
                    <a:solidFill>
                      <a:schemeClr val="bg1">
                        <a:lumMod val="50000"/>
                      </a:schemeClr>
                    </a:solidFill>
                    <a:latin typeface="Times New Roman" panose="02020603050405020304" pitchFamily="18" charset="0"/>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EI_1!$B$5:$B$9</c:f>
              <c:strCache>
                <c:ptCount val="5"/>
                <c:pt idx="0">
                  <c:v>Mundo</c:v>
                </c:pt>
                <c:pt idx="1">
                  <c:v>Economias avanzadas</c:v>
                </c:pt>
                <c:pt idx="2">
                  <c:v>Zona del Euro</c:v>
                </c:pt>
                <c:pt idx="3">
                  <c:v>Economias emergentes y en desarrollo</c:v>
                </c:pt>
                <c:pt idx="4">
                  <c:v>Latinoamerica y el Caribe</c:v>
                </c:pt>
              </c:strCache>
            </c:strRef>
          </c:cat>
          <c:val>
            <c:numRef>
              <c:f>EI_1!$E$5:$E$9</c:f>
              <c:numCache>
                <c:formatCode>0.0</c:formatCode>
                <c:ptCount val="5"/>
                <c:pt idx="0">
                  <c:v>3.4000000000000004</c:v>
                </c:pt>
                <c:pt idx="1">
                  <c:v>2.7</c:v>
                </c:pt>
                <c:pt idx="2">
                  <c:v>3.5000000000000004</c:v>
                </c:pt>
                <c:pt idx="3">
                  <c:v>3.9</c:v>
                </c:pt>
                <c:pt idx="4">
                  <c:v>3.9</c:v>
                </c:pt>
              </c:numCache>
            </c:numRef>
          </c:val>
          <c:extLst>
            <c:ext xmlns:c16="http://schemas.microsoft.com/office/drawing/2014/chart" uri="{C3380CC4-5D6E-409C-BE32-E72D297353CC}">
              <c16:uniqueId val="{00000002-C15E-45C7-92E7-5BAE57C16FCD}"/>
            </c:ext>
          </c:extLst>
        </c:ser>
        <c:dLbls>
          <c:showLegendKey val="0"/>
          <c:showVal val="0"/>
          <c:showCatName val="0"/>
          <c:showSerName val="0"/>
          <c:showPercent val="0"/>
          <c:showBubbleSize val="0"/>
        </c:dLbls>
        <c:gapWidth val="219"/>
        <c:overlap val="-27"/>
        <c:axId val="1971702496"/>
        <c:axId val="1971714976"/>
      </c:barChart>
      <c:catAx>
        <c:axId val="197170249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971714976"/>
        <c:crosses val="autoZero"/>
        <c:auto val="1"/>
        <c:lblAlgn val="ctr"/>
        <c:lblOffset val="100"/>
        <c:noMultiLvlLbl val="0"/>
      </c:catAx>
      <c:valAx>
        <c:axId val="1971714976"/>
        <c:scaling>
          <c:orientation val="minMax"/>
        </c:scaling>
        <c:delete val="1"/>
        <c:axPos val="l"/>
        <c:numFmt formatCode="0.0" sourceLinked="1"/>
        <c:majorTickMark val="none"/>
        <c:minorTickMark val="none"/>
        <c:tickLblPos val="nextTo"/>
        <c:crossAx val="1971702496"/>
        <c:crosses val="autoZero"/>
        <c:crossBetween val="between"/>
      </c:valAx>
    </c:plotArea>
    <c:legend>
      <c:legendPos val="b"/>
      <c:layout>
        <c:manualLayout>
          <c:xMode val="edge"/>
          <c:yMode val="edge"/>
          <c:x val="0.33083385859859227"/>
          <c:y val="0.93850349711872605"/>
          <c:w val="0.32473358585858586"/>
          <c:h val="5.80551806207993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787879461432878"/>
          <c:y val="0.13523148148148148"/>
          <c:w val="0.66076939747386909"/>
          <c:h val="0.74189241468019818"/>
        </c:manualLayout>
      </c:layout>
      <c:lineChart>
        <c:grouping val="standard"/>
        <c:varyColors val="0"/>
        <c:ser>
          <c:idx val="0"/>
          <c:order val="0"/>
          <c:tx>
            <c:strRef>
              <c:f>MEX_3!$B$1</c:f>
              <c:strCache>
                <c:ptCount val="1"/>
                <c:pt idx="0">
                  <c:v>Deuda</c:v>
                </c:pt>
              </c:strCache>
            </c:strRef>
          </c:tx>
          <c:spPr>
            <a:ln w="22225">
              <a:solidFill>
                <a:srgbClr val="002060"/>
              </a:solidFill>
            </a:ln>
          </c:spPr>
          <c:marker>
            <c:symbol val="none"/>
          </c:marker>
          <c:dLbls>
            <c:dLbl>
              <c:idx val="0"/>
              <c:layout>
                <c:manualLayout>
                  <c:x val="-0.14434441759982355"/>
                  <c:y val="3.52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263-4BCB-8D08-43575F2E4A00}"/>
                </c:ext>
              </c:extLst>
            </c:dLbl>
            <c:dLbl>
              <c:idx val="2"/>
              <c:layout>
                <c:manualLayout>
                  <c:x val="-0.14114326040931546"/>
                  <c:y val="-8.23287268450456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263-4BCB-8D08-43575F2E4A00}"/>
                </c:ext>
              </c:extLst>
            </c:dLbl>
            <c:dLbl>
              <c:idx val="3"/>
              <c:layout>
                <c:manualLayout>
                  <c:x val="-0.12008555555555556"/>
                  <c:y val="-0.1234722222222222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263-4BCB-8D08-43575F2E4A00}"/>
                </c:ext>
              </c:extLst>
            </c:dLbl>
            <c:spPr>
              <a:noFill/>
              <a:ln>
                <a:noFill/>
              </a:ln>
              <a:effectLst/>
            </c:spPr>
            <c:txPr>
              <a:bodyPr wrap="square" lIns="38100" tIns="19050" rIns="38100" bIns="19050" anchor="ctr">
                <a:spAutoFit/>
              </a:bodyPr>
              <a:lstStyle/>
              <a:p>
                <a:pPr>
                  <a:defRPr sz="900" b="1">
                    <a:solidFill>
                      <a:schemeClr val="tx2">
                        <a:lumMod val="50000"/>
                      </a:schemeClr>
                    </a:solidFill>
                    <a:latin typeface="Times New Roman" panose="02020603050405020304" pitchFamily="18" charset="0"/>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ext>
            </c:extLst>
          </c:dLbls>
          <c:cat>
            <c:numRef>
              <c:f>MEX_3!$A$2:$A$5</c:f>
              <c:numCache>
                <c:formatCode>0</c:formatCode>
                <c:ptCount val="4"/>
                <c:pt idx="0">
                  <c:v>2019</c:v>
                </c:pt>
                <c:pt idx="1">
                  <c:v>2020</c:v>
                </c:pt>
                <c:pt idx="2">
                  <c:v>2021</c:v>
                </c:pt>
                <c:pt idx="3">
                  <c:v>2022</c:v>
                </c:pt>
              </c:numCache>
            </c:numRef>
          </c:cat>
          <c:val>
            <c:numRef>
              <c:f>MEX_3!$B$2:$B$5</c:f>
              <c:numCache>
                <c:formatCode>_-* #,##0.0_-;\-* #,##0.0_-;_-* "-"??_-;_-@_-</c:formatCode>
                <c:ptCount val="4"/>
                <c:pt idx="0">
                  <c:v>53.337000000000003</c:v>
                </c:pt>
                <c:pt idx="1">
                  <c:v>60.149000000000001</c:v>
                </c:pt>
                <c:pt idx="2">
                  <c:v>58.671999999999997</c:v>
                </c:pt>
                <c:pt idx="3">
                  <c:v>56.029000000000003</c:v>
                </c:pt>
              </c:numCache>
            </c:numRef>
          </c:val>
          <c:smooth val="0"/>
          <c:extLst>
            <c:ext xmlns:c16="http://schemas.microsoft.com/office/drawing/2014/chart" uri="{C3380CC4-5D6E-409C-BE32-E72D297353CC}">
              <c16:uniqueId val="{00000003-7263-4BCB-8D08-43575F2E4A00}"/>
            </c:ext>
          </c:extLst>
        </c:ser>
        <c:dLbls>
          <c:showLegendKey val="0"/>
          <c:showVal val="0"/>
          <c:showCatName val="0"/>
          <c:showSerName val="0"/>
          <c:showPercent val="0"/>
          <c:showBubbleSize val="0"/>
        </c:dLbls>
        <c:marker val="1"/>
        <c:smooth val="0"/>
        <c:axId val="1722871952"/>
        <c:axId val="1722862384"/>
      </c:lineChart>
      <c:lineChart>
        <c:grouping val="standard"/>
        <c:varyColors val="0"/>
        <c:ser>
          <c:idx val="1"/>
          <c:order val="1"/>
          <c:tx>
            <c:strRef>
              <c:f>MEX_3!$C$1</c:f>
              <c:strCache>
                <c:ptCount val="1"/>
                <c:pt idx="0">
                  <c:v>Déficit</c:v>
                </c:pt>
              </c:strCache>
            </c:strRef>
          </c:tx>
          <c:spPr>
            <a:ln w="22225">
              <a:solidFill>
                <a:schemeClr val="accent1"/>
              </a:solidFill>
            </a:ln>
          </c:spPr>
          <c:marker>
            <c:symbol val="none"/>
          </c:marker>
          <c:dLbls>
            <c:dLbl>
              <c:idx val="0"/>
              <c:layout>
                <c:manualLayout>
                  <c:x val="-7.7523165386822288E-2"/>
                  <c:y val="5.29166666666666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263-4BCB-8D08-43575F2E4A00}"/>
                </c:ext>
              </c:extLst>
            </c:dLbl>
            <c:dLbl>
              <c:idx val="2"/>
              <c:layout>
                <c:manualLayout>
                  <c:x val="-9.1743119266055051E-2"/>
                  <c:y val="6.46868568068215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263-4BCB-8D08-43575F2E4A00}"/>
                </c:ext>
              </c:extLst>
            </c:dLbl>
            <c:dLbl>
              <c:idx val="3"/>
              <c:layout>
                <c:manualLayout>
                  <c:x val="-0.10628186406374093"/>
                  <c:y val="-9.40740740740740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263-4BCB-8D08-43575F2E4A00}"/>
                </c:ext>
              </c:extLst>
            </c:dLbl>
            <c:spPr>
              <a:noFill/>
              <a:ln>
                <a:noFill/>
              </a:ln>
              <a:effectLst/>
            </c:spPr>
            <c:txPr>
              <a:bodyPr wrap="square" lIns="38100" tIns="19050" rIns="38100" bIns="19050" anchor="ctr">
                <a:spAutoFit/>
              </a:bodyPr>
              <a:lstStyle/>
              <a:p>
                <a:pPr>
                  <a:defRPr sz="900" b="1">
                    <a:solidFill>
                      <a:schemeClr val="accent1"/>
                    </a:solidFill>
                    <a:latin typeface="Times New Roman" panose="02020603050405020304" pitchFamily="18" charset="0"/>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ext>
            </c:extLst>
          </c:dLbls>
          <c:cat>
            <c:numRef>
              <c:f>MEX_3!$A$2:$A$5</c:f>
              <c:numCache>
                <c:formatCode>0</c:formatCode>
                <c:ptCount val="4"/>
                <c:pt idx="0">
                  <c:v>2019</c:v>
                </c:pt>
                <c:pt idx="1">
                  <c:v>2020</c:v>
                </c:pt>
                <c:pt idx="2">
                  <c:v>2021</c:v>
                </c:pt>
                <c:pt idx="3">
                  <c:v>2022</c:v>
                </c:pt>
              </c:numCache>
            </c:numRef>
          </c:cat>
          <c:val>
            <c:numRef>
              <c:f>MEX_3!$C$2:$C$5</c:f>
              <c:numCache>
                <c:formatCode>_-* #,##0.0_-;\-* #,##0.0_-;_-* "-"??_-;_-@_-</c:formatCode>
                <c:ptCount val="4"/>
                <c:pt idx="0">
                  <c:v>2.3290000000000002</c:v>
                </c:pt>
                <c:pt idx="1">
                  <c:v>4.4130000000000003</c:v>
                </c:pt>
                <c:pt idx="2">
                  <c:v>3.875</c:v>
                </c:pt>
                <c:pt idx="3">
                  <c:v>4.43</c:v>
                </c:pt>
              </c:numCache>
            </c:numRef>
          </c:val>
          <c:smooth val="0"/>
          <c:extLst>
            <c:ext xmlns:c16="http://schemas.microsoft.com/office/drawing/2014/chart" uri="{C3380CC4-5D6E-409C-BE32-E72D297353CC}">
              <c16:uniqueId val="{00000007-7263-4BCB-8D08-43575F2E4A00}"/>
            </c:ext>
          </c:extLst>
        </c:ser>
        <c:dLbls>
          <c:showLegendKey val="0"/>
          <c:showVal val="0"/>
          <c:showCatName val="0"/>
          <c:showSerName val="0"/>
          <c:showPercent val="0"/>
          <c:showBubbleSize val="0"/>
        </c:dLbls>
        <c:marker val="1"/>
        <c:smooth val="0"/>
        <c:axId val="582856767"/>
        <c:axId val="582848447"/>
      </c:lineChart>
      <c:catAx>
        <c:axId val="1722871952"/>
        <c:scaling>
          <c:orientation val="minMax"/>
        </c:scaling>
        <c:delete val="0"/>
        <c:axPos val="b"/>
        <c:numFmt formatCode="0" sourceLinked="1"/>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722862384"/>
        <c:crosses val="autoZero"/>
        <c:auto val="1"/>
        <c:lblAlgn val="ctr"/>
        <c:lblOffset val="100"/>
        <c:noMultiLvlLbl val="0"/>
      </c:catAx>
      <c:valAx>
        <c:axId val="1722862384"/>
        <c:scaling>
          <c:orientation val="minMax"/>
        </c:scaling>
        <c:delete val="0"/>
        <c:axPos val="l"/>
        <c:title>
          <c:tx>
            <c:rich>
              <a:bodyPr/>
              <a:lstStyle/>
              <a:p>
                <a:pPr>
                  <a:defRPr sz="600" b="0">
                    <a:solidFill>
                      <a:schemeClr val="tx1">
                        <a:lumMod val="65000"/>
                        <a:lumOff val="35000"/>
                      </a:schemeClr>
                    </a:solidFill>
                    <a:latin typeface="Times New Roman" panose="02020603050405020304" pitchFamily="18" charset="0"/>
                    <a:cs typeface="Times New Roman" panose="02020603050405020304" pitchFamily="18" charset="0"/>
                  </a:defRPr>
                </a:pPr>
                <a:r>
                  <a:rPr lang="es-GT" sz="600" b="0">
                    <a:solidFill>
                      <a:schemeClr val="tx1">
                        <a:lumMod val="65000"/>
                        <a:lumOff val="35000"/>
                      </a:schemeClr>
                    </a:solidFill>
                    <a:latin typeface="Times New Roman" panose="02020603050405020304" pitchFamily="18" charset="0"/>
                    <a:cs typeface="Times New Roman" panose="02020603050405020304" pitchFamily="18" charset="0"/>
                  </a:rPr>
                  <a:t>Deuda</a:t>
                </a:r>
                <a:r>
                  <a:rPr lang="es-GT" sz="600" b="0" baseline="0">
                    <a:solidFill>
                      <a:schemeClr val="tx1">
                        <a:lumMod val="65000"/>
                        <a:lumOff val="35000"/>
                      </a:schemeClr>
                    </a:solidFill>
                    <a:latin typeface="Times New Roman" panose="02020603050405020304" pitchFamily="18" charset="0"/>
                    <a:cs typeface="Times New Roman" panose="02020603050405020304" pitchFamily="18" charset="0"/>
                  </a:rPr>
                  <a:t> Pública</a:t>
                </a:r>
                <a:endParaRPr lang="es-GT" sz="600" b="0">
                  <a:solidFill>
                    <a:schemeClr val="tx1">
                      <a:lumMod val="65000"/>
                      <a:lumOff val="35000"/>
                    </a:schemeClr>
                  </a:solidFill>
                  <a:latin typeface="Times New Roman" panose="02020603050405020304" pitchFamily="18" charset="0"/>
                  <a:cs typeface="Times New Roman" panose="02020603050405020304" pitchFamily="18" charset="0"/>
                </a:endParaRPr>
              </a:p>
            </c:rich>
          </c:tx>
          <c:layout>
            <c:manualLayout>
              <c:xMode val="edge"/>
              <c:yMode val="edge"/>
              <c:x val="3.0412482843314272E-3"/>
              <c:y val="0.38515443581901565"/>
            </c:manualLayout>
          </c:layout>
          <c:overlay val="0"/>
          <c:spPr>
            <a:ln>
              <a:noFill/>
            </a:ln>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722871952"/>
        <c:crosses val="autoZero"/>
        <c:crossBetween val="between"/>
      </c:valAx>
      <c:valAx>
        <c:axId val="582848447"/>
        <c:scaling>
          <c:orientation val="minMax"/>
          <c:max val="15"/>
        </c:scaling>
        <c:delete val="0"/>
        <c:axPos val="r"/>
        <c:title>
          <c:tx>
            <c:rich>
              <a:bodyPr rot="5400000" vert="horz"/>
              <a:lstStyle/>
              <a:p>
                <a:pPr>
                  <a:defRPr sz="600" b="0">
                    <a:solidFill>
                      <a:schemeClr val="tx1">
                        <a:lumMod val="65000"/>
                        <a:lumOff val="35000"/>
                      </a:schemeClr>
                    </a:solidFill>
                    <a:latin typeface="Times New Roman" panose="02020603050405020304" pitchFamily="18" charset="0"/>
                    <a:cs typeface="Times New Roman" panose="02020603050405020304" pitchFamily="18" charset="0"/>
                  </a:defRPr>
                </a:pPr>
                <a:r>
                  <a:rPr lang="es-GT" sz="600" b="0">
                    <a:solidFill>
                      <a:schemeClr val="tx1">
                        <a:lumMod val="65000"/>
                        <a:lumOff val="35000"/>
                      </a:schemeClr>
                    </a:solidFill>
                    <a:latin typeface="Times New Roman" panose="02020603050405020304" pitchFamily="18" charset="0"/>
                    <a:cs typeface="Times New Roman" panose="02020603050405020304" pitchFamily="18" charset="0"/>
                  </a:rPr>
                  <a:t>Déficit fiscal</a:t>
                </a:r>
              </a:p>
            </c:rich>
          </c:tx>
          <c:layout>
            <c:manualLayout>
              <c:xMode val="edge"/>
              <c:yMode val="edge"/>
              <c:x val="0.923619824515584"/>
              <c:y val="0.40281112317590706"/>
            </c:manualLayout>
          </c:layout>
          <c:overlay val="0"/>
        </c:title>
        <c:numFmt formatCode="#,##0" sourceLinked="0"/>
        <c:majorTickMark val="none"/>
        <c:minorTickMark val="none"/>
        <c:tickLblPos val="nextTo"/>
        <c:spPr>
          <a:ln>
            <a:noFill/>
          </a:ln>
        </c:spPr>
        <c:txPr>
          <a:bodyPr/>
          <a:lstStyle/>
          <a:p>
            <a:pPr>
              <a:defRPr sz="600">
                <a:latin typeface="Times New Roman" panose="02020603050405020304" pitchFamily="18" charset="0"/>
                <a:cs typeface="Times New Roman" panose="02020603050405020304" pitchFamily="18" charset="0"/>
              </a:defRPr>
            </a:pPr>
            <a:endParaRPr lang="es-GT"/>
          </a:p>
        </c:txPr>
        <c:crossAx val="582856767"/>
        <c:crosses val="max"/>
        <c:crossBetween val="between"/>
      </c:valAx>
      <c:catAx>
        <c:axId val="582856767"/>
        <c:scaling>
          <c:orientation val="minMax"/>
        </c:scaling>
        <c:delete val="1"/>
        <c:axPos val="b"/>
        <c:numFmt formatCode="0" sourceLinked="1"/>
        <c:majorTickMark val="out"/>
        <c:minorTickMark val="none"/>
        <c:tickLblPos val="nextTo"/>
        <c:crossAx val="582848447"/>
        <c:crosses val="autoZero"/>
        <c:auto val="1"/>
        <c:lblAlgn val="ctr"/>
        <c:lblOffset val="100"/>
        <c:noMultiLvlLbl val="0"/>
      </c:catAx>
    </c:plotArea>
    <c:legend>
      <c:legendPos val="b"/>
      <c:layout>
        <c:manualLayout>
          <c:xMode val="edge"/>
          <c:yMode val="edge"/>
          <c:x val="0.13741661180784598"/>
          <c:y val="1.4361111111111111E-3"/>
          <c:w val="0.7359812203558278"/>
          <c:h val="0.14475795723716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c:chart>
  <c:spPr>
    <a:ln>
      <a:noFill/>
    </a:ln>
  </c:spPr>
  <c:txPr>
    <a:bodyPr/>
    <a:lstStyle/>
    <a:p>
      <a:pPr>
        <a:defRPr/>
      </a:pPr>
      <a:endParaRPr lang="es-GT"/>
    </a:p>
  </c:txPr>
  <c:externalData r:id="rId1">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780378643145832E-3"/>
          <c:y val="5.0278705995847682E-2"/>
          <c:w val="0.96872676629707"/>
          <c:h val="0.8872213842197314"/>
        </c:manualLayout>
      </c:layout>
      <c:ofPieChart>
        <c:ofPieType val="pie"/>
        <c:varyColors val="1"/>
        <c:ser>
          <c:idx val="0"/>
          <c:order val="0"/>
          <c:tx>
            <c:strRef>
              <c:f>Hoja1!$B$1</c:f>
              <c:strCache>
                <c:ptCount val="1"/>
                <c:pt idx="0">
                  <c:v>Colocaciones</c:v>
                </c:pt>
              </c:strCache>
            </c:strRef>
          </c:tx>
          <c:spPr>
            <a:effectLst>
              <a:outerShdw blurRad="50800" dist="38100" algn="l" rotWithShape="0">
                <a:prstClr val="black">
                  <a:alpha val="40000"/>
                </a:prstClr>
              </a:outerShdw>
            </a:effectLst>
          </c:spPr>
          <c:dPt>
            <c:idx val="0"/>
            <c:bubble3D val="0"/>
            <c:spPr>
              <a:solidFill>
                <a:schemeClr val="accent1"/>
              </a:solidFill>
              <a:ln w="19050">
                <a:solidFill>
                  <a:schemeClr val="lt1"/>
                </a:solidFill>
              </a:ln>
              <a:effectLst>
                <a:outerShdw blurRad="50800" dist="38100" algn="l" rotWithShape="0">
                  <a:prstClr val="black">
                    <a:alpha val="40000"/>
                  </a:prstClr>
                </a:outerShdw>
              </a:effectLst>
            </c:spPr>
            <c:extLst>
              <c:ext xmlns:c16="http://schemas.microsoft.com/office/drawing/2014/chart" uri="{C3380CC4-5D6E-409C-BE32-E72D297353CC}">
                <c16:uniqueId val="{00000001-620B-4935-9207-AE527FB01B92}"/>
              </c:ext>
            </c:extLst>
          </c:dPt>
          <c:dPt>
            <c:idx val="1"/>
            <c:bubble3D val="0"/>
            <c:spPr>
              <a:solidFill>
                <a:schemeClr val="accent2"/>
              </a:solidFill>
              <a:ln w="19050">
                <a:solidFill>
                  <a:schemeClr val="lt1"/>
                </a:solidFill>
              </a:ln>
              <a:effectLst>
                <a:outerShdw blurRad="50800" dist="38100" algn="l" rotWithShape="0">
                  <a:prstClr val="black">
                    <a:alpha val="40000"/>
                  </a:prstClr>
                </a:outerShdw>
              </a:effectLst>
            </c:spPr>
            <c:extLst>
              <c:ext xmlns:c16="http://schemas.microsoft.com/office/drawing/2014/chart" uri="{C3380CC4-5D6E-409C-BE32-E72D297353CC}">
                <c16:uniqueId val="{00000003-620B-4935-9207-AE527FB01B92}"/>
              </c:ext>
            </c:extLst>
          </c:dPt>
          <c:dPt>
            <c:idx val="2"/>
            <c:bubble3D val="0"/>
            <c:spPr>
              <a:solidFill>
                <a:schemeClr val="accent6"/>
              </a:solidFill>
              <a:ln w="19050">
                <a:solidFill>
                  <a:schemeClr val="lt1"/>
                </a:solidFill>
              </a:ln>
              <a:effectLst>
                <a:outerShdw blurRad="50800" dist="38100" algn="l" rotWithShape="0">
                  <a:prstClr val="black">
                    <a:alpha val="40000"/>
                  </a:prstClr>
                </a:outerShdw>
              </a:effectLst>
            </c:spPr>
            <c:extLst>
              <c:ext xmlns:c16="http://schemas.microsoft.com/office/drawing/2014/chart" uri="{C3380CC4-5D6E-409C-BE32-E72D297353CC}">
                <c16:uniqueId val="{00000005-620B-4935-9207-AE527FB01B92}"/>
              </c:ext>
            </c:extLst>
          </c:dPt>
          <c:dPt>
            <c:idx val="3"/>
            <c:bubble3D val="0"/>
            <c:spPr>
              <a:solidFill>
                <a:schemeClr val="accent4"/>
              </a:solidFill>
              <a:ln w="19050">
                <a:solidFill>
                  <a:schemeClr val="lt1"/>
                </a:solidFill>
              </a:ln>
              <a:effectLst>
                <a:outerShdw blurRad="50800" dist="38100" algn="l" rotWithShape="0">
                  <a:prstClr val="black">
                    <a:alpha val="40000"/>
                  </a:prstClr>
                </a:outerShdw>
              </a:effectLst>
            </c:spPr>
            <c:extLst>
              <c:ext xmlns:c16="http://schemas.microsoft.com/office/drawing/2014/chart" uri="{C3380CC4-5D6E-409C-BE32-E72D297353CC}">
                <c16:uniqueId val="{00000007-620B-4935-9207-AE527FB01B92}"/>
              </c:ext>
            </c:extLst>
          </c:dPt>
          <c:dPt>
            <c:idx val="4"/>
            <c:bubble3D val="0"/>
            <c:spPr>
              <a:solidFill>
                <a:schemeClr val="accent5"/>
              </a:solidFill>
              <a:ln w="19050">
                <a:solidFill>
                  <a:schemeClr val="lt1"/>
                </a:solidFill>
              </a:ln>
              <a:effectLst>
                <a:outerShdw blurRad="50800" dist="38100" algn="l" rotWithShape="0">
                  <a:prstClr val="black">
                    <a:alpha val="40000"/>
                  </a:prstClr>
                </a:outerShdw>
              </a:effectLst>
            </c:spPr>
            <c:extLst>
              <c:ext xmlns:c16="http://schemas.microsoft.com/office/drawing/2014/chart" uri="{C3380CC4-5D6E-409C-BE32-E72D297353CC}">
                <c16:uniqueId val="{00000009-620B-4935-9207-AE527FB01B92}"/>
              </c:ext>
            </c:extLst>
          </c:dPt>
          <c:dLbls>
            <c:dLbl>
              <c:idx val="0"/>
              <c:layout>
                <c:manualLayout>
                  <c:x val="6.9664868280353828E-2"/>
                  <c:y val="-7.9858957024311356E-3"/>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1"/>
              <c:showSerName val="0"/>
              <c:showPercent val="0"/>
              <c:showBubbleSize val="0"/>
              <c:extLst>
                <c:ext xmlns:c15="http://schemas.microsoft.com/office/drawing/2012/chart" uri="{CE6537A1-D6FC-4f65-9D91-7224C49458BB}">
                  <c15:layout>
                    <c:manualLayout>
                      <c:w val="0.22675736961451251"/>
                      <c:h val="0.25013772911749915"/>
                    </c:manualLayout>
                  </c15:layout>
                </c:ext>
                <c:ext xmlns:c16="http://schemas.microsoft.com/office/drawing/2014/chart" uri="{C3380CC4-5D6E-409C-BE32-E72D297353CC}">
                  <c16:uniqueId val="{00000001-620B-4935-9207-AE527FB01B92}"/>
                </c:ext>
              </c:extLst>
            </c:dLbl>
            <c:dLbl>
              <c:idx val="2"/>
              <c:layout>
                <c:manualLayout>
                  <c:x val="4.2543744531933506E-2"/>
                  <c:y val="0.1818181818181818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1"/>
              <c:showSerName val="0"/>
              <c:showPercent val="0"/>
              <c:showBubbleSize val="0"/>
              <c:extLst>
                <c:ext xmlns:c15="http://schemas.microsoft.com/office/drawing/2012/chart" uri="{CE6537A1-D6FC-4f65-9D91-7224C49458BB}">
                  <c15:layout>
                    <c:manualLayout>
                      <c:w val="0.31216931216931215"/>
                      <c:h val="0.34524900702719219"/>
                    </c:manualLayout>
                  </c15:layout>
                </c:ext>
                <c:ext xmlns:c16="http://schemas.microsoft.com/office/drawing/2014/chart" uri="{C3380CC4-5D6E-409C-BE32-E72D297353CC}">
                  <c16:uniqueId val="{00000005-620B-4935-9207-AE527FB01B92}"/>
                </c:ext>
              </c:extLst>
            </c:dLbl>
            <c:dLbl>
              <c:idx val="4"/>
              <c:layout>
                <c:manualLayout>
                  <c:x val="-0.1911106250607563"/>
                  <c:y val="1.8755004109334755E-2"/>
                </c:manualLayout>
              </c:layout>
              <c:tx>
                <c:rich>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Times New Roman" panose="02020603050405020304" pitchFamily="18" charset="0"/>
                        <a:ea typeface="+mn-ea"/>
                        <a:cs typeface="Times New Roman" panose="02020603050405020304" pitchFamily="18" charset="0"/>
                      </a:defRPr>
                    </a:pPr>
                    <a:r>
                      <a:rPr lang="en-US" sz="1000" baseline="0">
                        <a:solidFill>
                          <a:schemeClr val="bg1"/>
                        </a:solidFill>
                      </a:rPr>
                      <a:t>Colocado; </a:t>
                    </a:r>
                    <a:fld id="{903A356C-5FF1-44B0-9301-E0B4D2C8B09F}" type="VALUE">
                      <a:rPr lang="en-US" sz="1000" baseline="0">
                        <a:solidFill>
                          <a:schemeClr val="bg1"/>
                        </a:solidFill>
                      </a:rPr>
                      <a:pPr>
                        <a:defRPr sz="1000" b="1">
                          <a:solidFill>
                            <a:schemeClr val="bg1"/>
                          </a:solidFill>
                          <a:latin typeface="Times New Roman" panose="02020603050405020304" pitchFamily="18" charset="0"/>
                          <a:cs typeface="Times New Roman" panose="02020603050405020304" pitchFamily="18" charset="0"/>
                        </a:defRPr>
                      </a:pPr>
                      <a:t>[VALOR]</a:t>
                    </a:fld>
                    <a:endParaRPr lang="en-US" sz="1000" baseline="0">
                      <a:solidFill>
                        <a:schemeClr val="bg1"/>
                      </a:solidFill>
                    </a:endParaRPr>
                  </a:p>
                </c:rich>
              </c:tx>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620B-4935-9207-AE527FB01B9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4"/>
                <c:pt idx="0">
                  <c:v>Por Colocar</c:v>
                </c:pt>
                <c:pt idx="1">
                  <c:v>Colocado</c:v>
                </c:pt>
                <c:pt idx="2">
                  <c:v>Nuevo Endeudamiento</c:v>
                </c:pt>
                <c:pt idx="3">
                  <c:v>Roll Over</c:v>
                </c:pt>
              </c:strCache>
            </c:strRef>
          </c:cat>
          <c:val>
            <c:numRef>
              <c:f>Hoja1!$B$2:$B$5</c:f>
              <c:numCache>
                <c:formatCode>General</c:formatCode>
                <c:ptCount val="4"/>
                <c:pt idx="0" formatCode="#,##0.00">
                  <c:v>7450.1320000000005</c:v>
                </c:pt>
                <c:pt idx="2" formatCode="#,##0.00">
                  <c:v>8275.098</c:v>
                </c:pt>
                <c:pt idx="3" formatCode="#,##0.00">
                  <c:v>482.15</c:v>
                </c:pt>
              </c:numCache>
            </c:numRef>
          </c:val>
          <c:extLst>
            <c:ext xmlns:c16="http://schemas.microsoft.com/office/drawing/2014/chart" uri="{C3380CC4-5D6E-409C-BE32-E72D297353CC}">
              <c16:uniqueId val="{0000000A-620B-4935-9207-AE527FB01B92}"/>
            </c:ext>
          </c:extLst>
        </c:ser>
        <c:dLbls>
          <c:showLegendKey val="0"/>
          <c:showVal val="0"/>
          <c:showCatName val="0"/>
          <c:showSerName val="0"/>
          <c:showPercent val="0"/>
          <c:showBubbleSize val="0"/>
          <c:showLeaderLines val="1"/>
        </c:dLbls>
        <c:gapWidth val="54"/>
        <c:secondPieSize val="75"/>
        <c:serLines>
          <c:spPr>
            <a:ln w="9525" cap="flat" cmpd="sng" algn="ctr">
              <a:solidFill>
                <a:schemeClr val="tx1">
                  <a:lumMod val="35000"/>
                  <a:lumOff val="65000"/>
                </a:schemeClr>
              </a:solidFill>
              <a:round/>
            </a:ln>
            <a:effectLst/>
          </c:spPr>
        </c:serLines>
      </c:of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Rendimiento MN</c:v>
                </c:pt>
              </c:strCache>
            </c:strRef>
          </c:tx>
          <c:spPr>
            <a:solidFill>
              <a:schemeClr val="accent1">
                <a:lumMod val="50000"/>
              </a:schemeClr>
            </a:solidFill>
            <a:ln>
              <a:solidFill>
                <a:schemeClr val="tx1"/>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1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Hoja1!$A$2:$A$15</c:f>
              <c:strCach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strCache>
            </c:strRef>
          </c:cat>
          <c:val>
            <c:numRef>
              <c:f>Hoja1!$B$2:$B$15</c:f>
              <c:numCache>
                <c:formatCode>0.0%</c:formatCode>
                <c:ptCount val="14"/>
                <c:pt idx="0">
                  <c:v>8.5999999999999993E-2</c:v>
                </c:pt>
                <c:pt idx="1">
                  <c:v>9.0999999999999998E-2</c:v>
                </c:pt>
                <c:pt idx="2">
                  <c:v>8.5000000000000006E-2</c:v>
                </c:pt>
                <c:pt idx="3">
                  <c:v>9.0999999999999998E-2</c:v>
                </c:pt>
                <c:pt idx="4">
                  <c:v>7.3999999999999996E-2</c:v>
                </c:pt>
                <c:pt idx="5">
                  <c:v>7.4999999999999997E-2</c:v>
                </c:pt>
                <c:pt idx="6">
                  <c:v>6.83E-2</c:v>
                </c:pt>
                <c:pt idx="7">
                  <c:v>6.8926308257704724E-2</c:v>
                </c:pt>
                <c:pt idx="8">
                  <c:v>6.5000000000000002E-2</c:v>
                </c:pt>
                <c:pt idx="9">
                  <c:v>6.6548999999999997E-2</c:v>
                </c:pt>
                <c:pt idx="10">
                  <c:v>5.0715530576102168E-2</c:v>
                </c:pt>
                <c:pt idx="11">
                  <c:v>5.0964761941537089E-2</c:v>
                </c:pt>
                <c:pt idx="12">
                  <c:v>5.9907298314818933E-2</c:v>
                </c:pt>
                <c:pt idx="13">
                  <c:v>7.2092843539727683E-2</c:v>
                </c:pt>
              </c:numCache>
            </c:numRef>
          </c:val>
          <c:extLst>
            <c:ext xmlns:c16="http://schemas.microsoft.com/office/drawing/2014/chart" uri="{C3380CC4-5D6E-409C-BE32-E72D297353CC}">
              <c16:uniqueId val="{00000000-0BCE-430F-A7C6-1DC3D0C4A73C}"/>
            </c:ext>
          </c:extLst>
        </c:ser>
        <c:dLbls>
          <c:showLegendKey val="0"/>
          <c:showVal val="0"/>
          <c:showCatName val="0"/>
          <c:showSerName val="0"/>
          <c:showPercent val="0"/>
          <c:showBubbleSize val="0"/>
        </c:dLbls>
        <c:gapWidth val="50"/>
        <c:overlap val="3"/>
        <c:axId val="1916564480"/>
        <c:axId val="1916579456"/>
      </c:barChart>
      <c:lineChart>
        <c:grouping val="stacked"/>
        <c:varyColors val="0"/>
        <c:ser>
          <c:idx val="1"/>
          <c:order val="1"/>
          <c:tx>
            <c:strRef>
              <c:f>Hoja1!$C$1</c:f>
              <c:strCache>
                <c:ptCount val="1"/>
                <c:pt idx="0">
                  <c:v>Plazo promedio MN</c:v>
                </c:pt>
              </c:strCache>
            </c:strRef>
          </c:tx>
          <c:spPr>
            <a:ln w="28575" cap="rnd">
              <a:solidFill>
                <a:schemeClr val="accent2"/>
              </a:solidFill>
              <a:round/>
            </a:ln>
            <a:effectLst/>
          </c:spPr>
          <c:marker>
            <c:symbol val="circle"/>
            <c:size val="7"/>
            <c:spPr>
              <a:solidFill>
                <a:srgbClr val="FF0000"/>
              </a:solidFill>
              <a:ln w="9525">
                <a:solidFill>
                  <a:schemeClr val="tx1"/>
                </a:solidFill>
              </a:ln>
              <a:effectLst/>
            </c:spPr>
          </c:marker>
          <c:dLbls>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extLst>
                <c:ext xmlns:c16="http://schemas.microsoft.com/office/drawing/2014/chart" uri="{C3380CC4-5D6E-409C-BE32-E72D297353CC}">
                  <c16:uniqueId val="{00000001-0BCE-430F-A7C6-1DC3D0C4A73C}"/>
                </c:ext>
              </c:extLst>
            </c:dLbl>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extLst>
                <c:ext xmlns:c16="http://schemas.microsoft.com/office/drawing/2014/chart" uri="{C3380CC4-5D6E-409C-BE32-E72D297353CC}">
                  <c16:uniqueId val="{00000002-0BCE-430F-A7C6-1DC3D0C4A73C}"/>
                </c:ext>
              </c:extLst>
            </c:dLbl>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extLst>
                <c:ext xmlns:c16="http://schemas.microsoft.com/office/drawing/2014/chart" uri="{C3380CC4-5D6E-409C-BE32-E72D297353CC}">
                  <c16:uniqueId val="{00000003-0BCE-430F-A7C6-1DC3D0C4A73C}"/>
                </c:ext>
              </c:extLst>
            </c:dLbl>
            <c:dLbl>
              <c:idx val="3"/>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extLst>
                <c:ext xmlns:c16="http://schemas.microsoft.com/office/drawing/2014/chart" uri="{C3380CC4-5D6E-409C-BE32-E72D297353CC}">
                  <c16:uniqueId val="{00000004-0BCE-430F-A7C6-1DC3D0C4A73C}"/>
                </c:ext>
              </c:extLst>
            </c:dLbl>
            <c:dLbl>
              <c:idx val="4"/>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extLst>
                <c:ext xmlns:c16="http://schemas.microsoft.com/office/drawing/2014/chart" uri="{C3380CC4-5D6E-409C-BE32-E72D297353CC}">
                  <c16:uniqueId val="{00000005-0BCE-430F-A7C6-1DC3D0C4A73C}"/>
                </c:ext>
              </c:extLst>
            </c:dLbl>
            <c:dLbl>
              <c:idx val="5"/>
              <c:layout>
                <c:manualLayout>
                  <c:x val="-4.2534813356663752E-2"/>
                  <c:y val="5.487095363079615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BCE-430F-A7C6-1DC3D0C4A73C}"/>
                </c:ext>
              </c:extLst>
            </c:dLbl>
            <c:dLbl>
              <c:idx val="6"/>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extLst>
                <c:ext xmlns:c16="http://schemas.microsoft.com/office/drawing/2014/chart" uri="{C3380CC4-5D6E-409C-BE32-E72D297353CC}">
                  <c16:uniqueId val="{00000007-0BCE-430F-A7C6-1DC3D0C4A73C}"/>
                </c:ext>
              </c:extLst>
            </c:dLbl>
            <c:dLbl>
              <c:idx val="13"/>
              <c:layout>
                <c:manualLayout>
                  <c:x val="-4.0219998541848934E-2"/>
                  <c:y val="-6.41766654168229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BCE-430F-A7C6-1DC3D0C4A73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Hoja1!$A$2:$A$15</c:f>
              <c:strCach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strCache>
            </c:strRef>
          </c:cat>
          <c:val>
            <c:numRef>
              <c:f>Hoja1!$C$2:$C$15</c:f>
              <c:numCache>
                <c:formatCode>0.0</c:formatCode>
                <c:ptCount val="14"/>
                <c:pt idx="0">
                  <c:v>11.8</c:v>
                </c:pt>
                <c:pt idx="1">
                  <c:v>12.7</c:v>
                </c:pt>
                <c:pt idx="2">
                  <c:v>11.2</c:v>
                </c:pt>
                <c:pt idx="3">
                  <c:v>14.1</c:v>
                </c:pt>
                <c:pt idx="4">
                  <c:v>12.6</c:v>
                </c:pt>
                <c:pt idx="5">
                  <c:v>14.1</c:v>
                </c:pt>
                <c:pt idx="6">
                  <c:v>11.23</c:v>
                </c:pt>
                <c:pt idx="7">
                  <c:v>15.373917049070641</c:v>
                </c:pt>
                <c:pt idx="8">
                  <c:v>12.2</c:v>
                </c:pt>
                <c:pt idx="9">
                  <c:v>16.400006433582242</c:v>
                </c:pt>
                <c:pt idx="10">
                  <c:v>16.266137962547582</c:v>
                </c:pt>
                <c:pt idx="11">
                  <c:v>16.784401421615247</c:v>
                </c:pt>
                <c:pt idx="12">
                  <c:v>17.331485739617936</c:v>
                </c:pt>
                <c:pt idx="13">
                  <c:v>15.596660988324061</c:v>
                </c:pt>
              </c:numCache>
            </c:numRef>
          </c:val>
          <c:smooth val="1"/>
          <c:extLst>
            <c:ext xmlns:c16="http://schemas.microsoft.com/office/drawing/2014/chart" uri="{C3380CC4-5D6E-409C-BE32-E72D297353CC}">
              <c16:uniqueId val="{00000009-0BCE-430F-A7C6-1DC3D0C4A73C}"/>
            </c:ext>
          </c:extLst>
        </c:ser>
        <c:dLbls>
          <c:showLegendKey val="0"/>
          <c:showVal val="0"/>
          <c:showCatName val="0"/>
          <c:showSerName val="0"/>
          <c:showPercent val="0"/>
          <c:showBubbleSize val="0"/>
        </c:dLbls>
        <c:marker val="1"/>
        <c:smooth val="0"/>
        <c:axId val="1818554352"/>
        <c:axId val="1818555600"/>
      </c:lineChart>
      <c:catAx>
        <c:axId val="1916564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916579456"/>
        <c:crosses val="autoZero"/>
        <c:auto val="1"/>
        <c:lblAlgn val="ctr"/>
        <c:lblOffset val="100"/>
        <c:noMultiLvlLbl val="0"/>
      </c:catAx>
      <c:valAx>
        <c:axId val="1916579456"/>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916564480"/>
        <c:crosses val="autoZero"/>
        <c:crossBetween val="between"/>
      </c:valAx>
      <c:valAx>
        <c:axId val="1818555600"/>
        <c:scaling>
          <c:orientation val="minMax"/>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818554352"/>
        <c:crosses val="max"/>
        <c:crossBetween val="between"/>
      </c:valAx>
      <c:catAx>
        <c:axId val="1818554352"/>
        <c:scaling>
          <c:orientation val="minMax"/>
        </c:scaling>
        <c:delete val="1"/>
        <c:axPos val="b"/>
        <c:numFmt formatCode="General" sourceLinked="1"/>
        <c:majorTickMark val="out"/>
        <c:minorTickMark val="none"/>
        <c:tickLblPos val="nextTo"/>
        <c:crossAx val="181855560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572235535775419"/>
          <c:y val="3.4197115202741046E-2"/>
          <c:w val="0.89427764464224579"/>
          <c:h val="0.77941515031966235"/>
        </c:manualLayout>
      </c:layout>
      <c:barChart>
        <c:barDir val="col"/>
        <c:grouping val="stacked"/>
        <c:varyColors val="0"/>
        <c:ser>
          <c:idx val="0"/>
          <c:order val="0"/>
          <c:tx>
            <c:strRef>
              <c:f>Hoja1!$B$1</c:f>
              <c:strCache>
                <c:ptCount val="1"/>
                <c:pt idx="0">
                  <c:v>Recaudación</c:v>
                </c:pt>
              </c:strCache>
            </c:strRef>
          </c:tx>
          <c:spPr>
            <a:solidFill>
              <a:schemeClr val="accent1"/>
            </a:solidFill>
            <a:ln>
              <a:noFill/>
            </a:ln>
            <a:effectLst/>
          </c:spPr>
          <c:invertIfNegative val="0"/>
          <c:dLbls>
            <c:dLbl>
              <c:idx val="0"/>
              <c:layout>
                <c:manualLayout>
                  <c:x val="6.6334991708126038E-3"/>
                  <c:y val="-7.731065936149615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4AB-4378-BF95-F5C6E05061A4}"/>
                </c:ext>
              </c:extLst>
            </c:dLbl>
            <c:dLbl>
              <c:idx val="1"/>
              <c:layout>
                <c:manualLayout>
                  <c:x val="2.717391304347826E-3"/>
                  <c:y val="-0.1176192329570970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4AB-4378-BF95-F5C6E05061A4}"/>
                </c:ext>
              </c:extLst>
            </c:dLbl>
            <c:dLbl>
              <c:idx val="2"/>
              <c:layout>
                <c:manualLayout>
                  <c:x val="5.114900718931773E-3"/>
                  <c:y val="-0.230653772841132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4AB-4378-BF95-F5C6E05061A4}"/>
                </c:ext>
              </c:extLst>
            </c:dLbl>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Hoja1!$A$2:$A$4</c:f>
              <c:strCache>
                <c:ptCount val="3"/>
                <c:pt idx="0">
                  <c:v>2022</c:v>
                </c:pt>
                <c:pt idx="1">
                  <c:v>Presupuesto 
vigente 2023</c:v>
                </c:pt>
                <c:pt idx="2">
                  <c:v>Cierre 
estimado 2023</c:v>
                </c:pt>
              </c:strCache>
            </c:strRef>
          </c:cat>
          <c:val>
            <c:numRef>
              <c:f>Hoja1!$B$2:$B$4</c:f>
              <c:numCache>
                <c:formatCode>#,##0.00</c:formatCode>
                <c:ptCount val="3"/>
                <c:pt idx="0">
                  <c:v>88579.042404840002</c:v>
                </c:pt>
                <c:pt idx="1">
                  <c:v>86247.629999999976</c:v>
                </c:pt>
                <c:pt idx="2">
                  <c:v>93407.628730538578</c:v>
                </c:pt>
              </c:numCache>
            </c:numRef>
          </c:val>
          <c:extLst>
            <c:ext xmlns:c16="http://schemas.microsoft.com/office/drawing/2014/chart" uri="{C3380CC4-5D6E-409C-BE32-E72D297353CC}">
              <c16:uniqueId val="{00000003-14AB-4378-BF95-F5C6E05061A4}"/>
            </c:ext>
          </c:extLst>
        </c:ser>
        <c:dLbls>
          <c:showLegendKey val="0"/>
          <c:showVal val="0"/>
          <c:showCatName val="0"/>
          <c:showSerName val="0"/>
          <c:showPercent val="0"/>
          <c:showBubbleSize val="0"/>
        </c:dLbls>
        <c:gapWidth val="20"/>
        <c:overlap val="100"/>
        <c:axId val="173108224"/>
        <c:axId val="211616512"/>
      </c:barChart>
      <c:catAx>
        <c:axId val="17310822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11616512"/>
        <c:crosses val="autoZero"/>
        <c:auto val="1"/>
        <c:lblAlgn val="ctr"/>
        <c:lblOffset val="100"/>
        <c:noMultiLvlLbl val="0"/>
      </c:catAx>
      <c:valAx>
        <c:axId val="211616512"/>
        <c:scaling>
          <c:orientation val="minMax"/>
          <c:min val="55000"/>
        </c:scaling>
        <c:delete val="0"/>
        <c:axPos val="l"/>
        <c:majorGridlines>
          <c:spPr>
            <a:ln w="9525" cap="flat" cmpd="sng" algn="ctr">
              <a:solidFill>
                <a:schemeClr val="dk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73108224"/>
        <c:crosses val="autoZero"/>
        <c:crossBetween val="between"/>
        <c:majorUnit val="4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681367996855578E-2"/>
          <c:y val="2.5369244832176018E-2"/>
          <c:w val="0.90014858263397268"/>
          <c:h val="0.90623707041711432"/>
        </c:manualLayout>
      </c:layout>
      <c:barChart>
        <c:barDir val="col"/>
        <c:grouping val="clustered"/>
        <c:varyColors val="0"/>
        <c:ser>
          <c:idx val="0"/>
          <c:order val="0"/>
          <c:tx>
            <c:strRef>
              <c:f>Hoja1!$B$1</c:f>
              <c:strCache>
                <c:ptCount val="1"/>
                <c:pt idx="0">
                  <c:v>Serie 1</c:v>
                </c:pt>
              </c:strCache>
            </c:strRef>
          </c:tx>
          <c:spPr>
            <a:solidFill>
              <a:schemeClr val="accent1"/>
            </a:solidFill>
            <a:ln>
              <a:solidFill>
                <a:schemeClr val="tx1"/>
              </a:solidFill>
            </a:ln>
            <a:effectLst>
              <a:innerShdw blurRad="63500" dist="50800" dir="16200000">
                <a:prstClr val="black">
                  <a:alpha val="50000"/>
                </a:prst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Hoja1!$A$2:$A$13</c:f>
              <c:numCache>
                <c:formatCode>0</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Hoja1!$B$2:$B$13</c:f>
              <c:numCache>
                <c:formatCode>0.0</c:formatCode>
                <c:ptCount val="12"/>
                <c:pt idx="0">
                  <c:v>2.4162115429175528</c:v>
                </c:pt>
                <c:pt idx="1">
                  <c:v>2.1638208169798929</c:v>
                </c:pt>
                <c:pt idx="2">
                  <c:v>1.9212819848170588</c:v>
                </c:pt>
                <c:pt idx="3">
                  <c:v>1.4720918688697777</c:v>
                </c:pt>
                <c:pt idx="4">
                  <c:v>1.1100889548462414</c:v>
                </c:pt>
                <c:pt idx="5">
                  <c:v>1.3841813369920184</c:v>
                </c:pt>
                <c:pt idx="6">
                  <c:v>1.8805255620287205</c:v>
                </c:pt>
                <c:pt idx="7">
                  <c:v>2.2360422335631998</c:v>
                </c:pt>
                <c:pt idx="8">
                  <c:v>4.9098327111815481</c:v>
                </c:pt>
                <c:pt idx="9">
                  <c:v>1.1675467056468234</c:v>
                </c:pt>
                <c:pt idx="10">
                  <c:v>1.7065259597849245</c:v>
                </c:pt>
                <c:pt idx="11">
                  <c:v>1.6961490791663771</c:v>
                </c:pt>
              </c:numCache>
            </c:numRef>
          </c:val>
          <c:extLst>
            <c:ext xmlns:c16="http://schemas.microsoft.com/office/drawing/2014/chart" uri="{C3380CC4-5D6E-409C-BE32-E72D297353CC}">
              <c16:uniqueId val="{00000000-A185-45C7-A1C2-579BD4C4E063}"/>
            </c:ext>
          </c:extLst>
        </c:ser>
        <c:dLbls>
          <c:showLegendKey val="0"/>
          <c:showVal val="0"/>
          <c:showCatName val="0"/>
          <c:showSerName val="0"/>
          <c:showPercent val="0"/>
          <c:showBubbleSize val="0"/>
        </c:dLbls>
        <c:gapWidth val="30"/>
        <c:axId val="711297599"/>
        <c:axId val="711306335"/>
      </c:barChart>
      <c:catAx>
        <c:axId val="711297599"/>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711306335"/>
        <c:crosses val="autoZero"/>
        <c:auto val="1"/>
        <c:lblAlgn val="ctr"/>
        <c:lblOffset val="100"/>
        <c:noMultiLvlLbl val="0"/>
      </c:catAx>
      <c:valAx>
        <c:axId val="711306335"/>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71129759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s-GT"/>
    </a:p>
  </c:txPr>
  <c:externalData r:id="rId3">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853958562643374E-2"/>
          <c:y val="5.0011366219595364E-2"/>
          <c:w val="0.88500031049667771"/>
          <c:h val="0.79089195934976808"/>
        </c:manualLayout>
      </c:layout>
      <c:barChart>
        <c:barDir val="col"/>
        <c:grouping val="stacked"/>
        <c:varyColors val="0"/>
        <c:ser>
          <c:idx val="0"/>
          <c:order val="0"/>
          <c:tx>
            <c:strRef>
              <c:f>Hoja1!$B$1</c:f>
              <c:strCache>
                <c:ptCount val="1"/>
                <c:pt idx="0">
                  <c:v>Tributarios</c:v>
                </c:pt>
              </c:strCache>
            </c:strRef>
          </c:tx>
          <c:spPr>
            <a:solidFill>
              <a:schemeClr val="accent1"/>
            </a:solidFill>
            <a:ln>
              <a:noFill/>
            </a:ln>
            <a:effectLst>
              <a:outerShdw blurRad="50800" dist="38100" dir="2700000" algn="tl" rotWithShape="0">
                <a:prstClr val="black">
                  <a:alpha val="40000"/>
                </a:prstClr>
              </a:outerShdw>
            </a:effectLst>
            <a:scene3d>
              <a:camera prst="orthographicFront"/>
              <a:lightRig rig="threePt" dir="t"/>
            </a:scene3d>
            <a:sp3d>
              <a:bevelT/>
            </a:sp3d>
          </c:spPr>
          <c:invertIfNegative val="0"/>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Hoja1!$A$2:$A$8</c:f>
              <c:numCache>
                <c:formatCode>General</c:formatCode>
                <c:ptCount val="7"/>
                <c:pt idx="0">
                  <c:v>2022</c:v>
                </c:pt>
                <c:pt idx="1">
                  <c:v>2023</c:v>
                </c:pt>
                <c:pt idx="2">
                  <c:v>2024</c:v>
                </c:pt>
                <c:pt idx="3">
                  <c:v>2025</c:v>
                </c:pt>
                <c:pt idx="4">
                  <c:v>2026</c:v>
                </c:pt>
                <c:pt idx="5">
                  <c:v>2027</c:v>
                </c:pt>
                <c:pt idx="6">
                  <c:v>2028</c:v>
                </c:pt>
              </c:numCache>
            </c:numRef>
          </c:cat>
          <c:val>
            <c:numRef>
              <c:f>Hoja1!$B$2:$B$8</c:f>
              <c:numCache>
                <c:formatCode>#,##0.0</c:formatCode>
                <c:ptCount val="7"/>
                <c:pt idx="0">
                  <c:v>88579.042404840002</c:v>
                </c:pt>
                <c:pt idx="1">
                  <c:v>93407.628730538578</c:v>
                </c:pt>
                <c:pt idx="2">
                  <c:v>98533.255575815259</c:v>
                </c:pt>
                <c:pt idx="3">
                  <c:v>105693.27510361516</c:v>
                </c:pt>
                <c:pt idx="4">
                  <c:v>113410.30123304296</c:v>
                </c:pt>
                <c:pt idx="5">
                  <c:v>121725.2877290851</c:v>
                </c:pt>
                <c:pt idx="6">
                  <c:v>130549.40107786295</c:v>
                </c:pt>
              </c:numCache>
            </c:numRef>
          </c:val>
          <c:extLst>
            <c:ext xmlns:c16="http://schemas.microsoft.com/office/drawing/2014/chart" uri="{C3380CC4-5D6E-409C-BE32-E72D297353CC}">
              <c16:uniqueId val="{00000000-DB89-45F1-88AC-2D428F609C80}"/>
            </c:ext>
          </c:extLst>
        </c:ser>
        <c:ser>
          <c:idx val="1"/>
          <c:order val="1"/>
          <c:tx>
            <c:strRef>
              <c:f>Hoja1!$C$1</c:f>
              <c:strCache>
                <c:ptCount val="1"/>
                <c:pt idx="0">
                  <c:v>No tributarios y capital</c:v>
                </c:pt>
              </c:strCache>
            </c:strRef>
          </c:tx>
          <c:spPr>
            <a:solidFill>
              <a:schemeClr val="accent2"/>
            </a:solidFill>
            <a:ln>
              <a:noFill/>
            </a:ln>
            <a:effectLst>
              <a:outerShdw blurRad="50800" dist="38100" dir="2700000" algn="tl" rotWithShape="0">
                <a:prstClr val="black">
                  <a:alpha val="40000"/>
                </a:prstClr>
              </a:outerShdw>
            </a:effectLst>
            <a:scene3d>
              <a:camera prst="orthographicFront"/>
              <a:lightRig rig="threePt" dir="t"/>
            </a:scene3d>
            <a:sp3d>
              <a:bevelT/>
            </a:sp3d>
          </c:spPr>
          <c:invertIfNegative val="0"/>
          <c:dLbls>
            <c:numFmt formatCode="#,##0.0" sourceLinked="0"/>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Hoja1!$A$2:$A$8</c:f>
              <c:numCache>
                <c:formatCode>General</c:formatCode>
                <c:ptCount val="7"/>
                <c:pt idx="0">
                  <c:v>2022</c:v>
                </c:pt>
                <c:pt idx="1">
                  <c:v>2023</c:v>
                </c:pt>
                <c:pt idx="2">
                  <c:v>2024</c:v>
                </c:pt>
                <c:pt idx="3">
                  <c:v>2025</c:v>
                </c:pt>
                <c:pt idx="4">
                  <c:v>2026</c:v>
                </c:pt>
                <c:pt idx="5">
                  <c:v>2027</c:v>
                </c:pt>
                <c:pt idx="6">
                  <c:v>2028</c:v>
                </c:pt>
              </c:numCache>
            </c:numRef>
          </c:cat>
          <c:val>
            <c:numRef>
              <c:f>Hoja1!$C$2:$C$8</c:f>
              <c:numCache>
                <c:formatCode>#,##0.0</c:formatCode>
                <c:ptCount val="7"/>
                <c:pt idx="0">
                  <c:v>4576.2154736300008</c:v>
                </c:pt>
                <c:pt idx="1">
                  <c:v>4757.7017340474213</c:v>
                </c:pt>
                <c:pt idx="2">
                  <c:v>4912.9099999999989</c:v>
                </c:pt>
                <c:pt idx="3">
                  <c:v>5041.0119999999997</c:v>
                </c:pt>
                <c:pt idx="4">
                  <c:v>5268.1230000000005</c:v>
                </c:pt>
                <c:pt idx="5">
                  <c:v>5429.2890000000007</c:v>
                </c:pt>
                <c:pt idx="6">
                  <c:v>5652.7060000000001</c:v>
                </c:pt>
              </c:numCache>
            </c:numRef>
          </c:val>
          <c:extLst>
            <c:ext xmlns:c16="http://schemas.microsoft.com/office/drawing/2014/chart" uri="{C3380CC4-5D6E-409C-BE32-E72D297353CC}">
              <c16:uniqueId val="{00000001-DB89-45F1-88AC-2D428F609C80}"/>
            </c:ext>
          </c:extLst>
        </c:ser>
        <c:dLbls>
          <c:showLegendKey val="0"/>
          <c:showVal val="0"/>
          <c:showCatName val="0"/>
          <c:showSerName val="0"/>
          <c:showPercent val="0"/>
          <c:showBubbleSize val="0"/>
        </c:dLbls>
        <c:gapWidth val="20"/>
        <c:overlap val="100"/>
        <c:axId val="458573536"/>
        <c:axId val="458574192"/>
      </c:barChart>
      <c:barChart>
        <c:barDir val="col"/>
        <c:grouping val="stacked"/>
        <c:varyColors val="0"/>
        <c:ser>
          <c:idx val="2"/>
          <c:order val="2"/>
          <c:tx>
            <c:strRef>
              <c:f>Hoja1!$D$1</c:f>
              <c:strCache>
                <c:ptCount val="1"/>
                <c:pt idx="0">
                  <c:v>Ingresos totales</c:v>
                </c:pt>
              </c:strCache>
            </c:strRef>
          </c:tx>
          <c:spPr>
            <a:noFill/>
            <a:ln>
              <a:noFill/>
            </a:ln>
            <a:effectLst/>
          </c:spPr>
          <c:invertIfNegative val="0"/>
          <c:dLbls>
            <c:dLbl>
              <c:idx val="0"/>
              <c:layout>
                <c:manualLayout>
                  <c:x val="2.2632114971144054E-3"/>
                  <c:y val="-0.3116846527396169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B89-45F1-88AC-2D428F609C80}"/>
                </c:ext>
              </c:extLst>
            </c:dLbl>
            <c:dLbl>
              <c:idx val="1"/>
              <c:layout>
                <c:manualLayout>
                  <c:x val="2.2632114971144054E-3"/>
                  <c:y val="-0.319992553783698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B89-45F1-88AC-2D428F609C80}"/>
                </c:ext>
              </c:extLst>
            </c:dLbl>
            <c:dLbl>
              <c:idx val="2"/>
              <c:layout>
                <c:manualLayout>
                  <c:x val="0"/>
                  <c:y val="-0.3228038584288125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B89-45F1-88AC-2D428F609C80}"/>
                </c:ext>
              </c:extLst>
            </c:dLbl>
            <c:dLbl>
              <c:idx val="3"/>
              <c:layout>
                <c:manualLayout>
                  <c:x val="0"/>
                  <c:y val="-0.3370723124260524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B89-45F1-88AC-2D428F609C80}"/>
                </c:ext>
              </c:extLst>
            </c:dLbl>
            <c:dLbl>
              <c:idx val="4"/>
              <c:layout>
                <c:manualLayout>
                  <c:x val="0"/>
                  <c:y val="-0.3592967621488777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B89-45F1-88AC-2D428F609C80}"/>
                </c:ext>
              </c:extLst>
            </c:dLbl>
            <c:dLbl>
              <c:idx val="5"/>
              <c:layout>
                <c:manualLayout>
                  <c:x val="2.2632114971144882E-3"/>
                  <c:y val="-0.3739199853939603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B89-45F1-88AC-2D428F609C80}"/>
                </c:ext>
              </c:extLst>
            </c:dLbl>
            <c:dLbl>
              <c:idx val="6"/>
              <c:layout>
                <c:manualLayout>
                  <c:x val="0"/>
                  <c:y val="-0.3947164083462060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B89-45F1-88AC-2D428F609C80}"/>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Hoja1!$A$2:$A$8</c:f>
              <c:numCache>
                <c:formatCode>General</c:formatCode>
                <c:ptCount val="7"/>
                <c:pt idx="0">
                  <c:v>2022</c:v>
                </c:pt>
                <c:pt idx="1">
                  <c:v>2023</c:v>
                </c:pt>
                <c:pt idx="2">
                  <c:v>2024</c:v>
                </c:pt>
                <c:pt idx="3">
                  <c:v>2025</c:v>
                </c:pt>
                <c:pt idx="4">
                  <c:v>2026</c:v>
                </c:pt>
                <c:pt idx="5">
                  <c:v>2027</c:v>
                </c:pt>
                <c:pt idx="6">
                  <c:v>2028</c:v>
                </c:pt>
              </c:numCache>
            </c:numRef>
          </c:cat>
          <c:val>
            <c:numRef>
              <c:f>Hoja1!$D$2:$D$8</c:f>
              <c:numCache>
                <c:formatCode>#,##0.0</c:formatCode>
                <c:ptCount val="7"/>
                <c:pt idx="0">
                  <c:v>93155.257878470002</c:v>
                </c:pt>
                <c:pt idx="1">
                  <c:v>98165.330464586004</c:v>
                </c:pt>
                <c:pt idx="2">
                  <c:v>103446.16557581526</c:v>
                </c:pt>
                <c:pt idx="3">
                  <c:v>110734.28710361516</c:v>
                </c:pt>
                <c:pt idx="4">
                  <c:v>118678.42423304297</c:v>
                </c:pt>
                <c:pt idx="5">
                  <c:v>127154.57672908511</c:v>
                </c:pt>
                <c:pt idx="6">
                  <c:v>136202.10707786295</c:v>
                </c:pt>
              </c:numCache>
            </c:numRef>
          </c:val>
          <c:extLst>
            <c:ext xmlns:c16="http://schemas.microsoft.com/office/drawing/2014/chart" uri="{C3380CC4-5D6E-409C-BE32-E72D297353CC}">
              <c16:uniqueId val="{00000009-DB89-45F1-88AC-2D428F609C80}"/>
            </c:ext>
          </c:extLst>
        </c:ser>
        <c:dLbls>
          <c:showLegendKey val="0"/>
          <c:showVal val="0"/>
          <c:showCatName val="0"/>
          <c:showSerName val="0"/>
          <c:showPercent val="0"/>
          <c:showBubbleSize val="0"/>
        </c:dLbls>
        <c:gapWidth val="20"/>
        <c:overlap val="100"/>
        <c:axId val="853878632"/>
        <c:axId val="853878304"/>
      </c:barChart>
      <c:catAx>
        <c:axId val="458573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58574192"/>
        <c:crosses val="autoZero"/>
        <c:auto val="1"/>
        <c:lblAlgn val="ctr"/>
        <c:lblOffset val="100"/>
        <c:noMultiLvlLbl val="0"/>
      </c:catAx>
      <c:valAx>
        <c:axId val="458574192"/>
        <c:scaling>
          <c:orientation val="minMax"/>
        </c:scaling>
        <c:delete val="0"/>
        <c:axPos val="l"/>
        <c:majorGridlines>
          <c:spPr>
            <a:ln w="9525" cap="flat" cmpd="sng" algn="ctr">
              <a:solidFill>
                <a:schemeClr val="accent1">
                  <a:alpha val="16000"/>
                </a:schemeClr>
              </a:solidFill>
              <a:prstDash val="dash"/>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58573536"/>
        <c:crosses val="autoZero"/>
        <c:crossBetween val="between"/>
      </c:valAx>
      <c:valAx>
        <c:axId val="853878304"/>
        <c:scaling>
          <c:orientation val="minMax"/>
        </c:scaling>
        <c:delete val="1"/>
        <c:axPos val="r"/>
        <c:numFmt formatCode="#,##0.0" sourceLinked="1"/>
        <c:majorTickMark val="out"/>
        <c:minorTickMark val="none"/>
        <c:tickLblPos val="nextTo"/>
        <c:crossAx val="853878632"/>
        <c:crosses val="max"/>
        <c:crossBetween val="between"/>
      </c:valAx>
      <c:catAx>
        <c:axId val="853878632"/>
        <c:scaling>
          <c:orientation val="minMax"/>
        </c:scaling>
        <c:delete val="1"/>
        <c:axPos val="b"/>
        <c:numFmt formatCode="General" sourceLinked="1"/>
        <c:majorTickMark val="out"/>
        <c:minorTickMark val="none"/>
        <c:tickLblPos val="nextTo"/>
        <c:crossAx val="853878304"/>
        <c:crosses val="autoZero"/>
        <c:auto val="1"/>
        <c:lblAlgn val="ctr"/>
        <c:lblOffset val="100"/>
        <c:noMultiLvlLbl val="0"/>
      </c:catAx>
      <c:spPr>
        <a:noFill/>
        <a:ln>
          <a:noFill/>
        </a:ln>
        <a:effectLst/>
      </c:spPr>
    </c:plotArea>
    <c:legend>
      <c:legendPos val="b"/>
      <c:legendEntry>
        <c:idx val="2"/>
        <c:delete val="1"/>
      </c:legendEntry>
      <c:layout>
        <c:manualLayout>
          <c:xMode val="edge"/>
          <c:yMode val="edge"/>
          <c:x val="0.29128221106396468"/>
          <c:y val="0.90508413968689883"/>
          <c:w val="0.41743533344193218"/>
          <c:h val="7.2131640512428555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100732806141782E-2"/>
          <c:y val="2.8455280896855339E-2"/>
          <c:w val="0.90889926719385827"/>
          <c:h val="0.87553299127157935"/>
        </c:manualLayout>
      </c:layout>
      <c:lineChart>
        <c:grouping val="standard"/>
        <c:varyColors val="0"/>
        <c:ser>
          <c:idx val="0"/>
          <c:order val="0"/>
          <c:tx>
            <c:strRef>
              <c:f>Hoja1!$B$1</c:f>
              <c:strCache>
                <c:ptCount val="1"/>
                <c:pt idx="0">
                  <c:v>Carga Tributaria Pasiva</c:v>
                </c:pt>
              </c:strCache>
            </c:strRef>
          </c:tx>
          <c:spPr>
            <a:ln w="22225" cap="rnd">
              <a:solidFill>
                <a:schemeClr val="accent1"/>
              </a:solidFill>
              <a:round/>
            </a:ln>
            <a:effectLst>
              <a:outerShdw blurRad="50800" dist="38100" dir="2700000" algn="tl" rotWithShape="0">
                <a:prstClr val="black">
                  <a:alpha val="40000"/>
                </a:prstClr>
              </a:outerShdw>
            </a:effectLst>
          </c:spPr>
          <c:marker>
            <c:symbol val="circle"/>
            <c:size val="6"/>
            <c:spPr>
              <a:solidFill>
                <a:schemeClr val="lt1"/>
              </a:solidFill>
              <a:ln w="15875">
                <a:solidFill>
                  <a:schemeClr val="accent1"/>
                </a:solidFill>
                <a:round/>
              </a:ln>
              <a:effectLst>
                <a:outerShdw blurRad="50800" dist="38100" dir="2700000" algn="tl" rotWithShape="0">
                  <a:prstClr val="black">
                    <a:alpha val="40000"/>
                  </a:prst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EECB-46E5-8AE3-D69FEB583A03}"/>
                </c:ext>
              </c:extLst>
            </c:dLbl>
            <c:dLbl>
              <c:idx val="1"/>
              <c:delete val="1"/>
              <c:extLst>
                <c:ext xmlns:c15="http://schemas.microsoft.com/office/drawing/2012/chart" uri="{CE6537A1-D6FC-4f65-9D91-7224C49458BB}"/>
                <c:ext xmlns:c16="http://schemas.microsoft.com/office/drawing/2014/chart" uri="{C3380CC4-5D6E-409C-BE32-E72D297353CC}">
                  <c16:uniqueId val="{00000001-EECB-46E5-8AE3-D69FEB583A03}"/>
                </c:ext>
              </c:extLst>
            </c:dLbl>
            <c:dLbl>
              <c:idx val="2"/>
              <c:delete val="1"/>
              <c:extLst>
                <c:ext xmlns:c15="http://schemas.microsoft.com/office/drawing/2012/chart" uri="{CE6537A1-D6FC-4f65-9D91-7224C49458BB}"/>
                <c:ext xmlns:c16="http://schemas.microsoft.com/office/drawing/2014/chart" uri="{C3380CC4-5D6E-409C-BE32-E72D297353CC}">
                  <c16:uniqueId val="{00000002-EECB-46E5-8AE3-D69FEB583A03}"/>
                </c:ext>
              </c:extLst>
            </c:dLbl>
            <c:numFmt formatCode="0.00%" sourceLinked="0"/>
            <c:spPr>
              <a:noFill/>
              <a:ln>
                <a:noFill/>
              </a:ln>
              <a:effectLst/>
            </c:spPr>
            <c:txPr>
              <a:bodyPr wrap="square" lIns="38100" tIns="19050" rIns="38100" bIns="19050" anchor="ctr">
                <a:spAutoFit/>
              </a:bodyPr>
              <a:lstStyle/>
              <a:p>
                <a:pPr>
                  <a:defRPr sz="800" b="1">
                    <a:solidFill>
                      <a:srgbClr val="0070C0"/>
                    </a:solidFill>
                  </a:defRPr>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Hoja1!$A$2:$A$11</c:f>
              <c:strCache>
                <c:ptCount val="10"/>
                <c:pt idx="0">
                  <c:v>2019</c:v>
                </c:pt>
                <c:pt idx="1">
                  <c:v>2020</c:v>
                </c:pt>
                <c:pt idx="2">
                  <c:v>2021</c:v>
                </c:pt>
                <c:pt idx="3">
                  <c:v>2022</c:v>
                </c:pt>
                <c:pt idx="4">
                  <c:v>2023</c:v>
                </c:pt>
                <c:pt idx="5">
                  <c:v>2024</c:v>
                </c:pt>
                <c:pt idx="6">
                  <c:v>2025</c:v>
                </c:pt>
                <c:pt idx="7">
                  <c:v>2026</c:v>
                </c:pt>
                <c:pt idx="8">
                  <c:v>2027</c:v>
                </c:pt>
                <c:pt idx="9">
                  <c:v>2028</c:v>
                </c:pt>
              </c:strCache>
            </c:strRef>
          </c:cat>
          <c:val>
            <c:numRef>
              <c:f>Hoja1!$B$2:$B$11</c:f>
              <c:numCache>
                <c:formatCode>General</c:formatCode>
                <c:ptCount val="10"/>
                <c:pt idx="0" formatCode="0.00%">
                  <c:v>0.10601591801170562</c:v>
                </c:pt>
                <c:pt idx="1">
                  <c:v>0.10059378311105577</c:v>
                </c:pt>
                <c:pt idx="2">
                  <c:v>0.11731338553443195</c:v>
                </c:pt>
                <c:pt idx="3">
                  <c:v>0.12033413856485928</c:v>
                </c:pt>
                <c:pt idx="4">
                  <c:v>0.11477668118279896</c:v>
                </c:pt>
                <c:pt idx="5">
                  <c:v>0.11446353012599755</c:v>
                </c:pt>
                <c:pt idx="6">
                  <c:v>0.11321353836051364</c:v>
                </c:pt>
                <c:pt idx="7">
                  <c:v>0.11207147417383899</c:v>
                </c:pt>
                <c:pt idx="8">
                  <c:v>0.11094484512680031</c:v>
                </c:pt>
                <c:pt idx="9">
                  <c:v>0.10985355819174196</c:v>
                </c:pt>
              </c:numCache>
            </c:numRef>
          </c:val>
          <c:smooth val="0"/>
          <c:extLst>
            <c:ext xmlns:c16="http://schemas.microsoft.com/office/drawing/2014/chart" uri="{C3380CC4-5D6E-409C-BE32-E72D297353CC}">
              <c16:uniqueId val="{00000003-EECB-46E5-8AE3-D69FEB583A03}"/>
            </c:ext>
          </c:extLst>
        </c:ser>
        <c:ser>
          <c:idx val="1"/>
          <c:order val="1"/>
          <c:tx>
            <c:strRef>
              <c:f>Hoja1!$C$1</c:f>
              <c:strCache>
                <c:ptCount val="1"/>
                <c:pt idx="0">
                  <c:v>Carga Tributaria Activa</c:v>
                </c:pt>
              </c:strCache>
            </c:strRef>
          </c:tx>
          <c:spPr>
            <a:ln>
              <a:solidFill>
                <a:srgbClr val="FF0000"/>
              </a:solidFill>
            </a:ln>
          </c:spPr>
          <c:marker>
            <c:symbol val="circle"/>
            <c:size val="6"/>
            <c:spPr>
              <a:solidFill>
                <a:sysClr val="window" lastClr="FFFFFF"/>
              </a:solidFill>
              <a:ln>
                <a:solidFill>
                  <a:srgbClr val="FF0000"/>
                </a:solidFill>
              </a:ln>
            </c:spPr>
          </c:marker>
          <c:dLbls>
            <c:numFmt formatCode="0.00%" sourceLinked="0"/>
            <c:spPr>
              <a:noFill/>
              <a:ln>
                <a:noFill/>
              </a:ln>
              <a:effectLst/>
            </c:spPr>
            <c:txPr>
              <a:bodyPr wrap="square" lIns="38100" tIns="19050" rIns="38100" bIns="19050" anchor="ctr">
                <a:spAutoFit/>
              </a:bodyPr>
              <a:lstStyle/>
              <a:p>
                <a:pPr>
                  <a:defRPr sz="800" b="1">
                    <a:solidFill>
                      <a:srgbClr val="FF0000"/>
                    </a:solidFill>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Hoja1!$A$2:$A$11</c:f>
              <c:strCache>
                <c:ptCount val="10"/>
                <c:pt idx="0">
                  <c:v>2019</c:v>
                </c:pt>
                <c:pt idx="1">
                  <c:v>2020</c:v>
                </c:pt>
                <c:pt idx="2">
                  <c:v>2021</c:v>
                </c:pt>
                <c:pt idx="3">
                  <c:v>2022</c:v>
                </c:pt>
                <c:pt idx="4">
                  <c:v>2023</c:v>
                </c:pt>
                <c:pt idx="5">
                  <c:v>2024</c:v>
                </c:pt>
                <c:pt idx="6">
                  <c:v>2025</c:v>
                </c:pt>
                <c:pt idx="7">
                  <c:v>2026</c:v>
                </c:pt>
                <c:pt idx="8">
                  <c:v>2027</c:v>
                </c:pt>
                <c:pt idx="9">
                  <c:v>2028</c:v>
                </c:pt>
              </c:strCache>
            </c:strRef>
          </c:cat>
          <c:val>
            <c:numRef>
              <c:f>Hoja1!$C$2:$C$11</c:f>
              <c:numCache>
                <c:formatCode>General</c:formatCode>
                <c:ptCount val="10"/>
                <c:pt idx="2">
                  <c:v>0.11731338553443195</c:v>
                </c:pt>
                <c:pt idx="3">
                  <c:v>0.12033413856485928</c:v>
                </c:pt>
                <c:pt idx="4">
                  <c:v>0.11728299925961874</c:v>
                </c:pt>
                <c:pt idx="5">
                  <c:v>0.1168704791884967</c:v>
                </c:pt>
                <c:pt idx="6">
                  <c:v>0.1180148253734119</c:v>
                </c:pt>
                <c:pt idx="7">
                  <c:v>0.11899657148194874</c:v>
                </c:pt>
                <c:pt idx="8">
                  <c:v>0.1200156290880373</c:v>
                </c:pt>
                <c:pt idx="9">
                  <c:v>0.12097333346108376</c:v>
                </c:pt>
              </c:numCache>
            </c:numRef>
          </c:val>
          <c:smooth val="1"/>
          <c:extLst>
            <c:ext xmlns:c16="http://schemas.microsoft.com/office/drawing/2014/chart" uri="{C3380CC4-5D6E-409C-BE32-E72D297353CC}">
              <c16:uniqueId val="{00000004-EECB-46E5-8AE3-D69FEB583A03}"/>
            </c:ext>
          </c:extLst>
        </c:ser>
        <c:dLbls>
          <c:showLegendKey val="0"/>
          <c:showVal val="0"/>
          <c:showCatName val="0"/>
          <c:showSerName val="0"/>
          <c:showPercent val="0"/>
          <c:showBubbleSize val="0"/>
        </c:dLbls>
        <c:marker val="1"/>
        <c:smooth val="0"/>
        <c:axId val="213980672"/>
        <c:axId val="213982208"/>
      </c:lineChart>
      <c:catAx>
        <c:axId val="213980672"/>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13982208"/>
        <c:crosses val="autoZero"/>
        <c:auto val="1"/>
        <c:lblAlgn val="ctr"/>
        <c:lblOffset val="100"/>
        <c:noMultiLvlLbl val="0"/>
      </c:catAx>
      <c:valAx>
        <c:axId val="213982208"/>
        <c:scaling>
          <c:orientation val="minMax"/>
          <c:min val="9.5000000000000029E-2"/>
        </c:scaling>
        <c:delete val="0"/>
        <c:axPos val="l"/>
        <c:majorGridlines>
          <c:spPr>
            <a:ln w="9525" cap="flat" cmpd="sng" algn="ctr">
              <a:solidFill>
                <a:schemeClr val="dk1">
                  <a:lumMod val="15000"/>
                  <a:lumOff val="85000"/>
                  <a:alpha val="54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13980672"/>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27821388289914445"/>
          <c:y val="0.80288339171766865"/>
          <c:w val="0.70839640807610926"/>
          <c:h val="7.147404719916429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528772050903996"/>
          <c:y val="3.2580228470014724E-2"/>
          <c:w val="0.8554958120274806"/>
          <c:h val="0.82016811775180098"/>
        </c:manualLayout>
      </c:layout>
      <c:lineChart>
        <c:grouping val="standard"/>
        <c:varyColors val="0"/>
        <c:ser>
          <c:idx val="0"/>
          <c:order val="0"/>
          <c:tx>
            <c:strRef>
              <c:f>Hoja1!$B$1</c:f>
              <c:strCache>
                <c:ptCount val="1"/>
                <c:pt idx="0">
                  <c:v>Proyecto Presupuesto</c:v>
                </c:pt>
              </c:strCache>
            </c:strRef>
          </c:tx>
          <c:spPr>
            <a:ln w="22225" cap="rnd">
              <a:solidFill>
                <a:schemeClr val="accent1"/>
              </a:solidFill>
              <a:round/>
            </a:ln>
            <a:effectLst>
              <a:outerShdw blurRad="50800" dist="38100" dir="2700000" algn="tl" rotWithShape="0">
                <a:prstClr val="black">
                  <a:alpha val="40000"/>
                </a:prstClr>
              </a:outerShdw>
            </a:effectLst>
          </c:spPr>
          <c:marker>
            <c:symbol val="circle"/>
            <c:size val="6"/>
            <c:spPr>
              <a:solidFill>
                <a:schemeClr val="lt1"/>
              </a:solidFill>
              <a:ln w="15875">
                <a:solidFill>
                  <a:schemeClr val="accent1"/>
                </a:solidFill>
                <a:round/>
              </a:ln>
              <a:effectLst>
                <a:outerShdw blurRad="50800" dist="38100" dir="2700000" algn="tl" rotWithShape="0">
                  <a:prstClr val="black">
                    <a:alpha val="40000"/>
                  </a:prstClr>
                </a:outerShdw>
              </a:effectLst>
            </c:spPr>
          </c:marker>
          <c:dLbls>
            <c:numFmt formatCode="0.00%" sourceLinked="0"/>
            <c:spPr>
              <a:noFill/>
              <a:ln>
                <a:noFill/>
              </a:ln>
              <a:effectLst/>
            </c:spPr>
            <c:txPr>
              <a:bodyPr wrap="square" lIns="38100" tIns="19050" rIns="38100" bIns="19050" anchor="ctr">
                <a:spAutoFit/>
              </a:bodyPr>
              <a:lstStyle/>
              <a:p>
                <a:pPr>
                  <a:defRPr sz="800" b="1">
                    <a:solidFill>
                      <a:srgbClr val="0070C0"/>
                    </a:solidFill>
                  </a:defRPr>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Hoja1!$A$2:$A$8</c:f>
              <c:strCache>
                <c:ptCount val="7"/>
                <c:pt idx="0">
                  <c:v>2022</c:v>
                </c:pt>
                <c:pt idx="1">
                  <c:v>2023</c:v>
                </c:pt>
                <c:pt idx="2">
                  <c:v>2024</c:v>
                </c:pt>
                <c:pt idx="3">
                  <c:v>2025</c:v>
                </c:pt>
                <c:pt idx="4">
                  <c:v>2026</c:v>
                </c:pt>
                <c:pt idx="5">
                  <c:v>2027</c:v>
                </c:pt>
                <c:pt idx="6">
                  <c:v>2028</c:v>
                </c:pt>
              </c:strCache>
            </c:strRef>
          </c:cat>
          <c:val>
            <c:numRef>
              <c:f>Hoja1!$B$2:$B$8</c:f>
              <c:numCache>
                <c:formatCode>0.0000000000</c:formatCode>
                <c:ptCount val="7"/>
                <c:pt idx="0">
                  <c:v>0.12033413856485928</c:v>
                </c:pt>
                <c:pt idx="1">
                  <c:v>0.11728299925961874</c:v>
                </c:pt>
                <c:pt idx="2">
                  <c:v>0.1168704791884967</c:v>
                </c:pt>
                <c:pt idx="3">
                  <c:v>0.1180148253734119</c:v>
                </c:pt>
                <c:pt idx="4">
                  <c:v>0.11899657148194874</c:v>
                </c:pt>
                <c:pt idx="5">
                  <c:v>0.1200156290880373</c:v>
                </c:pt>
                <c:pt idx="6">
                  <c:v>0.12097333346108376</c:v>
                </c:pt>
              </c:numCache>
            </c:numRef>
          </c:val>
          <c:smooth val="0"/>
          <c:extLst>
            <c:ext xmlns:c16="http://schemas.microsoft.com/office/drawing/2014/chart" uri="{C3380CC4-5D6E-409C-BE32-E72D297353CC}">
              <c16:uniqueId val="{00000000-A42C-4A3C-8245-064EBC1C885C}"/>
            </c:ext>
          </c:extLst>
        </c:ser>
        <c:ser>
          <c:idx val="1"/>
          <c:order val="1"/>
          <c:tx>
            <c:strRef>
              <c:f>Hoja1!$C$1</c:f>
              <c:strCache>
                <c:ptCount val="1"/>
                <c:pt idx="0">
                  <c:v>Escenario Medio</c:v>
                </c:pt>
              </c:strCache>
            </c:strRef>
          </c:tx>
          <c:spPr>
            <a:ln>
              <a:solidFill>
                <a:srgbClr val="FF0000"/>
              </a:solidFill>
            </a:ln>
          </c:spPr>
          <c:marker>
            <c:symbol val="circle"/>
            <c:size val="6"/>
            <c:spPr>
              <a:solidFill>
                <a:sysClr val="window" lastClr="FFFFFF"/>
              </a:solidFill>
              <a:ln>
                <a:solidFill>
                  <a:srgbClr val="FF0000"/>
                </a:solidFill>
              </a:ln>
            </c:spPr>
          </c:marker>
          <c:dLbls>
            <c:dLbl>
              <c:idx val="0"/>
              <c:delete val="1"/>
              <c:extLst>
                <c:ext xmlns:c15="http://schemas.microsoft.com/office/drawing/2012/chart" uri="{CE6537A1-D6FC-4f65-9D91-7224C49458BB}"/>
                <c:ext xmlns:c16="http://schemas.microsoft.com/office/drawing/2014/chart" uri="{C3380CC4-5D6E-409C-BE32-E72D297353CC}">
                  <c16:uniqueId val="{00000001-A42C-4A3C-8245-064EBC1C885C}"/>
                </c:ext>
              </c:extLst>
            </c:dLbl>
            <c:dLbl>
              <c:idx val="1"/>
              <c:delete val="1"/>
              <c:extLst>
                <c:ext xmlns:c15="http://schemas.microsoft.com/office/drawing/2012/chart" uri="{CE6537A1-D6FC-4f65-9D91-7224C49458BB}"/>
                <c:ext xmlns:c16="http://schemas.microsoft.com/office/drawing/2014/chart" uri="{C3380CC4-5D6E-409C-BE32-E72D297353CC}">
                  <c16:uniqueId val="{00000002-A42C-4A3C-8245-064EBC1C885C}"/>
                </c:ext>
              </c:extLst>
            </c:dLbl>
            <c:numFmt formatCode="0.00%" sourceLinked="0"/>
            <c:spPr>
              <a:noFill/>
              <a:ln>
                <a:noFill/>
              </a:ln>
              <a:effectLst/>
            </c:spPr>
            <c:txPr>
              <a:bodyPr wrap="square" lIns="38100" tIns="19050" rIns="38100" bIns="19050" anchor="ctr">
                <a:spAutoFit/>
              </a:bodyPr>
              <a:lstStyle/>
              <a:p>
                <a:pPr>
                  <a:defRPr sz="800" b="1">
                    <a:solidFill>
                      <a:srgbClr val="FF0000"/>
                    </a:solidFill>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Hoja1!$A$2:$A$8</c:f>
              <c:strCache>
                <c:ptCount val="7"/>
                <c:pt idx="0">
                  <c:v>2022</c:v>
                </c:pt>
                <c:pt idx="1">
                  <c:v>2023</c:v>
                </c:pt>
                <c:pt idx="2">
                  <c:v>2024</c:v>
                </c:pt>
                <c:pt idx="3">
                  <c:v>2025</c:v>
                </c:pt>
                <c:pt idx="4">
                  <c:v>2026</c:v>
                </c:pt>
                <c:pt idx="5">
                  <c:v>2027</c:v>
                </c:pt>
                <c:pt idx="6">
                  <c:v>2028</c:v>
                </c:pt>
              </c:strCache>
            </c:strRef>
          </c:cat>
          <c:val>
            <c:numRef>
              <c:f>Hoja1!$C$2:$C$8</c:f>
              <c:numCache>
                <c:formatCode>0.0000000000</c:formatCode>
                <c:ptCount val="7"/>
                <c:pt idx="1">
                  <c:v>0.11728299925961874</c:v>
                </c:pt>
                <c:pt idx="2">
                  <c:v>0.11708262475509933</c:v>
                </c:pt>
                <c:pt idx="3">
                  <c:v>0.11947384897212422</c:v>
                </c:pt>
                <c:pt idx="4">
                  <c:v>0.12168640382379094</c:v>
                </c:pt>
                <c:pt idx="5">
                  <c:v>0.12400154015953864</c:v>
                </c:pt>
                <c:pt idx="6">
                  <c:v>0.12622087235607618</c:v>
                </c:pt>
              </c:numCache>
            </c:numRef>
          </c:val>
          <c:smooth val="0"/>
          <c:extLst>
            <c:ext xmlns:c16="http://schemas.microsoft.com/office/drawing/2014/chart" uri="{C3380CC4-5D6E-409C-BE32-E72D297353CC}">
              <c16:uniqueId val="{00000003-A42C-4A3C-8245-064EBC1C885C}"/>
            </c:ext>
          </c:extLst>
        </c:ser>
        <c:dLbls>
          <c:showLegendKey val="0"/>
          <c:showVal val="0"/>
          <c:showCatName val="0"/>
          <c:showSerName val="0"/>
          <c:showPercent val="0"/>
          <c:showBubbleSize val="0"/>
        </c:dLbls>
        <c:marker val="1"/>
        <c:smooth val="0"/>
        <c:axId val="213980672"/>
        <c:axId val="213982208"/>
      </c:lineChart>
      <c:catAx>
        <c:axId val="213980672"/>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13982208"/>
        <c:crosses val="autoZero"/>
        <c:auto val="1"/>
        <c:lblAlgn val="ctr"/>
        <c:lblOffset val="100"/>
        <c:noMultiLvlLbl val="0"/>
      </c:catAx>
      <c:valAx>
        <c:axId val="213982208"/>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13980672"/>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25954912415609066"/>
          <c:y val="0.75818793575913146"/>
          <c:w val="0.70839640807610926"/>
          <c:h val="7.1474047199164295E-2"/>
        </c:manualLayout>
      </c:layout>
      <c:overlay val="0"/>
      <c:spPr>
        <a:noFill/>
        <a:ln>
          <a:noFill/>
        </a:ln>
        <a:effectLst/>
      </c:spPr>
      <c:txPr>
        <a:bodyPr rot="0" spcFirstLastPara="1" vertOverflow="ellipsis" vert="horz" wrap="square" anchor="ctr" anchorCtr="1"/>
        <a:lstStyle/>
        <a:p>
          <a:pPr>
            <a:defRPr sz="7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0267385992043342E-2"/>
          <c:y val="6.3768115942028983E-2"/>
          <c:w val="0.87674910576207954"/>
          <c:h val="0.83022115713796651"/>
        </c:manualLayout>
      </c:layout>
      <c:lineChart>
        <c:grouping val="standard"/>
        <c:varyColors val="0"/>
        <c:ser>
          <c:idx val="0"/>
          <c:order val="0"/>
          <c:tx>
            <c:strRef>
              <c:f>Hoja1!$B$1</c:f>
              <c:strCache>
                <c:ptCount val="1"/>
                <c:pt idx="0">
                  <c:v>Carga Presupuesto</c:v>
                </c:pt>
              </c:strCache>
            </c:strRef>
          </c:tx>
          <c:spPr>
            <a:ln w="22225" cap="rnd">
              <a:solidFill>
                <a:schemeClr val="accent1"/>
              </a:solidFill>
              <a:round/>
            </a:ln>
            <a:effectLst>
              <a:outerShdw blurRad="50800" dist="38100" dir="2700000" algn="tl" rotWithShape="0">
                <a:prstClr val="black">
                  <a:alpha val="40000"/>
                </a:prstClr>
              </a:outerShdw>
            </a:effectLst>
          </c:spPr>
          <c:marker>
            <c:symbol val="circle"/>
            <c:size val="6"/>
            <c:spPr>
              <a:solidFill>
                <a:schemeClr val="lt1"/>
              </a:solidFill>
              <a:ln w="15875">
                <a:solidFill>
                  <a:schemeClr val="accent1"/>
                </a:solidFill>
                <a:round/>
              </a:ln>
              <a:effectLst>
                <a:outerShdw blurRad="50800" dist="38100" dir="2700000" algn="tl" rotWithShape="0">
                  <a:prstClr val="black">
                    <a:alpha val="40000"/>
                  </a:prstClr>
                </a:outerShdw>
              </a:effectLst>
            </c:spPr>
          </c:marker>
          <c:dLbls>
            <c:dLbl>
              <c:idx val="0"/>
              <c:layout>
                <c:manualLayout>
                  <c:x val="-5.6988602279544102E-2"/>
                  <c:y val="-8.11594202898550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D55-47D0-8FE7-90DDAB0E236D}"/>
                </c:ext>
              </c:extLst>
            </c:dLbl>
            <c:dLbl>
              <c:idx val="3"/>
              <c:layout>
                <c:manualLayout>
                  <c:x val="-5.8169643428717631E-2"/>
                  <c:y val="5.44251968503935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D55-47D0-8FE7-90DDAB0E236D}"/>
                </c:ext>
              </c:extLst>
            </c:dLbl>
            <c:numFmt formatCode="0.00%" sourceLinked="0"/>
            <c:spPr>
              <a:noFill/>
              <a:ln>
                <a:noFill/>
              </a:ln>
              <a:effectLst/>
            </c:spPr>
            <c:txPr>
              <a:bodyPr rot="0" spcFirstLastPara="1" vertOverflow="ellipsis" vert="horz" wrap="square" anchor="ctr" anchorCtr="1"/>
              <a:lstStyle/>
              <a:p>
                <a:pPr>
                  <a:defRPr sz="7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Hoja1!$A$2:$A$8</c:f>
              <c:strCache>
                <c:ptCount val="7"/>
                <c:pt idx="0">
                  <c:v>2022</c:v>
                </c:pt>
                <c:pt idx="1">
                  <c:v>2023</c:v>
                </c:pt>
                <c:pt idx="2">
                  <c:v>2024</c:v>
                </c:pt>
                <c:pt idx="3">
                  <c:v>2025</c:v>
                </c:pt>
                <c:pt idx="4">
                  <c:v>2026</c:v>
                </c:pt>
                <c:pt idx="5">
                  <c:v>2027</c:v>
                </c:pt>
                <c:pt idx="6">
                  <c:v>2028</c:v>
                </c:pt>
              </c:strCache>
            </c:strRef>
          </c:cat>
          <c:val>
            <c:numRef>
              <c:f>Hoja1!$B$2:$B$8</c:f>
              <c:numCache>
                <c:formatCode>General</c:formatCode>
                <c:ptCount val="7"/>
                <c:pt idx="0">
                  <c:v>0.12033413856485928</c:v>
                </c:pt>
                <c:pt idx="1">
                  <c:v>0.11728299925961874</c:v>
                </c:pt>
                <c:pt idx="2">
                  <c:v>0.1168704791884967</c:v>
                </c:pt>
                <c:pt idx="3">
                  <c:v>0.1180148253734119</c:v>
                </c:pt>
                <c:pt idx="4">
                  <c:v>0.11899657148194874</c:v>
                </c:pt>
                <c:pt idx="5">
                  <c:v>0.1200156290880373</c:v>
                </c:pt>
                <c:pt idx="6">
                  <c:v>0.12097333346108376</c:v>
                </c:pt>
              </c:numCache>
            </c:numRef>
          </c:val>
          <c:smooth val="1"/>
          <c:extLst>
            <c:ext xmlns:c16="http://schemas.microsoft.com/office/drawing/2014/chart" uri="{C3380CC4-5D6E-409C-BE32-E72D297353CC}">
              <c16:uniqueId val="{00000002-DD55-47D0-8FE7-90DDAB0E236D}"/>
            </c:ext>
          </c:extLst>
        </c:ser>
        <c:ser>
          <c:idx val="1"/>
          <c:order val="1"/>
          <c:tx>
            <c:strRef>
              <c:f>Hoja1!$C$1</c:f>
              <c:strCache>
                <c:ptCount val="1"/>
                <c:pt idx="0">
                  <c:v>Escenario Alto</c:v>
                </c:pt>
              </c:strCache>
            </c:strRef>
          </c:tx>
          <c:spPr>
            <a:ln w="22225" cap="rnd">
              <a:solidFill>
                <a:srgbClr val="FF0000"/>
              </a:solidFill>
              <a:round/>
            </a:ln>
            <a:effectLst>
              <a:outerShdw blurRad="50800" dist="38100" dir="2700000" algn="tl" rotWithShape="0">
                <a:prstClr val="black">
                  <a:alpha val="40000"/>
                </a:prstClr>
              </a:outerShdw>
            </a:effectLst>
          </c:spPr>
          <c:marker>
            <c:symbol val="circle"/>
            <c:size val="6"/>
            <c:spPr>
              <a:solidFill>
                <a:schemeClr val="bg1"/>
              </a:solidFill>
              <a:ln w="15875">
                <a:solidFill>
                  <a:srgbClr val="FF0000"/>
                </a:solidFill>
                <a:round/>
              </a:ln>
              <a:effectLst>
                <a:outerShdw blurRad="50800" dist="38100" dir="2700000" algn="tl" rotWithShape="0">
                  <a:prstClr val="black">
                    <a:alpha val="40000"/>
                  </a:prstClr>
                </a:outerShdw>
              </a:effectLst>
            </c:spPr>
          </c:marker>
          <c:dLbls>
            <c:dLbl>
              <c:idx val="1"/>
              <c:delete val="1"/>
              <c:extLst>
                <c:ext xmlns:c15="http://schemas.microsoft.com/office/drawing/2012/chart" uri="{CE6537A1-D6FC-4f65-9D91-7224C49458BB}"/>
                <c:ext xmlns:c16="http://schemas.microsoft.com/office/drawing/2014/chart" uri="{C3380CC4-5D6E-409C-BE32-E72D297353CC}">
                  <c16:uniqueId val="{00000003-DD55-47D0-8FE7-90DDAB0E236D}"/>
                </c:ext>
              </c:extLst>
            </c:dLbl>
            <c:numFmt formatCode="0.00%" sourceLinked="0"/>
            <c:spPr>
              <a:noFill/>
              <a:ln>
                <a:noFill/>
              </a:ln>
              <a:effectLst/>
            </c:spPr>
            <c:txPr>
              <a:bodyPr rot="0" spcFirstLastPara="1" vertOverflow="ellipsis" vert="horz" wrap="square" anchor="ctr" anchorCtr="1"/>
              <a:lstStyle/>
              <a:p>
                <a:pPr>
                  <a:defRPr sz="7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Hoja1!$A$2:$A$8</c:f>
              <c:strCache>
                <c:ptCount val="7"/>
                <c:pt idx="0">
                  <c:v>2022</c:v>
                </c:pt>
                <c:pt idx="1">
                  <c:v>2023</c:v>
                </c:pt>
                <c:pt idx="2">
                  <c:v>2024</c:v>
                </c:pt>
                <c:pt idx="3">
                  <c:v>2025</c:v>
                </c:pt>
                <c:pt idx="4">
                  <c:v>2026</c:v>
                </c:pt>
                <c:pt idx="5">
                  <c:v>2027</c:v>
                </c:pt>
                <c:pt idx="6">
                  <c:v>2028</c:v>
                </c:pt>
              </c:strCache>
            </c:strRef>
          </c:cat>
          <c:val>
            <c:numRef>
              <c:f>Hoja1!$C$2:$C$8</c:f>
              <c:numCache>
                <c:formatCode>General</c:formatCode>
                <c:ptCount val="7"/>
                <c:pt idx="1">
                  <c:v>0.11728299925961874</c:v>
                </c:pt>
                <c:pt idx="2">
                  <c:v>0.1172908315436679</c:v>
                </c:pt>
                <c:pt idx="3">
                  <c:v>0.12093538938120819</c:v>
                </c:pt>
                <c:pt idx="4">
                  <c:v>0.12441424986653249</c:v>
                </c:pt>
                <c:pt idx="5">
                  <c:v>0.1280916008708837</c:v>
                </c:pt>
                <c:pt idx="6">
                  <c:v>0.13168010917388201</c:v>
                </c:pt>
              </c:numCache>
            </c:numRef>
          </c:val>
          <c:smooth val="1"/>
          <c:extLst>
            <c:ext xmlns:c16="http://schemas.microsoft.com/office/drawing/2014/chart" uri="{C3380CC4-5D6E-409C-BE32-E72D297353CC}">
              <c16:uniqueId val="{00000004-DD55-47D0-8FE7-90DDAB0E236D}"/>
            </c:ext>
          </c:extLst>
        </c:ser>
        <c:dLbls>
          <c:showLegendKey val="0"/>
          <c:showVal val="0"/>
          <c:showCatName val="0"/>
          <c:showSerName val="0"/>
          <c:showPercent val="0"/>
          <c:showBubbleSize val="0"/>
        </c:dLbls>
        <c:marker val="1"/>
        <c:smooth val="0"/>
        <c:axId val="215152896"/>
        <c:axId val="242573312"/>
      </c:lineChart>
      <c:catAx>
        <c:axId val="215152896"/>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60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42573312"/>
        <c:crosses val="autoZero"/>
        <c:auto val="1"/>
        <c:lblAlgn val="ctr"/>
        <c:lblOffset val="100"/>
        <c:noMultiLvlLbl val="0"/>
      </c:catAx>
      <c:valAx>
        <c:axId val="242573312"/>
        <c:scaling>
          <c:orientation val="minMax"/>
          <c:min val="0.11000000000000001"/>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15152896"/>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50548819369984266"/>
          <c:y val="0.76476229601734569"/>
          <c:w val="0.46292885053536226"/>
          <c:h val="7.2918863402944192E-2"/>
        </c:manualLayout>
      </c:layout>
      <c:overlay val="0"/>
      <c:spPr>
        <a:noFill/>
        <a:ln>
          <a:noFill/>
        </a:ln>
        <a:effectLst/>
      </c:spPr>
      <c:txPr>
        <a:bodyPr rot="0" spcFirstLastPara="1" vertOverflow="ellipsis" vert="horz" wrap="square" anchor="ctr" anchorCtr="1"/>
        <a:lstStyle/>
        <a:p>
          <a:pPr>
            <a:defRPr sz="7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sz="6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10145086030912"/>
          <c:y val="4.3650793650793648E-2"/>
          <c:w val="0.85843558617672788"/>
          <c:h val="0.82950724909386331"/>
        </c:manualLayout>
      </c:layout>
      <c:barChart>
        <c:barDir val="col"/>
        <c:grouping val="clustered"/>
        <c:varyColors val="0"/>
        <c:ser>
          <c:idx val="0"/>
          <c:order val="0"/>
          <c:tx>
            <c:strRef>
              <c:f>Hoja1!$B$1</c:f>
              <c:strCache>
                <c:ptCount val="1"/>
                <c:pt idx="0">
                  <c:v>2024</c:v>
                </c:pt>
              </c:strCache>
            </c:strRef>
          </c:tx>
          <c:spPr>
            <a:solidFill>
              <a:srgbClr val="0070C0"/>
            </a:solidFill>
            <a:ln>
              <a:solidFill>
                <a:schemeClr val="tx1"/>
              </a:solid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Hoja1!$A$2</c:f>
              <c:strCache>
                <c:ptCount val="1"/>
                <c:pt idx="0">
                  <c:v>Techo</c:v>
                </c:pt>
              </c:strCache>
            </c:strRef>
          </c:cat>
          <c:val>
            <c:numRef>
              <c:f>Hoja1!$B$2</c:f>
              <c:numCache>
                <c:formatCode>#,##0.0</c:formatCode>
                <c:ptCount val="1"/>
                <c:pt idx="0">
                  <c:v>124879.97</c:v>
                </c:pt>
              </c:numCache>
            </c:numRef>
          </c:val>
          <c:extLst>
            <c:ext xmlns:c16="http://schemas.microsoft.com/office/drawing/2014/chart" uri="{C3380CC4-5D6E-409C-BE32-E72D297353CC}">
              <c16:uniqueId val="{00000000-AE23-4A3C-B36F-CB2A1E0C574D}"/>
            </c:ext>
          </c:extLst>
        </c:ser>
        <c:ser>
          <c:idx val="1"/>
          <c:order val="1"/>
          <c:tx>
            <c:strRef>
              <c:f>Hoja1!$C$1</c:f>
              <c:strCache>
                <c:ptCount val="1"/>
                <c:pt idx="0">
                  <c:v>2025</c:v>
                </c:pt>
              </c:strCache>
            </c:strRef>
          </c:tx>
          <c:spPr>
            <a:solidFill>
              <a:schemeClr val="tx2">
                <a:lumMod val="75000"/>
              </a:schemeClr>
            </a:solidFill>
            <a:ln>
              <a:solidFill>
                <a:schemeClr val="tx1"/>
              </a:solid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Hoja1!$A$2</c:f>
              <c:strCache>
                <c:ptCount val="1"/>
                <c:pt idx="0">
                  <c:v>Techo</c:v>
                </c:pt>
              </c:strCache>
            </c:strRef>
          </c:cat>
          <c:val>
            <c:numRef>
              <c:f>Hoja1!$C$2</c:f>
              <c:numCache>
                <c:formatCode>#,##0.0</c:formatCode>
                <c:ptCount val="1"/>
                <c:pt idx="0">
                  <c:v>125634.5</c:v>
                </c:pt>
              </c:numCache>
            </c:numRef>
          </c:val>
          <c:extLst>
            <c:ext xmlns:c16="http://schemas.microsoft.com/office/drawing/2014/chart" uri="{C3380CC4-5D6E-409C-BE32-E72D297353CC}">
              <c16:uniqueId val="{00000001-AE23-4A3C-B36F-CB2A1E0C574D}"/>
            </c:ext>
          </c:extLst>
        </c:ser>
        <c:ser>
          <c:idx val="2"/>
          <c:order val="2"/>
          <c:tx>
            <c:strRef>
              <c:f>Hoja1!$D$1</c:f>
              <c:strCache>
                <c:ptCount val="1"/>
                <c:pt idx="0">
                  <c:v>2026</c:v>
                </c:pt>
              </c:strCache>
            </c:strRef>
          </c:tx>
          <c:spPr>
            <a:solidFill>
              <a:schemeClr val="accent5">
                <a:lumMod val="75000"/>
              </a:schemeClr>
            </a:solidFill>
            <a:ln>
              <a:solidFill>
                <a:schemeClr val="tx1"/>
              </a:solid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Hoja1!$A$2</c:f>
              <c:strCache>
                <c:ptCount val="1"/>
                <c:pt idx="0">
                  <c:v>Techo</c:v>
                </c:pt>
              </c:strCache>
            </c:strRef>
          </c:cat>
          <c:val>
            <c:numRef>
              <c:f>Hoja1!$D$2</c:f>
              <c:numCache>
                <c:formatCode>#,##0.0</c:formatCode>
                <c:ptCount val="1"/>
                <c:pt idx="0">
                  <c:v>129810.82599999999</c:v>
                </c:pt>
              </c:numCache>
            </c:numRef>
          </c:val>
          <c:extLst>
            <c:ext xmlns:c16="http://schemas.microsoft.com/office/drawing/2014/chart" uri="{C3380CC4-5D6E-409C-BE32-E72D297353CC}">
              <c16:uniqueId val="{00000002-AE23-4A3C-B36F-CB2A1E0C574D}"/>
            </c:ext>
          </c:extLst>
        </c:ser>
        <c:ser>
          <c:idx val="3"/>
          <c:order val="3"/>
          <c:tx>
            <c:strRef>
              <c:f>Hoja1!$E$1</c:f>
              <c:strCache>
                <c:ptCount val="1"/>
                <c:pt idx="0">
                  <c:v>2027</c:v>
                </c:pt>
              </c:strCache>
            </c:strRef>
          </c:tx>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solidFill>
                <a:schemeClr val="tx1"/>
              </a:solid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Hoja1!$A$2</c:f>
              <c:strCache>
                <c:ptCount val="1"/>
                <c:pt idx="0">
                  <c:v>Techo</c:v>
                </c:pt>
              </c:strCache>
            </c:strRef>
          </c:cat>
          <c:val>
            <c:numRef>
              <c:f>Hoja1!$E$2</c:f>
              <c:numCache>
                <c:formatCode>#,##0.0</c:formatCode>
                <c:ptCount val="1"/>
                <c:pt idx="0">
                  <c:v>133455.69</c:v>
                </c:pt>
              </c:numCache>
            </c:numRef>
          </c:val>
          <c:extLst>
            <c:ext xmlns:c16="http://schemas.microsoft.com/office/drawing/2014/chart" uri="{C3380CC4-5D6E-409C-BE32-E72D297353CC}">
              <c16:uniqueId val="{00000003-AE23-4A3C-B36F-CB2A1E0C574D}"/>
            </c:ext>
          </c:extLst>
        </c:ser>
        <c:ser>
          <c:idx val="4"/>
          <c:order val="4"/>
          <c:tx>
            <c:strRef>
              <c:f>Hoja1!$F$1</c:f>
              <c:strCache>
                <c:ptCount val="1"/>
                <c:pt idx="0">
                  <c:v>2028</c:v>
                </c:pt>
              </c:strCache>
            </c:strRef>
          </c:tx>
          <c:spPr>
            <a:solidFill>
              <a:schemeClr val="tx2">
                <a:lumMod val="50000"/>
              </a:schemeClr>
            </a:solidFill>
            <a:ln>
              <a:solidFill>
                <a:schemeClr val="tx1"/>
              </a:solid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Hoja1!$A$2</c:f>
              <c:strCache>
                <c:ptCount val="1"/>
                <c:pt idx="0">
                  <c:v>Techo</c:v>
                </c:pt>
              </c:strCache>
            </c:strRef>
          </c:cat>
          <c:val>
            <c:numRef>
              <c:f>Hoja1!$F$2</c:f>
              <c:numCache>
                <c:formatCode>#,##0.0</c:formatCode>
                <c:ptCount val="1"/>
                <c:pt idx="0">
                  <c:v>139453.43399999998</c:v>
                </c:pt>
              </c:numCache>
            </c:numRef>
          </c:val>
          <c:extLst>
            <c:ext xmlns:c16="http://schemas.microsoft.com/office/drawing/2014/chart" uri="{C3380CC4-5D6E-409C-BE32-E72D297353CC}">
              <c16:uniqueId val="{00000004-AE23-4A3C-B36F-CB2A1E0C574D}"/>
            </c:ext>
          </c:extLst>
        </c:ser>
        <c:dLbls>
          <c:showLegendKey val="0"/>
          <c:showVal val="0"/>
          <c:showCatName val="0"/>
          <c:showSerName val="0"/>
          <c:showPercent val="0"/>
          <c:showBubbleSize val="0"/>
        </c:dLbls>
        <c:gapWidth val="100"/>
        <c:overlap val="-24"/>
        <c:axId val="908753295"/>
        <c:axId val="908768687"/>
      </c:barChart>
      <c:catAx>
        <c:axId val="908753295"/>
        <c:scaling>
          <c:orientation val="minMax"/>
        </c:scaling>
        <c:delete val="1"/>
        <c:axPos val="b"/>
        <c:numFmt formatCode="General" sourceLinked="1"/>
        <c:majorTickMark val="none"/>
        <c:minorTickMark val="none"/>
        <c:tickLblPos val="nextTo"/>
        <c:crossAx val="908768687"/>
        <c:crosses val="autoZero"/>
        <c:auto val="1"/>
        <c:lblAlgn val="ctr"/>
        <c:lblOffset val="100"/>
        <c:noMultiLvlLbl val="0"/>
      </c:catAx>
      <c:valAx>
        <c:axId val="908768687"/>
        <c:scaling>
          <c:orientation val="minMax"/>
          <c:max val="140000"/>
          <c:min val="100000"/>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908753295"/>
        <c:crosses val="autoZero"/>
        <c:crossBetween val="between"/>
      </c:valAx>
      <c:spPr>
        <a:noFill/>
        <a:ln>
          <a:noFill/>
        </a:ln>
        <a:effectLst/>
      </c:spPr>
    </c:plotArea>
    <c:legend>
      <c:legendPos val="b"/>
      <c:layout>
        <c:manualLayout>
          <c:xMode val="edge"/>
          <c:yMode val="edge"/>
          <c:x val="0.12059620151647711"/>
          <c:y val="0.90490407449068866"/>
          <c:w val="0.81899278215223092"/>
          <c:h val="6.7318147731533565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503730659677828"/>
          <c:y val="7.8431372549019607E-2"/>
          <c:w val="0.82374817034718562"/>
          <c:h val="0.69228739455696375"/>
        </c:manualLayout>
      </c:layout>
      <c:barChart>
        <c:barDir val="col"/>
        <c:grouping val="clustered"/>
        <c:varyColors val="0"/>
        <c:ser>
          <c:idx val="0"/>
          <c:order val="0"/>
          <c:tx>
            <c:strRef>
              <c:f>Hoja1!$B$1</c:f>
              <c:strCache>
                <c:ptCount val="1"/>
                <c:pt idx="0">
                  <c:v>Serie 1</c:v>
                </c:pt>
              </c:strCache>
            </c:strRef>
          </c:tx>
          <c:spPr>
            <a:solidFill>
              <a:schemeClr val="accent2">
                <a:lumMod val="75000"/>
              </a:schemeClr>
            </a:solidFill>
            <a:ln>
              <a:solidFill>
                <a:schemeClr val="tx1"/>
              </a:solidFill>
            </a:ln>
            <a:effectLst/>
          </c:spPr>
          <c:invertIfNegative val="0"/>
          <c:dLbls>
            <c:dLbl>
              <c:idx val="3"/>
              <c:layout>
                <c:manualLayout>
                  <c:x val="4.9875311720698253E-3"/>
                  <c:y val="5.176919729953541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CEF-4E15-BF1D-4AE56346CCF2}"/>
                </c:ext>
              </c:extLst>
            </c:dLbl>
            <c:dLbl>
              <c:idx val="4"/>
              <c:layout>
                <c:manualLayout>
                  <c:x val="4.9875311720696423E-3"/>
                  <c:y val="2.626693053742613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CEF-4E15-BF1D-4AE56346CCF2}"/>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ctr"/>
              <c:showLegendKey val="0"/>
              <c:showVal val="1"/>
              <c:showCatName val="0"/>
              <c:showSerName val="0"/>
              <c:showPercent val="0"/>
              <c:showBubbleSize val="0"/>
              <c:extLst>
                <c:ext xmlns:c16="http://schemas.microsoft.com/office/drawing/2014/chart" uri="{C3380CC4-5D6E-409C-BE32-E72D297353CC}">
                  <c16:uniqueId val="{00000003-CCEF-4E15-BF1D-4AE56346CCF2}"/>
                </c:ext>
              </c:extLst>
            </c:dLbl>
            <c:spPr>
              <a:noFill/>
              <a:ln>
                <a:noFill/>
              </a:ln>
              <a:effectLst/>
            </c:spPr>
            <c:txPr>
              <a:bodyPr rot="-5400000" spcFirstLastPara="1" vertOverflow="ellipsis"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Hoja1!$A$2:$A$7</c:f>
              <c:strCache>
                <c:ptCount val="6"/>
                <c:pt idx="0">
                  <c:v>2023 Est.</c:v>
                </c:pt>
                <c:pt idx="1">
                  <c:v>2024 Proy.</c:v>
                </c:pt>
                <c:pt idx="2">
                  <c:v>2025 Proy.</c:v>
                </c:pt>
                <c:pt idx="3">
                  <c:v>2026 Proy.</c:v>
                </c:pt>
                <c:pt idx="4">
                  <c:v>2027 Proy.</c:v>
                </c:pt>
                <c:pt idx="5">
                  <c:v>2028 Proy.</c:v>
                </c:pt>
              </c:strCache>
            </c:strRef>
          </c:cat>
          <c:val>
            <c:numRef>
              <c:f>Hoja1!$B$2:$B$7</c:f>
              <c:numCache>
                <c:formatCode>#,##0.0</c:formatCode>
                <c:ptCount val="6"/>
                <c:pt idx="0">
                  <c:v>-13508.629934310302</c:v>
                </c:pt>
                <c:pt idx="1">
                  <c:v>-14681.121194184758</c:v>
                </c:pt>
                <c:pt idx="2">
                  <c:v>-11419.583966384831</c:v>
                </c:pt>
                <c:pt idx="3">
                  <c:v>-7359.1276669570361</c:v>
                </c:pt>
                <c:pt idx="4">
                  <c:v>-2818.7190709148854</c:v>
                </c:pt>
                <c:pt idx="5">
                  <c:v>756.70187786297174</c:v>
                </c:pt>
              </c:numCache>
            </c:numRef>
          </c:val>
          <c:extLst>
            <c:ext xmlns:c16="http://schemas.microsoft.com/office/drawing/2014/chart" uri="{C3380CC4-5D6E-409C-BE32-E72D297353CC}">
              <c16:uniqueId val="{00000000-8064-4D68-BD29-6ABF59B92A4C}"/>
            </c:ext>
          </c:extLst>
        </c:ser>
        <c:dLbls>
          <c:showLegendKey val="0"/>
          <c:showVal val="0"/>
          <c:showCatName val="0"/>
          <c:showSerName val="0"/>
          <c:showPercent val="0"/>
          <c:showBubbleSize val="0"/>
        </c:dLbls>
        <c:gapWidth val="27"/>
        <c:overlap val="-27"/>
        <c:axId val="1675837791"/>
        <c:axId val="1675846527"/>
      </c:barChart>
      <c:catAx>
        <c:axId val="1675837791"/>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675846527"/>
        <c:crosses val="autoZero"/>
        <c:auto val="1"/>
        <c:lblAlgn val="ctr"/>
        <c:lblOffset val="100"/>
        <c:noMultiLvlLbl val="0"/>
      </c:catAx>
      <c:valAx>
        <c:axId val="1675846527"/>
        <c:scaling>
          <c:orientation val="minMax"/>
          <c:max val="1500"/>
          <c:min val="-20000"/>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675837791"/>
        <c:crosses val="autoZero"/>
        <c:crossBetween val="between"/>
        <c:majorUnit val="35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02879544785201"/>
          <c:y val="0.19323611111111111"/>
          <c:w val="0.86195966859117912"/>
          <c:h val="0.6048768518518518"/>
        </c:manualLayout>
      </c:layout>
      <c:lineChart>
        <c:grouping val="standard"/>
        <c:varyColors val="0"/>
        <c:ser>
          <c:idx val="0"/>
          <c:order val="0"/>
          <c:tx>
            <c:strRef>
              <c:f>UE_1!$B$1</c:f>
              <c:strCache>
                <c:ptCount val="1"/>
                <c:pt idx="0">
                  <c:v>Tasa de politica </c:v>
                </c:pt>
              </c:strCache>
            </c:strRef>
          </c:tx>
          <c:spPr>
            <a:ln w="25400" cap="rnd">
              <a:solidFill>
                <a:srgbClr val="002060"/>
              </a:solidFill>
              <a:round/>
            </a:ln>
            <a:effectLst/>
          </c:spPr>
          <c:marker>
            <c:symbol val="none"/>
          </c:marker>
          <c:dLbls>
            <c:dLbl>
              <c:idx val="0"/>
              <c:layout>
                <c:manualLayout>
                  <c:x val="-0.10142388888888887"/>
                  <c:y val="-5.76231481481481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B7C-4EF5-9AFA-0145BF1A59C4}"/>
                </c:ext>
              </c:extLst>
            </c:dLbl>
            <c:dLbl>
              <c:idx val="23"/>
              <c:layout>
                <c:manualLayout>
                  <c:x val="-1.7333333333333334E-4"/>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B7C-4EF5-9AFA-0145BF1A59C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UE_1!$A$2:$A$25</c:f>
              <c:numCache>
                <c:formatCode>mmm\-yy</c:formatCode>
                <c:ptCount val="24"/>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pt idx="22">
                  <c:v>44866</c:v>
                </c:pt>
                <c:pt idx="23">
                  <c:v>44896</c:v>
                </c:pt>
              </c:numCache>
            </c:numRef>
          </c:cat>
          <c:val>
            <c:numRef>
              <c:f>UE_1!$B$2:$B$25</c:f>
              <c:numCache>
                <c:formatCode>_-* #,##0.0_-;\-* #,##0.0_-;_-* "-"??_-;_-@_-</c:formatCode>
                <c:ptCount val="2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0.5</c:v>
                </c:pt>
                <c:pt idx="19">
                  <c:v>0.5</c:v>
                </c:pt>
                <c:pt idx="20">
                  <c:v>1.25</c:v>
                </c:pt>
                <c:pt idx="21">
                  <c:v>1.25</c:v>
                </c:pt>
                <c:pt idx="22">
                  <c:v>2</c:v>
                </c:pt>
                <c:pt idx="23">
                  <c:v>2.5</c:v>
                </c:pt>
              </c:numCache>
            </c:numRef>
          </c:val>
          <c:smooth val="0"/>
          <c:extLst>
            <c:ext xmlns:c16="http://schemas.microsoft.com/office/drawing/2014/chart" uri="{C3380CC4-5D6E-409C-BE32-E72D297353CC}">
              <c16:uniqueId val="{00000002-6B7C-4EF5-9AFA-0145BF1A59C4}"/>
            </c:ext>
          </c:extLst>
        </c:ser>
        <c:ser>
          <c:idx val="1"/>
          <c:order val="1"/>
          <c:tx>
            <c:strRef>
              <c:f>UE_1!$C$1</c:f>
              <c:strCache>
                <c:ptCount val="1"/>
                <c:pt idx="0">
                  <c:v>Inflación </c:v>
                </c:pt>
              </c:strCache>
            </c:strRef>
          </c:tx>
          <c:spPr>
            <a:ln w="25400" cap="rnd">
              <a:solidFill>
                <a:schemeClr val="accent1"/>
              </a:solidFill>
              <a:round/>
            </a:ln>
            <a:effectLst/>
          </c:spPr>
          <c:marker>
            <c:symbol val="none"/>
          </c:marker>
          <c:dLbls>
            <c:dLbl>
              <c:idx val="0"/>
              <c:layout>
                <c:manualLayout>
                  <c:x val="-0.1146527777777778"/>
                  <c:y val="7.8781481481481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B7C-4EF5-9AFA-0145BF1A59C4}"/>
                </c:ext>
              </c:extLst>
            </c:dLbl>
            <c:dLbl>
              <c:idx val="23"/>
              <c:layout>
                <c:manualLayout>
                  <c:x val="-1.2935035758548312E-16"/>
                  <c:y val="5.37962962962962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B7C-4EF5-9AFA-0145BF1A59C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UE_1!$A$2:$A$25</c:f>
              <c:numCache>
                <c:formatCode>mmm\-yy</c:formatCode>
                <c:ptCount val="24"/>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pt idx="22">
                  <c:v>44866</c:v>
                </c:pt>
                <c:pt idx="23">
                  <c:v>44896</c:v>
                </c:pt>
              </c:numCache>
            </c:numRef>
          </c:cat>
          <c:val>
            <c:numRef>
              <c:f>UE_1!$C$2:$C$25</c:f>
              <c:numCache>
                <c:formatCode>_-* #,##0.0_-;\-* #,##0.0_-;_-* "-"??_-;_-@_-</c:formatCode>
                <c:ptCount val="24"/>
                <c:pt idx="0">
                  <c:v>0.9</c:v>
                </c:pt>
                <c:pt idx="1">
                  <c:v>0.9</c:v>
                </c:pt>
                <c:pt idx="2">
                  <c:v>1.3</c:v>
                </c:pt>
                <c:pt idx="3">
                  <c:v>1.6</c:v>
                </c:pt>
                <c:pt idx="4">
                  <c:v>2</c:v>
                </c:pt>
                <c:pt idx="5">
                  <c:v>1.9</c:v>
                </c:pt>
                <c:pt idx="6">
                  <c:v>2.2000000000000002</c:v>
                </c:pt>
                <c:pt idx="7">
                  <c:v>3</c:v>
                </c:pt>
                <c:pt idx="8">
                  <c:v>3.4</c:v>
                </c:pt>
                <c:pt idx="9">
                  <c:v>4.0999999999999996</c:v>
                </c:pt>
                <c:pt idx="10">
                  <c:v>4.9000000000000004</c:v>
                </c:pt>
                <c:pt idx="11">
                  <c:v>5</c:v>
                </c:pt>
                <c:pt idx="12">
                  <c:v>5.0999999999999996</c:v>
                </c:pt>
                <c:pt idx="13">
                  <c:v>5.9</c:v>
                </c:pt>
                <c:pt idx="14">
                  <c:v>7.4</c:v>
                </c:pt>
                <c:pt idx="15">
                  <c:v>7.4</c:v>
                </c:pt>
                <c:pt idx="16">
                  <c:v>8.1</c:v>
                </c:pt>
                <c:pt idx="17">
                  <c:v>8.6</c:v>
                </c:pt>
                <c:pt idx="18">
                  <c:v>8.9</c:v>
                </c:pt>
                <c:pt idx="19">
                  <c:v>9.1</c:v>
                </c:pt>
                <c:pt idx="20">
                  <c:v>9.9</c:v>
                </c:pt>
                <c:pt idx="21">
                  <c:v>10.6</c:v>
                </c:pt>
                <c:pt idx="22">
                  <c:v>10.1</c:v>
                </c:pt>
                <c:pt idx="23">
                  <c:v>9.1999999999999993</c:v>
                </c:pt>
              </c:numCache>
            </c:numRef>
          </c:val>
          <c:smooth val="0"/>
          <c:extLst>
            <c:ext xmlns:c16="http://schemas.microsoft.com/office/drawing/2014/chart" uri="{C3380CC4-5D6E-409C-BE32-E72D297353CC}">
              <c16:uniqueId val="{00000005-6B7C-4EF5-9AFA-0145BF1A59C4}"/>
            </c:ext>
          </c:extLst>
        </c:ser>
        <c:dLbls>
          <c:showLegendKey val="0"/>
          <c:showVal val="0"/>
          <c:showCatName val="0"/>
          <c:showSerName val="0"/>
          <c:showPercent val="0"/>
          <c:showBubbleSize val="0"/>
        </c:dLbls>
        <c:smooth val="0"/>
        <c:axId val="997090992"/>
        <c:axId val="997091408"/>
      </c:lineChart>
      <c:dateAx>
        <c:axId val="997090992"/>
        <c:scaling>
          <c:orientation val="minMax"/>
        </c:scaling>
        <c:delete val="0"/>
        <c:axPos val="b"/>
        <c:numFmt formatCode="mmm\-yy"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97091408"/>
        <c:crosses val="autoZero"/>
        <c:auto val="1"/>
        <c:lblOffset val="100"/>
        <c:baseTimeUnit val="months"/>
      </c:dateAx>
      <c:valAx>
        <c:axId val="997091408"/>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97090992"/>
        <c:crosses val="autoZero"/>
        <c:crossBetween val="between"/>
        <c:majorUnit val="2"/>
      </c:valAx>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293170763626845"/>
          <c:y val="3.287645376729028E-2"/>
          <c:w val="0.83722860819682854"/>
          <c:h val="0.69250489815533622"/>
        </c:manualLayout>
      </c:layout>
      <c:barChart>
        <c:barDir val="col"/>
        <c:grouping val="stacked"/>
        <c:varyColors val="0"/>
        <c:ser>
          <c:idx val="0"/>
          <c:order val="0"/>
          <c:tx>
            <c:strRef>
              <c:f>Hoja1!$B$1</c:f>
              <c:strCache>
                <c:ptCount val="1"/>
                <c:pt idx="0">
                  <c:v>Financiamiento externo neto</c:v>
                </c:pt>
              </c:strCache>
            </c:strRef>
          </c:tx>
          <c:spPr>
            <a:solidFill>
              <a:schemeClr val="accent4">
                <a:lumMod val="60000"/>
                <a:lumOff val="40000"/>
              </a:schemeClr>
            </a:solidFill>
            <a:ln>
              <a:solidFill>
                <a:schemeClr val="tx1"/>
              </a:solidFill>
            </a:ln>
            <a:effectLst/>
          </c:spPr>
          <c:invertIfNegative val="0"/>
          <c:cat>
            <c:strRef>
              <c:f>Hoja1!$A$2:$A$7</c:f>
              <c:strCache>
                <c:ptCount val="6"/>
                <c:pt idx="0">
                  <c:v>2023 Est.</c:v>
                </c:pt>
                <c:pt idx="1">
                  <c:v>2024</c:v>
                </c:pt>
                <c:pt idx="2">
                  <c:v>2025</c:v>
                </c:pt>
                <c:pt idx="3">
                  <c:v>2026</c:v>
                </c:pt>
                <c:pt idx="4">
                  <c:v>2027</c:v>
                </c:pt>
                <c:pt idx="5">
                  <c:v>2028</c:v>
                </c:pt>
              </c:strCache>
            </c:strRef>
          </c:cat>
          <c:val>
            <c:numRef>
              <c:f>Hoja1!$B$2:$B$7</c:f>
              <c:numCache>
                <c:formatCode>#,##0.0</c:formatCode>
                <c:ptCount val="6"/>
                <c:pt idx="0">
                  <c:v>7585.6100000000006</c:v>
                </c:pt>
                <c:pt idx="1">
                  <c:v>-1193.9166199999995</c:v>
                </c:pt>
                <c:pt idx="2">
                  <c:v>-1517.1709299999998</c:v>
                </c:pt>
                <c:pt idx="3">
                  <c:v>-2525.9561000000003</c:v>
                </c:pt>
                <c:pt idx="4">
                  <c:v>-2294.0652</c:v>
                </c:pt>
                <c:pt idx="5">
                  <c:v>-3283.2698</c:v>
                </c:pt>
              </c:numCache>
            </c:numRef>
          </c:val>
          <c:extLst>
            <c:ext xmlns:c16="http://schemas.microsoft.com/office/drawing/2014/chart" uri="{C3380CC4-5D6E-409C-BE32-E72D297353CC}">
              <c16:uniqueId val="{00000000-D6C5-4622-800D-C745EE0920C9}"/>
            </c:ext>
          </c:extLst>
        </c:ser>
        <c:ser>
          <c:idx val="1"/>
          <c:order val="1"/>
          <c:tx>
            <c:strRef>
              <c:f>Hoja1!$C$1</c:f>
              <c:strCache>
                <c:ptCount val="1"/>
                <c:pt idx="0">
                  <c:v>Costo Política Monetaria</c:v>
                </c:pt>
              </c:strCache>
            </c:strRef>
          </c:tx>
          <c:spPr>
            <a:solidFill>
              <a:schemeClr val="accent3"/>
            </a:solidFill>
            <a:ln>
              <a:solidFill>
                <a:schemeClr val="tx1"/>
              </a:solidFill>
            </a:ln>
            <a:effectLst/>
          </c:spPr>
          <c:invertIfNegative val="0"/>
          <c:cat>
            <c:strRef>
              <c:f>Hoja1!$A$2:$A$7</c:f>
              <c:strCache>
                <c:ptCount val="6"/>
                <c:pt idx="0">
                  <c:v>2023 Est.</c:v>
                </c:pt>
                <c:pt idx="1">
                  <c:v>2024</c:v>
                </c:pt>
                <c:pt idx="2">
                  <c:v>2025</c:v>
                </c:pt>
                <c:pt idx="3">
                  <c:v>2026</c:v>
                </c:pt>
                <c:pt idx="4">
                  <c:v>2027</c:v>
                </c:pt>
                <c:pt idx="5">
                  <c:v>2028</c:v>
                </c:pt>
              </c:strCache>
            </c:strRef>
          </c:cat>
          <c:val>
            <c:numRef>
              <c:f>Hoja1!$C$2:$C$7</c:f>
              <c:numCache>
                <c:formatCode>#,##0.0</c:formatCode>
                <c:ptCount val="6"/>
                <c:pt idx="0">
                  <c:v>54.5</c:v>
                </c:pt>
                <c:pt idx="1">
                  <c:v>2473.99161</c:v>
                </c:pt>
                <c:pt idx="2">
                  <c:v>0</c:v>
                </c:pt>
                <c:pt idx="3">
                  <c:v>0</c:v>
                </c:pt>
                <c:pt idx="4">
                  <c:v>0</c:v>
                </c:pt>
                <c:pt idx="5">
                  <c:v>0</c:v>
                </c:pt>
              </c:numCache>
            </c:numRef>
          </c:val>
          <c:extLst>
            <c:ext xmlns:c16="http://schemas.microsoft.com/office/drawing/2014/chart" uri="{C3380CC4-5D6E-409C-BE32-E72D297353CC}">
              <c16:uniqueId val="{00000001-D6C5-4622-800D-C745EE0920C9}"/>
            </c:ext>
          </c:extLst>
        </c:ser>
        <c:ser>
          <c:idx val="2"/>
          <c:order val="2"/>
          <c:tx>
            <c:strRef>
              <c:f>Hoja1!$D$1</c:f>
              <c:strCache>
                <c:ptCount val="1"/>
                <c:pt idx="0">
                  <c:v>Colocación Bonos del Tesoro</c:v>
                </c:pt>
              </c:strCache>
            </c:strRef>
          </c:tx>
          <c:spPr>
            <a:solidFill>
              <a:schemeClr val="accent5"/>
            </a:solidFill>
            <a:ln>
              <a:solidFill>
                <a:schemeClr val="tx1"/>
              </a:solidFill>
            </a:ln>
            <a:effectLst/>
          </c:spPr>
          <c:invertIfNegative val="0"/>
          <c:cat>
            <c:strRef>
              <c:f>Hoja1!$A$2:$A$7</c:f>
              <c:strCache>
                <c:ptCount val="6"/>
                <c:pt idx="0">
                  <c:v>2023 Est.</c:v>
                </c:pt>
                <c:pt idx="1">
                  <c:v>2024</c:v>
                </c:pt>
                <c:pt idx="2">
                  <c:v>2025</c:v>
                </c:pt>
                <c:pt idx="3">
                  <c:v>2026</c:v>
                </c:pt>
                <c:pt idx="4">
                  <c:v>2027</c:v>
                </c:pt>
                <c:pt idx="5">
                  <c:v>2028</c:v>
                </c:pt>
              </c:strCache>
            </c:strRef>
          </c:cat>
          <c:val>
            <c:numRef>
              <c:f>Hoja1!$D$2:$D$7</c:f>
              <c:numCache>
                <c:formatCode>#,##0.0</c:formatCode>
                <c:ptCount val="6"/>
                <c:pt idx="0">
                  <c:v>3153.4899999999984</c:v>
                </c:pt>
                <c:pt idx="1">
                  <c:v>10587.185000000001</c:v>
                </c:pt>
                <c:pt idx="2">
                  <c:v>12804.203000000001</c:v>
                </c:pt>
                <c:pt idx="3">
                  <c:v>9779.4279999999999</c:v>
                </c:pt>
                <c:pt idx="4">
                  <c:v>5057.5969999999998</c:v>
                </c:pt>
                <c:pt idx="5">
                  <c:v>2476.029</c:v>
                </c:pt>
              </c:numCache>
            </c:numRef>
          </c:val>
          <c:extLst>
            <c:ext xmlns:c16="http://schemas.microsoft.com/office/drawing/2014/chart" uri="{C3380CC4-5D6E-409C-BE32-E72D297353CC}">
              <c16:uniqueId val="{00000002-D6C5-4622-800D-C745EE0920C9}"/>
            </c:ext>
          </c:extLst>
        </c:ser>
        <c:ser>
          <c:idx val="3"/>
          <c:order val="3"/>
          <c:tx>
            <c:strRef>
              <c:f>Hoja1!$E$1</c:f>
              <c:strCache>
                <c:ptCount val="1"/>
                <c:pt idx="0">
                  <c:v>Uso de caja</c:v>
                </c:pt>
              </c:strCache>
            </c:strRef>
          </c:tx>
          <c:spPr>
            <a:solidFill>
              <a:schemeClr val="accent1">
                <a:lumMod val="60000"/>
              </a:schemeClr>
            </a:solidFill>
            <a:ln>
              <a:solidFill>
                <a:schemeClr val="tx1"/>
              </a:solidFill>
            </a:ln>
            <a:effectLst/>
          </c:spPr>
          <c:invertIfNegative val="0"/>
          <c:cat>
            <c:strRef>
              <c:f>Hoja1!$A$2:$A$7</c:f>
              <c:strCache>
                <c:ptCount val="6"/>
                <c:pt idx="0">
                  <c:v>2023 Est.</c:v>
                </c:pt>
                <c:pt idx="1">
                  <c:v>2024</c:v>
                </c:pt>
                <c:pt idx="2">
                  <c:v>2025</c:v>
                </c:pt>
                <c:pt idx="3">
                  <c:v>2026</c:v>
                </c:pt>
                <c:pt idx="4">
                  <c:v>2027</c:v>
                </c:pt>
                <c:pt idx="5">
                  <c:v>2028</c:v>
                </c:pt>
              </c:strCache>
            </c:strRef>
          </c:cat>
          <c:val>
            <c:numRef>
              <c:f>Hoja1!$E$2:$E$7</c:f>
              <c:numCache>
                <c:formatCode>#,##0.0</c:formatCode>
                <c:ptCount val="6"/>
                <c:pt idx="0">
                  <c:v>2824.0299343103029</c:v>
                </c:pt>
                <c:pt idx="1">
                  <c:v>7761.8444241847565</c:v>
                </c:pt>
                <c:pt idx="2">
                  <c:v>132.55189638482989</c:v>
                </c:pt>
                <c:pt idx="3">
                  <c:v>105.65576695703567</c:v>
                </c:pt>
                <c:pt idx="4">
                  <c:v>55.18727091488563</c:v>
                </c:pt>
                <c:pt idx="5">
                  <c:v>50.538922137028294</c:v>
                </c:pt>
              </c:numCache>
            </c:numRef>
          </c:val>
          <c:extLst>
            <c:ext xmlns:c16="http://schemas.microsoft.com/office/drawing/2014/chart" uri="{C3380CC4-5D6E-409C-BE32-E72D297353CC}">
              <c16:uniqueId val="{00000003-D6C5-4622-800D-C745EE0920C9}"/>
            </c:ext>
          </c:extLst>
        </c:ser>
        <c:dLbls>
          <c:showLegendKey val="0"/>
          <c:showVal val="0"/>
          <c:showCatName val="0"/>
          <c:showSerName val="0"/>
          <c:showPercent val="0"/>
          <c:showBubbleSize val="0"/>
        </c:dLbls>
        <c:gapWidth val="28"/>
        <c:overlap val="100"/>
        <c:axId val="1577659551"/>
        <c:axId val="1577656223"/>
      </c:barChart>
      <c:catAx>
        <c:axId val="1577659551"/>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577656223"/>
        <c:crosses val="autoZero"/>
        <c:auto val="1"/>
        <c:lblAlgn val="ctr"/>
        <c:lblOffset val="100"/>
        <c:noMultiLvlLbl val="0"/>
      </c:catAx>
      <c:valAx>
        <c:axId val="1577656223"/>
        <c:scaling>
          <c:orientation val="minMax"/>
          <c:max val="23000"/>
          <c:min val="-3500"/>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577659551"/>
        <c:crosses val="autoZero"/>
        <c:crossBetween val="between"/>
      </c:valAx>
      <c:spPr>
        <a:noFill/>
        <a:ln>
          <a:noFill/>
        </a:ln>
        <a:effectLst/>
      </c:spPr>
    </c:plotArea>
    <c:legend>
      <c:legendPos val="b"/>
      <c:layout>
        <c:manualLayout>
          <c:xMode val="edge"/>
          <c:yMode val="edge"/>
          <c:x val="0"/>
          <c:y val="0.86625879511539927"/>
          <c:w val="0.98472184462284229"/>
          <c:h val="0.1337414845616208"/>
        </c:manualLayout>
      </c:layout>
      <c:overlay val="0"/>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lumMod val="60000"/>
                <a:lumOff val="40000"/>
              </a:schemeClr>
            </a:solidFill>
            <a:ln>
              <a:solidFill>
                <a:sysClr val="windowText" lastClr="000000"/>
              </a:solidFill>
            </a:ln>
            <a:effectLst/>
          </c:spPr>
          <c:invertIfNegative val="0"/>
          <c:dPt>
            <c:idx val="0"/>
            <c:invertIfNegative val="0"/>
            <c:bubble3D val="0"/>
            <c:spPr>
              <a:solidFill>
                <a:srgbClr val="002060"/>
              </a:solidFill>
              <a:ln>
                <a:solidFill>
                  <a:sysClr val="windowText" lastClr="000000"/>
                </a:solidFill>
              </a:ln>
              <a:effectLst/>
            </c:spPr>
            <c:extLst>
              <c:ext xmlns:c16="http://schemas.microsoft.com/office/drawing/2014/chart" uri="{C3380CC4-5D6E-409C-BE32-E72D297353CC}">
                <c16:uniqueId val="{00000001-BE04-428E-8D13-E38C2D269329}"/>
              </c:ext>
            </c:extLst>
          </c:dPt>
          <c:dPt>
            <c:idx val="1"/>
            <c:invertIfNegative val="0"/>
            <c:bubble3D val="0"/>
            <c:spPr>
              <a:solidFill>
                <a:srgbClr val="002060"/>
              </a:solidFill>
              <a:ln>
                <a:solidFill>
                  <a:sysClr val="windowText" lastClr="000000"/>
                </a:solidFill>
              </a:ln>
              <a:effectLst/>
            </c:spPr>
            <c:extLst>
              <c:ext xmlns:c16="http://schemas.microsoft.com/office/drawing/2014/chart" uri="{C3380CC4-5D6E-409C-BE32-E72D297353CC}">
                <c16:uniqueId val="{00000003-BE04-428E-8D13-E38C2D269329}"/>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'Indicadores de deuda'!$AB$89:$AI$89</c:f>
              <c:numCache>
                <c:formatCode>General</c:formatCode>
                <c:ptCount val="8"/>
                <c:pt idx="0">
                  <c:v>2021</c:v>
                </c:pt>
                <c:pt idx="1">
                  <c:v>2022</c:v>
                </c:pt>
                <c:pt idx="2">
                  <c:v>2023</c:v>
                </c:pt>
                <c:pt idx="3">
                  <c:v>2024</c:v>
                </c:pt>
                <c:pt idx="4">
                  <c:v>2025</c:v>
                </c:pt>
                <c:pt idx="5">
                  <c:v>2026</c:v>
                </c:pt>
                <c:pt idx="6">
                  <c:v>2027</c:v>
                </c:pt>
                <c:pt idx="7">
                  <c:v>2028</c:v>
                </c:pt>
              </c:numCache>
            </c:numRef>
          </c:cat>
          <c:val>
            <c:numRef>
              <c:f>'Indicadores de deuda'!$AB$90:$AI$90</c:f>
              <c:numCache>
                <c:formatCode>_-* #,##0.0_-;\-* #,##0.0_-;_-* "-"??_-;_-@_-</c:formatCode>
                <c:ptCount val="8"/>
                <c:pt idx="0">
                  <c:v>30.750579824097606</c:v>
                </c:pt>
                <c:pt idx="1">
                  <c:v>29.174396726571743</c:v>
                </c:pt>
                <c:pt idx="2">
                  <c:v>28.425119858440446</c:v>
                </c:pt>
                <c:pt idx="3">
                  <c:v>27.876110469636451</c:v>
                </c:pt>
                <c:pt idx="4">
                  <c:v>27.526035587382292</c:v>
                </c:pt>
                <c:pt idx="5">
                  <c:v>26.645274857682523</c:v>
                </c:pt>
                <c:pt idx="6">
                  <c:v>25.322144596050254</c:v>
                </c:pt>
                <c:pt idx="7">
                  <c:v>23.733960828448382</c:v>
                </c:pt>
              </c:numCache>
            </c:numRef>
          </c:val>
          <c:extLst>
            <c:ext xmlns:c16="http://schemas.microsoft.com/office/drawing/2014/chart" uri="{C3380CC4-5D6E-409C-BE32-E72D297353CC}">
              <c16:uniqueId val="{00000004-BE04-428E-8D13-E38C2D269329}"/>
            </c:ext>
          </c:extLst>
        </c:ser>
        <c:dLbls>
          <c:showLegendKey val="0"/>
          <c:showVal val="0"/>
          <c:showCatName val="0"/>
          <c:showSerName val="0"/>
          <c:showPercent val="0"/>
          <c:showBubbleSize val="0"/>
        </c:dLbls>
        <c:gapWidth val="40"/>
        <c:overlap val="-27"/>
        <c:axId val="1883116159"/>
        <c:axId val="1883125311"/>
      </c:barChart>
      <c:catAx>
        <c:axId val="18831161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883125311"/>
        <c:crosses val="autoZero"/>
        <c:auto val="1"/>
        <c:lblAlgn val="ctr"/>
        <c:lblOffset val="100"/>
        <c:noMultiLvlLbl val="0"/>
      </c:catAx>
      <c:valAx>
        <c:axId val="1883125311"/>
        <c:scaling>
          <c:orientation val="minMax"/>
          <c:max val="34"/>
        </c:scaling>
        <c:delete val="1"/>
        <c:axPos val="l"/>
        <c:numFmt formatCode="_-* #,##0.0_-;\-* #,##0.0_-;_-* &quot;-&quot;??_-;_-@_-" sourceLinked="1"/>
        <c:majorTickMark val="out"/>
        <c:minorTickMark val="none"/>
        <c:tickLblPos val="nextTo"/>
        <c:crossAx val="18831161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4">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5436507936507937E-2"/>
          <c:y val="3.852761051927333E-2"/>
          <c:w val="0.91432539682539682"/>
          <c:h val="0.78377077865266842"/>
        </c:manualLayout>
      </c:layout>
      <c:barChart>
        <c:barDir val="col"/>
        <c:grouping val="clustered"/>
        <c:varyColors val="0"/>
        <c:ser>
          <c:idx val="0"/>
          <c:order val="0"/>
          <c:spPr>
            <a:solidFill>
              <a:schemeClr val="accent6">
                <a:lumMod val="60000"/>
                <a:lumOff val="40000"/>
              </a:schemeClr>
            </a:solidFill>
            <a:ln w="3175">
              <a:solidFill>
                <a:schemeClr val="tx1"/>
              </a:solidFill>
            </a:ln>
            <a:effectLst/>
          </c:spPr>
          <c:invertIfNegative val="0"/>
          <c:dPt>
            <c:idx val="0"/>
            <c:invertIfNegative val="0"/>
            <c:bubble3D val="0"/>
            <c:spPr>
              <a:solidFill>
                <a:schemeClr val="accent6">
                  <a:lumMod val="50000"/>
                </a:schemeClr>
              </a:solidFill>
              <a:ln w="3175">
                <a:solidFill>
                  <a:schemeClr val="tx1"/>
                </a:solidFill>
              </a:ln>
              <a:effectLst/>
            </c:spPr>
            <c:extLst>
              <c:ext xmlns:c16="http://schemas.microsoft.com/office/drawing/2014/chart" uri="{C3380CC4-5D6E-409C-BE32-E72D297353CC}">
                <c16:uniqueId val="{00000001-E0EF-44A8-AA24-4BA43C4A44B8}"/>
              </c:ext>
            </c:extLst>
          </c:dPt>
          <c:dPt>
            <c:idx val="1"/>
            <c:invertIfNegative val="0"/>
            <c:bubble3D val="0"/>
            <c:spPr>
              <a:solidFill>
                <a:schemeClr val="accent6">
                  <a:lumMod val="50000"/>
                </a:schemeClr>
              </a:solidFill>
              <a:ln w="3175">
                <a:solidFill>
                  <a:schemeClr val="tx1"/>
                </a:solidFill>
              </a:ln>
              <a:effectLst/>
            </c:spPr>
            <c:extLst>
              <c:ext xmlns:c16="http://schemas.microsoft.com/office/drawing/2014/chart" uri="{C3380CC4-5D6E-409C-BE32-E72D297353CC}">
                <c16:uniqueId val="{00000003-E0EF-44A8-AA24-4BA43C4A44B8}"/>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6">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'[ASD 2023-2028 Riesgos fiscales.xlsm]Indicadores de deuda'!$AB$89:$AI$89</c:f>
              <c:numCache>
                <c:formatCode>General</c:formatCode>
                <c:ptCount val="8"/>
                <c:pt idx="0">
                  <c:v>2021</c:v>
                </c:pt>
                <c:pt idx="1">
                  <c:v>2022</c:v>
                </c:pt>
                <c:pt idx="2">
                  <c:v>2023</c:v>
                </c:pt>
                <c:pt idx="3">
                  <c:v>2024</c:v>
                </c:pt>
                <c:pt idx="4">
                  <c:v>2025</c:v>
                </c:pt>
                <c:pt idx="5">
                  <c:v>2026</c:v>
                </c:pt>
                <c:pt idx="6">
                  <c:v>2027</c:v>
                </c:pt>
                <c:pt idx="7">
                  <c:v>2028</c:v>
                </c:pt>
              </c:numCache>
            </c:numRef>
          </c:cat>
          <c:val>
            <c:numRef>
              <c:f>'[ASD 2023-2028 Riesgos fiscales.xlsm]Indicadores de deuda'!$AB$91:$AI$91</c:f>
              <c:numCache>
                <c:formatCode>_-* #,##0.0_-;\-* #,##0.0_-;_-* "-"??_-;_-@_-</c:formatCode>
                <c:ptCount val="8"/>
                <c:pt idx="0">
                  <c:v>248.69804107438699</c:v>
                </c:pt>
                <c:pt idx="1">
                  <c:v>230.51337699275854</c:v>
                </c:pt>
                <c:pt idx="2">
                  <c:v>230.61707271441293</c:v>
                </c:pt>
                <c:pt idx="3">
                  <c:v>227.19348887093642</c:v>
                </c:pt>
                <c:pt idx="4">
                  <c:v>222.62439034759089</c:v>
                </c:pt>
                <c:pt idx="5">
                  <c:v>213.97716178357356</c:v>
                </c:pt>
                <c:pt idx="6">
                  <c:v>201.9890943237744</c:v>
                </c:pt>
                <c:pt idx="7">
                  <c:v>188.05454690603355</c:v>
                </c:pt>
              </c:numCache>
            </c:numRef>
          </c:val>
          <c:extLst>
            <c:ext xmlns:c16="http://schemas.microsoft.com/office/drawing/2014/chart" uri="{C3380CC4-5D6E-409C-BE32-E72D297353CC}">
              <c16:uniqueId val="{00000004-E0EF-44A8-AA24-4BA43C4A44B8}"/>
            </c:ext>
          </c:extLst>
        </c:ser>
        <c:dLbls>
          <c:showLegendKey val="0"/>
          <c:showVal val="0"/>
          <c:showCatName val="0"/>
          <c:showSerName val="0"/>
          <c:showPercent val="0"/>
          <c:showBubbleSize val="0"/>
        </c:dLbls>
        <c:gapWidth val="40"/>
        <c:overlap val="-27"/>
        <c:axId val="1883116159"/>
        <c:axId val="1883125311"/>
      </c:barChart>
      <c:catAx>
        <c:axId val="18831161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883125311"/>
        <c:crosses val="autoZero"/>
        <c:auto val="1"/>
        <c:lblAlgn val="ctr"/>
        <c:lblOffset val="100"/>
        <c:noMultiLvlLbl val="0"/>
      </c:catAx>
      <c:valAx>
        <c:axId val="1883125311"/>
        <c:scaling>
          <c:orientation val="minMax"/>
        </c:scaling>
        <c:delete val="1"/>
        <c:axPos val="l"/>
        <c:numFmt formatCode="_-* #,##0.0_-;\-* #,##0.0_-;_-* &quot;-&quot;??_-;_-@_-" sourceLinked="1"/>
        <c:majorTickMark val="none"/>
        <c:minorTickMark val="none"/>
        <c:tickLblPos val="nextTo"/>
        <c:crossAx val="1883116159"/>
        <c:crosses val="autoZero"/>
        <c:crossBetween val="between"/>
      </c:valAx>
    </c:plotArea>
    <c:plotVisOnly val="1"/>
    <c:dispBlanksAs val="gap"/>
    <c:showDLblsOverMax val="0"/>
    <c:extLst/>
  </c:chart>
  <c:spPr>
    <a:ln>
      <a:noFill/>
    </a:ln>
  </c:spPr>
  <c:txPr>
    <a:bodyPr/>
    <a:lstStyle/>
    <a:p>
      <a:pPr>
        <a:defRPr/>
      </a:pPr>
      <a:endParaRPr lang="es-GT"/>
    </a:p>
  </c:txPr>
  <c:externalData r:id="rId1">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1100" b="1">
                <a:latin typeface="Times New Roman" panose="02020603050405020304" pitchFamily="18" charset="0"/>
                <a:cs typeface="Times New Roman" panose="02020603050405020304" pitchFamily="18" charset="0"/>
              </a:rPr>
              <a:t>Flujos de creación de deuda</a:t>
            </a:r>
          </a:p>
        </c:rich>
      </c:tx>
      <c:layout>
        <c:manualLayout>
          <c:xMode val="edge"/>
          <c:yMode val="edge"/>
          <c:x val="6.9206387070803455E-2"/>
          <c:y val="2.9677777777777779E-2"/>
        </c:manualLayout>
      </c:layout>
      <c:overlay val="1"/>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autoTitleDeleted val="0"/>
    <c:plotArea>
      <c:layout>
        <c:manualLayout>
          <c:layoutTarget val="inner"/>
          <c:xMode val="edge"/>
          <c:yMode val="edge"/>
          <c:x val="4.4879437716025407E-2"/>
          <c:y val="4.8758865248226951E-2"/>
          <c:w val="0.93628648156648575"/>
          <c:h val="0.74218777777777778"/>
        </c:manualLayout>
      </c:layout>
      <c:barChart>
        <c:barDir val="col"/>
        <c:grouping val="stacked"/>
        <c:varyColors val="0"/>
        <c:ser>
          <c:idx val="0"/>
          <c:order val="0"/>
          <c:tx>
            <c:strRef>
              <c:f>'Baseline debt'!$B$154</c:f>
              <c:strCache>
                <c:ptCount val="1"/>
                <c:pt idx="0">
                  <c:v>Deficit primario</c:v>
                </c:pt>
              </c:strCache>
            </c:strRef>
          </c:tx>
          <c:spPr>
            <a:gradFill flip="none" rotWithShape="1">
              <a:gsLst>
                <a:gs pos="0">
                  <a:schemeClr val="accent4">
                    <a:lumMod val="67000"/>
                  </a:schemeClr>
                </a:gs>
                <a:gs pos="48000">
                  <a:schemeClr val="accent4">
                    <a:lumMod val="97000"/>
                    <a:lumOff val="3000"/>
                  </a:schemeClr>
                </a:gs>
                <a:gs pos="100000">
                  <a:schemeClr val="accent4">
                    <a:lumMod val="60000"/>
                    <a:lumOff val="40000"/>
                  </a:schemeClr>
                </a:gs>
              </a:gsLst>
              <a:lin ang="16200000" scaled="1"/>
              <a:tileRect/>
            </a:gradFill>
            <a:ln>
              <a:solidFill>
                <a:schemeClr val="tx1"/>
              </a:solidFill>
            </a:ln>
            <a:effectLst>
              <a:outerShdw blurRad="50800" dist="38100" dir="5400000" algn="t" rotWithShape="0">
                <a:prstClr val="black">
                  <a:alpha val="40000"/>
                </a:prstClr>
              </a:outerShdw>
            </a:effectLst>
          </c:spPr>
          <c:invertIfNegative val="0"/>
          <c:cat>
            <c:numRef>
              <c:f>'Baseline debt'!$O$101:$AC$101</c:f>
              <c:numCache>
                <c:formatCode>General</c:formatCode>
                <c:ptCount val="15"/>
                <c:pt idx="0">
                  <c:v>2014</c:v>
                </c:pt>
                <c:pt idx="1">
                  <c:v>2015</c:v>
                </c:pt>
                <c:pt idx="2">
                  <c:v>2016</c:v>
                </c:pt>
                <c:pt idx="3">
                  <c:v>2017</c:v>
                </c:pt>
                <c:pt idx="4">
                  <c:v>2018</c:v>
                </c:pt>
                <c:pt idx="5">
                  <c:v>2019</c:v>
                </c:pt>
                <c:pt idx="6">
                  <c:v>2020</c:v>
                </c:pt>
                <c:pt idx="7">
                  <c:v>2021</c:v>
                </c:pt>
                <c:pt idx="8">
                  <c:v>2022</c:v>
                </c:pt>
                <c:pt idx="9">
                  <c:v>2023</c:v>
                </c:pt>
                <c:pt idx="10">
                  <c:v>2024</c:v>
                </c:pt>
                <c:pt idx="11">
                  <c:v>2025</c:v>
                </c:pt>
                <c:pt idx="12">
                  <c:v>2026</c:v>
                </c:pt>
                <c:pt idx="13">
                  <c:v>2027</c:v>
                </c:pt>
                <c:pt idx="14">
                  <c:v>2028</c:v>
                </c:pt>
              </c:numCache>
            </c:numRef>
          </c:cat>
          <c:val>
            <c:numRef>
              <c:f>'Baseline debt'!$O$154:$AC$154</c:f>
              <c:numCache>
                <c:formatCode>_-* #,##0.0_-;\-* #,##0.0_-;_-* "-"??_-;_-@_-</c:formatCode>
                <c:ptCount val="15"/>
                <c:pt idx="0">
                  <c:v>0.44960223336676997</c:v>
                </c:pt>
                <c:pt idx="1">
                  <c:v>-0.12799145099036124</c:v>
                </c:pt>
                <c:pt idx="2">
                  <c:v>-0.42859395090087027</c:v>
                </c:pt>
                <c:pt idx="3">
                  <c:v>-0.13584839390330039</c:v>
                </c:pt>
                <c:pt idx="4">
                  <c:v>0.34189152136091217</c:v>
                </c:pt>
                <c:pt idx="5">
                  <c:v>0.6047093016075884</c:v>
                </c:pt>
                <c:pt idx="6">
                  <c:v>3.1881966346445125</c:v>
                </c:pt>
                <c:pt idx="7">
                  <c:v>-0.56718374536972327</c:v>
                </c:pt>
                <c:pt idx="8">
                  <c:v>3.9355873624689508E-2</c:v>
                </c:pt>
                <c:pt idx="9" formatCode="_(* #,##0.00_);_(* \(#,##0.00\);_(* &quot;-&quot;??_);_(@_)">
                  <c:v>6.2516368494801355E-2</c:v>
                </c:pt>
                <c:pt idx="10">
                  <c:v>0.13363321949901774</c:v>
                </c:pt>
                <c:pt idx="11">
                  <c:v>-0.33244825378208631</c:v>
                </c:pt>
                <c:pt idx="12">
                  <c:v>-0.73676663587920643</c:v>
                </c:pt>
                <c:pt idx="13">
                  <c:v>-1.1916877730483169</c:v>
                </c:pt>
                <c:pt idx="14">
                  <c:v>-1.5164975791974484</c:v>
                </c:pt>
              </c:numCache>
            </c:numRef>
          </c:val>
          <c:extLst>
            <c:ext xmlns:c16="http://schemas.microsoft.com/office/drawing/2014/chart" uri="{C3380CC4-5D6E-409C-BE32-E72D297353CC}">
              <c16:uniqueId val="{00000000-EDE0-4584-BC3C-6732E43BD7B5}"/>
            </c:ext>
          </c:extLst>
        </c:ser>
        <c:ser>
          <c:idx val="1"/>
          <c:order val="1"/>
          <c:tx>
            <c:strRef>
              <c:f>'Baseline debt'!$B$159</c:f>
              <c:strCache>
                <c:ptCount val="1"/>
                <c:pt idx="0">
                  <c:v>Tasa de interes real</c:v>
                </c:pt>
              </c:strCache>
            </c:strRef>
          </c:tx>
          <c:spPr>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solidFill>
                <a:schemeClr val="tx1"/>
              </a:solidFill>
            </a:ln>
            <a:effectLst>
              <a:outerShdw blurRad="50800" dist="38100" dir="5400000" algn="t" rotWithShape="0">
                <a:prstClr val="black">
                  <a:alpha val="40000"/>
                </a:prstClr>
              </a:outerShdw>
            </a:effectLst>
          </c:spPr>
          <c:invertIfNegative val="1"/>
          <c:cat>
            <c:numRef>
              <c:f>'Baseline debt'!$O$101:$AC$101</c:f>
              <c:numCache>
                <c:formatCode>General</c:formatCode>
                <c:ptCount val="15"/>
                <c:pt idx="0">
                  <c:v>2014</c:v>
                </c:pt>
                <c:pt idx="1">
                  <c:v>2015</c:v>
                </c:pt>
                <c:pt idx="2">
                  <c:v>2016</c:v>
                </c:pt>
                <c:pt idx="3">
                  <c:v>2017</c:v>
                </c:pt>
                <c:pt idx="4">
                  <c:v>2018</c:v>
                </c:pt>
                <c:pt idx="5">
                  <c:v>2019</c:v>
                </c:pt>
                <c:pt idx="6">
                  <c:v>2020</c:v>
                </c:pt>
                <c:pt idx="7">
                  <c:v>2021</c:v>
                </c:pt>
                <c:pt idx="8">
                  <c:v>2022</c:v>
                </c:pt>
                <c:pt idx="9">
                  <c:v>2023</c:v>
                </c:pt>
                <c:pt idx="10">
                  <c:v>2024</c:v>
                </c:pt>
                <c:pt idx="11">
                  <c:v>2025</c:v>
                </c:pt>
                <c:pt idx="12">
                  <c:v>2026</c:v>
                </c:pt>
                <c:pt idx="13">
                  <c:v>2027</c:v>
                </c:pt>
                <c:pt idx="14">
                  <c:v>2028</c:v>
                </c:pt>
              </c:numCache>
            </c:numRef>
          </c:cat>
          <c:val>
            <c:numRef>
              <c:f>'Baseline debt'!$O$159:$AC$159</c:f>
              <c:numCache>
                <c:formatCode>_-* #,##0.0_-;\-* #,##0.0_-;_-* "-"??_-;_-@_-</c:formatCode>
                <c:ptCount val="15"/>
                <c:pt idx="0">
                  <c:v>0.7605099740453295</c:v>
                </c:pt>
                <c:pt idx="1">
                  <c:v>1.0450711210302279</c:v>
                </c:pt>
                <c:pt idx="2">
                  <c:v>0.86564510542295248</c:v>
                </c:pt>
                <c:pt idx="3">
                  <c:v>1.0771211997008605</c:v>
                </c:pt>
                <c:pt idx="4">
                  <c:v>1.2136502920147674</c:v>
                </c:pt>
                <c:pt idx="5">
                  <c:v>0.6988784755206856</c:v>
                </c:pt>
                <c:pt idx="6">
                  <c:v>0.95790614515702854</c:v>
                </c:pt>
                <c:pt idx="7">
                  <c:v>0.88647622418902372</c:v>
                </c:pt>
                <c:pt idx="8">
                  <c:v>-0.12514278461191372</c:v>
                </c:pt>
                <c:pt idx="9" formatCode="_(* #,##0.00_);_(* \(#,##0.00\);_(* &quot;-&quot;??_);_(@_)">
                  <c:v>0.43039182474682364</c:v>
                </c:pt>
                <c:pt idx="10">
                  <c:v>0.82487291738410284</c:v>
                </c:pt>
                <c:pt idx="11">
                  <c:v>1.0244571122831529</c:v>
                </c:pt>
                <c:pt idx="12">
                  <c:v>0.99577158686752298</c:v>
                </c:pt>
                <c:pt idx="13">
                  <c:v>0.96350965132423005</c:v>
                </c:pt>
                <c:pt idx="14">
                  <c:v>0.90508648296430638</c:v>
                </c:pt>
              </c:numCache>
            </c:numRef>
          </c:val>
          <c:extLst>
            <c:ext xmlns:c16="http://schemas.microsoft.com/office/drawing/2014/chart" uri="{C3380CC4-5D6E-409C-BE32-E72D297353CC}">
              <c16:uniqueId val="{00000001-EDE0-4584-BC3C-6732E43BD7B5}"/>
            </c:ext>
          </c:extLst>
        </c:ser>
        <c:ser>
          <c:idx val="2"/>
          <c:order val="2"/>
          <c:tx>
            <c:strRef>
              <c:f>'Baseline debt'!$B$160</c:f>
              <c:strCache>
                <c:ptCount val="1"/>
                <c:pt idx="0">
                  <c:v>Crecimiento del PIB real</c:v>
                </c:pt>
              </c:strCache>
            </c:strRef>
          </c:tx>
          <c:spPr>
            <a:gradFill>
              <a:gsLst>
                <a:gs pos="0">
                  <a:srgbClr val="C00000"/>
                </a:gs>
                <a:gs pos="48000">
                  <a:srgbClr val="FF0000"/>
                </a:gs>
                <a:gs pos="100000">
                  <a:srgbClr val="FF5050"/>
                </a:gs>
              </a:gsLst>
              <a:lin ang="16200000" scaled="1"/>
            </a:gradFill>
            <a:ln>
              <a:solidFill>
                <a:schemeClr val="tx1"/>
              </a:solidFill>
            </a:ln>
            <a:effectLst>
              <a:outerShdw blurRad="50800" dist="38100" dir="5400000" algn="t" rotWithShape="0">
                <a:prstClr val="black">
                  <a:alpha val="40000"/>
                </a:prstClr>
              </a:outerShdw>
            </a:effectLst>
          </c:spPr>
          <c:invertIfNegative val="0"/>
          <c:cat>
            <c:numRef>
              <c:f>'Baseline debt'!$O$101:$AC$101</c:f>
              <c:numCache>
                <c:formatCode>General</c:formatCode>
                <c:ptCount val="15"/>
                <c:pt idx="0">
                  <c:v>2014</c:v>
                </c:pt>
                <c:pt idx="1">
                  <c:v>2015</c:v>
                </c:pt>
                <c:pt idx="2">
                  <c:v>2016</c:v>
                </c:pt>
                <c:pt idx="3">
                  <c:v>2017</c:v>
                </c:pt>
                <c:pt idx="4">
                  <c:v>2018</c:v>
                </c:pt>
                <c:pt idx="5">
                  <c:v>2019</c:v>
                </c:pt>
                <c:pt idx="6">
                  <c:v>2020</c:v>
                </c:pt>
                <c:pt idx="7">
                  <c:v>2021</c:v>
                </c:pt>
                <c:pt idx="8">
                  <c:v>2022</c:v>
                </c:pt>
                <c:pt idx="9">
                  <c:v>2023</c:v>
                </c:pt>
                <c:pt idx="10">
                  <c:v>2024</c:v>
                </c:pt>
                <c:pt idx="11">
                  <c:v>2025</c:v>
                </c:pt>
                <c:pt idx="12">
                  <c:v>2026</c:v>
                </c:pt>
                <c:pt idx="13">
                  <c:v>2027</c:v>
                </c:pt>
                <c:pt idx="14">
                  <c:v>2028</c:v>
                </c:pt>
              </c:numCache>
            </c:numRef>
          </c:cat>
          <c:val>
            <c:numRef>
              <c:f>'Baseline debt'!$O$160:$AC$160</c:f>
              <c:numCache>
                <c:formatCode>_-* #,##0.0_-;\-* #,##0.0_-;_-* "-"??_-;_-@_-</c:formatCode>
                <c:ptCount val="15"/>
                <c:pt idx="0">
                  <c:v>-1.0126114327896816</c:v>
                </c:pt>
                <c:pt idx="1">
                  <c:v>-0.93258452374065903</c:v>
                </c:pt>
                <c:pt idx="2">
                  <c:v>-0.61610002911752415</c:v>
                </c:pt>
                <c:pt idx="3">
                  <c:v>-0.7225244390626484</c:v>
                </c:pt>
                <c:pt idx="4">
                  <c:v>-0.80812290265584552</c:v>
                </c:pt>
                <c:pt idx="5">
                  <c:v>-0.95374210931652459</c:v>
                </c:pt>
                <c:pt idx="6">
                  <c:v>0.45665150981298203</c:v>
                </c:pt>
                <c:pt idx="7">
                  <c:v>-2.2150212007869943</c:v>
                </c:pt>
                <c:pt idx="8">
                  <c:v>-1.0778687151278588</c:v>
                </c:pt>
                <c:pt idx="9" formatCode="_(* #,##0.00_);_(* \(#,##0.00\);_(* &quot;-&quot;??_);_(@_)">
                  <c:v>-0.90278242413617382</c:v>
                </c:pt>
                <c:pt idx="10">
                  <c:v>-0.64539650163939566</c:v>
                </c:pt>
                <c:pt idx="11">
                  <c:v>-0.92689047797899915</c:v>
                </c:pt>
                <c:pt idx="12">
                  <c:v>-0.93805866283716666</c:v>
                </c:pt>
                <c:pt idx="13">
                  <c:v>-0.90771612427872372</c:v>
                </c:pt>
                <c:pt idx="14">
                  <c:v>-0.86297594215408324</c:v>
                </c:pt>
              </c:numCache>
            </c:numRef>
          </c:val>
          <c:extLst>
            <c:ext xmlns:c16="http://schemas.microsoft.com/office/drawing/2014/chart" uri="{C3380CC4-5D6E-409C-BE32-E72D297353CC}">
              <c16:uniqueId val="{00000002-EDE0-4584-BC3C-6732E43BD7B5}"/>
            </c:ext>
          </c:extLst>
        </c:ser>
        <c:ser>
          <c:idx val="3"/>
          <c:order val="3"/>
          <c:tx>
            <c:strRef>
              <c:f>'Baseline debt'!$B$161</c:f>
              <c:strCache>
                <c:ptCount val="1"/>
                <c:pt idx="0">
                  <c:v>Contribución de depreciación del tipo de cambio</c:v>
                </c:pt>
              </c:strCache>
            </c:strRef>
          </c:tx>
          <c:spPr>
            <a:gradFill>
              <a:gsLst>
                <a:gs pos="0">
                  <a:srgbClr val="7030A0"/>
                </a:gs>
                <a:gs pos="52000">
                  <a:srgbClr val="9A57CD"/>
                </a:gs>
                <a:gs pos="100000">
                  <a:srgbClr val="B888DC"/>
                </a:gs>
              </a:gsLst>
              <a:lin ang="16200000" scaled="1"/>
            </a:gradFill>
            <a:ln>
              <a:solidFill>
                <a:schemeClr val="tx1"/>
              </a:solidFill>
            </a:ln>
            <a:effectLst>
              <a:outerShdw blurRad="50800" dist="38100" dir="5400000" algn="t" rotWithShape="0">
                <a:prstClr val="black">
                  <a:alpha val="40000"/>
                </a:prstClr>
              </a:outerShdw>
            </a:effectLst>
          </c:spPr>
          <c:invertIfNegative val="0"/>
          <c:cat>
            <c:numRef>
              <c:f>'Baseline debt'!$O$101:$AC$101</c:f>
              <c:numCache>
                <c:formatCode>General</c:formatCode>
                <c:ptCount val="15"/>
                <c:pt idx="0">
                  <c:v>2014</c:v>
                </c:pt>
                <c:pt idx="1">
                  <c:v>2015</c:v>
                </c:pt>
                <c:pt idx="2">
                  <c:v>2016</c:v>
                </c:pt>
                <c:pt idx="3">
                  <c:v>2017</c:v>
                </c:pt>
                <c:pt idx="4">
                  <c:v>2018</c:v>
                </c:pt>
                <c:pt idx="5">
                  <c:v>2019</c:v>
                </c:pt>
                <c:pt idx="6">
                  <c:v>2020</c:v>
                </c:pt>
                <c:pt idx="7">
                  <c:v>2021</c:v>
                </c:pt>
                <c:pt idx="8">
                  <c:v>2022</c:v>
                </c:pt>
                <c:pt idx="9">
                  <c:v>2023</c:v>
                </c:pt>
                <c:pt idx="10">
                  <c:v>2024</c:v>
                </c:pt>
                <c:pt idx="11">
                  <c:v>2025</c:v>
                </c:pt>
                <c:pt idx="12">
                  <c:v>2026</c:v>
                </c:pt>
                <c:pt idx="13">
                  <c:v>2027</c:v>
                </c:pt>
                <c:pt idx="14">
                  <c:v>2028</c:v>
                </c:pt>
              </c:numCache>
            </c:numRef>
          </c:cat>
          <c:val>
            <c:numRef>
              <c:f>'Baseline debt'!$O$161:$AC$161</c:f>
              <c:numCache>
                <c:formatCode>_-* #,##0.0_-;\-* #,##0.0_-;_-* "-"??_-;_-@_-</c:formatCode>
                <c:ptCount val="15"/>
                <c:pt idx="0">
                  <c:v>-0.41985620396261136</c:v>
                </c:pt>
                <c:pt idx="1">
                  <c:v>5.9095005560718838E-2</c:v>
                </c:pt>
                <c:pt idx="2">
                  <c:v>-0.18124401659783054</c:v>
                </c:pt>
                <c:pt idx="3">
                  <c:v>-0.30088767890561896</c:v>
                </c:pt>
                <c:pt idx="4">
                  <c:v>0.64964073263894428</c:v>
                </c:pt>
                <c:pt idx="5">
                  <c:v>-5.6602181894431752E-2</c:v>
                </c:pt>
                <c:pt idx="6">
                  <c:v>0.15549172252562948</c:v>
                </c:pt>
                <c:pt idx="7">
                  <c:v>-0.12525922610812865</c:v>
                </c:pt>
                <c:pt idx="8">
                  <c:v>0.19727814390887927</c:v>
                </c:pt>
                <c:pt idx="9" formatCode="_(* #,##0.00_);_(* \(#,##0.00\);_(* &quot;-&quot;??_);_(@_)">
                  <c:v>-0.12045171701992145</c:v>
                </c:pt>
                <c:pt idx="10">
                  <c:v>3.7976929501480051E-2</c:v>
                </c:pt>
                <c:pt idx="11">
                  <c:v>2.7724038010626898E-2</c:v>
                </c:pt>
                <c:pt idx="12">
                  <c:v>1.9743723592696209E-2</c:v>
                </c:pt>
                <c:pt idx="13">
                  <c:v>1.3921186786546672E-2</c:v>
                </c:pt>
                <c:pt idx="14">
                  <c:v>9.8442747458195815E-3</c:v>
                </c:pt>
              </c:numCache>
            </c:numRef>
          </c:val>
          <c:extLst>
            <c:ext xmlns:c16="http://schemas.microsoft.com/office/drawing/2014/chart" uri="{C3380CC4-5D6E-409C-BE32-E72D297353CC}">
              <c16:uniqueId val="{00000003-EDE0-4584-BC3C-6732E43BD7B5}"/>
            </c:ext>
          </c:extLst>
        </c:ser>
        <c:ser>
          <c:idx val="4"/>
          <c:order val="4"/>
          <c:tx>
            <c:strRef>
              <c:f>'Baseline debt'!$B$162</c:f>
              <c:strCache>
                <c:ptCount val="1"/>
                <c:pt idx="0">
                  <c:v>Otros flujos de creación de deuda</c:v>
                </c:pt>
              </c:strCache>
            </c:strRef>
          </c:tx>
          <c:spPr>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16200000" scaled="1"/>
              <a:tileRect/>
            </a:gradFill>
            <a:ln>
              <a:solidFill>
                <a:schemeClr val="tx1"/>
              </a:solidFill>
            </a:ln>
            <a:effectLst>
              <a:outerShdw blurRad="50800" dist="38100" dir="5400000" algn="t" rotWithShape="0">
                <a:prstClr val="black">
                  <a:alpha val="40000"/>
                </a:prstClr>
              </a:outerShdw>
            </a:effectLst>
          </c:spPr>
          <c:invertIfNegative val="0"/>
          <c:cat>
            <c:numRef>
              <c:f>'Baseline debt'!$O$101:$AC$101</c:f>
              <c:numCache>
                <c:formatCode>General</c:formatCode>
                <c:ptCount val="15"/>
                <c:pt idx="0">
                  <c:v>2014</c:v>
                </c:pt>
                <c:pt idx="1">
                  <c:v>2015</c:v>
                </c:pt>
                <c:pt idx="2">
                  <c:v>2016</c:v>
                </c:pt>
                <c:pt idx="3">
                  <c:v>2017</c:v>
                </c:pt>
                <c:pt idx="4">
                  <c:v>2018</c:v>
                </c:pt>
                <c:pt idx="5">
                  <c:v>2019</c:v>
                </c:pt>
                <c:pt idx="6">
                  <c:v>2020</c:v>
                </c:pt>
                <c:pt idx="7">
                  <c:v>2021</c:v>
                </c:pt>
                <c:pt idx="8">
                  <c:v>2022</c:v>
                </c:pt>
                <c:pt idx="9">
                  <c:v>2023</c:v>
                </c:pt>
                <c:pt idx="10">
                  <c:v>2024</c:v>
                </c:pt>
                <c:pt idx="11">
                  <c:v>2025</c:v>
                </c:pt>
                <c:pt idx="12">
                  <c:v>2026</c:v>
                </c:pt>
                <c:pt idx="13">
                  <c:v>2027</c:v>
                </c:pt>
                <c:pt idx="14">
                  <c:v>2028</c:v>
                </c:pt>
              </c:numCache>
            </c:numRef>
          </c:cat>
          <c:val>
            <c:numRef>
              <c:f>'Baseline debt'!$O$162:$AC$162</c:f>
              <c:numCache>
                <c:formatCode>_-* #,##0.0_-;\-* #,##0.0_-;_-* "-"??_-;_-@_-</c:formatCode>
                <c:ptCount val="15"/>
                <c:pt idx="0">
                  <c:v>-4.6880994432122694E-2</c:v>
                </c:pt>
                <c:pt idx="1">
                  <c:v>0.13238892355769738</c:v>
                </c:pt>
                <c:pt idx="2">
                  <c:v>0.51203596362721859</c:v>
                </c:pt>
                <c:pt idx="3">
                  <c:v>0.18908451938193008</c:v>
                </c:pt>
                <c:pt idx="4">
                  <c:v>-3.8458573050809054E-2</c:v>
                </c:pt>
                <c:pt idx="5">
                  <c:v>-0.25504799440847109</c:v>
                </c:pt>
                <c:pt idx="6">
                  <c:v>0.21028229397193765</c:v>
                </c:pt>
                <c:pt idx="7">
                  <c:v>1.3136418469857691</c:v>
                </c:pt>
                <c:pt idx="8">
                  <c:v>-0.52674836128209335</c:v>
                </c:pt>
                <c:pt idx="9" formatCode="_(* #,##0.00_);_(* \(#,##0.00\);_(* &quot;-&quot;??_);_(@_)">
                  <c:v>-0.22949402608883371</c:v>
                </c:pt>
                <c:pt idx="10">
                  <c:v>-0.6271932137637547</c:v>
                </c:pt>
                <c:pt idx="11">
                  <c:v>-1.4800458108081872E-2</c:v>
                </c:pt>
                <c:pt idx="12">
                  <c:v>-1.1086007080917268E-2</c:v>
                </c:pt>
                <c:pt idx="13">
                  <c:v>-5.4412153465143174E-3</c:v>
                </c:pt>
                <c:pt idx="14">
                  <c:v>-4.6831788043209862E-3</c:v>
                </c:pt>
              </c:numCache>
            </c:numRef>
          </c:val>
          <c:extLst>
            <c:ext xmlns:c16="http://schemas.microsoft.com/office/drawing/2014/chart" uri="{C3380CC4-5D6E-409C-BE32-E72D297353CC}">
              <c16:uniqueId val="{00000004-EDE0-4584-BC3C-6732E43BD7B5}"/>
            </c:ext>
          </c:extLst>
        </c:ser>
        <c:ser>
          <c:idx val="5"/>
          <c:order val="5"/>
          <c:tx>
            <c:strRef>
              <c:f>'Baseline debt'!$B$163</c:f>
              <c:strCache>
                <c:ptCount val="1"/>
                <c:pt idx="0">
                  <c:v>Residuo</c:v>
                </c:pt>
              </c:strCache>
            </c:strRef>
          </c:tx>
          <c:spPr>
            <a:gradFill>
              <a:gsLst>
                <a:gs pos="0">
                  <a:schemeClr val="bg1">
                    <a:lumMod val="50000"/>
                  </a:schemeClr>
                </a:gs>
                <a:gs pos="52000">
                  <a:schemeClr val="bg1">
                    <a:lumMod val="65000"/>
                  </a:schemeClr>
                </a:gs>
                <a:gs pos="100000">
                  <a:schemeClr val="bg1">
                    <a:lumMod val="75000"/>
                  </a:schemeClr>
                </a:gs>
              </a:gsLst>
              <a:lin ang="16200000" scaled="1"/>
            </a:gradFill>
            <a:ln>
              <a:solidFill>
                <a:schemeClr val="tx1"/>
              </a:solidFill>
            </a:ln>
            <a:effectLst/>
          </c:spPr>
          <c:invertIfNegative val="0"/>
          <c:cat>
            <c:numRef>
              <c:f>'Baseline debt'!$O$101:$AC$101</c:f>
              <c:numCache>
                <c:formatCode>General</c:formatCode>
                <c:ptCount val="15"/>
                <c:pt idx="0">
                  <c:v>2014</c:v>
                </c:pt>
                <c:pt idx="1">
                  <c:v>2015</c:v>
                </c:pt>
                <c:pt idx="2">
                  <c:v>2016</c:v>
                </c:pt>
                <c:pt idx="3">
                  <c:v>2017</c:v>
                </c:pt>
                <c:pt idx="4">
                  <c:v>2018</c:v>
                </c:pt>
                <c:pt idx="5">
                  <c:v>2019</c:v>
                </c:pt>
                <c:pt idx="6">
                  <c:v>2020</c:v>
                </c:pt>
                <c:pt idx="7">
                  <c:v>2021</c:v>
                </c:pt>
                <c:pt idx="8">
                  <c:v>2022</c:v>
                </c:pt>
                <c:pt idx="9">
                  <c:v>2023</c:v>
                </c:pt>
                <c:pt idx="10">
                  <c:v>2024</c:v>
                </c:pt>
                <c:pt idx="11">
                  <c:v>2025</c:v>
                </c:pt>
                <c:pt idx="12">
                  <c:v>2026</c:v>
                </c:pt>
                <c:pt idx="13">
                  <c:v>2027</c:v>
                </c:pt>
                <c:pt idx="14">
                  <c:v>2028</c:v>
                </c:pt>
              </c:numCache>
            </c:numRef>
          </c:cat>
          <c:val>
            <c:numRef>
              <c:f>'Baseline debt'!$O$163:$AC$163</c:f>
              <c:numCache>
                <c:formatCode>_-* #,##0.0_-;\-* #,##0.0_-;_-* "-"??_-;_-@_-</c:formatCode>
                <c:ptCount val="15"/>
                <c:pt idx="0">
                  <c:v>-0.11777818273225904</c:v>
                </c:pt>
                <c:pt idx="1">
                  <c:v>-4.8468114813287333E-2</c:v>
                </c:pt>
                <c:pt idx="2">
                  <c:v>-3.6907503589846069E-2</c:v>
                </c:pt>
                <c:pt idx="3">
                  <c:v>1.432490264931649E-2</c:v>
                </c:pt>
                <c:pt idx="4">
                  <c:v>-3.1534523388316194E-2</c:v>
                </c:pt>
                <c:pt idx="5">
                  <c:v>-3.4465027102597079E-2</c:v>
                </c:pt>
                <c:pt idx="6">
                  <c:v>7.096234659716405E-2</c:v>
                </c:pt>
                <c:pt idx="7">
                  <c:v>-6.8632756833384434E-2</c:v>
                </c:pt>
                <c:pt idx="8">
                  <c:v>-8.3057254037566253E-2</c:v>
                </c:pt>
                <c:pt idx="9" formatCode="_(* #,##0.00_);_(* \(#,##0.00\);_(* &quot;-&quot;??_);_(@_)">
                  <c:v>1.0543105872007352E-2</c:v>
                </c:pt>
                <c:pt idx="10" formatCode="_(* #,##0.00_);_(* \(#,##0.00\);_(* &quot;-&quot;??_);_(@_)">
                  <c:v>-0.27290273978544533</c:v>
                </c:pt>
                <c:pt idx="11">
                  <c:v>-0.12811684267877135</c:v>
                </c:pt>
                <c:pt idx="12">
                  <c:v>-0.21036473436269831</c:v>
                </c:pt>
                <c:pt idx="13">
                  <c:v>-0.19571598706949045</c:v>
                </c:pt>
                <c:pt idx="14">
                  <c:v>-0.11895782515614606</c:v>
                </c:pt>
              </c:numCache>
            </c:numRef>
          </c:val>
          <c:extLst>
            <c:ext xmlns:c16="http://schemas.microsoft.com/office/drawing/2014/chart" uri="{C3380CC4-5D6E-409C-BE32-E72D297353CC}">
              <c16:uniqueId val="{00000005-EDE0-4584-BC3C-6732E43BD7B5}"/>
            </c:ext>
          </c:extLst>
        </c:ser>
        <c:dLbls>
          <c:showLegendKey val="0"/>
          <c:showVal val="0"/>
          <c:showCatName val="0"/>
          <c:showSerName val="0"/>
          <c:showPercent val="0"/>
          <c:showBubbleSize val="0"/>
        </c:dLbls>
        <c:gapWidth val="80"/>
        <c:overlap val="100"/>
        <c:axId val="52185951"/>
        <c:axId val="52184703"/>
      </c:barChart>
      <c:lineChart>
        <c:grouping val="standard"/>
        <c:varyColors val="0"/>
        <c:ser>
          <c:idx val="6"/>
          <c:order val="6"/>
          <c:tx>
            <c:strRef>
              <c:f>'Baseline debt'!$B$151</c:f>
              <c:strCache>
                <c:ptCount val="1"/>
                <c:pt idx="0">
                  <c:v>Cambio en la deuda pública</c:v>
                </c:pt>
              </c:strCache>
            </c:strRef>
          </c:tx>
          <c:spPr>
            <a:ln w="28575" cap="rnd">
              <a:solidFill>
                <a:schemeClr val="tx1"/>
              </a:solidFill>
              <a:round/>
            </a:ln>
            <a:effectLst/>
          </c:spPr>
          <c:marker>
            <c:symbol val="none"/>
          </c:marker>
          <c:val>
            <c:numRef>
              <c:f>'Baseline debt'!$O$151:$AC$151</c:f>
              <c:numCache>
                <c:formatCode>_-* #,##0.0_-;\-* #,##0.0_-;_-* "-"??_-;_-@_-</c:formatCode>
                <c:ptCount val="15"/>
                <c:pt idx="0">
                  <c:v>-0.3870146065045752</c:v>
                </c:pt>
                <c:pt idx="1">
                  <c:v>0.12751096060433653</c:v>
                </c:pt>
                <c:pt idx="2">
                  <c:v>0.11483556884410007</c:v>
                </c:pt>
                <c:pt idx="3">
                  <c:v>0.12127010986053932</c:v>
                </c:pt>
                <c:pt idx="4">
                  <c:v>1.327066546919653</c:v>
                </c:pt>
                <c:pt idx="5">
                  <c:v>3.7304644062494674E-3</c:v>
                </c:pt>
                <c:pt idx="6">
                  <c:v>5.0394906527092544</c:v>
                </c:pt>
                <c:pt idx="7">
                  <c:v>-0.77597885792343746</c:v>
                </c:pt>
                <c:pt idx="8">
                  <c:v>-1.5761830975258633</c:v>
                </c:pt>
                <c:pt idx="9" formatCode="_(* #,##0.00_);_(* \(#,##0.00\);_(* &quot;-&quot;??_);_(@_)">
                  <c:v>-0.74927686813129668</c:v>
                </c:pt>
                <c:pt idx="10">
                  <c:v>-0.54900938880399508</c:v>
                </c:pt>
                <c:pt idx="11">
                  <c:v>-0.35007488225415884</c:v>
                </c:pt>
                <c:pt idx="12">
                  <c:v>-0.88076072969976948</c:v>
                </c:pt>
                <c:pt idx="13">
                  <c:v>-1.3231302616322687</c:v>
                </c:pt>
                <c:pt idx="14">
                  <c:v>-1.5881837676018726</c:v>
                </c:pt>
              </c:numCache>
            </c:numRef>
          </c:val>
          <c:smooth val="0"/>
          <c:extLst>
            <c:ext xmlns:c16="http://schemas.microsoft.com/office/drawing/2014/chart" uri="{C3380CC4-5D6E-409C-BE32-E72D297353CC}">
              <c16:uniqueId val="{00000006-EDE0-4584-BC3C-6732E43BD7B5}"/>
            </c:ext>
          </c:extLst>
        </c:ser>
        <c:dLbls>
          <c:showLegendKey val="0"/>
          <c:showVal val="0"/>
          <c:showCatName val="0"/>
          <c:showSerName val="0"/>
          <c:showPercent val="0"/>
          <c:showBubbleSize val="0"/>
        </c:dLbls>
        <c:marker val="1"/>
        <c:smooth val="0"/>
        <c:axId val="52185951"/>
        <c:axId val="52184703"/>
      </c:lineChart>
      <c:catAx>
        <c:axId val="52185951"/>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2184703"/>
        <c:crosses val="autoZero"/>
        <c:auto val="1"/>
        <c:lblAlgn val="ctr"/>
        <c:lblOffset val="100"/>
        <c:noMultiLvlLbl val="0"/>
      </c:catAx>
      <c:valAx>
        <c:axId val="52184703"/>
        <c:scaling>
          <c:orientation val="minMax"/>
          <c:max val="6.5"/>
        </c:scaling>
        <c:delete val="0"/>
        <c:axPos val="l"/>
        <c:majorGridlines>
          <c:spPr>
            <a:ln w="9525" cap="flat" cmpd="sng" algn="ctr">
              <a:noFill/>
              <a:round/>
            </a:ln>
            <a:effectLst/>
          </c:spPr>
        </c:majorGridlines>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2185951"/>
        <c:crosses val="autoZero"/>
        <c:crossBetween val="between"/>
      </c:valAx>
      <c:spPr>
        <a:noFill/>
        <a:ln>
          <a:solidFill>
            <a:schemeClr val="bg1">
              <a:lumMod val="75000"/>
            </a:schemeClr>
          </a:solidFill>
        </a:ln>
        <a:effectLst/>
      </c:spPr>
    </c:plotArea>
    <c:legend>
      <c:legendPos val="b"/>
      <c:layout>
        <c:manualLayout>
          <c:xMode val="edge"/>
          <c:yMode val="edge"/>
          <c:x val="1.8752957396321365E-2"/>
          <c:y val="0.89066493868812668"/>
          <c:w val="0.97169012785957809"/>
          <c:h val="9.983360333546823E-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4">
    <c:autoUpdate val="0"/>
  </c:externalData>
  <c:userShapes r:id="rId5"/>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Hoja1!$B$1</c:f>
              <c:strCache>
                <c:ptCount val="1"/>
                <c:pt idx="0">
                  <c:v>Moneda Local</c:v>
                </c:pt>
              </c:strCache>
            </c:strRef>
          </c:tx>
          <c:spPr>
            <a:solidFill>
              <a:schemeClr val="accent5">
                <a:lumMod val="50000"/>
              </a:schemeClr>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5-C669-464A-AEA1-CA240926C3A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1 año</c:v>
                </c:pt>
                <c:pt idx="1">
                  <c:v>2 a 5 años</c:v>
                </c:pt>
                <c:pt idx="2">
                  <c:v>6 a 10 años</c:v>
                </c:pt>
                <c:pt idx="3">
                  <c:v>Más de 10 años</c:v>
                </c:pt>
              </c:strCache>
            </c:strRef>
          </c:cat>
          <c:val>
            <c:numRef>
              <c:f>Hoja1!$B$2:$B$5</c:f>
              <c:numCache>
                <c:formatCode>0.0</c:formatCode>
                <c:ptCount val="4"/>
                <c:pt idx="0">
                  <c:v>1.7</c:v>
                </c:pt>
                <c:pt idx="1">
                  <c:v>9</c:v>
                </c:pt>
                <c:pt idx="2">
                  <c:v>19.2</c:v>
                </c:pt>
                <c:pt idx="3">
                  <c:v>30.7</c:v>
                </c:pt>
              </c:numCache>
            </c:numRef>
          </c:val>
          <c:extLst>
            <c:ext xmlns:c16="http://schemas.microsoft.com/office/drawing/2014/chart" uri="{C3380CC4-5D6E-409C-BE32-E72D297353CC}">
              <c16:uniqueId val="{00000000-C669-464A-AEA1-CA240926C3A1}"/>
            </c:ext>
          </c:extLst>
        </c:ser>
        <c:ser>
          <c:idx val="1"/>
          <c:order val="1"/>
          <c:tx>
            <c:strRef>
              <c:f>Hoja1!$C$1</c:f>
              <c:strCache>
                <c:ptCount val="1"/>
                <c:pt idx="0">
                  <c:v>Moneda Extranjera</c:v>
                </c:pt>
              </c:strCache>
            </c:strRef>
          </c:tx>
          <c:spPr>
            <a:solidFill>
              <a:srgbClr val="0070C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1 año</c:v>
                </c:pt>
                <c:pt idx="1">
                  <c:v>2 a 5 años</c:v>
                </c:pt>
                <c:pt idx="2">
                  <c:v>6 a 10 años</c:v>
                </c:pt>
                <c:pt idx="3">
                  <c:v>Más de 10 años</c:v>
                </c:pt>
              </c:strCache>
            </c:strRef>
          </c:cat>
          <c:val>
            <c:numRef>
              <c:f>Hoja1!$C$2:$C$5</c:f>
              <c:numCache>
                <c:formatCode>0.0</c:formatCode>
                <c:ptCount val="4"/>
                <c:pt idx="0">
                  <c:v>2.7</c:v>
                </c:pt>
                <c:pt idx="1">
                  <c:v>7.5</c:v>
                </c:pt>
                <c:pt idx="2">
                  <c:v>6.9</c:v>
                </c:pt>
                <c:pt idx="3">
                  <c:v>22.2</c:v>
                </c:pt>
              </c:numCache>
            </c:numRef>
          </c:val>
          <c:extLst>
            <c:ext xmlns:c16="http://schemas.microsoft.com/office/drawing/2014/chart" uri="{C3380CC4-5D6E-409C-BE32-E72D297353CC}">
              <c16:uniqueId val="{00000001-C669-464A-AEA1-CA240926C3A1}"/>
            </c:ext>
          </c:extLst>
        </c:ser>
        <c:dLbls>
          <c:showLegendKey val="0"/>
          <c:showVal val="0"/>
          <c:showCatName val="0"/>
          <c:showSerName val="0"/>
          <c:showPercent val="0"/>
          <c:showBubbleSize val="0"/>
        </c:dLbls>
        <c:gapWidth val="75"/>
        <c:overlap val="100"/>
        <c:axId val="556734479"/>
        <c:axId val="556719087"/>
      </c:barChart>
      <c:lineChart>
        <c:grouping val="standard"/>
        <c:varyColors val="0"/>
        <c:ser>
          <c:idx val="2"/>
          <c:order val="2"/>
          <c:tx>
            <c:strRef>
              <c:f>Hoja1!$D$1</c:f>
              <c:strCache>
                <c:ptCount val="1"/>
                <c:pt idx="0">
                  <c:v>Total</c:v>
                </c:pt>
              </c:strCache>
            </c:strRef>
          </c:tx>
          <c:spPr>
            <a:ln w="28575" cap="rnd">
              <a:noFill/>
              <a:round/>
            </a:ln>
            <a:effectLst/>
          </c:spPr>
          <c:marker>
            <c:symbol val="none"/>
          </c:marker>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1 año</c:v>
                </c:pt>
                <c:pt idx="1">
                  <c:v>2 a 5 años</c:v>
                </c:pt>
                <c:pt idx="2">
                  <c:v>6 a 10 años</c:v>
                </c:pt>
                <c:pt idx="3">
                  <c:v>Más de 10 años</c:v>
                </c:pt>
              </c:strCache>
            </c:strRef>
          </c:cat>
          <c:val>
            <c:numRef>
              <c:f>Hoja1!$D$2:$D$5</c:f>
              <c:numCache>
                <c:formatCode>0.0</c:formatCode>
                <c:ptCount val="4"/>
                <c:pt idx="0">
                  <c:v>4.4000000000000004</c:v>
                </c:pt>
                <c:pt idx="1">
                  <c:v>16.5</c:v>
                </c:pt>
                <c:pt idx="2">
                  <c:v>26.1</c:v>
                </c:pt>
                <c:pt idx="3">
                  <c:v>52.9</c:v>
                </c:pt>
              </c:numCache>
            </c:numRef>
          </c:val>
          <c:smooth val="0"/>
          <c:extLst>
            <c:ext xmlns:c16="http://schemas.microsoft.com/office/drawing/2014/chart" uri="{C3380CC4-5D6E-409C-BE32-E72D297353CC}">
              <c16:uniqueId val="{00000004-C669-464A-AEA1-CA240926C3A1}"/>
            </c:ext>
          </c:extLst>
        </c:ser>
        <c:dLbls>
          <c:showLegendKey val="0"/>
          <c:showVal val="0"/>
          <c:showCatName val="0"/>
          <c:showSerName val="0"/>
          <c:showPercent val="0"/>
          <c:showBubbleSize val="0"/>
        </c:dLbls>
        <c:marker val="1"/>
        <c:smooth val="0"/>
        <c:axId val="556734479"/>
        <c:axId val="556719087"/>
      </c:lineChart>
      <c:catAx>
        <c:axId val="556734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56719087"/>
        <c:crosses val="autoZero"/>
        <c:auto val="1"/>
        <c:lblAlgn val="ctr"/>
        <c:lblOffset val="100"/>
        <c:noMultiLvlLbl val="0"/>
      </c:catAx>
      <c:valAx>
        <c:axId val="556719087"/>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56734479"/>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ofPieChart>
        <c:ofPieType val="bar"/>
        <c:varyColors val="1"/>
        <c:ser>
          <c:idx val="0"/>
          <c:order val="0"/>
          <c:tx>
            <c:strRef>
              <c:f>Hoja1!$B$1</c:f>
              <c:strCache>
                <c:ptCount val="1"/>
                <c:pt idx="0">
                  <c:v>Avances</c:v>
                </c:pt>
              </c:strCache>
            </c:strRef>
          </c:tx>
          <c:spPr>
            <a:effectLst>
              <a:outerShdw blurRad="50800" dist="38100" dir="2700000" algn="tl" rotWithShape="0">
                <a:prstClr val="black">
                  <a:alpha val="40000"/>
                </a:prstClr>
              </a:outerShdw>
            </a:effectLst>
          </c:spPr>
          <c:dPt>
            <c:idx val="0"/>
            <c:bubble3D val="0"/>
            <c:spPr>
              <a:solidFill>
                <a:srgbClr val="92D050"/>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35FF-4796-BD5B-8D7439966B8F}"/>
              </c:ext>
            </c:extLst>
          </c:dPt>
          <c:dPt>
            <c:idx val="1"/>
            <c:bubble3D val="0"/>
            <c:spPr>
              <a:solidFill>
                <a:srgbClr val="FFC000"/>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35FF-4796-BD5B-8D7439966B8F}"/>
              </c:ext>
            </c:extLst>
          </c:dPt>
          <c:dPt>
            <c:idx val="2"/>
            <c:bubble3D val="0"/>
            <c:spPr>
              <a:solidFill>
                <a:schemeClr val="bg1">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35FF-4796-BD5B-8D7439966B8F}"/>
              </c:ext>
            </c:extLst>
          </c:dPt>
          <c:dPt>
            <c:idx val="3"/>
            <c:bubble3D val="0"/>
            <c:spPr>
              <a:solidFill>
                <a:schemeClr val="accent6">
                  <a:lumMod val="6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35FF-4796-BD5B-8D7439966B8F}"/>
              </c:ext>
            </c:extLst>
          </c:dPt>
          <c:dPt>
            <c:idx val="4"/>
            <c:bubble3D val="0"/>
            <c:spPr>
              <a:solidFill>
                <a:schemeClr val="accent2">
                  <a:lumMod val="40000"/>
                  <a:lumOff val="6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35FF-4796-BD5B-8D7439966B8F}"/>
              </c:ext>
            </c:extLst>
          </c:dPt>
          <c:dPt>
            <c:idx val="5"/>
            <c:bubble3D val="0"/>
            <c:spPr>
              <a:solidFill>
                <a:schemeClr val="accent2">
                  <a:lumMod val="60000"/>
                  <a:lumOff val="4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35FF-4796-BD5B-8D7439966B8F}"/>
              </c:ext>
            </c:extLst>
          </c:dPt>
          <c:dPt>
            <c:idx val="6"/>
            <c:bubble3D val="0"/>
            <c:spPr>
              <a:solidFill>
                <a:srgbClr val="FF5050"/>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35FF-4796-BD5B-8D7439966B8F}"/>
              </c:ext>
            </c:extLst>
          </c:dPt>
          <c:dPt>
            <c:idx val="7"/>
            <c:bubble3D val="0"/>
            <c:spPr>
              <a:solidFill>
                <a:srgbClr val="C00000"/>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F-35FF-4796-BD5B-8D7439966B8F}"/>
              </c:ext>
            </c:extLst>
          </c:dPt>
          <c:dPt>
            <c:idx val="8"/>
            <c:bubble3D val="0"/>
            <c:spPr>
              <a:solidFill>
                <a:schemeClr val="accent2">
                  <a:lumMod val="75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1-35FF-4796-BD5B-8D7439966B8F}"/>
              </c:ext>
            </c:extLst>
          </c:dPt>
          <c:dLbls>
            <c:dLbl>
              <c:idx val="0"/>
              <c:layout>
                <c:manualLayout>
                  <c:x val="0.19907407407407407"/>
                  <c:y val="-0.12848175228096487"/>
                </c:manualLayout>
              </c:layout>
              <c:spPr>
                <a:noFill/>
                <a:ln>
                  <a:noFill/>
                </a:ln>
                <a:effectLst/>
              </c:spPr>
              <c:txPr>
                <a:bodyPr rot="0" spcFirstLastPara="1" vertOverflow="ellipsis" vert="horz" wrap="square" lIns="38100" tIns="19050" rIns="38100" bIns="19050" anchor="ctr" anchorCtr="1">
                  <a:noAutofit/>
                </a:bodyPr>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1"/>
              <c:showSerName val="0"/>
              <c:showPercent val="0"/>
              <c:showBubbleSize val="0"/>
              <c:extLst>
                <c:ext xmlns:c15="http://schemas.microsoft.com/office/drawing/2012/chart" uri="{CE6537A1-D6FC-4f65-9D91-7224C49458BB}">
                  <c15:layout>
                    <c:manualLayout>
                      <c:w val="0.24016203703703703"/>
                      <c:h val="0.1736111111111111"/>
                    </c:manualLayout>
                  </c15:layout>
                </c:ext>
                <c:ext xmlns:c16="http://schemas.microsoft.com/office/drawing/2014/chart" uri="{C3380CC4-5D6E-409C-BE32-E72D297353CC}">
                  <c16:uniqueId val="{00000001-35FF-4796-BD5B-8D7439966B8F}"/>
                </c:ext>
              </c:extLst>
            </c:dLbl>
            <c:dLbl>
              <c:idx val="1"/>
              <c:layout>
                <c:manualLayout>
                  <c:x val="-5.7037401574803102E-2"/>
                  <c:y val="6.4935064935064905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5FF-4796-BD5B-8D7439966B8F}"/>
                </c:ext>
              </c:extLst>
            </c:dLbl>
            <c:dLbl>
              <c:idx val="2"/>
              <c:layout>
                <c:manualLayout>
                  <c:x val="-2.7343852526246718E-2"/>
                  <c:y val="5.024337866857552E-2"/>
                </c:manualLayout>
              </c:layout>
              <c:showLegendKey val="0"/>
              <c:showVal val="1"/>
              <c:showCatName val="1"/>
              <c:showSerName val="0"/>
              <c:showPercent val="0"/>
              <c:showBubbleSize val="0"/>
              <c:extLst>
                <c:ext xmlns:c15="http://schemas.microsoft.com/office/drawing/2012/chart" uri="{CE6537A1-D6FC-4f65-9D91-7224C49458BB}">
                  <c15:layout>
                    <c:manualLayout>
                      <c:w val="0.12586798720472439"/>
                      <c:h val="0.16071418345434091"/>
                    </c:manualLayout>
                  </c15:layout>
                </c:ext>
                <c:ext xmlns:c16="http://schemas.microsoft.com/office/drawing/2014/chart" uri="{C3380CC4-5D6E-409C-BE32-E72D297353CC}">
                  <c16:uniqueId val="{00000005-35FF-4796-BD5B-8D7439966B8F}"/>
                </c:ext>
              </c:extLst>
            </c:dLbl>
            <c:dLbl>
              <c:idx val="4"/>
              <c:layout>
                <c:manualLayout>
                  <c:x val="-0.15219898293963255"/>
                  <c:y val="-9.4011657633704906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5FF-4796-BD5B-8D7439966B8F}"/>
                </c:ext>
              </c:extLst>
            </c:dLbl>
            <c:dLbl>
              <c:idx val="5"/>
              <c:layout>
                <c:manualLayout>
                  <c:x val="-0.15118643372703411"/>
                  <c:y val="-7.936598834236629E-3"/>
                </c:manualLayout>
              </c:layout>
              <c:showLegendKey val="0"/>
              <c:showVal val="1"/>
              <c:showCatName val="1"/>
              <c:showSerName val="0"/>
              <c:showPercent val="0"/>
              <c:showBubbleSize val="0"/>
              <c:extLst>
                <c:ext xmlns:c15="http://schemas.microsoft.com/office/drawing/2012/chart" uri="{CE6537A1-D6FC-4f65-9D91-7224C49458BB}">
                  <c15:layout>
                    <c:manualLayout>
                      <c:w val="0.136875"/>
                      <c:h val="0.11116883116883117"/>
                    </c:manualLayout>
                  </c15:layout>
                </c:ext>
                <c:ext xmlns:c16="http://schemas.microsoft.com/office/drawing/2014/chart" uri="{C3380CC4-5D6E-409C-BE32-E72D297353CC}">
                  <c16:uniqueId val="{0000000B-35FF-4796-BD5B-8D7439966B8F}"/>
                </c:ext>
              </c:extLst>
            </c:dLbl>
            <c:dLbl>
              <c:idx val="6"/>
              <c:layout>
                <c:manualLayout>
                  <c:x val="-0.14120370370370369"/>
                  <c:y val="-7.9363517060367459E-3"/>
                </c:manualLayout>
              </c:layout>
              <c:showLegendKey val="0"/>
              <c:showVal val="1"/>
              <c:showCatName val="1"/>
              <c:showSerName val="0"/>
              <c:showPercent val="0"/>
              <c:showBubbleSize val="0"/>
              <c:extLst>
                <c:ext xmlns:c15="http://schemas.microsoft.com/office/drawing/2012/chart" uri="{CE6537A1-D6FC-4f65-9D91-7224C49458BB}">
                  <c15:layout>
                    <c:manualLayout>
                      <c:w val="0.12981481481481483"/>
                      <c:h val="0.16244063242094736"/>
                    </c:manualLayout>
                  </c15:layout>
                </c:ext>
                <c:ext xmlns:c16="http://schemas.microsoft.com/office/drawing/2014/chart" uri="{C3380CC4-5D6E-409C-BE32-E72D297353CC}">
                  <c16:uniqueId val="{0000000D-35FF-4796-BD5B-8D7439966B8F}"/>
                </c:ext>
              </c:extLst>
            </c:dLbl>
            <c:dLbl>
              <c:idx val="7"/>
              <c:layout>
                <c:manualLayout>
                  <c:x val="-0.16681143372703411"/>
                  <c:y val="0.1239537785049597"/>
                </c:manualLayout>
              </c:layout>
              <c:spPr>
                <a:noFill/>
                <a:ln>
                  <a:noFill/>
                </a:ln>
                <a:effectLst/>
              </c:spPr>
              <c:txPr>
                <a:bodyPr rot="0" spcFirstLastPara="1" vertOverflow="ellipsis" vert="horz" wrap="square" lIns="38100" tIns="19050" rIns="38100" bIns="19050" anchor="ctr" anchorCtr="1">
                  <a:noAutofit/>
                </a:bodyPr>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1"/>
              <c:showSerName val="0"/>
              <c:showPercent val="0"/>
              <c:showBubbleSize val="0"/>
              <c:extLst>
                <c:ext xmlns:c15="http://schemas.microsoft.com/office/drawing/2012/chart" uri="{CE6537A1-D6FC-4f65-9D91-7224C49458BB}">
                  <c15:layout>
                    <c:manualLayout>
                      <c:w val="0.17098958333333333"/>
                      <c:h val="0.15272727272727274"/>
                    </c:manualLayout>
                  </c15:layout>
                </c:ext>
                <c:ext xmlns:c16="http://schemas.microsoft.com/office/drawing/2014/chart" uri="{C3380CC4-5D6E-409C-BE32-E72D297353CC}">
                  <c16:uniqueId val="{0000000F-35FF-4796-BD5B-8D7439966B8F}"/>
                </c:ext>
              </c:extLst>
            </c:dLbl>
            <c:dLbl>
              <c:idx val="8"/>
              <c:layout>
                <c:manualLayout>
                  <c:x val="-0.16622293307086614"/>
                  <c:y val="-4.3849064321505263E-3"/>
                </c:manualLayout>
              </c:layout>
              <c:tx>
                <c:rich>
                  <a:bodyPr/>
                  <a:lstStyle/>
                  <a:p>
                    <a:r>
                      <a:rPr lang="en-US"/>
                      <a:t>Menor o</a:t>
                    </a:r>
                    <a:r>
                      <a:rPr lang="en-US" baseline="0"/>
                      <a:t> igual a </a:t>
                    </a:r>
                    <a:r>
                      <a:rPr lang="en-US"/>
                      <a:t>40%</a:t>
                    </a:r>
                    <a:r>
                      <a:rPr lang="en-US" baseline="0"/>
                      <a:t>; </a:t>
                    </a:r>
                    <a:fld id="{C79C6A83-7451-427B-BA30-BFBC86DEE91F}" type="VALUE">
                      <a:rPr lang="en-US" baseline="0"/>
                      <a:pPr/>
                      <a:t>[VALOR]</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35FF-4796-BD5B-8D7439966B8F}"/>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1"/>
            <c:showSerName val="0"/>
            <c:showPercent val="0"/>
            <c:showBubbleSize val="0"/>
            <c:showLeaderLines val="0"/>
            <c:extLst>
              <c:ext xmlns:c15="http://schemas.microsoft.com/office/drawing/2012/chart" uri="{CE6537A1-D6FC-4f65-9D91-7224C49458BB}"/>
            </c:extLst>
          </c:dLbls>
          <c:cat>
            <c:strRef>
              <c:f>Hoja1!$A$2:$A$9</c:f>
              <c:strCache>
                <c:ptCount val="8"/>
                <c:pt idx="0">
                  <c:v>Mayores o iguales a 70%</c:v>
                </c:pt>
                <c:pt idx="1">
                  <c:v>De 41% a menos de 70%</c:v>
                </c:pt>
                <c:pt idx="2">
                  <c:v>No aplica </c:v>
                </c:pt>
                <c:pt idx="3">
                  <c:v>Menor o igual a 40% </c:v>
                </c:pt>
                <c:pt idx="4">
                  <c:v>Pilar1 Economía</c:v>
                </c:pt>
                <c:pt idx="5">
                  <c:v>Pilar 2a Educación</c:v>
                </c:pt>
                <c:pt idx="6">
                  <c:v>Pilar 2c Protección Social</c:v>
                </c:pt>
                <c:pt idx="7">
                  <c:v>Pilar 5 Relacion con mundo</c:v>
                </c:pt>
              </c:strCache>
            </c:strRef>
          </c:cat>
          <c:val>
            <c:numRef>
              <c:f>Hoja1!$B$2:$B$9</c:f>
              <c:numCache>
                <c:formatCode>General</c:formatCode>
                <c:ptCount val="8"/>
                <c:pt idx="0">
                  <c:v>34</c:v>
                </c:pt>
                <c:pt idx="1">
                  <c:v>4</c:v>
                </c:pt>
                <c:pt idx="2">
                  <c:v>4</c:v>
                </c:pt>
                <c:pt idx="4">
                  <c:v>1</c:v>
                </c:pt>
                <c:pt idx="5">
                  <c:v>3</c:v>
                </c:pt>
                <c:pt idx="6">
                  <c:v>3</c:v>
                </c:pt>
                <c:pt idx="7">
                  <c:v>1</c:v>
                </c:pt>
              </c:numCache>
            </c:numRef>
          </c:val>
          <c:extLst>
            <c:ext xmlns:c16="http://schemas.microsoft.com/office/drawing/2014/chart" uri="{C3380CC4-5D6E-409C-BE32-E72D297353CC}">
              <c16:uniqueId val="{00000012-35FF-4796-BD5B-8D7439966B8F}"/>
            </c:ext>
          </c:extLst>
        </c:ser>
        <c:dLbls>
          <c:showLegendKey val="0"/>
          <c:showVal val="0"/>
          <c:showCatName val="0"/>
          <c:showSerName val="0"/>
          <c:showPercent val="0"/>
          <c:showBubbleSize val="0"/>
          <c:showLeaderLines val="0"/>
        </c:dLbls>
        <c:gapWidth val="100"/>
        <c:splitType val="pos"/>
        <c:splitPos val="4"/>
        <c:secondPieSize val="75"/>
        <c:serLines>
          <c:spPr>
            <a:ln w="9525" cap="flat" cmpd="sng" algn="ctr">
              <a:solidFill>
                <a:schemeClr val="tx1">
                  <a:lumMod val="35000"/>
                  <a:lumOff val="65000"/>
                </a:schemeClr>
              </a:solidFill>
              <a:round/>
            </a:ln>
            <a:effectLst/>
          </c:spPr>
        </c:serLines>
      </c:of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000" b="0" i="0" u="none" strike="noStrike" kern="1200" cap="none" spc="0" normalizeH="0" baseline="0">
                <a:solidFill>
                  <a:sysClr val="windowText" lastClr="000000"/>
                </a:solidFill>
                <a:latin typeface="Times New Roman" panose="02020603050405020304" pitchFamily="18" charset="0"/>
                <a:ea typeface="+mj-ea"/>
                <a:cs typeface="Times New Roman" panose="02020603050405020304" pitchFamily="18" charset="0"/>
              </a:defRPr>
            </a:pPr>
            <a:r>
              <a:rPr lang="en-US" sz="1200" b="1">
                <a:solidFill>
                  <a:sysClr val="windowText" lastClr="000000"/>
                </a:solidFill>
              </a:rPr>
              <a:t>Ingresos totales según estandares</a:t>
            </a:r>
            <a:r>
              <a:rPr lang="en-US" sz="1200" b="1" baseline="0">
                <a:solidFill>
                  <a:sysClr val="windowText" lastClr="000000"/>
                </a:solidFill>
              </a:rPr>
              <a:t> internacionales</a:t>
            </a:r>
          </a:p>
          <a:p>
            <a:pPr>
              <a:defRPr sz="2000" b="0" i="0" u="none" strike="noStrike" kern="1200" cap="none" spc="0" normalizeH="0" baseline="0">
                <a:solidFill>
                  <a:sysClr val="windowText" lastClr="000000"/>
                </a:solidFill>
                <a:latin typeface="Times New Roman" panose="02020603050405020304" pitchFamily="18" charset="0"/>
                <a:ea typeface="+mj-ea"/>
                <a:cs typeface="Times New Roman" panose="02020603050405020304" pitchFamily="18" charset="0"/>
              </a:defRPr>
            </a:pPr>
            <a:r>
              <a:rPr lang="en-US" sz="1200" b="1" baseline="0">
                <a:solidFill>
                  <a:sysClr val="windowText" lastClr="000000"/>
                </a:solidFill>
              </a:rPr>
              <a:t>Año 2022</a:t>
            </a:r>
          </a:p>
          <a:p>
            <a:pPr>
              <a:defRPr sz="2000" b="0" i="0" u="none" strike="noStrike" kern="1200" cap="none" spc="0" normalizeH="0" baseline="0">
                <a:solidFill>
                  <a:sysClr val="windowText" lastClr="000000"/>
                </a:solidFill>
                <a:latin typeface="Times New Roman" panose="02020603050405020304" pitchFamily="18" charset="0"/>
                <a:ea typeface="+mj-ea"/>
                <a:cs typeface="Times New Roman" panose="02020603050405020304" pitchFamily="18" charset="0"/>
              </a:defRPr>
            </a:pPr>
            <a:r>
              <a:rPr lang="en-US" sz="1100" baseline="0">
                <a:solidFill>
                  <a:sysClr val="windowText" lastClr="000000"/>
                </a:solidFill>
              </a:rPr>
              <a:t>Como porcentajes del PIB</a:t>
            </a:r>
            <a:endParaRPr lang="en-US" sz="1100">
              <a:solidFill>
                <a:sysClr val="windowText" lastClr="000000"/>
              </a:solidFill>
            </a:endParaRPr>
          </a:p>
        </c:rich>
      </c:tx>
      <c:layout>
        <c:manualLayout>
          <c:xMode val="edge"/>
          <c:yMode val="edge"/>
          <c:x val="0.18629629629629629"/>
          <c:y val="0"/>
        </c:manualLayout>
      </c:layout>
      <c:overlay val="0"/>
      <c:spPr>
        <a:noFill/>
        <a:ln>
          <a:noFill/>
        </a:ln>
        <a:effectLst/>
      </c:spPr>
    </c:title>
    <c:autoTitleDeleted val="0"/>
    <c:plotArea>
      <c:layout>
        <c:manualLayout>
          <c:layoutTarget val="inner"/>
          <c:xMode val="edge"/>
          <c:yMode val="edge"/>
          <c:x val="0"/>
          <c:y val="0.2136858569879668"/>
          <c:w val="1"/>
          <c:h val="0.62516258862137641"/>
        </c:manualLayout>
      </c:layout>
      <c:barChart>
        <c:barDir val="col"/>
        <c:grouping val="clustered"/>
        <c:varyColors val="1"/>
        <c:ser>
          <c:idx val="0"/>
          <c:order val="0"/>
          <c:tx>
            <c:strRef>
              <c:f>Hoja1!$B$1</c:f>
              <c:strCache>
                <c:ptCount val="1"/>
                <c:pt idx="0">
                  <c:v>Gobierno Central Presupuestario</c:v>
                </c:pt>
              </c:strCache>
            </c:strRef>
          </c:tx>
          <c:spPr>
            <a:solidFill>
              <a:schemeClr val="accent6"/>
            </a:solidFill>
            <a:ln>
              <a:solidFill>
                <a:schemeClr val="tx1"/>
              </a:solidFill>
            </a:ln>
            <a:effectLst>
              <a:outerShdw blurRad="50800" dist="38100" dir="18900000" algn="bl" rotWithShape="0">
                <a:prstClr val="black">
                  <a:alpha val="40000"/>
                </a:prstClr>
              </a:outerShdw>
            </a:effectLst>
          </c:spPr>
          <c:invertIfNegative val="0"/>
          <c:dPt>
            <c:idx val="0"/>
            <c:invertIfNegative val="0"/>
            <c:bubble3D val="0"/>
            <c:extLst>
              <c:ext xmlns:c16="http://schemas.microsoft.com/office/drawing/2014/chart" uri="{C3380CC4-5D6E-409C-BE32-E72D297353CC}">
                <c16:uniqueId val="{00000000-DE74-47AB-84C9-FED9F817072C}"/>
              </c:ext>
            </c:extLst>
          </c:dPt>
          <c:dPt>
            <c:idx val="1"/>
            <c:invertIfNegative val="0"/>
            <c:bubble3D val="0"/>
            <c:extLst>
              <c:ext xmlns:c16="http://schemas.microsoft.com/office/drawing/2014/chart" uri="{C3380CC4-5D6E-409C-BE32-E72D297353CC}">
                <c16:uniqueId val="{00000001-DE74-47AB-84C9-FED9F817072C}"/>
              </c:ext>
            </c:extLst>
          </c:dPt>
          <c:dPt>
            <c:idx val="2"/>
            <c:invertIfNegative val="0"/>
            <c:bubble3D val="0"/>
            <c:extLst>
              <c:ext xmlns:c16="http://schemas.microsoft.com/office/drawing/2014/chart" uri="{C3380CC4-5D6E-409C-BE32-E72D297353CC}">
                <c16:uniqueId val="{00000002-DE74-47AB-84C9-FED9F817072C}"/>
              </c:ext>
            </c:extLst>
          </c:dPt>
          <c:dPt>
            <c:idx val="3"/>
            <c:invertIfNegative val="0"/>
            <c:bubble3D val="0"/>
            <c:extLst>
              <c:ext xmlns:c16="http://schemas.microsoft.com/office/drawing/2014/chart" uri="{C3380CC4-5D6E-409C-BE32-E72D297353CC}">
                <c16:uniqueId val="{00000003-DE74-47AB-84C9-FED9F817072C}"/>
              </c:ext>
            </c:extLst>
          </c:dPt>
          <c:dPt>
            <c:idx val="4"/>
            <c:invertIfNegative val="0"/>
            <c:bubble3D val="0"/>
            <c:extLst>
              <c:ext xmlns:c16="http://schemas.microsoft.com/office/drawing/2014/chart" uri="{C3380CC4-5D6E-409C-BE32-E72D297353CC}">
                <c16:uniqueId val="{00000004-DE74-47AB-84C9-FED9F817072C}"/>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accent6"/>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Hoja1!$A$2:$A$7</c:f>
              <c:numCache>
                <c:formatCode>General</c:formatCode>
                <c:ptCount val="6"/>
                <c:pt idx="0">
                  <c:v>2017</c:v>
                </c:pt>
                <c:pt idx="1">
                  <c:v>2018</c:v>
                </c:pt>
                <c:pt idx="2">
                  <c:v>2019</c:v>
                </c:pt>
                <c:pt idx="3">
                  <c:v>2020</c:v>
                </c:pt>
                <c:pt idx="4">
                  <c:v>2021</c:v>
                </c:pt>
                <c:pt idx="5">
                  <c:v>2022</c:v>
                </c:pt>
              </c:numCache>
            </c:numRef>
          </c:cat>
          <c:val>
            <c:numRef>
              <c:f>Hoja1!$B$2:$B$7</c:f>
              <c:numCache>
                <c:formatCode>_-* #,##0.0_-;\-* #,##0.0_-;_-* "-"??_-;_-@_-</c:formatCode>
                <c:ptCount val="6"/>
                <c:pt idx="0">
                  <c:v>11.831661909479333</c:v>
                </c:pt>
                <c:pt idx="1">
                  <c:v>11.73195602864765</c:v>
                </c:pt>
                <c:pt idx="2">
                  <c:v>11.591841032429137</c:v>
                </c:pt>
                <c:pt idx="3">
                  <c:v>11.042011561107394</c:v>
                </c:pt>
                <c:pt idx="4">
                  <c:v>12.674970450141899</c:v>
                </c:pt>
                <c:pt idx="5">
                  <c:v>12.941504470145047</c:v>
                </c:pt>
              </c:numCache>
            </c:numRef>
          </c:val>
          <c:extLst>
            <c:ext xmlns:c16="http://schemas.microsoft.com/office/drawing/2014/chart" uri="{C3380CC4-5D6E-409C-BE32-E72D297353CC}">
              <c16:uniqueId val="{00000005-DE74-47AB-84C9-FED9F817072C}"/>
            </c:ext>
          </c:extLst>
        </c:ser>
        <c:ser>
          <c:idx val="1"/>
          <c:order val="1"/>
          <c:tx>
            <c:strRef>
              <c:f>Hoja1!$C$1</c:f>
              <c:strCache>
                <c:ptCount val="1"/>
                <c:pt idx="0">
                  <c:v>Gobierno General</c:v>
                </c:pt>
              </c:strCache>
            </c:strRef>
          </c:tx>
          <c:spPr>
            <a:solidFill>
              <a:schemeClr val="accent5"/>
            </a:solidFill>
            <a:ln>
              <a:solidFill>
                <a:schemeClr val="tx1"/>
              </a:solidFill>
            </a:ln>
            <a:effectLst>
              <a:outerShdw blurRad="50800" dist="38100" dir="18900000" algn="bl" rotWithShape="0">
                <a:prstClr val="black">
                  <a:alpha val="40000"/>
                </a:prstClr>
              </a:outerShdw>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Hoja1!$A$2:$A$7</c:f>
              <c:numCache>
                <c:formatCode>General</c:formatCode>
                <c:ptCount val="6"/>
                <c:pt idx="0">
                  <c:v>2017</c:v>
                </c:pt>
                <c:pt idx="1">
                  <c:v>2018</c:v>
                </c:pt>
                <c:pt idx="2">
                  <c:v>2019</c:v>
                </c:pt>
                <c:pt idx="3">
                  <c:v>2020</c:v>
                </c:pt>
                <c:pt idx="4">
                  <c:v>2021</c:v>
                </c:pt>
                <c:pt idx="5">
                  <c:v>2022</c:v>
                </c:pt>
              </c:numCache>
            </c:numRef>
          </c:cat>
          <c:val>
            <c:numRef>
              <c:f>Hoja1!$C$2:$C$7</c:f>
              <c:numCache>
                <c:formatCode>_-* #,##0.0_-;\-* #,##0.0_-;_-* "-"??_-;_-@_-</c:formatCode>
                <c:ptCount val="6"/>
                <c:pt idx="0">
                  <c:v>15.286223471370015</c:v>
                </c:pt>
                <c:pt idx="1">
                  <c:v>15.223882472836205</c:v>
                </c:pt>
                <c:pt idx="2">
                  <c:v>15.076830370532617</c:v>
                </c:pt>
                <c:pt idx="3">
                  <c:v>14.403865066455095</c:v>
                </c:pt>
                <c:pt idx="4">
                  <c:v>16.183773162879397</c:v>
                </c:pt>
                <c:pt idx="5">
                  <c:v>16.345856918335464</c:v>
                </c:pt>
              </c:numCache>
            </c:numRef>
          </c:val>
          <c:extLst>
            <c:ext xmlns:c16="http://schemas.microsoft.com/office/drawing/2014/chart" uri="{C3380CC4-5D6E-409C-BE32-E72D297353CC}">
              <c16:uniqueId val="{00000006-DE74-47AB-84C9-FED9F817072C}"/>
            </c:ext>
          </c:extLst>
        </c:ser>
        <c:dLbls>
          <c:showLegendKey val="0"/>
          <c:showVal val="1"/>
          <c:showCatName val="0"/>
          <c:showSerName val="0"/>
          <c:showPercent val="0"/>
          <c:showBubbleSize val="0"/>
        </c:dLbls>
        <c:gapWidth val="324"/>
        <c:axId val="1692111216"/>
        <c:axId val="1662913856"/>
      </c:barChart>
      <c:catAx>
        <c:axId val="16921112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662913856"/>
        <c:crosses val="autoZero"/>
        <c:auto val="1"/>
        <c:lblAlgn val="ctr"/>
        <c:lblOffset val="100"/>
        <c:noMultiLvlLbl val="0"/>
      </c:catAx>
      <c:valAx>
        <c:axId val="1662913856"/>
        <c:scaling>
          <c:orientation val="minMax"/>
        </c:scaling>
        <c:delete val="1"/>
        <c:axPos val="l"/>
        <c:numFmt formatCode="_-* #,##0.0_-;\-* #,##0.0_-;_-* &quot;-&quot;??_-;_-@_-" sourceLinked="1"/>
        <c:majorTickMark val="none"/>
        <c:minorTickMark val="none"/>
        <c:tickLblPos val="nextTo"/>
        <c:crossAx val="1692111216"/>
        <c:crosses val="autoZero"/>
        <c:crossBetween val="between"/>
      </c:valAx>
      <c:spPr>
        <a:noFill/>
        <a:ln>
          <a:noFill/>
        </a:ln>
        <a:effectLst/>
      </c:spPr>
    </c:plotArea>
    <c:legend>
      <c:legendPos val="r"/>
      <c:layout>
        <c:manualLayout>
          <c:xMode val="edge"/>
          <c:yMode val="edge"/>
          <c:x val="0.76049943246311014"/>
          <c:y val="0.91029452018271984"/>
          <c:w val="0.23622583499423525"/>
          <c:h val="8.7638683990686264E-2"/>
        </c:manualLayout>
      </c:layout>
      <c:overlay val="0"/>
      <c:txPr>
        <a:bodyPr/>
        <a:lstStyle/>
        <a:p>
          <a:pPr>
            <a:defRPr sz="700"/>
          </a:pPr>
          <a:endParaRPr lang="es-GT"/>
        </a:p>
      </c:txPr>
    </c:legend>
    <c:plotVisOnly val="1"/>
    <c:dispBlanksAs val="gap"/>
    <c:showDLblsOverMax val="0"/>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000" b="0" i="0" u="none" strike="noStrike" kern="1200" cap="none" spc="0" normalizeH="0" baseline="0">
                <a:solidFill>
                  <a:sysClr val="windowText" lastClr="000000"/>
                </a:solidFill>
                <a:latin typeface="Times New Roman" panose="02020603050405020304" pitchFamily="18" charset="0"/>
                <a:ea typeface="+mj-ea"/>
                <a:cs typeface="Times New Roman" panose="02020603050405020304" pitchFamily="18" charset="0"/>
              </a:defRPr>
            </a:pPr>
            <a:r>
              <a:rPr lang="en-US" sz="1200" b="1">
                <a:solidFill>
                  <a:sysClr val="windowText" lastClr="000000"/>
                </a:solidFill>
              </a:rPr>
              <a:t>Impuestos</a:t>
            </a:r>
            <a:r>
              <a:rPr lang="en-US" sz="1200" b="1" baseline="0">
                <a:solidFill>
                  <a:sysClr val="windowText" lastClr="000000"/>
                </a:solidFill>
              </a:rPr>
              <a:t> según estandares intarnacionales </a:t>
            </a:r>
          </a:p>
          <a:p>
            <a:pPr>
              <a:defRPr sz="2000" b="0" i="0" u="none" strike="noStrike" kern="1200" cap="none" spc="0" normalizeH="0" baseline="0">
                <a:solidFill>
                  <a:sysClr val="windowText" lastClr="000000"/>
                </a:solidFill>
                <a:latin typeface="Times New Roman" panose="02020603050405020304" pitchFamily="18" charset="0"/>
                <a:ea typeface="+mj-ea"/>
                <a:cs typeface="Times New Roman" panose="02020603050405020304" pitchFamily="18" charset="0"/>
              </a:defRPr>
            </a:pPr>
            <a:r>
              <a:rPr lang="en-US" sz="1200" b="1" baseline="0">
                <a:solidFill>
                  <a:sysClr val="windowText" lastClr="000000"/>
                </a:solidFill>
              </a:rPr>
              <a:t>Año 2022</a:t>
            </a:r>
          </a:p>
          <a:p>
            <a:pPr>
              <a:defRPr sz="2000" b="0" i="0" u="none" strike="noStrike" kern="1200" cap="none" spc="0" normalizeH="0" baseline="0">
                <a:solidFill>
                  <a:sysClr val="windowText" lastClr="000000"/>
                </a:solidFill>
                <a:latin typeface="Times New Roman" panose="02020603050405020304" pitchFamily="18" charset="0"/>
                <a:ea typeface="+mj-ea"/>
                <a:cs typeface="Times New Roman" panose="02020603050405020304" pitchFamily="18" charset="0"/>
              </a:defRPr>
            </a:pPr>
            <a:r>
              <a:rPr lang="en-US" sz="1100" baseline="0">
                <a:solidFill>
                  <a:sysClr val="windowText" lastClr="000000"/>
                </a:solidFill>
              </a:rPr>
              <a:t>Como porcentajes del PIB</a:t>
            </a:r>
            <a:endParaRPr lang="en-US" sz="1100">
              <a:solidFill>
                <a:sysClr val="windowText" lastClr="000000"/>
              </a:solidFill>
            </a:endParaRPr>
          </a:p>
        </c:rich>
      </c:tx>
      <c:layout>
        <c:manualLayout>
          <c:xMode val="edge"/>
          <c:yMode val="edge"/>
          <c:x val="0.25681703849518805"/>
          <c:y val="0"/>
        </c:manualLayout>
      </c:layout>
      <c:overlay val="0"/>
      <c:spPr>
        <a:noFill/>
        <a:ln>
          <a:noFill/>
        </a:ln>
        <a:effectLst/>
      </c:spPr>
    </c:title>
    <c:autoTitleDeleted val="0"/>
    <c:plotArea>
      <c:layout>
        <c:manualLayout>
          <c:layoutTarget val="inner"/>
          <c:xMode val="edge"/>
          <c:yMode val="edge"/>
          <c:x val="0.48137193788276472"/>
          <c:y val="0.25952325812214649"/>
          <c:w val="0.51399843248760568"/>
          <c:h val="0.72341427909746558"/>
        </c:manualLayout>
      </c:layout>
      <c:barChart>
        <c:barDir val="bar"/>
        <c:grouping val="clustered"/>
        <c:varyColors val="1"/>
        <c:ser>
          <c:idx val="1"/>
          <c:order val="0"/>
          <c:tx>
            <c:strRef>
              <c:f>Hoja1!$C$1</c:f>
              <c:strCache>
                <c:ptCount val="1"/>
                <c:pt idx="0">
                  <c:v>Gobierno General</c:v>
                </c:pt>
              </c:strCache>
            </c:strRef>
          </c:tx>
          <c:spPr>
            <a:solidFill>
              <a:schemeClr val="accent5"/>
            </a:solidFill>
            <a:ln>
              <a:solidFill>
                <a:sysClr val="windowText" lastClr="000000"/>
              </a:solidFill>
            </a:ln>
            <a:effectLst>
              <a:outerShdw blurRad="50800" dist="38100" dir="18900000" algn="bl" rotWithShape="0">
                <a:prstClr val="black">
                  <a:alpha val="40000"/>
                </a:prstClr>
              </a:outerShdw>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Hoja1!$A$2:$A$8</c:f>
              <c:strCache>
                <c:ptCount val="7"/>
                <c:pt idx="0">
                  <c:v>Impuestos</c:v>
                </c:pt>
                <c:pt idx="1">
                  <c:v>Impuestos sobre los bienes y servicios</c:v>
                </c:pt>
                <c:pt idx="2">
                  <c:v>Impuestos sobre el ingreso, las utilidades y las ganancias de capital</c:v>
                </c:pt>
                <c:pt idx="3">
                  <c:v>Impuestos sobre el comercio y las transacciones internacionales</c:v>
                </c:pt>
                <c:pt idx="4">
                  <c:v>Impuestos sobre la propiedad</c:v>
                </c:pt>
                <c:pt idx="5">
                  <c:v>Otros impuestos</c:v>
                </c:pt>
                <c:pt idx="6">
                  <c:v>Impuestos sobre la nómina y la fuerza de trabajo</c:v>
                </c:pt>
              </c:strCache>
            </c:strRef>
          </c:cat>
          <c:val>
            <c:numRef>
              <c:f>Hoja1!$C$2:$C$8</c:f>
              <c:numCache>
                <c:formatCode>#,##0.00</c:formatCode>
                <c:ptCount val="7"/>
                <c:pt idx="0">
                  <c:v>12.44094831787276</c:v>
                </c:pt>
                <c:pt idx="1">
                  <c:v>7.2041295329129245</c:v>
                </c:pt>
                <c:pt idx="2">
                  <c:v>4.2742141997149883</c:v>
                </c:pt>
                <c:pt idx="3">
                  <c:v>0.57138512619870152</c:v>
                </c:pt>
                <c:pt idx="4">
                  <c:v>0.21623217838662478</c:v>
                </c:pt>
                <c:pt idx="5">
                  <c:v>9.5814249727961501E-2</c:v>
                </c:pt>
                <c:pt idx="6">
                  <c:v>7.9173030931560404E-2</c:v>
                </c:pt>
              </c:numCache>
            </c:numRef>
          </c:val>
          <c:extLst>
            <c:ext xmlns:c16="http://schemas.microsoft.com/office/drawing/2014/chart" uri="{C3380CC4-5D6E-409C-BE32-E72D297353CC}">
              <c16:uniqueId val="{00000000-AA44-448B-A49A-36C8222D013D}"/>
            </c:ext>
          </c:extLst>
        </c:ser>
        <c:ser>
          <c:idx val="0"/>
          <c:order val="1"/>
          <c:tx>
            <c:strRef>
              <c:f>Hoja1!$B$1</c:f>
              <c:strCache>
                <c:ptCount val="1"/>
                <c:pt idx="0">
                  <c:v>Gobierno Central Presupuestario</c:v>
                </c:pt>
              </c:strCache>
            </c:strRef>
          </c:tx>
          <c:spPr>
            <a:solidFill>
              <a:schemeClr val="accent6"/>
            </a:solidFill>
            <a:ln>
              <a:solidFill>
                <a:sysClr val="windowText" lastClr="000000"/>
              </a:solidFill>
            </a:ln>
            <a:effectLst>
              <a:outerShdw blurRad="50800" dist="38100" dir="18900000" algn="bl" rotWithShape="0">
                <a:prstClr val="black">
                  <a:alpha val="40000"/>
                </a:prstClr>
              </a:outerShdw>
            </a:effectLst>
          </c:spPr>
          <c:invertIfNegative val="0"/>
          <c:dPt>
            <c:idx val="0"/>
            <c:invertIfNegative val="0"/>
            <c:bubble3D val="0"/>
            <c:extLst>
              <c:ext xmlns:c16="http://schemas.microsoft.com/office/drawing/2014/chart" uri="{C3380CC4-5D6E-409C-BE32-E72D297353CC}">
                <c16:uniqueId val="{00000001-AA44-448B-A49A-36C8222D013D}"/>
              </c:ext>
            </c:extLst>
          </c:dPt>
          <c:dPt>
            <c:idx val="1"/>
            <c:invertIfNegative val="0"/>
            <c:bubble3D val="0"/>
            <c:extLst>
              <c:ext xmlns:c16="http://schemas.microsoft.com/office/drawing/2014/chart" uri="{C3380CC4-5D6E-409C-BE32-E72D297353CC}">
                <c16:uniqueId val="{00000002-AA44-448B-A49A-36C8222D013D}"/>
              </c:ext>
            </c:extLst>
          </c:dPt>
          <c:dPt>
            <c:idx val="2"/>
            <c:invertIfNegative val="0"/>
            <c:bubble3D val="0"/>
            <c:extLst>
              <c:ext xmlns:c16="http://schemas.microsoft.com/office/drawing/2014/chart" uri="{C3380CC4-5D6E-409C-BE32-E72D297353CC}">
                <c16:uniqueId val="{00000003-AA44-448B-A49A-36C8222D013D}"/>
              </c:ext>
            </c:extLst>
          </c:dPt>
          <c:dPt>
            <c:idx val="3"/>
            <c:invertIfNegative val="0"/>
            <c:bubble3D val="0"/>
            <c:extLst>
              <c:ext xmlns:c16="http://schemas.microsoft.com/office/drawing/2014/chart" uri="{C3380CC4-5D6E-409C-BE32-E72D297353CC}">
                <c16:uniqueId val="{00000004-AA44-448B-A49A-36C8222D013D}"/>
              </c:ext>
            </c:extLst>
          </c:dPt>
          <c:dPt>
            <c:idx val="4"/>
            <c:invertIfNegative val="0"/>
            <c:bubble3D val="0"/>
            <c:extLst>
              <c:ext xmlns:c16="http://schemas.microsoft.com/office/drawing/2014/chart" uri="{C3380CC4-5D6E-409C-BE32-E72D297353CC}">
                <c16:uniqueId val="{00000005-AA44-448B-A49A-36C8222D013D}"/>
              </c:ext>
            </c:extLst>
          </c:dPt>
          <c:dPt>
            <c:idx val="5"/>
            <c:invertIfNegative val="0"/>
            <c:bubble3D val="0"/>
            <c:extLst>
              <c:ext xmlns:c16="http://schemas.microsoft.com/office/drawing/2014/chart" uri="{C3380CC4-5D6E-409C-BE32-E72D297353CC}">
                <c16:uniqueId val="{00000006-AA44-448B-A49A-36C8222D013D}"/>
              </c:ext>
            </c:extLst>
          </c:dPt>
          <c:dLbls>
            <c:numFmt formatCode="#,##0.0" sourceLinked="0"/>
            <c:spPr>
              <a:noFill/>
              <a:ln>
                <a:noFill/>
              </a:ln>
              <a:effectLst/>
            </c:spPr>
            <c:txPr>
              <a:bodyPr rot="0" spcFirstLastPara="1" vertOverflow="ellipsis" vert="horz" wrap="square" anchor="ctr" anchorCtr="1"/>
              <a:lstStyle/>
              <a:p>
                <a:pPr>
                  <a:defRPr sz="700" b="0" i="0" u="none" strike="noStrike" kern="1200" baseline="0">
                    <a:solidFill>
                      <a:schemeClr val="accent6">
                        <a:lumMod val="75000"/>
                      </a:schemeClr>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Hoja1!$A$2:$A$8</c:f>
              <c:strCache>
                <c:ptCount val="7"/>
                <c:pt idx="0">
                  <c:v>Impuestos</c:v>
                </c:pt>
                <c:pt idx="1">
                  <c:v>Impuestos sobre los bienes y servicios</c:v>
                </c:pt>
                <c:pt idx="2">
                  <c:v>Impuestos sobre el ingreso, las utilidades y las ganancias de capital</c:v>
                </c:pt>
                <c:pt idx="3">
                  <c:v>Impuestos sobre el comercio y las transacciones internacionales</c:v>
                </c:pt>
                <c:pt idx="4">
                  <c:v>Impuestos sobre la propiedad</c:v>
                </c:pt>
                <c:pt idx="5">
                  <c:v>Otros impuestos</c:v>
                </c:pt>
                <c:pt idx="6">
                  <c:v>Impuestos sobre la nómina y la fuerza de trabajo</c:v>
                </c:pt>
              </c:strCache>
            </c:strRef>
          </c:cat>
          <c:val>
            <c:numRef>
              <c:f>Hoja1!$B$2:$B$8</c:f>
              <c:numCache>
                <c:formatCode>#,##0.0</c:formatCode>
                <c:ptCount val="7"/>
                <c:pt idx="0">
                  <c:v>11.898238059307793</c:v>
                </c:pt>
                <c:pt idx="1">
                  <c:v>0.57121950971391466</c:v>
                </c:pt>
                <c:pt idx="2">
                  <c:v>4.2742141997149883</c:v>
                </c:pt>
                <c:pt idx="3" formatCode="0.0">
                  <c:v>0</c:v>
                </c:pt>
                <c:pt idx="4">
                  <c:v>6.9681819671285101</c:v>
                </c:pt>
                <c:pt idx="5" formatCode="0.0">
                  <c:v>7.9605197988341383E-2</c:v>
                </c:pt>
                <c:pt idx="6">
                  <c:v>5.0171847620393171E-3</c:v>
                </c:pt>
              </c:numCache>
            </c:numRef>
          </c:val>
          <c:extLst>
            <c:ext xmlns:c16="http://schemas.microsoft.com/office/drawing/2014/chart" uri="{C3380CC4-5D6E-409C-BE32-E72D297353CC}">
              <c16:uniqueId val="{00000007-AA44-448B-A49A-36C8222D013D}"/>
            </c:ext>
          </c:extLst>
        </c:ser>
        <c:dLbls>
          <c:showLegendKey val="0"/>
          <c:showVal val="0"/>
          <c:showCatName val="0"/>
          <c:showSerName val="0"/>
          <c:showPercent val="0"/>
          <c:showBubbleSize val="0"/>
        </c:dLbls>
        <c:gapWidth val="132"/>
        <c:axId val="1692111216"/>
        <c:axId val="1662913856"/>
      </c:barChart>
      <c:catAx>
        <c:axId val="1692111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662913856"/>
        <c:crosses val="autoZero"/>
        <c:auto val="1"/>
        <c:lblAlgn val="ctr"/>
        <c:lblOffset val="100"/>
        <c:noMultiLvlLbl val="0"/>
      </c:catAx>
      <c:valAx>
        <c:axId val="1662913856"/>
        <c:scaling>
          <c:orientation val="minMax"/>
        </c:scaling>
        <c:delete val="1"/>
        <c:axPos val="b"/>
        <c:numFmt formatCode="#,##0.00" sourceLinked="1"/>
        <c:majorTickMark val="none"/>
        <c:minorTickMark val="none"/>
        <c:tickLblPos val="nextTo"/>
        <c:crossAx val="1692111216"/>
        <c:crosses val="autoZero"/>
        <c:crossBetween val="between"/>
      </c:valAx>
      <c:spPr>
        <a:noFill/>
        <a:ln>
          <a:noFill/>
        </a:ln>
        <a:effectLst/>
      </c:spPr>
    </c:plotArea>
    <c:legend>
      <c:legendPos val="r"/>
      <c:layout>
        <c:manualLayout>
          <c:xMode val="edge"/>
          <c:yMode val="edge"/>
          <c:x val="0.28951625838436862"/>
          <c:y val="0.17564513994574207"/>
          <c:w val="0.52761337124526098"/>
          <c:h val="7.411986724799896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userShapes r:id="rId3"/>
</c:chartSpace>
</file>

<file path=word/charts/chart1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000" b="0" i="0" u="none" strike="noStrike" kern="1200" cap="none" spc="0" normalizeH="0" baseline="0">
                <a:solidFill>
                  <a:sysClr val="windowText" lastClr="000000"/>
                </a:solidFill>
                <a:latin typeface="Times New Roman" panose="02020603050405020304" pitchFamily="18" charset="0"/>
                <a:ea typeface="+mj-ea"/>
                <a:cs typeface="Times New Roman" panose="02020603050405020304" pitchFamily="18" charset="0"/>
              </a:defRPr>
            </a:pPr>
            <a:r>
              <a:rPr lang="en-US" sz="1200" b="1">
                <a:solidFill>
                  <a:sysClr val="windowText" lastClr="000000"/>
                </a:solidFill>
              </a:rPr>
              <a:t>Contribuciones sociales según los estandares</a:t>
            </a:r>
            <a:r>
              <a:rPr lang="en-US" sz="1200" b="1" baseline="0">
                <a:solidFill>
                  <a:sysClr val="windowText" lastClr="000000"/>
                </a:solidFill>
              </a:rPr>
              <a:t> internacionales</a:t>
            </a:r>
          </a:p>
          <a:p>
            <a:pPr>
              <a:defRPr sz="2000" b="0" i="0" u="none" strike="noStrike" kern="1200" cap="none" spc="0" normalizeH="0" baseline="0">
                <a:solidFill>
                  <a:sysClr val="windowText" lastClr="000000"/>
                </a:solidFill>
                <a:latin typeface="Times New Roman" panose="02020603050405020304" pitchFamily="18" charset="0"/>
                <a:ea typeface="+mj-ea"/>
                <a:cs typeface="Times New Roman" panose="02020603050405020304" pitchFamily="18" charset="0"/>
              </a:defRPr>
            </a:pPr>
            <a:r>
              <a:rPr lang="en-US" sz="1200" b="1" baseline="0">
                <a:solidFill>
                  <a:sysClr val="windowText" lastClr="000000"/>
                </a:solidFill>
              </a:rPr>
              <a:t>Año 2022</a:t>
            </a:r>
          </a:p>
          <a:p>
            <a:pPr>
              <a:defRPr sz="2000" b="0" i="0" u="none" strike="noStrike" kern="1200" cap="none" spc="0" normalizeH="0" baseline="0">
                <a:solidFill>
                  <a:sysClr val="windowText" lastClr="000000"/>
                </a:solidFill>
                <a:latin typeface="Times New Roman" panose="02020603050405020304" pitchFamily="18" charset="0"/>
                <a:ea typeface="+mj-ea"/>
                <a:cs typeface="Times New Roman" panose="02020603050405020304" pitchFamily="18" charset="0"/>
              </a:defRPr>
            </a:pPr>
            <a:r>
              <a:rPr lang="en-US" sz="1100" baseline="0">
                <a:solidFill>
                  <a:sysClr val="windowText" lastClr="000000"/>
                </a:solidFill>
              </a:rPr>
              <a:t>Como porcentajes del PIB</a:t>
            </a:r>
            <a:endParaRPr lang="en-US" sz="1100">
              <a:solidFill>
                <a:sysClr val="windowText" lastClr="000000"/>
              </a:solidFill>
            </a:endParaRPr>
          </a:p>
        </c:rich>
      </c:tx>
      <c:layout>
        <c:manualLayout>
          <c:xMode val="edge"/>
          <c:yMode val="edge"/>
          <c:x val="0.11916666666666667"/>
          <c:y val="0"/>
        </c:manualLayout>
      </c:layout>
      <c:overlay val="0"/>
      <c:spPr>
        <a:noFill/>
        <a:ln>
          <a:noFill/>
        </a:ln>
        <a:effectLst/>
      </c:spPr>
    </c:title>
    <c:autoTitleDeleted val="0"/>
    <c:plotArea>
      <c:layout>
        <c:manualLayout>
          <c:layoutTarget val="inner"/>
          <c:xMode val="edge"/>
          <c:yMode val="edge"/>
          <c:x val="5.8403611433816671E-2"/>
          <c:y val="0.28311092692360817"/>
          <c:w val="0.94159638856618333"/>
          <c:h val="0.53806129496970778"/>
        </c:manualLayout>
      </c:layout>
      <c:lineChart>
        <c:grouping val="standard"/>
        <c:varyColors val="1"/>
        <c:ser>
          <c:idx val="0"/>
          <c:order val="0"/>
          <c:tx>
            <c:strRef>
              <c:f>Hoja1!$B$1</c:f>
              <c:strCache>
                <c:ptCount val="1"/>
                <c:pt idx="0">
                  <c:v>Gobierno Central Presupuestario</c:v>
                </c:pt>
              </c:strCache>
            </c:strRef>
          </c:tx>
          <c:spPr>
            <a:ln w="38100" cap="rnd">
              <a:noFill/>
              <a:round/>
            </a:ln>
            <a:effectLst>
              <a:outerShdw blurRad="50800" dist="38100" dir="18900000" algn="bl" rotWithShape="0">
                <a:prstClr val="black">
                  <a:alpha val="40000"/>
                </a:prstClr>
              </a:outerShdw>
            </a:effectLst>
          </c:spPr>
          <c:marker>
            <c:symbol val="dash"/>
            <c:size val="32"/>
            <c:spPr>
              <a:solidFill>
                <a:schemeClr val="accent6"/>
              </a:solidFill>
              <a:ln>
                <a:noFill/>
              </a:ln>
              <a:effectLst>
                <a:outerShdw blurRad="50800" dist="38100" dir="18900000" algn="bl" rotWithShape="0">
                  <a:prstClr val="black">
                    <a:alpha val="40000"/>
                  </a:prstClr>
                </a:outerShdw>
              </a:effectLst>
              <a:scene3d>
                <a:camera prst="orthographicFront"/>
                <a:lightRig rig="threePt" dir="t"/>
              </a:scene3d>
              <a:sp3d prstMaterial="dkEdge">
                <a:bevelT/>
                <a:bevelB/>
              </a:sp3d>
            </c:spPr>
          </c:marker>
          <c:dPt>
            <c:idx val="0"/>
            <c:bubble3D val="0"/>
            <c:spPr>
              <a:ln w="25400" cap="rnd">
                <a:noFill/>
                <a:round/>
              </a:ln>
              <a:effectLst>
                <a:outerShdw blurRad="50800" dist="38100" dir="18900000" algn="bl" rotWithShape="0">
                  <a:prstClr val="black">
                    <a:alpha val="40000"/>
                  </a:prstClr>
                </a:outerShdw>
              </a:effectLst>
            </c:spPr>
            <c:extLst>
              <c:ext xmlns:c16="http://schemas.microsoft.com/office/drawing/2014/chart" uri="{C3380CC4-5D6E-409C-BE32-E72D297353CC}">
                <c16:uniqueId val="{00000001-2464-4919-AB0A-C73EDD88092C}"/>
              </c:ext>
            </c:extLst>
          </c:dPt>
          <c:dPt>
            <c:idx val="1"/>
            <c:bubble3D val="0"/>
            <c:extLst>
              <c:ext xmlns:c16="http://schemas.microsoft.com/office/drawing/2014/chart" uri="{C3380CC4-5D6E-409C-BE32-E72D297353CC}">
                <c16:uniqueId val="{00000002-2464-4919-AB0A-C73EDD88092C}"/>
              </c:ext>
            </c:extLst>
          </c:dPt>
          <c:dPt>
            <c:idx val="2"/>
            <c:bubble3D val="0"/>
            <c:extLst>
              <c:ext xmlns:c16="http://schemas.microsoft.com/office/drawing/2014/chart" uri="{C3380CC4-5D6E-409C-BE32-E72D297353CC}">
                <c16:uniqueId val="{00000003-2464-4919-AB0A-C73EDD88092C}"/>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6">
                        <a:lumMod val="75000"/>
                      </a:schemeClr>
                    </a:solidFill>
                    <a:latin typeface="Times New Roman" panose="02020603050405020304" pitchFamily="18" charset="0"/>
                    <a:ea typeface="+mn-ea"/>
                    <a:cs typeface="Times New Roman" panose="02020603050405020304" pitchFamily="18" charset="0"/>
                  </a:defRPr>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Hoja1!$A$2:$A$4</c:f>
              <c:strCache>
                <c:ptCount val="3"/>
                <c:pt idx="0">
                  <c:v>Total Contribuciones Sociales</c:v>
                </c:pt>
                <c:pt idx="1">
                  <c:v>Contribuciones a la seguridad social</c:v>
                </c:pt>
                <c:pt idx="2">
                  <c:v>Otras contribuciones sociales</c:v>
                </c:pt>
              </c:strCache>
            </c:strRef>
          </c:cat>
          <c:val>
            <c:numRef>
              <c:f>Hoja1!$B$2:$B$4</c:f>
              <c:numCache>
                <c:formatCode>_-* #,##0.0_-;\-* #,##0.0_-;_-* "-"??_-;_-@_-</c:formatCode>
                <c:ptCount val="3"/>
                <c:pt idx="0">
                  <c:v>0.70385013597171064</c:v>
                </c:pt>
                <c:pt idx="1">
                  <c:v>0</c:v>
                </c:pt>
                <c:pt idx="2">
                  <c:v>0.70385013597171064</c:v>
                </c:pt>
              </c:numCache>
            </c:numRef>
          </c:val>
          <c:smooth val="0"/>
          <c:extLst>
            <c:ext xmlns:c16="http://schemas.microsoft.com/office/drawing/2014/chart" uri="{C3380CC4-5D6E-409C-BE32-E72D297353CC}">
              <c16:uniqueId val="{00000004-2464-4919-AB0A-C73EDD88092C}"/>
            </c:ext>
          </c:extLst>
        </c:ser>
        <c:ser>
          <c:idx val="1"/>
          <c:order val="1"/>
          <c:tx>
            <c:strRef>
              <c:f>Hoja1!$C$1</c:f>
              <c:strCache>
                <c:ptCount val="1"/>
                <c:pt idx="0">
                  <c:v>Gobierno General</c:v>
                </c:pt>
              </c:strCache>
            </c:strRef>
          </c:tx>
          <c:spPr>
            <a:ln w="38100" cap="rnd">
              <a:noFill/>
              <a:round/>
            </a:ln>
            <a:effectLst>
              <a:outerShdw blurRad="50800" dist="38100" dir="19560000" algn="bl" rotWithShape="0">
                <a:prstClr val="black">
                  <a:alpha val="40000"/>
                </a:prstClr>
              </a:outerShdw>
            </a:effectLst>
          </c:spPr>
          <c:marker>
            <c:symbol val="dash"/>
            <c:size val="32"/>
            <c:spPr>
              <a:solidFill>
                <a:schemeClr val="accent5"/>
              </a:solidFill>
              <a:ln>
                <a:noFill/>
              </a:ln>
              <a:effectLst>
                <a:outerShdw blurRad="50800" dist="38100" dir="19560000" algn="bl" rotWithShape="0">
                  <a:prstClr val="black">
                    <a:alpha val="40000"/>
                  </a:prstClr>
                </a:outerShdw>
              </a:effectLst>
              <a:scene3d>
                <a:camera prst="orthographicFront"/>
                <a:lightRig rig="threePt" dir="t"/>
              </a:scene3d>
              <a:sp3d prstMaterial="dkEdge">
                <a:bevelT/>
                <a:bevelB prst="relaxedInset"/>
              </a:sp3d>
            </c:spPr>
          </c:marker>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Hoja1!$A$2:$A$4</c:f>
              <c:strCache>
                <c:ptCount val="3"/>
                <c:pt idx="0">
                  <c:v>Total Contribuciones Sociales</c:v>
                </c:pt>
                <c:pt idx="1">
                  <c:v>Contribuciones a la seguridad social</c:v>
                </c:pt>
                <c:pt idx="2">
                  <c:v>Otras contribuciones sociales</c:v>
                </c:pt>
              </c:strCache>
            </c:strRef>
          </c:cat>
          <c:val>
            <c:numRef>
              <c:f>Hoja1!$C$2:$C$4</c:f>
              <c:numCache>
                <c:formatCode>_-* #,##0.0_-;\-* #,##0.0_-;_-* "-"??_-;_-@_-</c:formatCode>
                <c:ptCount val="3"/>
                <c:pt idx="0">
                  <c:v>2.6844742665311792</c:v>
                </c:pt>
                <c:pt idx="1">
                  <c:v>1.8231288033606439</c:v>
                </c:pt>
                <c:pt idx="2">
                  <c:v>0.86134546317053595</c:v>
                </c:pt>
              </c:numCache>
            </c:numRef>
          </c:val>
          <c:smooth val="0"/>
          <c:extLst>
            <c:ext xmlns:c16="http://schemas.microsoft.com/office/drawing/2014/chart" uri="{C3380CC4-5D6E-409C-BE32-E72D297353CC}">
              <c16:uniqueId val="{00000005-2464-4919-AB0A-C73EDD88092C}"/>
            </c:ext>
          </c:extLst>
        </c:ser>
        <c:dLbls>
          <c:showLegendKey val="0"/>
          <c:showVal val="1"/>
          <c:showCatName val="0"/>
          <c:showSerName val="0"/>
          <c:showPercent val="0"/>
          <c:showBubbleSize val="0"/>
        </c:dLbls>
        <c:hiLowLines>
          <c:spPr>
            <a:ln w="15875">
              <a:solidFill>
                <a:schemeClr val="accent2"/>
              </a:solidFill>
              <a:prstDash val="dash"/>
              <a:headEnd type="triangle"/>
            </a:ln>
            <a:effectLst>
              <a:outerShdw blurRad="50800" dist="38100" dir="18900000" algn="bl" rotWithShape="0">
                <a:prstClr val="black">
                  <a:alpha val="40000"/>
                </a:prstClr>
              </a:outerShdw>
            </a:effectLst>
          </c:spPr>
        </c:hiLowLines>
        <c:marker val="1"/>
        <c:smooth val="0"/>
        <c:axId val="1692111216"/>
        <c:axId val="1662913856"/>
      </c:lineChart>
      <c:catAx>
        <c:axId val="16921112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662913856"/>
        <c:crosses val="autoZero"/>
        <c:auto val="1"/>
        <c:lblAlgn val="ctr"/>
        <c:lblOffset val="100"/>
        <c:tickMarkSkip val="1"/>
        <c:noMultiLvlLbl val="0"/>
      </c:catAx>
      <c:valAx>
        <c:axId val="1662913856"/>
        <c:scaling>
          <c:orientation val="minMax"/>
          <c:min val="-1.5"/>
        </c:scaling>
        <c:delete val="0"/>
        <c:axPos val="l"/>
        <c:numFmt formatCode="_-* #,##0.0_-;\-* #,##0.0_-;_-* &quot;-&quot;?_-;_-@_-"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92111216"/>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700" b="0" i="0" u="none" strike="noStrike" kern="1200" baseline="0">
                <a:solidFill>
                  <a:schemeClr val="accent6"/>
                </a:solidFill>
                <a:latin typeface="Times New Roman" panose="02020603050405020304" pitchFamily="18" charset="0"/>
                <a:ea typeface="+mn-ea"/>
                <a:cs typeface="Times New Roman" panose="02020603050405020304" pitchFamily="18" charset="0"/>
              </a:defRPr>
            </a:pPr>
            <a:endParaRPr lang="es-GT"/>
          </a:p>
        </c:txPr>
      </c:legendEntry>
      <c:legendEntry>
        <c:idx val="1"/>
        <c:txPr>
          <a:bodyPr rot="0" spcFirstLastPara="1" vertOverflow="ellipsis" vert="horz" wrap="square" anchor="ctr" anchorCtr="1"/>
          <a:lstStyle/>
          <a:p>
            <a:pPr>
              <a:defRPr sz="700" b="0"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s-GT"/>
          </a:p>
        </c:txPr>
      </c:legendEntry>
      <c:layout>
        <c:manualLayout>
          <c:xMode val="edge"/>
          <c:yMode val="edge"/>
          <c:x val="0.6926758386759031"/>
          <c:y val="0.90634625735074259"/>
          <c:w val="0.30451106521520882"/>
          <c:h val="9.2174225057310863E-2"/>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userShapes r:id="rId3"/>
</c:chartSpace>
</file>

<file path=word/charts/chart1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000" b="0" i="0" u="none" strike="noStrike" kern="1200" cap="none" spc="0" normalizeH="0" baseline="0">
                <a:solidFill>
                  <a:sysClr val="windowText" lastClr="000000"/>
                </a:solidFill>
                <a:latin typeface="Times New Roman" panose="02020603050405020304" pitchFamily="18" charset="0"/>
                <a:ea typeface="+mj-ea"/>
                <a:cs typeface="Times New Roman" panose="02020603050405020304" pitchFamily="18" charset="0"/>
              </a:defRPr>
            </a:pPr>
            <a:r>
              <a:rPr lang="en-US" sz="1200" b="1">
                <a:solidFill>
                  <a:sysClr val="windowText" lastClr="000000"/>
                </a:solidFill>
              </a:rPr>
              <a:t>Otros ingresos según los estandares</a:t>
            </a:r>
            <a:r>
              <a:rPr lang="en-US" sz="1200" b="1" baseline="0">
                <a:solidFill>
                  <a:sysClr val="windowText" lastClr="000000"/>
                </a:solidFill>
              </a:rPr>
              <a:t> internacionales</a:t>
            </a:r>
          </a:p>
          <a:p>
            <a:pPr>
              <a:defRPr sz="2000" b="0" i="0" u="none" strike="noStrike" kern="1200" cap="none" spc="0" normalizeH="0" baseline="0">
                <a:solidFill>
                  <a:sysClr val="windowText" lastClr="000000"/>
                </a:solidFill>
                <a:latin typeface="Times New Roman" panose="02020603050405020304" pitchFamily="18" charset="0"/>
                <a:ea typeface="+mj-ea"/>
                <a:cs typeface="Times New Roman" panose="02020603050405020304" pitchFamily="18" charset="0"/>
              </a:defRPr>
            </a:pPr>
            <a:r>
              <a:rPr lang="en-US" sz="1200" b="1" baseline="0">
                <a:solidFill>
                  <a:sysClr val="windowText" lastClr="000000"/>
                </a:solidFill>
              </a:rPr>
              <a:t>Año 2022</a:t>
            </a:r>
          </a:p>
          <a:p>
            <a:pPr>
              <a:defRPr sz="2000" b="0" i="0" u="none" strike="noStrike" kern="1200" cap="none" spc="0" normalizeH="0" baseline="0">
                <a:solidFill>
                  <a:sysClr val="windowText" lastClr="000000"/>
                </a:solidFill>
                <a:latin typeface="Times New Roman" panose="02020603050405020304" pitchFamily="18" charset="0"/>
                <a:ea typeface="+mj-ea"/>
                <a:cs typeface="Times New Roman" panose="02020603050405020304" pitchFamily="18" charset="0"/>
              </a:defRPr>
            </a:pPr>
            <a:r>
              <a:rPr lang="en-US" sz="1100" baseline="0">
                <a:solidFill>
                  <a:sysClr val="windowText" lastClr="000000"/>
                </a:solidFill>
              </a:rPr>
              <a:t>Como porcentajes del PIB</a:t>
            </a:r>
            <a:endParaRPr lang="en-US" sz="1100">
              <a:solidFill>
                <a:sysClr val="windowText" lastClr="000000"/>
              </a:solidFill>
            </a:endParaRPr>
          </a:p>
        </c:rich>
      </c:tx>
      <c:layout>
        <c:manualLayout>
          <c:xMode val="edge"/>
          <c:yMode val="edge"/>
          <c:x val="0.18629629629629629"/>
          <c:y val="0"/>
        </c:manualLayout>
      </c:layout>
      <c:overlay val="0"/>
      <c:spPr>
        <a:noFill/>
        <a:ln>
          <a:noFill/>
        </a:ln>
        <a:effectLst/>
      </c:spPr>
    </c:title>
    <c:autoTitleDeleted val="0"/>
    <c:plotArea>
      <c:layout>
        <c:manualLayout>
          <c:layoutTarget val="inner"/>
          <c:xMode val="edge"/>
          <c:yMode val="edge"/>
          <c:x val="0"/>
          <c:y val="0.2505658744574501"/>
          <c:w val="1"/>
          <c:h val="0.45456733477863065"/>
        </c:manualLayout>
      </c:layout>
      <c:barChart>
        <c:barDir val="col"/>
        <c:grouping val="clustered"/>
        <c:varyColors val="1"/>
        <c:ser>
          <c:idx val="0"/>
          <c:order val="0"/>
          <c:tx>
            <c:strRef>
              <c:f>Hoja1!$B$1</c:f>
              <c:strCache>
                <c:ptCount val="1"/>
                <c:pt idx="0">
                  <c:v>Gobierno Central Presupuestario</c:v>
                </c:pt>
              </c:strCache>
            </c:strRef>
          </c:tx>
          <c:spPr>
            <a:solidFill>
              <a:schemeClr val="accent6"/>
            </a:solidFill>
            <a:ln>
              <a:solidFill>
                <a:schemeClr val="tx1"/>
              </a:solidFill>
            </a:ln>
            <a:effectLst>
              <a:outerShdw blurRad="50800" dist="38100" dir="18900000" algn="bl" rotWithShape="0">
                <a:prstClr val="black">
                  <a:alpha val="40000"/>
                </a:prstClr>
              </a:outerShdw>
            </a:effectLst>
          </c:spPr>
          <c:invertIfNegative val="0"/>
          <c:dPt>
            <c:idx val="0"/>
            <c:invertIfNegative val="0"/>
            <c:bubble3D val="0"/>
            <c:extLst>
              <c:ext xmlns:c16="http://schemas.microsoft.com/office/drawing/2014/chart" uri="{C3380CC4-5D6E-409C-BE32-E72D297353CC}">
                <c16:uniqueId val="{00000000-6975-49C3-8DD7-4514710F0589}"/>
              </c:ext>
            </c:extLst>
          </c:dPt>
          <c:dPt>
            <c:idx val="1"/>
            <c:invertIfNegative val="0"/>
            <c:bubble3D val="0"/>
            <c:extLst>
              <c:ext xmlns:c16="http://schemas.microsoft.com/office/drawing/2014/chart" uri="{C3380CC4-5D6E-409C-BE32-E72D297353CC}">
                <c16:uniqueId val="{00000001-6975-49C3-8DD7-4514710F0589}"/>
              </c:ext>
            </c:extLst>
          </c:dPt>
          <c:dPt>
            <c:idx val="2"/>
            <c:invertIfNegative val="0"/>
            <c:bubble3D val="0"/>
            <c:extLst>
              <c:ext xmlns:c16="http://schemas.microsoft.com/office/drawing/2014/chart" uri="{C3380CC4-5D6E-409C-BE32-E72D297353CC}">
                <c16:uniqueId val="{00000002-6975-49C3-8DD7-4514710F0589}"/>
              </c:ext>
            </c:extLst>
          </c:dPt>
          <c:dPt>
            <c:idx val="3"/>
            <c:invertIfNegative val="0"/>
            <c:bubble3D val="0"/>
            <c:extLst>
              <c:ext xmlns:c16="http://schemas.microsoft.com/office/drawing/2014/chart" uri="{C3380CC4-5D6E-409C-BE32-E72D297353CC}">
                <c16:uniqueId val="{00000003-6975-49C3-8DD7-4514710F0589}"/>
              </c:ext>
            </c:extLst>
          </c:dPt>
          <c:dPt>
            <c:idx val="4"/>
            <c:invertIfNegative val="0"/>
            <c:bubble3D val="0"/>
            <c:extLst>
              <c:ext xmlns:c16="http://schemas.microsoft.com/office/drawing/2014/chart" uri="{C3380CC4-5D6E-409C-BE32-E72D297353CC}">
                <c16:uniqueId val="{00000004-6975-49C3-8DD7-4514710F0589}"/>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6"/>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Hoja1!$A$2:$A$6</c:f>
              <c:strCache>
                <c:ptCount val="5"/>
                <c:pt idx="0">
                  <c:v>Total Otros ingresos</c:v>
                </c:pt>
                <c:pt idx="1">
                  <c:v>Venta de bienes y servicios</c:v>
                </c:pt>
                <c:pt idx="2">
                  <c:v>Rentas de la propiedad</c:v>
                </c:pt>
                <c:pt idx="3">
                  <c:v>Multas, sanciones pecuniarias y depósitos en caución transferidos</c:v>
                </c:pt>
                <c:pt idx="4">
                  <c:v>Transferencias no clasificadas en otra parte</c:v>
                </c:pt>
              </c:strCache>
            </c:strRef>
          </c:cat>
          <c:val>
            <c:numRef>
              <c:f>Hoja1!$B$2:$B$6</c:f>
              <c:numCache>
                <c:formatCode>_-* #,##0.0_-;\-* #,##0.0_-;_-* "-"??_-;_-@_-</c:formatCode>
                <c:ptCount val="5"/>
                <c:pt idx="0">
                  <c:v>0.28063281667554318</c:v>
                </c:pt>
                <c:pt idx="1">
                  <c:v>0.12256493029836613</c:v>
                </c:pt>
                <c:pt idx="2">
                  <c:v>7.6210860975752234E-2</c:v>
                </c:pt>
                <c:pt idx="3">
                  <c:v>0.10066083248812337</c:v>
                </c:pt>
                <c:pt idx="4">
                  <c:v>2.4376535680177801E-2</c:v>
                </c:pt>
              </c:numCache>
            </c:numRef>
          </c:val>
          <c:extLst>
            <c:ext xmlns:c16="http://schemas.microsoft.com/office/drawing/2014/chart" uri="{C3380CC4-5D6E-409C-BE32-E72D297353CC}">
              <c16:uniqueId val="{00000005-6975-49C3-8DD7-4514710F0589}"/>
            </c:ext>
          </c:extLst>
        </c:ser>
        <c:ser>
          <c:idx val="1"/>
          <c:order val="1"/>
          <c:tx>
            <c:strRef>
              <c:f>Hoja1!$C$1</c:f>
              <c:strCache>
                <c:ptCount val="1"/>
                <c:pt idx="0">
                  <c:v>Gobierno General</c:v>
                </c:pt>
              </c:strCache>
            </c:strRef>
          </c:tx>
          <c:spPr>
            <a:solidFill>
              <a:schemeClr val="accent5"/>
            </a:solidFill>
            <a:ln>
              <a:solidFill>
                <a:schemeClr val="tx1"/>
              </a:solidFill>
            </a:ln>
            <a:effectLst>
              <a:outerShdw blurRad="50800" dist="38100" dir="18900000" algn="bl" rotWithShape="0">
                <a:prstClr val="black">
                  <a:alpha val="40000"/>
                </a:prstClr>
              </a:outerShdw>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Hoja1!$A$2:$A$6</c:f>
              <c:strCache>
                <c:ptCount val="5"/>
                <c:pt idx="0">
                  <c:v>Total Otros ingresos</c:v>
                </c:pt>
                <c:pt idx="1">
                  <c:v>Venta de bienes y servicios</c:v>
                </c:pt>
                <c:pt idx="2">
                  <c:v>Rentas de la propiedad</c:v>
                </c:pt>
                <c:pt idx="3">
                  <c:v>Multas, sanciones pecuniarias y depósitos en caución transferidos</c:v>
                </c:pt>
                <c:pt idx="4">
                  <c:v>Transferencias no clasificadas en otra parte</c:v>
                </c:pt>
              </c:strCache>
            </c:strRef>
          </c:cat>
          <c:val>
            <c:numRef>
              <c:f>Hoja1!$C$2:$C$6</c:f>
              <c:numCache>
                <c:formatCode>_-* #,##0.0_-;\-* #,##0.0_-;_-* "-"??_-;_-@_-</c:formatCode>
                <c:ptCount val="5"/>
                <c:pt idx="0">
                  <c:v>1.1988096074521573</c:v>
                </c:pt>
                <c:pt idx="1">
                  <c:v>0.60691675990783978</c:v>
                </c:pt>
                <c:pt idx="2">
                  <c:v>0.3242576416943686</c:v>
                </c:pt>
                <c:pt idx="3">
                  <c:v>0.16431969988683739</c:v>
                </c:pt>
                <c:pt idx="4">
                  <c:v>0.10330316404092328</c:v>
                </c:pt>
              </c:numCache>
            </c:numRef>
          </c:val>
          <c:extLst>
            <c:ext xmlns:c16="http://schemas.microsoft.com/office/drawing/2014/chart" uri="{C3380CC4-5D6E-409C-BE32-E72D297353CC}">
              <c16:uniqueId val="{00000006-6975-49C3-8DD7-4514710F0589}"/>
            </c:ext>
          </c:extLst>
        </c:ser>
        <c:dLbls>
          <c:showLegendKey val="0"/>
          <c:showVal val="1"/>
          <c:showCatName val="0"/>
          <c:showSerName val="0"/>
          <c:showPercent val="0"/>
          <c:showBubbleSize val="0"/>
        </c:dLbls>
        <c:gapWidth val="324"/>
        <c:axId val="1692111216"/>
        <c:axId val="1662913856"/>
      </c:barChart>
      <c:catAx>
        <c:axId val="16921112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662913856"/>
        <c:crosses val="autoZero"/>
        <c:auto val="1"/>
        <c:lblAlgn val="ctr"/>
        <c:lblOffset val="100"/>
        <c:noMultiLvlLbl val="0"/>
      </c:catAx>
      <c:valAx>
        <c:axId val="1662913856"/>
        <c:scaling>
          <c:orientation val="minMax"/>
        </c:scaling>
        <c:delete val="1"/>
        <c:axPos val="l"/>
        <c:numFmt formatCode="_-* #,##0.0_-;\-* #,##0.0_-;_-* &quot;-&quot;??_-;_-@_-" sourceLinked="1"/>
        <c:majorTickMark val="none"/>
        <c:minorTickMark val="none"/>
        <c:tickLblPos val="nextTo"/>
        <c:crossAx val="1692111216"/>
        <c:crosses val="autoZero"/>
        <c:crossBetween val="between"/>
      </c:valAx>
      <c:spPr>
        <a:noFill/>
        <a:ln>
          <a:noFill/>
        </a:ln>
        <a:effectLst/>
      </c:spPr>
    </c:plotArea>
    <c:legend>
      <c:legendPos val="r"/>
      <c:layout>
        <c:manualLayout>
          <c:xMode val="edge"/>
          <c:yMode val="edge"/>
          <c:x val="0.75923386988658204"/>
          <c:y val="0.90455800783522744"/>
          <c:w val="0.23622583499423525"/>
          <c:h val="9.4611147744462984E-2"/>
        </c:manualLayout>
      </c:layout>
      <c:overlay val="0"/>
      <c:txPr>
        <a:bodyPr/>
        <a:lstStyle/>
        <a:p>
          <a:pPr>
            <a:defRPr sz="700"/>
          </a:pPr>
          <a:endParaRPr lang="es-GT"/>
        </a:p>
      </c:txPr>
    </c:legend>
    <c:plotVisOnly val="1"/>
    <c:dispBlanksAs val="gap"/>
    <c:showDLblsOverMax val="0"/>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02879544785201"/>
          <c:y val="0.19323611111111111"/>
          <c:w val="0.86195966859117912"/>
          <c:h val="0.69307129629629627"/>
        </c:manualLayout>
      </c:layout>
      <c:lineChart>
        <c:grouping val="standard"/>
        <c:varyColors val="0"/>
        <c:ser>
          <c:idx val="0"/>
          <c:order val="0"/>
          <c:tx>
            <c:strRef>
              <c:f>UE_2!$B$1</c:f>
              <c:strCache>
                <c:ptCount val="1"/>
                <c:pt idx="0">
                  <c:v>Crecimiento </c:v>
                </c:pt>
              </c:strCache>
            </c:strRef>
          </c:tx>
          <c:spPr>
            <a:ln w="25400" cap="rnd">
              <a:solidFill>
                <a:srgbClr val="002060"/>
              </a:solidFill>
              <a:round/>
            </a:ln>
            <a:effectLst/>
          </c:spPr>
          <c:marker>
            <c:symbol val="none"/>
          </c:marker>
          <c:dLbls>
            <c:dLbl>
              <c:idx val="0"/>
              <c:layout>
                <c:manualLayout>
                  <c:x val="-0.10142388888888887"/>
                  <c:y val="-5.76231481481481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6F9-45B1-A290-35AB9D9870DC}"/>
                </c:ext>
              </c:extLst>
            </c:dLbl>
            <c:dLbl>
              <c:idx val="3"/>
              <c:layout>
                <c:manualLayout>
                  <c:x val="-2.1166666666666795E-2"/>
                  <c:y val="7.64351851851851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6F9-45B1-A290-35AB9D9870DC}"/>
                </c:ext>
              </c:extLst>
            </c:dLbl>
            <c:dLbl>
              <c:idx val="23"/>
              <c:layout>
                <c:manualLayout>
                  <c:x val="-1.7361111111111112E-4"/>
                  <c:y val="-2.8287037037037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6F9-45B1-A290-35AB9D9870D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UE_2!$A$2:$A$5</c:f>
              <c:numCache>
                <c:formatCode>General</c:formatCode>
                <c:ptCount val="4"/>
                <c:pt idx="0">
                  <c:v>2019</c:v>
                </c:pt>
                <c:pt idx="1">
                  <c:v>2020</c:v>
                </c:pt>
                <c:pt idx="2">
                  <c:v>2021</c:v>
                </c:pt>
                <c:pt idx="3">
                  <c:v>2022</c:v>
                </c:pt>
              </c:numCache>
            </c:numRef>
          </c:cat>
          <c:val>
            <c:numRef>
              <c:f>UE_2!$B$2:$B$5</c:f>
              <c:numCache>
                <c:formatCode>_-* #,##0.0_-;\-* #,##0.0_-;_-* "-"??_-;_-@_-</c:formatCode>
                <c:ptCount val="4"/>
                <c:pt idx="0">
                  <c:v>1.591</c:v>
                </c:pt>
                <c:pt idx="1">
                  <c:v>-6.1029999999999998</c:v>
                </c:pt>
                <c:pt idx="2">
                  <c:v>5.37</c:v>
                </c:pt>
                <c:pt idx="3">
                  <c:v>3.5000000000000004</c:v>
                </c:pt>
              </c:numCache>
            </c:numRef>
          </c:val>
          <c:smooth val="0"/>
          <c:extLst>
            <c:ext xmlns:c16="http://schemas.microsoft.com/office/drawing/2014/chart" uri="{C3380CC4-5D6E-409C-BE32-E72D297353CC}">
              <c16:uniqueId val="{00000003-B6F9-45B1-A290-35AB9D9870DC}"/>
            </c:ext>
          </c:extLst>
        </c:ser>
        <c:ser>
          <c:idx val="1"/>
          <c:order val="1"/>
          <c:tx>
            <c:strRef>
              <c:f>UE_2!$C$1</c:f>
              <c:strCache>
                <c:ptCount val="1"/>
                <c:pt idx="0">
                  <c:v>Desempleo</c:v>
                </c:pt>
              </c:strCache>
            </c:strRef>
          </c:tx>
          <c:spPr>
            <a:ln w="25400" cap="rnd">
              <a:solidFill>
                <a:schemeClr val="accent1"/>
              </a:solidFill>
              <a:round/>
            </a:ln>
            <a:effectLst/>
          </c:spPr>
          <c:marker>
            <c:symbol val="none"/>
          </c:marker>
          <c:dLbls>
            <c:dLbl>
              <c:idx val="0"/>
              <c:layout>
                <c:manualLayout>
                  <c:x val="-0.10759722222222222"/>
                  <c:y val="-5.6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6F9-45B1-A290-35AB9D9870DC}"/>
                </c:ext>
              </c:extLst>
            </c:dLbl>
            <c:dLbl>
              <c:idx val="3"/>
              <c:layout>
                <c:manualLayout>
                  <c:x val="-1.2935035758548312E-16"/>
                  <c:y val="-7.0555555555555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6F9-45B1-A290-35AB9D9870DC}"/>
                </c:ext>
              </c:extLst>
            </c:dLbl>
            <c:dLbl>
              <c:idx val="23"/>
              <c:layout>
                <c:manualLayout>
                  <c:x val="-1.2935035758548312E-16"/>
                  <c:y val="5.37962962962962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6F9-45B1-A290-35AB9D9870D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UE_2!$A$2:$A$5</c:f>
              <c:numCache>
                <c:formatCode>General</c:formatCode>
                <c:ptCount val="4"/>
                <c:pt idx="0">
                  <c:v>2019</c:v>
                </c:pt>
                <c:pt idx="1">
                  <c:v>2020</c:v>
                </c:pt>
                <c:pt idx="2">
                  <c:v>2021</c:v>
                </c:pt>
                <c:pt idx="3">
                  <c:v>2022</c:v>
                </c:pt>
              </c:numCache>
            </c:numRef>
          </c:cat>
          <c:val>
            <c:numRef>
              <c:f>UE_2!$C$2:$C$5</c:f>
              <c:numCache>
                <c:formatCode>_-* #,##0.0_-;\-* #,##0.0_-;_-* "-"??_-;_-@_-</c:formatCode>
                <c:ptCount val="4"/>
                <c:pt idx="0">
                  <c:v>7.6079999999999997</c:v>
                </c:pt>
                <c:pt idx="1">
                  <c:v>7.9669999999999996</c:v>
                </c:pt>
                <c:pt idx="2">
                  <c:v>7.7960000000000003</c:v>
                </c:pt>
                <c:pt idx="3">
                  <c:v>6.7910000000000004</c:v>
                </c:pt>
              </c:numCache>
            </c:numRef>
          </c:val>
          <c:smooth val="0"/>
          <c:extLst>
            <c:ext xmlns:c16="http://schemas.microsoft.com/office/drawing/2014/chart" uri="{C3380CC4-5D6E-409C-BE32-E72D297353CC}">
              <c16:uniqueId val="{00000007-B6F9-45B1-A290-35AB9D9870DC}"/>
            </c:ext>
          </c:extLst>
        </c:ser>
        <c:dLbls>
          <c:showLegendKey val="0"/>
          <c:showVal val="0"/>
          <c:showCatName val="0"/>
          <c:showSerName val="0"/>
          <c:showPercent val="0"/>
          <c:showBubbleSize val="0"/>
        </c:dLbls>
        <c:smooth val="0"/>
        <c:axId val="997090992"/>
        <c:axId val="997091408"/>
      </c:lineChart>
      <c:catAx>
        <c:axId val="99709099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97091408"/>
        <c:crosses val="autoZero"/>
        <c:auto val="1"/>
        <c:lblAlgn val="ctr"/>
        <c:lblOffset val="100"/>
        <c:noMultiLvlLbl val="0"/>
      </c:catAx>
      <c:valAx>
        <c:axId val="997091408"/>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97090992"/>
        <c:crosses val="autoZero"/>
        <c:crossBetween val="between"/>
        <c:majorUnit val="2"/>
      </c:valAx>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Times New Roman" panose="02020603050405020304" pitchFamily="18" charset="0"/>
                <a:ea typeface="+mj-ea"/>
                <a:cs typeface="Times New Roman" panose="02020603050405020304" pitchFamily="18" charset="0"/>
              </a:defRPr>
            </a:pPr>
            <a:r>
              <a:rPr lang="es-GT" sz="1200" b="1" i="0" baseline="0">
                <a:solidFill>
                  <a:schemeClr val="tx1"/>
                </a:solidFill>
                <a:effectLst/>
              </a:rPr>
              <a:t>Gastos según los estandares internacionales</a:t>
            </a:r>
          </a:p>
          <a:p>
            <a:pPr>
              <a:defRPr/>
            </a:pPr>
            <a:r>
              <a:rPr lang="es-GT" sz="1200" b="1" i="0" baseline="0">
                <a:solidFill>
                  <a:schemeClr val="tx1"/>
                </a:solidFill>
                <a:effectLst/>
              </a:rPr>
              <a:t>Año 2022</a:t>
            </a:r>
            <a:endParaRPr lang="es-GT" sz="1200" b="1">
              <a:solidFill>
                <a:schemeClr val="tx1"/>
              </a:solidFill>
              <a:effectLst/>
            </a:endParaRPr>
          </a:p>
          <a:p>
            <a:pPr>
              <a:defRPr/>
            </a:pPr>
            <a:r>
              <a:rPr lang="en-US" sz="1100" b="0" i="0" baseline="0">
                <a:solidFill>
                  <a:schemeClr val="tx1"/>
                </a:solidFill>
                <a:effectLst/>
              </a:rPr>
              <a:t>Como porecentajes del PIB</a:t>
            </a:r>
            <a:endParaRPr lang="es-GT" sz="1100">
              <a:solidFill>
                <a:schemeClr val="tx1"/>
              </a:solidFill>
              <a:effectLst/>
            </a:endParaRPr>
          </a:p>
        </c:rich>
      </c:tx>
      <c:layout>
        <c:manualLayout>
          <c:xMode val="edge"/>
          <c:yMode val="edge"/>
          <c:x val="0.24475722649293344"/>
          <c:y val="0"/>
        </c:manualLayout>
      </c:layout>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Times New Roman" panose="02020603050405020304" pitchFamily="18" charset="0"/>
              <a:ea typeface="+mj-ea"/>
              <a:cs typeface="Times New Roman" panose="02020603050405020304" pitchFamily="18" charset="0"/>
            </a:defRPr>
          </a:pPr>
          <a:endParaRPr lang="es-GT"/>
        </a:p>
      </c:txPr>
    </c:title>
    <c:autoTitleDeleted val="0"/>
    <c:plotArea>
      <c:layout>
        <c:manualLayout>
          <c:layoutTarget val="inner"/>
          <c:xMode val="edge"/>
          <c:yMode val="edge"/>
          <c:x val="0.28083297888159237"/>
          <c:y val="0.19361125513981506"/>
          <c:w val="0.71916702111840758"/>
          <c:h val="0.80638874486018497"/>
        </c:manualLayout>
      </c:layout>
      <c:barChart>
        <c:barDir val="bar"/>
        <c:grouping val="clustered"/>
        <c:varyColors val="0"/>
        <c:ser>
          <c:idx val="1"/>
          <c:order val="0"/>
          <c:tx>
            <c:strRef>
              <c:f>Hoja1!$C$1</c:f>
              <c:strCache>
                <c:ptCount val="1"/>
                <c:pt idx="0">
                  <c:v>Gobierno General</c:v>
                </c:pt>
              </c:strCache>
            </c:strRef>
          </c:tx>
          <c:spPr>
            <a:solidFill>
              <a:schemeClr val="accent5"/>
            </a:solidFill>
            <a:ln>
              <a:solidFill>
                <a:schemeClr val="tx1"/>
              </a:solidFill>
            </a:ln>
            <a:effectLst>
              <a:outerShdw blurRad="50800" dist="38100" dir="18900000" algn="b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Hoja1!$A$2:$A$9</c:f>
              <c:strCache>
                <c:ptCount val="8"/>
                <c:pt idx="0">
                  <c:v>GASTO</c:v>
                </c:pt>
                <c:pt idx="1">
                  <c:v>Remuneración a los empleados</c:v>
                </c:pt>
                <c:pt idx="2">
                  <c:v>Uso de bienes y servicios</c:v>
                </c:pt>
                <c:pt idx="3">
                  <c:v>Intereses</c:v>
                </c:pt>
                <c:pt idx="4">
                  <c:v>Subsidios</c:v>
                </c:pt>
                <c:pt idx="5">
                  <c:v>Donaciones</c:v>
                </c:pt>
                <c:pt idx="6">
                  <c:v>Prestaciones sociales</c:v>
                </c:pt>
                <c:pt idx="7">
                  <c:v>Otros gastos</c:v>
                </c:pt>
              </c:strCache>
            </c:strRef>
          </c:cat>
          <c:val>
            <c:numRef>
              <c:f>Hoja1!$C$2:$C$9</c:f>
              <c:numCache>
                <c:formatCode>#,##0.0</c:formatCode>
                <c:ptCount val="8"/>
                <c:pt idx="0">
                  <c:v>15.104693541893932</c:v>
                </c:pt>
                <c:pt idx="1">
                  <c:v>6.8967435610636469</c:v>
                </c:pt>
                <c:pt idx="2">
                  <c:v>3.3241127101013568</c:v>
                </c:pt>
                <c:pt idx="3">
                  <c:v>1.4951699499924604</c:v>
                </c:pt>
                <c:pt idx="4">
                  <c:v>0.46534657310398325</c:v>
                </c:pt>
                <c:pt idx="5">
                  <c:v>7.0095338989198536E-2</c:v>
                </c:pt>
                <c:pt idx="6">
                  <c:v>1.7553837920960076</c:v>
                </c:pt>
                <c:pt idx="7">
                  <c:v>1.0978416165472773</c:v>
                </c:pt>
              </c:numCache>
            </c:numRef>
          </c:val>
          <c:extLst>
            <c:ext xmlns:c16="http://schemas.microsoft.com/office/drawing/2014/chart" uri="{C3380CC4-5D6E-409C-BE32-E72D297353CC}">
              <c16:uniqueId val="{00000000-2AC5-42ED-ABE0-11CD7968A76D}"/>
            </c:ext>
          </c:extLst>
        </c:ser>
        <c:ser>
          <c:idx val="0"/>
          <c:order val="1"/>
          <c:tx>
            <c:strRef>
              <c:f>Hoja1!$B$1</c:f>
              <c:strCache>
                <c:ptCount val="1"/>
                <c:pt idx="0">
                  <c:v>Gobierno Central Presupuestario</c:v>
                </c:pt>
              </c:strCache>
            </c:strRef>
          </c:tx>
          <c:spPr>
            <a:solidFill>
              <a:schemeClr val="accent6"/>
            </a:solidFill>
            <a:ln>
              <a:solidFill>
                <a:schemeClr val="tx1"/>
              </a:solidFill>
            </a:ln>
            <a:effectLst>
              <a:outerShdw blurRad="50800" dist="38100" dir="18900000" algn="bl" rotWithShape="0">
                <a:prstClr val="black">
                  <a:alpha val="40000"/>
                </a:prstClr>
              </a:outerShdw>
            </a:effectLst>
          </c:spPr>
          <c:invertIfNegative val="0"/>
          <c:dPt>
            <c:idx val="0"/>
            <c:invertIfNegative val="0"/>
            <c:bubble3D val="0"/>
            <c:extLst>
              <c:ext xmlns:c16="http://schemas.microsoft.com/office/drawing/2014/chart" uri="{C3380CC4-5D6E-409C-BE32-E72D297353CC}">
                <c16:uniqueId val="{00000001-2AC5-42ED-ABE0-11CD7968A76D}"/>
              </c:ext>
            </c:extLst>
          </c:dPt>
          <c:dPt>
            <c:idx val="1"/>
            <c:invertIfNegative val="0"/>
            <c:bubble3D val="0"/>
            <c:extLst>
              <c:ext xmlns:c16="http://schemas.microsoft.com/office/drawing/2014/chart" uri="{C3380CC4-5D6E-409C-BE32-E72D297353CC}">
                <c16:uniqueId val="{00000002-2AC5-42ED-ABE0-11CD7968A76D}"/>
              </c:ext>
            </c:extLst>
          </c:dPt>
          <c:dPt>
            <c:idx val="2"/>
            <c:invertIfNegative val="0"/>
            <c:bubble3D val="0"/>
            <c:extLst>
              <c:ext xmlns:c16="http://schemas.microsoft.com/office/drawing/2014/chart" uri="{C3380CC4-5D6E-409C-BE32-E72D297353CC}">
                <c16:uniqueId val="{00000003-2AC5-42ED-ABE0-11CD7968A76D}"/>
              </c:ext>
            </c:extLst>
          </c:dPt>
          <c:dPt>
            <c:idx val="3"/>
            <c:invertIfNegative val="0"/>
            <c:bubble3D val="0"/>
            <c:extLst>
              <c:ext xmlns:c16="http://schemas.microsoft.com/office/drawing/2014/chart" uri="{C3380CC4-5D6E-409C-BE32-E72D297353CC}">
                <c16:uniqueId val="{00000004-2AC5-42ED-ABE0-11CD7968A76D}"/>
              </c:ext>
            </c:extLst>
          </c:dPt>
          <c:dPt>
            <c:idx val="4"/>
            <c:invertIfNegative val="0"/>
            <c:bubble3D val="0"/>
            <c:extLst>
              <c:ext xmlns:c16="http://schemas.microsoft.com/office/drawing/2014/chart" uri="{C3380CC4-5D6E-409C-BE32-E72D297353CC}">
                <c16:uniqueId val="{00000005-2AC5-42ED-ABE0-11CD7968A76D}"/>
              </c:ext>
            </c:extLst>
          </c:dPt>
          <c:dPt>
            <c:idx val="5"/>
            <c:invertIfNegative val="0"/>
            <c:bubble3D val="0"/>
            <c:extLst>
              <c:ext xmlns:c16="http://schemas.microsoft.com/office/drawing/2014/chart" uri="{C3380CC4-5D6E-409C-BE32-E72D297353CC}">
                <c16:uniqueId val="{00000006-2AC5-42ED-ABE0-11CD7968A76D}"/>
              </c:ext>
            </c:extLst>
          </c:dPt>
          <c:dPt>
            <c:idx val="6"/>
            <c:invertIfNegative val="0"/>
            <c:bubble3D val="0"/>
            <c:extLst>
              <c:ext xmlns:c16="http://schemas.microsoft.com/office/drawing/2014/chart" uri="{C3380CC4-5D6E-409C-BE32-E72D297353CC}">
                <c16:uniqueId val="{00000007-2AC5-42ED-ABE0-11CD7968A76D}"/>
              </c:ext>
            </c:extLst>
          </c:dPt>
          <c:dPt>
            <c:idx val="7"/>
            <c:invertIfNegative val="0"/>
            <c:bubble3D val="0"/>
            <c:extLst>
              <c:ext xmlns:c16="http://schemas.microsoft.com/office/drawing/2014/chart" uri="{C3380CC4-5D6E-409C-BE32-E72D297353CC}">
                <c16:uniqueId val="{00000008-2AC5-42ED-ABE0-11CD7968A76D}"/>
              </c:ext>
            </c:extLst>
          </c:dPt>
          <c:dLbls>
            <c:spPr>
              <a:noFill/>
              <a:ln>
                <a:noFill/>
              </a:ln>
              <a:effectLst/>
            </c:spPr>
            <c:txPr>
              <a:bodyPr rot="0" spcFirstLastPara="1" vertOverflow="ellipsis" vert="horz" wrap="square" anchor="ctr" anchorCtr="1"/>
              <a:lstStyle/>
              <a:p>
                <a:pPr>
                  <a:defRPr sz="800" b="1" i="0" u="none" strike="noStrike" kern="1200" baseline="0">
                    <a:solidFill>
                      <a:schemeClr val="accent6"/>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Hoja1!$A$2:$A$9</c:f>
              <c:strCache>
                <c:ptCount val="8"/>
                <c:pt idx="0">
                  <c:v>GASTO</c:v>
                </c:pt>
                <c:pt idx="1">
                  <c:v>Remuneración a los empleados</c:v>
                </c:pt>
                <c:pt idx="2">
                  <c:v>Uso de bienes y servicios</c:v>
                </c:pt>
                <c:pt idx="3">
                  <c:v>Intereses</c:v>
                </c:pt>
                <c:pt idx="4">
                  <c:v>Subsidios</c:v>
                </c:pt>
                <c:pt idx="5">
                  <c:v>Donaciones</c:v>
                </c:pt>
                <c:pt idx="6">
                  <c:v>Prestaciones sociales</c:v>
                </c:pt>
                <c:pt idx="7">
                  <c:v>Otros gastos</c:v>
                </c:pt>
              </c:strCache>
            </c:strRef>
          </c:cat>
          <c:val>
            <c:numRef>
              <c:f>Hoja1!$B$2:$B$9</c:f>
              <c:numCache>
                <c:formatCode>#,##0.0</c:formatCode>
                <c:ptCount val="8"/>
                <c:pt idx="0">
                  <c:v>14.032849874572923</c:v>
                </c:pt>
                <c:pt idx="1">
                  <c:v>4.3834705666837381</c:v>
                </c:pt>
                <c:pt idx="2">
                  <c:v>2.262847871038121</c:v>
                </c:pt>
                <c:pt idx="3">
                  <c:v>1.6465624440144055</c:v>
                </c:pt>
                <c:pt idx="4">
                  <c:v>0.46521841073400816</c:v>
                </c:pt>
                <c:pt idx="5">
                  <c:v>3.3838566951144471</c:v>
                </c:pt>
                <c:pt idx="6">
                  <c:v>0.87332064930601294</c:v>
                </c:pt>
                <c:pt idx="7">
                  <c:v>1.0175732376821911</c:v>
                </c:pt>
              </c:numCache>
            </c:numRef>
          </c:val>
          <c:extLst>
            <c:ext xmlns:c16="http://schemas.microsoft.com/office/drawing/2014/chart" uri="{C3380CC4-5D6E-409C-BE32-E72D297353CC}">
              <c16:uniqueId val="{00000009-2AC5-42ED-ABE0-11CD7968A76D}"/>
            </c:ext>
          </c:extLst>
        </c:ser>
        <c:dLbls>
          <c:showLegendKey val="0"/>
          <c:showVal val="1"/>
          <c:showCatName val="0"/>
          <c:showSerName val="0"/>
          <c:showPercent val="0"/>
          <c:showBubbleSize val="0"/>
        </c:dLbls>
        <c:gapWidth val="132"/>
        <c:axId val="1692111216"/>
        <c:axId val="1662913856"/>
      </c:barChart>
      <c:catAx>
        <c:axId val="1692111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662913856"/>
        <c:crosses val="autoZero"/>
        <c:auto val="1"/>
        <c:lblAlgn val="ctr"/>
        <c:lblOffset val="100"/>
        <c:noMultiLvlLbl val="0"/>
      </c:catAx>
      <c:valAx>
        <c:axId val="1662913856"/>
        <c:scaling>
          <c:orientation val="minMax"/>
        </c:scaling>
        <c:delete val="1"/>
        <c:axPos val="b"/>
        <c:numFmt formatCode="#,##0.0" sourceLinked="1"/>
        <c:majorTickMark val="none"/>
        <c:minorTickMark val="none"/>
        <c:tickLblPos val="nextTo"/>
        <c:crossAx val="1692111216"/>
        <c:crosses val="autoZero"/>
        <c:crossBetween val="between"/>
      </c:valAx>
      <c:spPr>
        <a:noFill/>
        <a:ln>
          <a:noFill/>
        </a:ln>
        <a:effectLst/>
      </c:spPr>
    </c:plotArea>
    <c:legend>
      <c:legendPos val="r"/>
      <c:layout>
        <c:manualLayout>
          <c:xMode val="edge"/>
          <c:yMode val="edge"/>
          <c:x val="0.70810501454116659"/>
          <c:y val="0.19483943773457249"/>
          <c:w val="0.29189498545883347"/>
          <c:h val="8.8779965978640199E-2"/>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userShapes r:id="rId5"/>
</c:chartSpace>
</file>

<file path=word/charts/chart1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000" b="0" i="0" u="none" strike="noStrike" kern="1200" cap="none" spc="0" normalizeH="0" baseline="0">
                <a:solidFill>
                  <a:sysClr val="windowText" lastClr="000000"/>
                </a:solidFill>
                <a:latin typeface="Times New Roman" panose="02020603050405020304" pitchFamily="18" charset="0"/>
                <a:ea typeface="+mj-ea"/>
                <a:cs typeface="Times New Roman" panose="02020603050405020304" pitchFamily="18" charset="0"/>
              </a:defRPr>
            </a:pPr>
            <a:r>
              <a:rPr lang="en-US" sz="1200" b="1" i="0" baseline="0">
                <a:effectLst/>
              </a:rPr>
              <a:t>Inversión bruta en activos no financieros 2019-2022</a:t>
            </a:r>
          </a:p>
          <a:p>
            <a:pPr>
              <a:defRPr sz="2000" b="0" i="0" u="none" strike="noStrike" kern="1200" cap="none" spc="0" normalizeH="0" baseline="0">
                <a:solidFill>
                  <a:sysClr val="windowText" lastClr="000000"/>
                </a:solidFill>
                <a:latin typeface="Times New Roman" panose="02020603050405020304" pitchFamily="18" charset="0"/>
                <a:ea typeface="+mj-ea"/>
                <a:cs typeface="Times New Roman" panose="02020603050405020304" pitchFamily="18" charset="0"/>
              </a:defRPr>
            </a:pPr>
            <a:r>
              <a:rPr lang="en-US" sz="1100" baseline="0">
                <a:solidFill>
                  <a:sysClr val="windowText" lastClr="000000"/>
                </a:solidFill>
              </a:rPr>
              <a:t>Como porcentajes del PIB</a:t>
            </a:r>
            <a:endParaRPr lang="en-US" sz="1100">
              <a:solidFill>
                <a:sysClr val="windowText" lastClr="000000"/>
              </a:solidFill>
            </a:endParaRPr>
          </a:p>
        </c:rich>
      </c:tx>
      <c:layout>
        <c:manualLayout>
          <c:xMode val="edge"/>
          <c:yMode val="edge"/>
          <c:x val="0.18519588227701048"/>
          <c:y val="0"/>
        </c:manualLayout>
      </c:layout>
      <c:overlay val="0"/>
      <c:spPr>
        <a:noFill/>
        <a:ln>
          <a:noFill/>
        </a:ln>
        <a:effectLst/>
      </c:spPr>
    </c:title>
    <c:autoTitleDeleted val="0"/>
    <c:plotArea>
      <c:layout>
        <c:manualLayout>
          <c:layoutTarget val="inner"/>
          <c:xMode val="edge"/>
          <c:yMode val="edge"/>
          <c:x val="0"/>
          <c:y val="0.21987582492136265"/>
          <c:w val="1"/>
          <c:h val="0.60656400978598302"/>
        </c:manualLayout>
      </c:layout>
      <c:lineChart>
        <c:grouping val="standard"/>
        <c:varyColors val="1"/>
        <c:ser>
          <c:idx val="0"/>
          <c:order val="0"/>
          <c:tx>
            <c:strRef>
              <c:f>Hoja1!$B$1</c:f>
              <c:strCache>
                <c:ptCount val="1"/>
                <c:pt idx="0">
                  <c:v>Gobierno Central Presupuestario</c:v>
                </c:pt>
              </c:strCache>
            </c:strRef>
          </c:tx>
          <c:spPr>
            <a:ln w="38100" cap="rnd">
              <a:noFill/>
              <a:round/>
            </a:ln>
            <a:effectLst>
              <a:outerShdw blurRad="50800" dist="38100" dir="18900000" algn="bl" rotWithShape="0">
                <a:prstClr val="black">
                  <a:alpha val="40000"/>
                </a:prstClr>
              </a:outerShdw>
            </a:effectLst>
          </c:spPr>
          <c:marker>
            <c:symbol val="dash"/>
            <c:size val="32"/>
            <c:spPr>
              <a:solidFill>
                <a:schemeClr val="accent6"/>
              </a:solidFill>
              <a:ln>
                <a:noFill/>
              </a:ln>
              <a:effectLst>
                <a:outerShdw blurRad="50800" dist="38100" dir="18900000" algn="bl" rotWithShape="0">
                  <a:prstClr val="black">
                    <a:alpha val="40000"/>
                  </a:prstClr>
                </a:outerShdw>
              </a:effectLst>
              <a:scene3d>
                <a:camera prst="orthographicFront"/>
                <a:lightRig rig="threePt" dir="t"/>
              </a:scene3d>
              <a:sp3d prstMaterial="dkEdge">
                <a:bevelT/>
                <a:bevelB/>
              </a:sp3d>
            </c:spPr>
          </c:marker>
          <c:dPt>
            <c:idx val="0"/>
            <c:bubble3D val="0"/>
            <c:spPr>
              <a:ln w="25400" cap="rnd">
                <a:noFill/>
                <a:round/>
              </a:ln>
              <a:effectLst>
                <a:outerShdw blurRad="50800" dist="38100" dir="18900000" algn="bl" rotWithShape="0">
                  <a:prstClr val="black">
                    <a:alpha val="40000"/>
                  </a:prstClr>
                </a:outerShdw>
              </a:effectLst>
            </c:spPr>
            <c:extLst>
              <c:ext xmlns:c16="http://schemas.microsoft.com/office/drawing/2014/chart" uri="{C3380CC4-5D6E-409C-BE32-E72D297353CC}">
                <c16:uniqueId val="{00000001-24A8-4990-A6B3-B09363147392}"/>
              </c:ext>
            </c:extLst>
          </c:dPt>
          <c:dPt>
            <c:idx val="1"/>
            <c:bubble3D val="0"/>
            <c:extLst>
              <c:ext xmlns:c16="http://schemas.microsoft.com/office/drawing/2014/chart" uri="{C3380CC4-5D6E-409C-BE32-E72D297353CC}">
                <c16:uniqueId val="{00000002-24A8-4990-A6B3-B09363147392}"/>
              </c:ext>
            </c:extLst>
          </c:dPt>
          <c:dPt>
            <c:idx val="2"/>
            <c:bubble3D val="0"/>
            <c:extLst>
              <c:ext xmlns:c16="http://schemas.microsoft.com/office/drawing/2014/chart" uri="{C3380CC4-5D6E-409C-BE32-E72D297353CC}">
                <c16:uniqueId val="{00000003-24A8-4990-A6B3-B09363147392}"/>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6">
                        <a:lumMod val="75000"/>
                      </a:schemeClr>
                    </a:solidFill>
                    <a:latin typeface="Times New Roman" panose="02020603050405020304" pitchFamily="18" charset="0"/>
                    <a:ea typeface="+mn-ea"/>
                    <a:cs typeface="Times New Roman" panose="02020603050405020304" pitchFamily="18" charset="0"/>
                  </a:defRPr>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Hoja1!$A$2:$A$5</c:f>
              <c:numCache>
                <c:formatCode>General</c:formatCode>
                <c:ptCount val="4"/>
                <c:pt idx="0">
                  <c:v>2019</c:v>
                </c:pt>
                <c:pt idx="1">
                  <c:v>2020</c:v>
                </c:pt>
                <c:pt idx="2">
                  <c:v>2021</c:v>
                </c:pt>
                <c:pt idx="3">
                  <c:v>2022</c:v>
                </c:pt>
              </c:numCache>
            </c:numRef>
          </c:cat>
          <c:val>
            <c:numRef>
              <c:f>Hoja1!$B$2:$B$5</c:f>
              <c:numCache>
                <c:formatCode>#,##0.0_ ;\-#,##0.0\ </c:formatCode>
                <c:ptCount val="4"/>
                <c:pt idx="0">
                  <c:v>0.83910924447785418</c:v>
                </c:pt>
                <c:pt idx="1">
                  <c:v>0.48797825637646663</c:v>
                </c:pt>
                <c:pt idx="2">
                  <c:v>0.56326064867160808</c:v>
                </c:pt>
                <c:pt idx="3">
                  <c:v>0.62800472619951653</c:v>
                </c:pt>
              </c:numCache>
            </c:numRef>
          </c:val>
          <c:smooth val="0"/>
          <c:extLst>
            <c:ext xmlns:c16="http://schemas.microsoft.com/office/drawing/2014/chart" uri="{C3380CC4-5D6E-409C-BE32-E72D297353CC}">
              <c16:uniqueId val="{00000004-24A8-4990-A6B3-B09363147392}"/>
            </c:ext>
          </c:extLst>
        </c:ser>
        <c:ser>
          <c:idx val="1"/>
          <c:order val="1"/>
          <c:tx>
            <c:strRef>
              <c:f>Hoja1!$C$1</c:f>
              <c:strCache>
                <c:ptCount val="1"/>
                <c:pt idx="0">
                  <c:v>Gobierno General</c:v>
                </c:pt>
              </c:strCache>
            </c:strRef>
          </c:tx>
          <c:spPr>
            <a:ln w="38100" cap="rnd">
              <a:noFill/>
              <a:round/>
            </a:ln>
            <a:effectLst>
              <a:outerShdw blurRad="50800" dist="38100" dir="19560000" algn="bl" rotWithShape="0">
                <a:prstClr val="black">
                  <a:alpha val="40000"/>
                </a:prstClr>
              </a:outerShdw>
            </a:effectLst>
          </c:spPr>
          <c:marker>
            <c:symbol val="dash"/>
            <c:size val="32"/>
            <c:spPr>
              <a:solidFill>
                <a:schemeClr val="accent5"/>
              </a:solidFill>
              <a:ln>
                <a:noFill/>
              </a:ln>
              <a:effectLst>
                <a:outerShdw blurRad="50800" dist="38100" dir="19560000" algn="bl" rotWithShape="0">
                  <a:prstClr val="black">
                    <a:alpha val="40000"/>
                  </a:prstClr>
                </a:outerShdw>
              </a:effectLst>
              <a:scene3d>
                <a:camera prst="orthographicFront"/>
                <a:lightRig rig="threePt" dir="t"/>
              </a:scene3d>
              <a:sp3d prstMaterial="dkEdge">
                <a:bevelT/>
                <a:bevelB prst="relaxedInset"/>
              </a:sp3d>
            </c:spPr>
          </c:marker>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Hoja1!$A$2:$A$5</c:f>
              <c:numCache>
                <c:formatCode>General</c:formatCode>
                <c:ptCount val="4"/>
                <c:pt idx="0">
                  <c:v>2019</c:v>
                </c:pt>
                <c:pt idx="1">
                  <c:v>2020</c:v>
                </c:pt>
                <c:pt idx="2">
                  <c:v>2021</c:v>
                </c:pt>
                <c:pt idx="3">
                  <c:v>2022</c:v>
                </c:pt>
              </c:numCache>
            </c:numRef>
          </c:cat>
          <c:val>
            <c:numRef>
              <c:f>Hoja1!$C$2:$C$5</c:f>
              <c:numCache>
                <c:formatCode>#,##0.0_ ;\-#,##0.0\ </c:formatCode>
                <c:ptCount val="4"/>
                <c:pt idx="0">
                  <c:v>2.5755235842564965</c:v>
                </c:pt>
                <c:pt idx="1">
                  <c:v>1.9124340188178626</c:v>
                </c:pt>
                <c:pt idx="2">
                  <c:v>2.2638103830908913</c:v>
                </c:pt>
                <c:pt idx="3">
                  <c:v>2.2691739709064818</c:v>
                </c:pt>
              </c:numCache>
            </c:numRef>
          </c:val>
          <c:smooth val="0"/>
          <c:extLst>
            <c:ext xmlns:c16="http://schemas.microsoft.com/office/drawing/2014/chart" uri="{C3380CC4-5D6E-409C-BE32-E72D297353CC}">
              <c16:uniqueId val="{00000005-24A8-4990-A6B3-B09363147392}"/>
            </c:ext>
          </c:extLst>
        </c:ser>
        <c:dLbls>
          <c:showLegendKey val="0"/>
          <c:showVal val="1"/>
          <c:showCatName val="0"/>
          <c:showSerName val="0"/>
          <c:showPercent val="0"/>
          <c:showBubbleSize val="0"/>
        </c:dLbls>
        <c:hiLowLines>
          <c:spPr>
            <a:ln w="15875">
              <a:solidFill>
                <a:schemeClr val="accent2"/>
              </a:solidFill>
              <a:prstDash val="dash"/>
              <a:headEnd type="triangle"/>
            </a:ln>
            <a:effectLst>
              <a:outerShdw blurRad="50800" dist="38100" dir="18900000" algn="bl" rotWithShape="0">
                <a:prstClr val="black">
                  <a:alpha val="40000"/>
                </a:prstClr>
              </a:outerShdw>
            </a:effectLst>
          </c:spPr>
        </c:hiLowLines>
        <c:marker val="1"/>
        <c:smooth val="0"/>
        <c:axId val="1692111216"/>
        <c:axId val="1662913856"/>
      </c:lineChart>
      <c:catAx>
        <c:axId val="16921112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662913856"/>
        <c:crosses val="autoZero"/>
        <c:auto val="1"/>
        <c:lblAlgn val="ctr"/>
        <c:lblOffset val="100"/>
        <c:tickMarkSkip val="1"/>
        <c:noMultiLvlLbl val="0"/>
      </c:catAx>
      <c:valAx>
        <c:axId val="1662913856"/>
        <c:scaling>
          <c:orientation val="minMax"/>
          <c:min val="-0.9"/>
        </c:scaling>
        <c:delete val="0"/>
        <c:axPos val="l"/>
        <c:numFmt formatCode="_-* #,##0.0_-;\-* #,##0.0_-;_-* &quot;-&quot;?_-;_-@_-"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92111216"/>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700" b="0" i="0" u="none" strike="noStrike" kern="1200" baseline="0">
                <a:solidFill>
                  <a:schemeClr val="accent6"/>
                </a:solidFill>
                <a:latin typeface="Times New Roman" panose="02020603050405020304" pitchFamily="18" charset="0"/>
                <a:ea typeface="+mn-ea"/>
                <a:cs typeface="Times New Roman" panose="02020603050405020304" pitchFamily="18" charset="0"/>
              </a:defRPr>
            </a:pPr>
            <a:endParaRPr lang="es-GT"/>
          </a:p>
        </c:txPr>
      </c:legendEntry>
      <c:legendEntry>
        <c:idx val="1"/>
        <c:txPr>
          <a:bodyPr rot="0" spcFirstLastPara="1" vertOverflow="ellipsis" vert="horz" wrap="square" anchor="ctr" anchorCtr="1"/>
          <a:lstStyle/>
          <a:p>
            <a:pPr>
              <a:defRPr sz="700" b="0"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s-GT"/>
          </a:p>
        </c:txPr>
      </c:legendEntry>
      <c:layout>
        <c:manualLayout>
          <c:xMode val="edge"/>
          <c:yMode val="edge"/>
          <c:x val="0.73138257820231478"/>
          <c:y val="0.90742830122735962"/>
          <c:w val="0.26526307674655425"/>
          <c:h val="9.2571698772640362E-2"/>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US" sz="1200" cap="none" spc="0" baseline="0">
                <a:solidFill>
                  <a:schemeClr val="tx1"/>
                </a:solidFill>
                <a:latin typeface="Times New Roman" panose="02020603050405020304" pitchFamily="18" charset="0"/>
              </a:rPr>
              <a:t>Erogaciones por funciones del gobierno </a:t>
            </a:r>
          </a:p>
          <a:p>
            <a:pPr>
              <a:defRPr/>
            </a:pPr>
            <a:r>
              <a:rPr lang="en-US" sz="1200" cap="none" spc="0" baseline="0">
                <a:solidFill>
                  <a:schemeClr val="tx1"/>
                </a:solidFill>
                <a:latin typeface="Times New Roman" panose="02020603050405020304" pitchFamily="18" charset="0"/>
              </a:rPr>
              <a:t>Año 2022</a:t>
            </a:r>
          </a:p>
          <a:p>
            <a:pPr>
              <a:defRPr/>
            </a:pPr>
            <a:r>
              <a:rPr lang="en-US" sz="1100" b="0" cap="none" spc="0" baseline="0">
                <a:solidFill>
                  <a:schemeClr val="tx1"/>
                </a:solidFill>
                <a:latin typeface="Times New Roman" panose="02020603050405020304" pitchFamily="18" charset="0"/>
              </a:rPr>
              <a:t>Como porecentajes del PIB</a:t>
            </a:r>
          </a:p>
        </c:rich>
      </c:tx>
      <c:layout>
        <c:manualLayout>
          <c:xMode val="edge"/>
          <c:yMode val="edge"/>
          <c:x val="0.25457428195890491"/>
          <c:y val="0"/>
        </c:manualLayout>
      </c:layout>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GT"/>
        </a:p>
      </c:txPr>
    </c:title>
    <c:autoTitleDeleted val="0"/>
    <c:plotArea>
      <c:layout>
        <c:manualLayout>
          <c:layoutTarget val="inner"/>
          <c:xMode val="edge"/>
          <c:yMode val="edge"/>
          <c:x val="0.39149353600690712"/>
          <c:y val="0.17520809898762654"/>
          <c:w val="0.60385681119033285"/>
          <c:h val="0.82479190101237343"/>
        </c:manualLayout>
      </c:layout>
      <c:barChart>
        <c:barDir val="bar"/>
        <c:grouping val="clustered"/>
        <c:varyColors val="0"/>
        <c:ser>
          <c:idx val="1"/>
          <c:order val="0"/>
          <c:tx>
            <c:strRef>
              <c:f>Hoja1!$C$1</c:f>
              <c:strCache>
                <c:ptCount val="1"/>
                <c:pt idx="0">
                  <c:v>Gobierno General</c:v>
                </c:pt>
              </c:strCache>
            </c:strRef>
          </c:tx>
          <c:spPr>
            <a:solidFill>
              <a:schemeClr val="accent5"/>
            </a:solidFill>
            <a:ln w="12700">
              <a:solidFill>
                <a:schemeClr val="tx1"/>
              </a:solidFill>
            </a:ln>
            <a:effectLst>
              <a:outerShdw blurRad="50800" dist="38100" dir="18900000" algn="bl" rotWithShape="0">
                <a:prstClr val="black">
                  <a:alpha val="40000"/>
                </a:prstClr>
              </a:outerShdw>
            </a:effectLst>
          </c:spPr>
          <c:invertIfNegative val="0"/>
          <c:dPt>
            <c:idx val="0"/>
            <c:invertIfNegative val="0"/>
            <c:bubble3D val="0"/>
            <c:extLst>
              <c:ext xmlns:c16="http://schemas.microsoft.com/office/drawing/2014/chart" uri="{C3380CC4-5D6E-409C-BE32-E72D297353CC}">
                <c16:uniqueId val="{00000000-FE3A-4568-90C1-3525558761F3}"/>
              </c:ext>
            </c:extLst>
          </c:dPt>
          <c:dPt>
            <c:idx val="1"/>
            <c:invertIfNegative val="0"/>
            <c:bubble3D val="0"/>
            <c:extLst>
              <c:ext xmlns:c16="http://schemas.microsoft.com/office/drawing/2014/chart" uri="{C3380CC4-5D6E-409C-BE32-E72D297353CC}">
                <c16:uniqueId val="{00000001-FE3A-4568-90C1-3525558761F3}"/>
              </c:ext>
            </c:extLst>
          </c:dPt>
          <c:dPt>
            <c:idx val="2"/>
            <c:invertIfNegative val="0"/>
            <c:bubble3D val="0"/>
            <c:extLst>
              <c:ext xmlns:c16="http://schemas.microsoft.com/office/drawing/2014/chart" uri="{C3380CC4-5D6E-409C-BE32-E72D297353CC}">
                <c16:uniqueId val="{00000002-FE3A-4568-90C1-3525558761F3}"/>
              </c:ext>
            </c:extLst>
          </c:dPt>
          <c:dPt>
            <c:idx val="3"/>
            <c:invertIfNegative val="0"/>
            <c:bubble3D val="0"/>
            <c:extLst>
              <c:ext xmlns:c16="http://schemas.microsoft.com/office/drawing/2014/chart" uri="{C3380CC4-5D6E-409C-BE32-E72D297353CC}">
                <c16:uniqueId val="{00000003-FE3A-4568-90C1-3525558761F3}"/>
              </c:ext>
            </c:extLst>
          </c:dPt>
          <c:dPt>
            <c:idx val="4"/>
            <c:invertIfNegative val="0"/>
            <c:bubble3D val="0"/>
            <c:extLst>
              <c:ext xmlns:c16="http://schemas.microsoft.com/office/drawing/2014/chart" uri="{C3380CC4-5D6E-409C-BE32-E72D297353CC}">
                <c16:uniqueId val="{00000004-FE3A-4568-90C1-3525558761F3}"/>
              </c:ext>
            </c:extLst>
          </c:dPt>
          <c:dPt>
            <c:idx val="5"/>
            <c:invertIfNegative val="0"/>
            <c:bubble3D val="0"/>
            <c:extLst>
              <c:ext xmlns:c16="http://schemas.microsoft.com/office/drawing/2014/chart" uri="{C3380CC4-5D6E-409C-BE32-E72D297353CC}">
                <c16:uniqueId val="{00000005-FE3A-4568-90C1-3525558761F3}"/>
              </c:ext>
            </c:extLst>
          </c:dPt>
          <c:dPt>
            <c:idx val="6"/>
            <c:invertIfNegative val="0"/>
            <c:bubble3D val="0"/>
            <c:extLst>
              <c:ext xmlns:c16="http://schemas.microsoft.com/office/drawing/2014/chart" uri="{C3380CC4-5D6E-409C-BE32-E72D297353CC}">
                <c16:uniqueId val="{00000006-FE3A-4568-90C1-3525558761F3}"/>
              </c:ext>
            </c:extLst>
          </c:dPt>
          <c:dPt>
            <c:idx val="7"/>
            <c:invertIfNegative val="0"/>
            <c:bubble3D val="0"/>
            <c:extLst>
              <c:ext xmlns:c16="http://schemas.microsoft.com/office/drawing/2014/chart" uri="{C3380CC4-5D6E-409C-BE32-E72D297353CC}">
                <c16:uniqueId val="{00000007-FE3A-4568-90C1-3525558761F3}"/>
              </c:ext>
            </c:extLst>
          </c:dPt>
          <c:dPt>
            <c:idx val="8"/>
            <c:invertIfNegative val="0"/>
            <c:bubble3D val="0"/>
            <c:extLst>
              <c:ext xmlns:c16="http://schemas.microsoft.com/office/drawing/2014/chart" uri="{C3380CC4-5D6E-409C-BE32-E72D297353CC}">
                <c16:uniqueId val="{00000008-FE3A-4568-90C1-3525558761F3}"/>
              </c:ext>
            </c:extLst>
          </c:dPt>
          <c:dPt>
            <c:idx val="9"/>
            <c:invertIfNegative val="0"/>
            <c:bubble3D val="0"/>
            <c:extLst>
              <c:ext xmlns:c16="http://schemas.microsoft.com/office/drawing/2014/chart" uri="{C3380CC4-5D6E-409C-BE32-E72D297353CC}">
                <c16:uniqueId val="{00000009-FE3A-4568-90C1-3525558761F3}"/>
              </c:ext>
            </c:extLst>
          </c:dPt>
          <c:dPt>
            <c:idx val="10"/>
            <c:invertIfNegative val="0"/>
            <c:bubble3D val="0"/>
            <c:extLst>
              <c:ext xmlns:c16="http://schemas.microsoft.com/office/drawing/2014/chart" uri="{C3380CC4-5D6E-409C-BE32-E72D297353CC}">
                <c16:uniqueId val="{0000000A-FE3A-4568-90C1-3525558761F3}"/>
              </c:ext>
            </c:extLst>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accent5"/>
                    </a:solidFill>
                    <a:latin typeface="+mn-lt"/>
                    <a:ea typeface="+mn-ea"/>
                    <a:cs typeface="+mn-cs"/>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Hoja1!$A$2:$A$12</c:f>
              <c:strCache>
                <c:ptCount val="11"/>
                <c:pt idx="0">
                  <c:v>Total de Erogación</c:v>
                </c:pt>
                <c:pt idx="1">
                  <c:v>Servicios públicos generales</c:v>
                </c:pt>
                <c:pt idx="2">
                  <c:v>Educación</c:v>
                </c:pt>
                <c:pt idx="3">
                  <c:v>Protección social</c:v>
                </c:pt>
                <c:pt idx="4">
                  <c:v>Salud</c:v>
                </c:pt>
                <c:pt idx="5">
                  <c:v>Asuntos económicos</c:v>
                </c:pt>
                <c:pt idx="6">
                  <c:v>Orden público y seguridad</c:v>
                </c:pt>
                <c:pt idx="7">
                  <c:v>Vivienda y servicios comunitarios</c:v>
                </c:pt>
                <c:pt idx="8">
                  <c:v>Protección del medio ambiente</c:v>
                </c:pt>
                <c:pt idx="9">
                  <c:v>Defensa</c:v>
                </c:pt>
                <c:pt idx="10">
                  <c:v>Actividades recreativas, cultura y religión</c:v>
                </c:pt>
              </c:strCache>
            </c:strRef>
          </c:cat>
          <c:val>
            <c:numRef>
              <c:f>Hoja1!$C$2:$C$12</c:f>
              <c:numCache>
                <c:formatCode>0.0</c:formatCode>
                <c:ptCount val="11"/>
                <c:pt idx="0">
                  <c:v>17.373683756178771</c:v>
                </c:pt>
                <c:pt idx="1">
                  <c:v>3.3918825237213506</c:v>
                </c:pt>
                <c:pt idx="2">
                  <c:v>3.3147749766420458</c:v>
                </c:pt>
                <c:pt idx="3">
                  <c:v>2.6234530139313601</c:v>
                </c:pt>
                <c:pt idx="4">
                  <c:v>2.4001471706309796</c:v>
                </c:pt>
                <c:pt idx="5">
                  <c:v>2.2615555266380389</c:v>
                </c:pt>
                <c:pt idx="6">
                  <c:v>1.8608054159791549</c:v>
                </c:pt>
                <c:pt idx="7">
                  <c:v>0.56319714164206625</c:v>
                </c:pt>
                <c:pt idx="8">
                  <c:v>0.35732011274824782</c:v>
                </c:pt>
                <c:pt idx="9">
                  <c:v>0.31860855546529115</c:v>
                </c:pt>
                <c:pt idx="10">
                  <c:v>0.28193931878023504</c:v>
                </c:pt>
              </c:numCache>
            </c:numRef>
          </c:val>
          <c:extLst>
            <c:ext xmlns:c16="http://schemas.microsoft.com/office/drawing/2014/chart" uri="{C3380CC4-5D6E-409C-BE32-E72D297353CC}">
              <c16:uniqueId val="{0000000B-FE3A-4568-90C1-3525558761F3}"/>
            </c:ext>
          </c:extLst>
        </c:ser>
        <c:ser>
          <c:idx val="0"/>
          <c:order val="1"/>
          <c:tx>
            <c:strRef>
              <c:f>Hoja1!$B$1</c:f>
              <c:strCache>
                <c:ptCount val="1"/>
                <c:pt idx="0">
                  <c:v>Gobierno Central Presupuestario</c:v>
                </c:pt>
              </c:strCache>
            </c:strRef>
          </c:tx>
          <c:spPr>
            <a:solidFill>
              <a:schemeClr val="accent6"/>
            </a:solidFill>
            <a:ln w="12700">
              <a:solidFill>
                <a:schemeClr val="tx1"/>
              </a:solidFill>
            </a:ln>
            <a:effectLst>
              <a:outerShdw blurRad="50800" dist="38100" dir="18900000" algn="b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accent6">
                        <a:lumMod val="75000"/>
                      </a:schemeClr>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Hoja1!$A$2:$A$12</c:f>
              <c:strCache>
                <c:ptCount val="11"/>
                <c:pt idx="0">
                  <c:v>Total de Erogación</c:v>
                </c:pt>
                <c:pt idx="1">
                  <c:v>Servicios públicos generales</c:v>
                </c:pt>
                <c:pt idx="2">
                  <c:v>Educación</c:v>
                </c:pt>
                <c:pt idx="3">
                  <c:v>Protección social</c:v>
                </c:pt>
                <c:pt idx="4">
                  <c:v>Salud</c:v>
                </c:pt>
                <c:pt idx="5">
                  <c:v>Asuntos económicos</c:v>
                </c:pt>
                <c:pt idx="6">
                  <c:v>Orden público y seguridad</c:v>
                </c:pt>
                <c:pt idx="7">
                  <c:v>Vivienda y servicios comunitarios</c:v>
                </c:pt>
                <c:pt idx="8">
                  <c:v>Protección del medio ambiente</c:v>
                </c:pt>
                <c:pt idx="9">
                  <c:v>Defensa</c:v>
                </c:pt>
                <c:pt idx="10">
                  <c:v>Actividades recreativas, cultura y religión</c:v>
                </c:pt>
              </c:strCache>
            </c:strRef>
          </c:cat>
          <c:val>
            <c:numRef>
              <c:f>Hoja1!$B$2:$B$12</c:f>
              <c:numCache>
                <c:formatCode>0.0</c:formatCode>
                <c:ptCount val="11"/>
                <c:pt idx="0">
                  <c:v>14.660684323818893</c:v>
                </c:pt>
                <c:pt idx="1">
                  <c:v>2.8007810407928719</c:v>
                </c:pt>
                <c:pt idx="2">
                  <c:v>3.2072859188340312</c:v>
                </c:pt>
                <c:pt idx="3">
                  <c:v>1.6141458005268239</c:v>
                </c:pt>
                <c:pt idx="4">
                  <c:v>1.4686416645686984</c:v>
                </c:pt>
                <c:pt idx="5">
                  <c:v>1.801743737019925</c:v>
                </c:pt>
                <c:pt idx="6">
                  <c:v>1.6906661433782226</c:v>
                </c:pt>
                <c:pt idx="7">
                  <c:v>1.3781454366011012</c:v>
                </c:pt>
                <c:pt idx="8">
                  <c:v>0.21462475794617372</c:v>
                </c:pt>
                <c:pt idx="9">
                  <c:v>0.31809025080117209</c:v>
                </c:pt>
                <c:pt idx="10">
                  <c:v>0.16655957334987076</c:v>
                </c:pt>
              </c:numCache>
            </c:numRef>
          </c:val>
          <c:extLst>
            <c:ext xmlns:c16="http://schemas.microsoft.com/office/drawing/2014/chart" uri="{C3380CC4-5D6E-409C-BE32-E72D297353CC}">
              <c16:uniqueId val="{0000000C-FE3A-4568-90C1-3525558761F3}"/>
            </c:ext>
          </c:extLst>
        </c:ser>
        <c:dLbls>
          <c:showLegendKey val="0"/>
          <c:showVal val="0"/>
          <c:showCatName val="0"/>
          <c:showSerName val="0"/>
          <c:showPercent val="0"/>
          <c:showBubbleSize val="0"/>
        </c:dLbls>
        <c:gapWidth val="132"/>
        <c:axId val="1692111216"/>
        <c:axId val="1662913856"/>
      </c:barChart>
      <c:catAx>
        <c:axId val="1692111216"/>
        <c:scaling>
          <c:orientation val="minMax"/>
        </c:scaling>
        <c:delete val="0"/>
        <c:axPos val="l"/>
        <c:majorGridlines>
          <c:spPr>
            <a:ln w="9525" cap="flat" cmpd="sng" algn="ctr">
              <a:solidFill>
                <a:schemeClr val="tx1">
                  <a:lumMod val="15000"/>
                  <a:lumOff val="85000"/>
                  <a:alpha val="32000"/>
                </a:schemeClr>
              </a:solidFill>
              <a:round/>
            </a:ln>
            <a:effectLst/>
          </c:spPr>
        </c:majorGridlines>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crossAx val="1662913856"/>
        <c:crosses val="autoZero"/>
        <c:auto val="1"/>
        <c:lblAlgn val="ctr"/>
        <c:lblOffset val="100"/>
        <c:noMultiLvlLbl val="0"/>
      </c:catAx>
      <c:valAx>
        <c:axId val="1662913856"/>
        <c:scaling>
          <c:orientation val="minMax"/>
        </c:scaling>
        <c:delete val="1"/>
        <c:axPos val="b"/>
        <c:majorGridlines>
          <c:spPr>
            <a:ln w="9525" cap="flat" cmpd="sng" algn="ctr">
              <a:solidFill>
                <a:schemeClr val="tx1">
                  <a:lumMod val="15000"/>
                  <a:lumOff val="85000"/>
                  <a:alpha val="32000"/>
                </a:schemeClr>
              </a:solidFill>
              <a:round/>
            </a:ln>
            <a:effectLst/>
          </c:spPr>
        </c:majorGridlines>
        <c:numFmt formatCode="0.0" sourceLinked="1"/>
        <c:majorTickMark val="out"/>
        <c:minorTickMark val="none"/>
        <c:tickLblPos val="nextTo"/>
        <c:crossAx val="1692111216"/>
        <c:crosses val="autoZero"/>
        <c:crossBetween val="between"/>
      </c:valAx>
      <c:spPr>
        <a:noFill/>
        <a:ln>
          <a:noFill/>
        </a:ln>
        <a:effectLst/>
      </c:spPr>
    </c:plotArea>
    <c:legend>
      <c:legendPos val="r"/>
      <c:layout>
        <c:manualLayout>
          <c:xMode val="edge"/>
          <c:yMode val="edge"/>
          <c:x val="0.74132621097869789"/>
          <c:y val="0.1705597243382552"/>
          <c:w val="0.25644512844630768"/>
          <c:h val="6.3568360773085197E-2"/>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4">
    <c:autoUpdate val="0"/>
  </c:externalData>
  <c:userShapes r:id="rId5"/>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493595763479455"/>
          <c:y val="0.13523148148148148"/>
          <c:w val="0.71722670163759505"/>
          <c:h val="0.74189241468019818"/>
        </c:manualLayout>
      </c:layout>
      <c:lineChart>
        <c:grouping val="standard"/>
        <c:varyColors val="0"/>
        <c:ser>
          <c:idx val="0"/>
          <c:order val="0"/>
          <c:tx>
            <c:strRef>
              <c:f>UE_3!$B$1</c:f>
              <c:strCache>
                <c:ptCount val="1"/>
                <c:pt idx="0">
                  <c:v>Deuda</c:v>
                </c:pt>
              </c:strCache>
            </c:strRef>
          </c:tx>
          <c:spPr>
            <a:ln w="22225">
              <a:solidFill>
                <a:srgbClr val="002060"/>
              </a:solidFill>
            </a:ln>
          </c:spPr>
          <c:marker>
            <c:symbol val="none"/>
          </c:marker>
          <c:dLbls>
            <c:dLbl>
              <c:idx val="0"/>
              <c:layout>
                <c:manualLayout>
                  <c:x val="-0.14434441759982355"/>
                  <c:y val="3.52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AEB-469C-8FBB-FEEDBAF7D605}"/>
                </c:ext>
              </c:extLst>
            </c:dLbl>
            <c:dLbl>
              <c:idx val="3"/>
              <c:layout>
                <c:manualLayout>
                  <c:x val="-0.12008555555555556"/>
                  <c:y val="-0.1234722222222222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AEB-469C-8FBB-FEEDBAF7D605}"/>
                </c:ext>
              </c:extLst>
            </c:dLbl>
            <c:spPr>
              <a:noFill/>
              <a:ln>
                <a:noFill/>
              </a:ln>
              <a:effectLst/>
            </c:spPr>
            <c:txPr>
              <a:bodyPr wrap="square" lIns="38100" tIns="19050" rIns="38100" bIns="19050" anchor="ctr">
                <a:spAutoFit/>
              </a:bodyPr>
              <a:lstStyle/>
              <a:p>
                <a:pPr>
                  <a:defRPr sz="900" b="1">
                    <a:solidFill>
                      <a:schemeClr val="tx2">
                        <a:lumMod val="50000"/>
                      </a:schemeClr>
                    </a:solidFill>
                    <a:latin typeface="Times New Roman" panose="02020603050405020304" pitchFamily="18" charset="0"/>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UE_3!$A$2:$A$5</c:f>
              <c:numCache>
                <c:formatCode>General</c:formatCode>
                <c:ptCount val="4"/>
                <c:pt idx="0">
                  <c:v>2019</c:v>
                </c:pt>
                <c:pt idx="1">
                  <c:v>2020</c:v>
                </c:pt>
                <c:pt idx="2">
                  <c:v>2021</c:v>
                </c:pt>
                <c:pt idx="3">
                  <c:v>2022</c:v>
                </c:pt>
              </c:numCache>
            </c:numRef>
          </c:cat>
          <c:val>
            <c:numRef>
              <c:f>UE_3!$B$2:$B$5</c:f>
              <c:numCache>
                <c:formatCode>_-* #,##0.0_-;\-* #,##0.0_-;_-* "-"??_-;_-@_-</c:formatCode>
                <c:ptCount val="4"/>
                <c:pt idx="0">
                  <c:v>83.820999999999998</c:v>
                </c:pt>
                <c:pt idx="1">
                  <c:v>96.912999999999997</c:v>
                </c:pt>
                <c:pt idx="2">
                  <c:v>94.867999999999995</c:v>
                </c:pt>
                <c:pt idx="3">
                  <c:v>90.887</c:v>
                </c:pt>
              </c:numCache>
            </c:numRef>
          </c:val>
          <c:smooth val="0"/>
          <c:extLst>
            <c:ext xmlns:c16="http://schemas.microsoft.com/office/drawing/2014/chart" uri="{C3380CC4-5D6E-409C-BE32-E72D297353CC}">
              <c16:uniqueId val="{00000002-DAEB-469C-8FBB-FEEDBAF7D605}"/>
            </c:ext>
          </c:extLst>
        </c:ser>
        <c:dLbls>
          <c:showLegendKey val="0"/>
          <c:showVal val="0"/>
          <c:showCatName val="0"/>
          <c:showSerName val="0"/>
          <c:showPercent val="0"/>
          <c:showBubbleSize val="0"/>
        </c:dLbls>
        <c:marker val="1"/>
        <c:smooth val="0"/>
        <c:axId val="1722871952"/>
        <c:axId val="1722862384"/>
      </c:lineChart>
      <c:lineChart>
        <c:grouping val="standard"/>
        <c:varyColors val="0"/>
        <c:ser>
          <c:idx val="1"/>
          <c:order val="1"/>
          <c:tx>
            <c:strRef>
              <c:f>UE_3!$C$1</c:f>
              <c:strCache>
                <c:ptCount val="1"/>
                <c:pt idx="0">
                  <c:v>Déficit</c:v>
                </c:pt>
              </c:strCache>
            </c:strRef>
          </c:tx>
          <c:spPr>
            <a:ln w="22225">
              <a:solidFill>
                <a:schemeClr val="accent1"/>
              </a:solidFill>
            </a:ln>
          </c:spPr>
          <c:marker>
            <c:symbol val="none"/>
          </c:marker>
          <c:dLbls>
            <c:dLbl>
              <c:idx val="0"/>
              <c:layout>
                <c:manualLayout>
                  <c:x val="-7.7523165386822288E-2"/>
                  <c:y val="5.29166666666666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AEB-469C-8FBB-FEEDBAF7D605}"/>
                </c:ext>
              </c:extLst>
            </c:dLbl>
            <c:dLbl>
              <c:idx val="3"/>
              <c:layout>
                <c:manualLayout>
                  <c:x val="-0.10628186406374093"/>
                  <c:y val="-9.40740740740740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AEB-469C-8FBB-FEEDBAF7D605}"/>
                </c:ext>
              </c:extLst>
            </c:dLbl>
            <c:spPr>
              <a:noFill/>
              <a:ln>
                <a:noFill/>
              </a:ln>
              <a:effectLst/>
            </c:spPr>
            <c:txPr>
              <a:bodyPr wrap="square" lIns="38100" tIns="19050" rIns="38100" bIns="19050" anchor="ctr">
                <a:spAutoFit/>
              </a:bodyPr>
              <a:lstStyle/>
              <a:p>
                <a:pPr>
                  <a:defRPr sz="900" b="1">
                    <a:solidFill>
                      <a:schemeClr val="accent1"/>
                    </a:solidFill>
                    <a:latin typeface="Times New Roman" panose="02020603050405020304" pitchFamily="18" charset="0"/>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UE_3!$A$2:$A$5</c:f>
              <c:numCache>
                <c:formatCode>General</c:formatCode>
                <c:ptCount val="4"/>
                <c:pt idx="0">
                  <c:v>2019</c:v>
                </c:pt>
                <c:pt idx="1">
                  <c:v>2020</c:v>
                </c:pt>
                <c:pt idx="2">
                  <c:v>2021</c:v>
                </c:pt>
                <c:pt idx="3">
                  <c:v>2022</c:v>
                </c:pt>
              </c:numCache>
            </c:numRef>
          </c:cat>
          <c:val>
            <c:numRef>
              <c:f>UE_3!$C$2:$C$5</c:f>
              <c:numCache>
                <c:formatCode>_-* #,##0.0_-;\-* #,##0.0_-;_-* "-"??_-;_-@_-</c:formatCode>
                <c:ptCount val="4"/>
                <c:pt idx="0">
                  <c:v>0.66400000000000003</c:v>
                </c:pt>
                <c:pt idx="1">
                  <c:v>7.0490000000000004</c:v>
                </c:pt>
                <c:pt idx="2">
                  <c:v>5.3630000000000004</c:v>
                </c:pt>
                <c:pt idx="3">
                  <c:v>3.819</c:v>
                </c:pt>
              </c:numCache>
            </c:numRef>
          </c:val>
          <c:smooth val="0"/>
          <c:extLst>
            <c:ext xmlns:c16="http://schemas.microsoft.com/office/drawing/2014/chart" uri="{C3380CC4-5D6E-409C-BE32-E72D297353CC}">
              <c16:uniqueId val="{00000005-DAEB-469C-8FBB-FEEDBAF7D605}"/>
            </c:ext>
          </c:extLst>
        </c:ser>
        <c:dLbls>
          <c:showLegendKey val="0"/>
          <c:showVal val="0"/>
          <c:showCatName val="0"/>
          <c:showSerName val="0"/>
          <c:showPercent val="0"/>
          <c:showBubbleSize val="0"/>
        </c:dLbls>
        <c:marker val="1"/>
        <c:smooth val="0"/>
        <c:axId val="582856767"/>
        <c:axId val="582848447"/>
      </c:lineChart>
      <c:catAx>
        <c:axId val="1722871952"/>
        <c:scaling>
          <c:orientation val="minMax"/>
        </c:scaling>
        <c:delete val="0"/>
        <c:axPos val="b"/>
        <c:numFmt formatCode="General" sourceLinked="1"/>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722862384"/>
        <c:crosses val="autoZero"/>
        <c:auto val="1"/>
        <c:lblAlgn val="ctr"/>
        <c:lblOffset val="100"/>
        <c:noMultiLvlLbl val="0"/>
      </c:catAx>
      <c:valAx>
        <c:axId val="1722862384"/>
        <c:scaling>
          <c:orientation val="minMax"/>
        </c:scaling>
        <c:delete val="0"/>
        <c:axPos val="l"/>
        <c:title>
          <c:tx>
            <c:rich>
              <a:bodyPr/>
              <a:lstStyle/>
              <a:p>
                <a:pPr>
                  <a:defRPr sz="600" b="0">
                    <a:solidFill>
                      <a:schemeClr val="tx1">
                        <a:lumMod val="65000"/>
                        <a:lumOff val="35000"/>
                      </a:schemeClr>
                    </a:solidFill>
                    <a:latin typeface="Times New Roman" panose="02020603050405020304" pitchFamily="18" charset="0"/>
                    <a:cs typeface="Times New Roman" panose="02020603050405020304" pitchFamily="18" charset="0"/>
                  </a:defRPr>
                </a:pPr>
                <a:r>
                  <a:rPr lang="es-GT" sz="600" b="0">
                    <a:solidFill>
                      <a:schemeClr val="tx1">
                        <a:lumMod val="65000"/>
                        <a:lumOff val="35000"/>
                      </a:schemeClr>
                    </a:solidFill>
                    <a:latin typeface="Times New Roman" panose="02020603050405020304" pitchFamily="18" charset="0"/>
                    <a:cs typeface="Times New Roman" panose="02020603050405020304" pitchFamily="18" charset="0"/>
                  </a:rPr>
                  <a:t>Deuda</a:t>
                </a:r>
                <a:r>
                  <a:rPr lang="es-GT" sz="600" b="0" baseline="0">
                    <a:solidFill>
                      <a:schemeClr val="tx1">
                        <a:lumMod val="65000"/>
                        <a:lumOff val="35000"/>
                      </a:schemeClr>
                    </a:solidFill>
                    <a:latin typeface="Times New Roman" panose="02020603050405020304" pitchFamily="18" charset="0"/>
                    <a:cs typeface="Times New Roman" panose="02020603050405020304" pitchFamily="18" charset="0"/>
                  </a:rPr>
                  <a:t> Pública</a:t>
                </a:r>
                <a:endParaRPr lang="es-GT" sz="600" b="0">
                  <a:solidFill>
                    <a:schemeClr val="tx1">
                      <a:lumMod val="65000"/>
                      <a:lumOff val="35000"/>
                    </a:schemeClr>
                  </a:solidFill>
                  <a:latin typeface="Times New Roman" panose="02020603050405020304" pitchFamily="18" charset="0"/>
                  <a:cs typeface="Times New Roman" panose="02020603050405020304" pitchFamily="18" charset="0"/>
                </a:endParaRPr>
              </a:p>
            </c:rich>
          </c:tx>
          <c:overlay val="0"/>
          <c:spPr>
            <a:ln>
              <a:noFill/>
            </a:ln>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722871952"/>
        <c:crosses val="autoZero"/>
        <c:crossBetween val="between"/>
      </c:valAx>
      <c:valAx>
        <c:axId val="582848447"/>
        <c:scaling>
          <c:orientation val="minMax"/>
          <c:max val="15"/>
        </c:scaling>
        <c:delete val="0"/>
        <c:axPos val="r"/>
        <c:title>
          <c:tx>
            <c:rich>
              <a:bodyPr rot="5400000" vert="horz"/>
              <a:lstStyle/>
              <a:p>
                <a:pPr>
                  <a:defRPr sz="600" b="0">
                    <a:solidFill>
                      <a:schemeClr val="tx1">
                        <a:lumMod val="65000"/>
                        <a:lumOff val="35000"/>
                      </a:schemeClr>
                    </a:solidFill>
                    <a:latin typeface="Times New Roman" panose="02020603050405020304" pitchFamily="18" charset="0"/>
                    <a:cs typeface="Times New Roman" panose="02020603050405020304" pitchFamily="18" charset="0"/>
                  </a:defRPr>
                </a:pPr>
                <a:r>
                  <a:rPr lang="es-GT" sz="600" b="0">
                    <a:solidFill>
                      <a:schemeClr val="tx1">
                        <a:lumMod val="65000"/>
                        <a:lumOff val="35000"/>
                      </a:schemeClr>
                    </a:solidFill>
                    <a:latin typeface="Times New Roman" panose="02020603050405020304" pitchFamily="18" charset="0"/>
                    <a:cs typeface="Times New Roman" panose="02020603050405020304" pitchFamily="18" charset="0"/>
                  </a:rPr>
                  <a:t>Déficit fiscal</a:t>
                </a:r>
              </a:p>
            </c:rich>
          </c:tx>
          <c:overlay val="0"/>
        </c:title>
        <c:numFmt formatCode="#,##0" sourceLinked="0"/>
        <c:majorTickMark val="none"/>
        <c:minorTickMark val="none"/>
        <c:tickLblPos val="nextTo"/>
        <c:spPr>
          <a:ln>
            <a:noFill/>
          </a:ln>
        </c:spPr>
        <c:txPr>
          <a:bodyPr/>
          <a:lstStyle/>
          <a:p>
            <a:pPr>
              <a:defRPr sz="600">
                <a:latin typeface="Times New Roman" panose="02020603050405020304" pitchFamily="18" charset="0"/>
                <a:cs typeface="Times New Roman" panose="02020603050405020304" pitchFamily="18" charset="0"/>
              </a:defRPr>
            </a:pPr>
            <a:endParaRPr lang="es-GT"/>
          </a:p>
        </c:txPr>
        <c:crossAx val="582856767"/>
        <c:crosses val="max"/>
        <c:crossBetween val="between"/>
      </c:valAx>
      <c:catAx>
        <c:axId val="582856767"/>
        <c:scaling>
          <c:orientation val="minMax"/>
        </c:scaling>
        <c:delete val="1"/>
        <c:axPos val="b"/>
        <c:numFmt formatCode="General" sourceLinked="1"/>
        <c:majorTickMark val="out"/>
        <c:minorTickMark val="none"/>
        <c:tickLblPos val="nextTo"/>
        <c:crossAx val="582848447"/>
        <c:crosses val="autoZero"/>
        <c:auto val="1"/>
        <c:lblAlgn val="ctr"/>
        <c:lblOffset val="100"/>
        <c:noMultiLvlLbl val="0"/>
      </c:catAx>
    </c:plotArea>
    <c:legend>
      <c:legendPos val="b"/>
      <c:layout>
        <c:manualLayout>
          <c:xMode val="edge"/>
          <c:yMode val="edge"/>
          <c:x val="0.13741661180784598"/>
          <c:y val="1.4361111111111111E-3"/>
          <c:w val="0.7359812203558278"/>
          <c:h val="0.14475795723716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c:chart>
  <c:spPr>
    <a:ln>
      <a:noFill/>
    </a:ln>
  </c:spPr>
  <c:txPr>
    <a:bodyPr/>
    <a:lstStyle/>
    <a:p>
      <a:pPr>
        <a:defRPr/>
      </a:pPr>
      <a:endParaRPr lang="es-GT"/>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373678025851938"/>
          <c:y val="6.4675925925925928E-2"/>
          <c:w val="0.83611573230196989"/>
          <c:h val="0.75960416666666664"/>
        </c:manualLayout>
      </c:layout>
      <c:lineChart>
        <c:grouping val="standard"/>
        <c:varyColors val="0"/>
        <c:ser>
          <c:idx val="2"/>
          <c:order val="0"/>
          <c:tx>
            <c:strRef>
              <c:f>oilWtiChart!$B$2</c:f>
              <c:strCache>
                <c:ptCount val="1"/>
                <c:pt idx="0">
                  <c:v>WTI</c:v>
                </c:pt>
              </c:strCache>
            </c:strRef>
          </c:tx>
          <c:spPr>
            <a:ln w="15875"/>
          </c:spPr>
          <c:marker>
            <c:symbol val="none"/>
          </c:marker>
          <c:cat>
            <c:numRef>
              <c:f>oilWtiChart!$A$3:$A$253</c:f>
              <c:numCache>
                <c:formatCode>mmm\-yy</c:formatCode>
                <c:ptCount val="251"/>
                <c:pt idx="0">
                  <c:v>44564</c:v>
                </c:pt>
                <c:pt idx="1">
                  <c:v>44565</c:v>
                </c:pt>
                <c:pt idx="2">
                  <c:v>44566</c:v>
                </c:pt>
                <c:pt idx="3">
                  <c:v>44567</c:v>
                </c:pt>
                <c:pt idx="4">
                  <c:v>44568</c:v>
                </c:pt>
                <c:pt idx="5">
                  <c:v>44571</c:v>
                </c:pt>
                <c:pt idx="6">
                  <c:v>44572</c:v>
                </c:pt>
                <c:pt idx="7">
                  <c:v>44573</c:v>
                </c:pt>
                <c:pt idx="8">
                  <c:v>44574</c:v>
                </c:pt>
                <c:pt idx="9">
                  <c:v>44575</c:v>
                </c:pt>
                <c:pt idx="10">
                  <c:v>44579</c:v>
                </c:pt>
                <c:pt idx="11">
                  <c:v>44580</c:v>
                </c:pt>
                <c:pt idx="12">
                  <c:v>44581</c:v>
                </c:pt>
                <c:pt idx="13">
                  <c:v>44582</c:v>
                </c:pt>
                <c:pt idx="14">
                  <c:v>44585</c:v>
                </c:pt>
                <c:pt idx="15">
                  <c:v>44586</c:v>
                </c:pt>
                <c:pt idx="16">
                  <c:v>44587</c:v>
                </c:pt>
                <c:pt idx="17">
                  <c:v>44588</c:v>
                </c:pt>
                <c:pt idx="18">
                  <c:v>44589</c:v>
                </c:pt>
                <c:pt idx="19">
                  <c:v>44592</c:v>
                </c:pt>
                <c:pt idx="20">
                  <c:v>44593</c:v>
                </c:pt>
                <c:pt idx="21">
                  <c:v>44594</c:v>
                </c:pt>
                <c:pt idx="22">
                  <c:v>44595</c:v>
                </c:pt>
                <c:pt idx="23">
                  <c:v>44596</c:v>
                </c:pt>
                <c:pt idx="24">
                  <c:v>44599</c:v>
                </c:pt>
                <c:pt idx="25">
                  <c:v>44600</c:v>
                </c:pt>
                <c:pt idx="26">
                  <c:v>44601</c:v>
                </c:pt>
                <c:pt idx="27">
                  <c:v>44602</c:v>
                </c:pt>
                <c:pt idx="28">
                  <c:v>44603</c:v>
                </c:pt>
                <c:pt idx="29">
                  <c:v>44606</c:v>
                </c:pt>
                <c:pt idx="30">
                  <c:v>44607</c:v>
                </c:pt>
                <c:pt idx="31">
                  <c:v>44608</c:v>
                </c:pt>
                <c:pt idx="32">
                  <c:v>44609</c:v>
                </c:pt>
                <c:pt idx="33">
                  <c:v>44610</c:v>
                </c:pt>
                <c:pt idx="34">
                  <c:v>44614</c:v>
                </c:pt>
                <c:pt idx="35">
                  <c:v>44615</c:v>
                </c:pt>
                <c:pt idx="36">
                  <c:v>44616</c:v>
                </c:pt>
                <c:pt idx="37">
                  <c:v>44617</c:v>
                </c:pt>
                <c:pt idx="38">
                  <c:v>44620</c:v>
                </c:pt>
                <c:pt idx="39">
                  <c:v>44621</c:v>
                </c:pt>
                <c:pt idx="40">
                  <c:v>44622</c:v>
                </c:pt>
                <c:pt idx="41">
                  <c:v>44623</c:v>
                </c:pt>
                <c:pt idx="42">
                  <c:v>44624</c:v>
                </c:pt>
                <c:pt idx="43">
                  <c:v>44627</c:v>
                </c:pt>
                <c:pt idx="44">
                  <c:v>44628</c:v>
                </c:pt>
                <c:pt idx="45">
                  <c:v>44629</c:v>
                </c:pt>
                <c:pt idx="46">
                  <c:v>44630</c:v>
                </c:pt>
                <c:pt idx="47">
                  <c:v>44631</c:v>
                </c:pt>
                <c:pt idx="48">
                  <c:v>44634</c:v>
                </c:pt>
                <c:pt idx="49">
                  <c:v>44635</c:v>
                </c:pt>
                <c:pt idx="50">
                  <c:v>44636</c:v>
                </c:pt>
                <c:pt idx="51">
                  <c:v>44637</c:v>
                </c:pt>
                <c:pt idx="52">
                  <c:v>44638</c:v>
                </c:pt>
                <c:pt idx="53">
                  <c:v>44641</c:v>
                </c:pt>
                <c:pt idx="54">
                  <c:v>44642</c:v>
                </c:pt>
                <c:pt idx="55">
                  <c:v>44643</c:v>
                </c:pt>
                <c:pt idx="56">
                  <c:v>44644</c:v>
                </c:pt>
                <c:pt idx="57">
                  <c:v>44645</c:v>
                </c:pt>
                <c:pt idx="58">
                  <c:v>44648</c:v>
                </c:pt>
                <c:pt idx="59">
                  <c:v>44649</c:v>
                </c:pt>
                <c:pt idx="60">
                  <c:v>44650</c:v>
                </c:pt>
                <c:pt idx="61">
                  <c:v>44651</c:v>
                </c:pt>
                <c:pt idx="62">
                  <c:v>44652</c:v>
                </c:pt>
                <c:pt idx="63">
                  <c:v>44655</c:v>
                </c:pt>
                <c:pt idx="64">
                  <c:v>44656</c:v>
                </c:pt>
                <c:pt idx="65">
                  <c:v>44657</c:v>
                </c:pt>
                <c:pt idx="66">
                  <c:v>44658</c:v>
                </c:pt>
                <c:pt idx="67">
                  <c:v>44659</c:v>
                </c:pt>
                <c:pt idx="68">
                  <c:v>44662</c:v>
                </c:pt>
                <c:pt idx="69">
                  <c:v>44663</c:v>
                </c:pt>
                <c:pt idx="70">
                  <c:v>44664</c:v>
                </c:pt>
                <c:pt idx="71">
                  <c:v>44665</c:v>
                </c:pt>
                <c:pt idx="72">
                  <c:v>44669</c:v>
                </c:pt>
                <c:pt idx="73">
                  <c:v>44670</c:v>
                </c:pt>
                <c:pt idx="74">
                  <c:v>44671</c:v>
                </c:pt>
                <c:pt idx="75">
                  <c:v>44672</c:v>
                </c:pt>
                <c:pt idx="76">
                  <c:v>44673</c:v>
                </c:pt>
                <c:pt idx="77">
                  <c:v>44676</c:v>
                </c:pt>
                <c:pt idx="78">
                  <c:v>44677</c:v>
                </c:pt>
                <c:pt idx="79">
                  <c:v>44678</c:v>
                </c:pt>
                <c:pt idx="80">
                  <c:v>44679</c:v>
                </c:pt>
                <c:pt idx="81">
                  <c:v>44680</c:v>
                </c:pt>
                <c:pt idx="82">
                  <c:v>44683</c:v>
                </c:pt>
                <c:pt idx="83">
                  <c:v>44684</c:v>
                </c:pt>
                <c:pt idx="84">
                  <c:v>44685</c:v>
                </c:pt>
                <c:pt idx="85">
                  <c:v>44686</c:v>
                </c:pt>
                <c:pt idx="86">
                  <c:v>44687</c:v>
                </c:pt>
                <c:pt idx="87">
                  <c:v>44690</c:v>
                </c:pt>
                <c:pt idx="88">
                  <c:v>44691</c:v>
                </c:pt>
                <c:pt idx="89">
                  <c:v>44692</c:v>
                </c:pt>
                <c:pt idx="90">
                  <c:v>44693</c:v>
                </c:pt>
                <c:pt idx="91">
                  <c:v>44694</c:v>
                </c:pt>
                <c:pt idx="92">
                  <c:v>44697</c:v>
                </c:pt>
                <c:pt idx="93">
                  <c:v>44698</c:v>
                </c:pt>
                <c:pt idx="94">
                  <c:v>44699</c:v>
                </c:pt>
                <c:pt idx="95">
                  <c:v>44700</c:v>
                </c:pt>
                <c:pt idx="96">
                  <c:v>44701</c:v>
                </c:pt>
                <c:pt idx="97">
                  <c:v>44704</c:v>
                </c:pt>
                <c:pt idx="98">
                  <c:v>44705</c:v>
                </c:pt>
                <c:pt idx="99">
                  <c:v>44706</c:v>
                </c:pt>
                <c:pt idx="100">
                  <c:v>44707</c:v>
                </c:pt>
                <c:pt idx="101">
                  <c:v>44708</c:v>
                </c:pt>
                <c:pt idx="102">
                  <c:v>44712</c:v>
                </c:pt>
                <c:pt idx="103">
                  <c:v>44713</c:v>
                </c:pt>
                <c:pt idx="104">
                  <c:v>44714</c:v>
                </c:pt>
                <c:pt idx="105">
                  <c:v>44715</c:v>
                </c:pt>
                <c:pt idx="106">
                  <c:v>44718</c:v>
                </c:pt>
                <c:pt idx="107">
                  <c:v>44719</c:v>
                </c:pt>
                <c:pt idx="108">
                  <c:v>44720</c:v>
                </c:pt>
                <c:pt idx="109">
                  <c:v>44721</c:v>
                </c:pt>
                <c:pt idx="110">
                  <c:v>44722</c:v>
                </c:pt>
                <c:pt idx="111">
                  <c:v>44725</c:v>
                </c:pt>
                <c:pt idx="112">
                  <c:v>44726</c:v>
                </c:pt>
                <c:pt idx="113">
                  <c:v>44727</c:v>
                </c:pt>
                <c:pt idx="114">
                  <c:v>44728</c:v>
                </c:pt>
                <c:pt idx="115">
                  <c:v>44729</c:v>
                </c:pt>
                <c:pt idx="116">
                  <c:v>44733</c:v>
                </c:pt>
                <c:pt idx="117">
                  <c:v>44734</c:v>
                </c:pt>
                <c:pt idx="118">
                  <c:v>44735</c:v>
                </c:pt>
                <c:pt idx="119">
                  <c:v>44736</c:v>
                </c:pt>
                <c:pt idx="120">
                  <c:v>44739</c:v>
                </c:pt>
                <c:pt idx="121">
                  <c:v>44740</c:v>
                </c:pt>
                <c:pt idx="122">
                  <c:v>44741</c:v>
                </c:pt>
                <c:pt idx="123">
                  <c:v>44742</c:v>
                </c:pt>
                <c:pt idx="124">
                  <c:v>44743</c:v>
                </c:pt>
                <c:pt idx="125">
                  <c:v>44747</c:v>
                </c:pt>
                <c:pt idx="126">
                  <c:v>44748</c:v>
                </c:pt>
                <c:pt idx="127">
                  <c:v>44749</c:v>
                </c:pt>
                <c:pt idx="128">
                  <c:v>44750</c:v>
                </c:pt>
                <c:pt idx="129">
                  <c:v>44753</c:v>
                </c:pt>
                <c:pt idx="130">
                  <c:v>44754</c:v>
                </c:pt>
                <c:pt idx="131">
                  <c:v>44755</c:v>
                </c:pt>
                <c:pt idx="132">
                  <c:v>44756</c:v>
                </c:pt>
                <c:pt idx="133">
                  <c:v>44757</c:v>
                </c:pt>
                <c:pt idx="134">
                  <c:v>44760</c:v>
                </c:pt>
                <c:pt idx="135">
                  <c:v>44761</c:v>
                </c:pt>
                <c:pt idx="136">
                  <c:v>44762</c:v>
                </c:pt>
                <c:pt idx="137">
                  <c:v>44763</c:v>
                </c:pt>
                <c:pt idx="138">
                  <c:v>44764</c:v>
                </c:pt>
                <c:pt idx="139">
                  <c:v>44767</c:v>
                </c:pt>
                <c:pt idx="140">
                  <c:v>44768</c:v>
                </c:pt>
                <c:pt idx="141">
                  <c:v>44769</c:v>
                </c:pt>
                <c:pt idx="142">
                  <c:v>44770</c:v>
                </c:pt>
                <c:pt idx="143">
                  <c:v>44771</c:v>
                </c:pt>
                <c:pt idx="144">
                  <c:v>44774</c:v>
                </c:pt>
                <c:pt idx="145">
                  <c:v>44775</c:v>
                </c:pt>
                <c:pt idx="146">
                  <c:v>44776</c:v>
                </c:pt>
                <c:pt idx="147">
                  <c:v>44777</c:v>
                </c:pt>
                <c:pt idx="148">
                  <c:v>44778</c:v>
                </c:pt>
                <c:pt idx="149">
                  <c:v>44781</c:v>
                </c:pt>
                <c:pt idx="150">
                  <c:v>44782</c:v>
                </c:pt>
                <c:pt idx="151">
                  <c:v>44783</c:v>
                </c:pt>
                <c:pt idx="152">
                  <c:v>44784</c:v>
                </c:pt>
                <c:pt idx="153">
                  <c:v>44785</c:v>
                </c:pt>
                <c:pt idx="154">
                  <c:v>44788</c:v>
                </c:pt>
                <c:pt idx="155">
                  <c:v>44789</c:v>
                </c:pt>
                <c:pt idx="156">
                  <c:v>44790</c:v>
                </c:pt>
                <c:pt idx="157">
                  <c:v>44791</c:v>
                </c:pt>
                <c:pt idx="158">
                  <c:v>44792</c:v>
                </c:pt>
                <c:pt idx="159">
                  <c:v>44795</c:v>
                </c:pt>
                <c:pt idx="160">
                  <c:v>44796</c:v>
                </c:pt>
                <c:pt idx="161">
                  <c:v>44797</c:v>
                </c:pt>
                <c:pt idx="162">
                  <c:v>44798</c:v>
                </c:pt>
                <c:pt idx="163">
                  <c:v>44799</c:v>
                </c:pt>
                <c:pt idx="164">
                  <c:v>44802</c:v>
                </c:pt>
                <c:pt idx="165">
                  <c:v>44803</c:v>
                </c:pt>
                <c:pt idx="166">
                  <c:v>44804</c:v>
                </c:pt>
                <c:pt idx="167">
                  <c:v>44805</c:v>
                </c:pt>
                <c:pt idx="168">
                  <c:v>44806</c:v>
                </c:pt>
                <c:pt idx="169">
                  <c:v>44810</c:v>
                </c:pt>
                <c:pt idx="170">
                  <c:v>44811</c:v>
                </c:pt>
                <c:pt idx="171">
                  <c:v>44812</c:v>
                </c:pt>
                <c:pt idx="172">
                  <c:v>44813</c:v>
                </c:pt>
                <c:pt idx="173">
                  <c:v>44816</c:v>
                </c:pt>
                <c:pt idx="174">
                  <c:v>44817</c:v>
                </c:pt>
                <c:pt idx="175">
                  <c:v>44818</c:v>
                </c:pt>
                <c:pt idx="176">
                  <c:v>44819</c:v>
                </c:pt>
                <c:pt idx="177">
                  <c:v>44820</c:v>
                </c:pt>
                <c:pt idx="178">
                  <c:v>44823</c:v>
                </c:pt>
                <c:pt idx="179">
                  <c:v>44824</c:v>
                </c:pt>
                <c:pt idx="180">
                  <c:v>44825</c:v>
                </c:pt>
                <c:pt idx="181">
                  <c:v>44826</c:v>
                </c:pt>
                <c:pt idx="182">
                  <c:v>44827</c:v>
                </c:pt>
                <c:pt idx="183">
                  <c:v>44830</c:v>
                </c:pt>
                <c:pt idx="184">
                  <c:v>44831</c:v>
                </c:pt>
                <c:pt idx="185">
                  <c:v>44832</c:v>
                </c:pt>
                <c:pt idx="186">
                  <c:v>44833</c:v>
                </c:pt>
                <c:pt idx="187">
                  <c:v>44834</c:v>
                </c:pt>
                <c:pt idx="188">
                  <c:v>44837</c:v>
                </c:pt>
                <c:pt idx="189">
                  <c:v>44838</c:v>
                </c:pt>
                <c:pt idx="190">
                  <c:v>44839</c:v>
                </c:pt>
                <c:pt idx="191">
                  <c:v>44840</c:v>
                </c:pt>
                <c:pt idx="192">
                  <c:v>44841</c:v>
                </c:pt>
                <c:pt idx="193">
                  <c:v>44844</c:v>
                </c:pt>
                <c:pt idx="194">
                  <c:v>44845</c:v>
                </c:pt>
                <c:pt idx="195">
                  <c:v>44846</c:v>
                </c:pt>
                <c:pt idx="196">
                  <c:v>44847</c:v>
                </c:pt>
                <c:pt idx="197">
                  <c:v>44848</c:v>
                </c:pt>
                <c:pt idx="198">
                  <c:v>44851</c:v>
                </c:pt>
                <c:pt idx="199">
                  <c:v>44852</c:v>
                </c:pt>
                <c:pt idx="200">
                  <c:v>44853</c:v>
                </c:pt>
                <c:pt idx="201">
                  <c:v>44854</c:v>
                </c:pt>
                <c:pt idx="202">
                  <c:v>44855</c:v>
                </c:pt>
                <c:pt idx="203">
                  <c:v>44858</c:v>
                </c:pt>
                <c:pt idx="204">
                  <c:v>44859</c:v>
                </c:pt>
                <c:pt idx="205">
                  <c:v>44860</c:v>
                </c:pt>
                <c:pt idx="206">
                  <c:v>44861</c:v>
                </c:pt>
                <c:pt idx="207">
                  <c:v>44862</c:v>
                </c:pt>
                <c:pt idx="208">
                  <c:v>44865</c:v>
                </c:pt>
                <c:pt idx="209">
                  <c:v>44866</c:v>
                </c:pt>
                <c:pt idx="210">
                  <c:v>44867</c:v>
                </c:pt>
                <c:pt idx="211">
                  <c:v>44868</c:v>
                </c:pt>
                <c:pt idx="212">
                  <c:v>44869</c:v>
                </c:pt>
                <c:pt idx="213">
                  <c:v>44872</c:v>
                </c:pt>
                <c:pt idx="214">
                  <c:v>44873</c:v>
                </c:pt>
                <c:pt idx="215">
                  <c:v>44874</c:v>
                </c:pt>
                <c:pt idx="216">
                  <c:v>44875</c:v>
                </c:pt>
                <c:pt idx="217">
                  <c:v>44876</c:v>
                </c:pt>
                <c:pt idx="218">
                  <c:v>44879</c:v>
                </c:pt>
                <c:pt idx="219">
                  <c:v>44880</c:v>
                </c:pt>
                <c:pt idx="220">
                  <c:v>44881</c:v>
                </c:pt>
                <c:pt idx="221">
                  <c:v>44882</c:v>
                </c:pt>
                <c:pt idx="222">
                  <c:v>44883</c:v>
                </c:pt>
                <c:pt idx="223">
                  <c:v>44886</c:v>
                </c:pt>
                <c:pt idx="224">
                  <c:v>44887</c:v>
                </c:pt>
                <c:pt idx="225">
                  <c:v>44888</c:v>
                </c:pt>
                <c:pt idx="226">
                  <c:v>44890</c:v>
                </c:pt>
                <c:pt idx="227">
                  <c:v>44893</c:v>
                </c:pt>
                <c:pt idx="228">
                  <c:v>44894</c:v>
                </c:pt>
                <c:pt idx="229">
                  <c:v>44895</c:v>
                </c:pt>
                <c:pt idx="230">
                  <c:v>44896</c:v>
                </c:pt>
                <c:pt idx="231">
                  <c:v>44897</c:v>
                </c:pt>
                <c:pt idx="232">
                  <c:v>44900</c:v>
                </c:pt>
                <c:pt idx="233">
                  <c:v>44901</c:v>
                </c:pt>
                <c:pt idx="234">
                  <c:v>44902</c:v>
                </c:pt>
                <c:pt idx="235">
                  <c:v>44903</c:v>
                </c:pt>
                <c:pt idx="236">
                  <c:v>44904</c:v>
                </c:pt>
                <c:pt idx="237">
                  <c:v>44907</c:v>
                </c:pt>
                <c:pt idx="238">
                  <c:v>44908</c:v>
                </c:pt>
                <c:pt idx="239">
                  <c:v>44909</c:v>
                </c:pt>
                <c:pt idx="240">
                  <c:v>44910</c:v>
                </c:pt>
                <c:pt idx="241">
                  <c:v>44911</c:v>
                </c:pt>
                <c:pt idx="242">
                  <c:v>44914</c:v>
                </c:pt>
                <c:pt idx="243">
                  <c:v>44915</c:v>
                </c:pt>
                <c:pt idx="244">
                  <c:v>44916</c:v>
                </c:pt>
                <c:pt idx="245">
                  <c:v>44917</c:v>
                </c:pt>
                <c:pt idx="246">
                  <c:v>44918</c:v>
                </c:pt>
                <c:pt idx="247">
                  <c:v>44922</c:v>
                </c:pt>
                <c:pt idx="248">
                  <c:v>44923</c:v>
                </c:pt>
                <c:pt idx="249">
                  <c:v>44924</c:v>
                </c:pt>
                <c:pt idx="250">
                  <c:v>44925</c:v>
                </c:pt>
              </c:numCache>
            </c:numRef>
          </c:cat>
          <c:val>
            <c:numRef>
              <c:f>oilWtiChart!$B$3:$B$253</c:f>
              <c:numCache>
                <c:formatCode>_-* #,##0.0_-;\-* #,##0.0_-;_-* "-"??_-;_-@_-</c:formatCode>
                <c:ptCount val="251"/>
                <c:pt idx="0">
                  <c:v>75.989999999999995</c:v>
                </c:pt>
                <c:pt idx="1">
                  <c:v>77</c:v>
                </c:pt>
                <c:pt idx="2">
                  <c:v>77.83</c:v>
                </c:pt>
                <c:pt idx="3">
                  <c:v>79.47</c:v>
                </c:pt>
                <c:pt idx="4">
                  <c:v>79</c:v>
                </c:pt>
                <c:pt idx="5">
                  <c:v>78.11</c:v>
                </c:pt>
                <c:pt idx="6">
                  <c:v>81.17</c:v>
                </c:pt>
                <c:pt idx="7">
                  <c:v>82.51</c:v>
                </c:pt>
                <c:pt idx="8">
                  <c:v>81.97</c:v>
                </c:pt>
                <c:pt idx="9">
                  <c:v>83.82</c:v>
                </c:pt>
                <c:pt idx="10">
                  <c:v>85.42</c:v>
                </c:pt>
                <c:pt idx="11">
                  <c:v>86.84</c:v>
                </c:pt>
                <c:pt idx="12">
                  <c:v>86.29</c:v>
                </c:pt>
                <c:pt idx="13">
                  <c:v>85.16</c:v>
                </c:pt>
                <c:pt idx="14">
                  <c:v>84.48</c:v>
                </c:pt>
                <c:pt idx="15">
                  <c:v>86.61</c:v>
                </c:pt>
                <c:pt idx="16">
                  <c:v>88.33</c:v>
                </c:pt>
                <c:pt idx="17">
                  <c:v>87.61</c:v>
                </c:pt>
                <c:pt idx="18">
                  <c:v>87.67</c:v>
                </c:pt>
                <c:pt idx="19">
                  <c:v>89.16</c:v>
                </c:pt>
                <c:pt idx="20">
                  <c:v>88.22</c:v>
                </c:pt>
                <c:pt idx="21">
                  <c:v>88.16</c:v>
                </c:pt>
                <c:pt idx="22">
                  <c:v>90.17</c:v>
                </c:pt>
                <c:pt idx="23">
                  <c:v>92.27</c:v>
                </c:pt>
                <c:pt idx="24">
                  <c:v>91.25</c:v>
                </c:pt>
                <c:pt idx="25">
                  <c:v>89.32</c:v>
                </c:pt>
                <c:pt idx="26">
                  <c:v>89.57</c:v>
                </c:pt>
                <c:pt idx="27">
                  <c:v>89.83</c:v>
                </c:pt>
                <c:pt idx="28">
                  <c:v>93.1</c:v>
                </c:pt>
                <c:pt idx="29">
                  <c:v>95.52</c:v>
                </c:pt>
                <c:pt idx="30">
                  <c:v>92.07</c:v>
                </c:pt>
                <c:pt idx="31">
                  <c:v>93.83</c:v>
                </c:pt>
                <c:pt idx="32">
                  <c:v>91.78</c:v>
                </c:pt>
                <c:pt idx="33">
                  <c:v>91.26</c:v>
                </c:pt>
                <c:pt idx="34">
                  <c:v>92.11</c:v>
                </c:pt>
                <c:pt idx="35">
                  <c:v>92.14</c:v>
                </c:pt>
                <c:pt idx="36">
                  <c:v>92.77</c:v>
                </c:pt>
                <c:pt idx="37">
                  <c:v>91.68</c:v>
                </c:pt>
                <c:pt idx="38">
                  <c:v>96.13</c:v>
                </c:pt>
                <c:pt idx="39">
                  <c:v>103.66</c:v>
                </c:pt>
                <c:pt idx="40">
                  <c:v>110.74</c:v>
                </c:pt>
                <c:pt idx="41">
                  <c:v>107.69</c:v>
                </c:pt>
                <c:pt idx="42">
                  <c:v>115.77</c:v>
                </c:pt>
                <c:pt idx="43">
                  <c:v>119.26</c:v>
                </c:pt>
                <c:pt idx="44">
                  <c:v>123.64</c:v>
                </c:pt>
                <c:pt idx="45">
                  <c:v>108.81</c:v>
                </c:pt>
                <c:pt idx="46">
                  <c:v>105.93</c:v>
                </c:pt>
                <c:pt idx="47">
                  <c:v>109.31</c:v>
                </c:pt>
                <c:pt idx="48">
                  <c:v>103.22</c:v>
                </c:pt>
                <c:pt idx="49">
                  <c:v>96.42</c:v>
                </c:pt>
                <c:pt idx="50">
                  <c:v>94.85</c:v>
                </c:pt>
                <c:pt idx="51">
                  <c:v>102.97</c:v>
                </c:pt>
                <c:pt idx="52">
                  <c:v>104.69</c:v>
                </c:pt>
                <c:pt idx="53">
                  <c:v>112.14</c:v>
                </c:pt>
                <c:pt idx="54">
                  <c:v>111.03</c:v>
                </c:pt>
                <c:pt idx="55">
                  <c:v>114.89</c:v>
                </c:pt>
                <c:pt idx="56">
                  <c:v>114.2</c:v>
                </c:pt>
                <c:pt idx="57">
                  <c:v>116.2</c:v>
                </c:pt>
                <c:pt idx="58">
                  <c:v>107.55</c:v>
                </c:pt>
                <c:pt idx="59">
                  <c:v>104.25</c:v>
                </c:pt>
                <c:pt idx="60">
                  <c:v>107.81</c:v>
                </c:pt>
                <c:pt idx="61">
                  <c:v>100.53</c:v>
                </c:pt>
                <c:pt idx="62">
                  <c:v>99.32</c:v>
                </c:pt>
                <c:pt idx="63">
                  <c:v>103.29</c:v>
                </c:pt>
                <c:pt idx="64">
                  <c:v>101.98</c:v>
                </c:pt>
                <c:pt idx="65">
                  <c:v>96.39</c:v>
                </c:pt>
                <c:pt idx="66">
                  <c:v>96.05</c:v>
                </c:pt>
                <c:pt idx="67">
                  <c:v>98.35</c:v>
                </c:pt>
                <c:pt idx="68">
                  <c:v>94.22</c:v>
                </c:pt>
                <c:pt idx="69">
                  <c:v>100.52</c:v>
                </c:pt>
                <c:pt idx="70">
                  <c:v>104.26</c:v>
                </c:pt>
                <c:pt idx="71">
                  <c:v>106.84</c:v>
                </c:pt>
                <c:pt idx="72">
                  <c:v>108.24</c:v>
                </c:pt>
                <c:pt idx="73">
                  <c:v>102.54</c:v>
                </c:pt>
                <c:pt idx="74">
                  <c:v>102.56</c:v>
                </c:pt>
                <c:pt idx="75">
                  <c:v>103.89</c:v>
                </c:pt>
                <c:pt idx="76">
                  <c:v>102.86</c:v>
                </c:pt>
                <c:pt idx="77">
                  <c:v>99.6</c:v>
                </c:pt>
                <c:pt idx="78">
                  <c:v>102.62</c:v>
                </c:pt>
                <c:pt idx="79">
                  <c:v>101.96</c:v>
                </c:pt>
                <c:pt idx="80">
                  <c:v>105.47</c:v>
                </c:pt>
                <c:pt idx="81">
                  <c:v>104.59</c:v>
                </c:pt>
                <c:pt idx="82">
                  <c:v>105.18</c:v>
                </c:pt>
                <c:pt idx="83">
                  <c:v>102.53</c:v>
                </c:pt>
                <c:pt idx="84">
                  <c:v>107.84</c:v>
                </c:pt>
                <c:pt idx="85">
                  <c:v>108.17</c:v>
                </c:pt>
                <c:pt idx="86">
                  <c:v>109.72</c:v>
                </c:pt>
                <c:pt idx="87">
                  <c:v>103.08</c:v>
                </c:pt>
                <c:pt idx="88">
                  <c:v>99.74</c:v>
                </c:pt>
                <c:pt idx="89">
                  <c:v>105.5</c:v>
                </c:pt>
                <c:pt idx="90">
                  <c:v>106.15</c:v>
                </c:pt>
                <c:pt idx="91">
                  <c:v>110.52</c:v>
                </c:pt>
                <c:pt idx="92">
                  <c:v>114.07</c:v>
                </c:pt>
                <c:pt idx="93">
                  <c:v>112.31</c:v>
                </c:pt>
                <c:pt idx="94">
                  <c:v>109.67</c:v>
                </c:pt>
                <c:pt idx="95">
                  <c:v>112.21</c:v>
                </c:pt>
                <c:pt idx="96">
                  <c:v>112.63</c:v>
                </c:pt>
                <c:pt idx="97">
                  <c:v>110.32</c:v>
                </c:pt>
                <c:pt idx="98">
                  <c:v>112.55</c:v>
                </c:pt>
                <c:pt idx="99">
                  <c:v>112.88</c:v>
                </c:pt>
                <c:pt idx="100">
                  <c:v>116.19</c:v>
                </c:pt>
                <c:pt idx="101">
                  <c:v>114.96</c:v>
                </c:pt>
                <c:pt idx="102">
                  <c:v>114.38</c:v>
                </c:pt>
                <c:pt idx="103">
                  <c:v>115.26</c:v>
                </c:pt>
                <c:pt idx="104">
                  <c:v>116.88</c:v>
                </c:pt>
                <c:pt idx="105">
                  <c:v>118.97</c:v>
                </c:pt>
                <c:pt idx="106">
                  <c:v>118.41</c:v>
                </c:pt>
                <c:pt idx="107">
                  <c:v>119.55</c:v>
                </c:pt>
                <c:pt idx="108">
                  <c:v>121.94</c:v>
                </c:pt>
                <c:pt idx="109">
                  <c:v>121.52</c:v>
                </c:pt>
                <c:pt idx="110">
                  <c:v>120.73</c:v>
                </c:pt>
                <c:pt idx="111">
                  <c:v>120.92</c:v>
                </c:pt>
                <c:pt idx="112">
                  <c:v>118.92</c:v>
                </c:pt>
                <c:pt idx="113">
                  <c:v>115.32</c:v>
                </c:pt>
                <c:pt idx="114">
                  <c:v>117.56</c:v>
                </c:pt>
                <c:pt idx="115">
                  <c:v>109.56</c:v>
                </c:pt>
                <c:pt idx="116">
                  <c:v>110.49</c:v>
                </c:pt>
                <c:pt idx="117">
                  <c:v>106.22</c:v>
                </c:pt>
                <c:pt idx="118">
                  <c:v>105.75</c:v>
                </c:pt>
                <c:pt idx="119">
                  <c:v>109.07</c:v>
                </c:pt>
                <c:pt idx="120">
                  <c:v>111.44</c:v>
                </c:pt>
                <c:pt idx="121">
                  <c:v>113.66</c:v>
                </c:pt>
                <c:pt idx="122">
                  <c:v>111.65</c:v>
                </c:pt>
                <c:pt idx="123">
                  <c:v>107.76</c:v>
                </c:pt>
                <c:pt idx="124">
                  <c:v>110.3</c:v>
                </c:pt>
                <c:pt idx="125">
                  <c:v>101.55</c:v>
                </c:pt>
                <c:pt idx="126">
                  <c:v>100.31</c:v>
                </c:pt>
                <c:pt idx="127">
                  <c:v>104.62</c:v>
                </c:pt>
                <c:pt idx="128">
                  <c:v>106.78</c:v>
                </c:pt>
                <c:pt idx="129">
                  <c:v>106.09</c:v>
                </c:pt>
                <c:pt idx="130">
                  <c:v>97.69</c:v>
                </c:pt>
                <c:pt idx="131">
                  <c:v>98.44</c:v>
                </c:pt>
                <c:pt idx="132">
                  <c:v>97.79</c:v>
                </c:pt>
                <c:pt idx="133">
                  <c:v>99.59</c:v>
                </c:pt>
                <c:pt idx="134">
                  <c:v>104.48</c:v>
                </c:pt>
                <c:pt idx="135">
                  <c:v>106.12</c:v>
                </c:pt>
                <c:pt idx="136">
                  <c:v>104.45</c:v>
                </c:pt>
                <c:pt idx="137">
                  <c:v>98.44</c:v>
                </c:pt>
                <c:pt idx="138">
                  <c:v>97.71</c:v>
                </c:pt>
                <c:pt idx="139">
                  <c:v>99.83</c:v>
                </c:pt>
                <c:pt idx="140">
                  <c:v>97.74</c:v>
                </c:pt>
                <c:pt idx="141">
                  <c:v>100.03</c:v>
                </c:pt>
                <c:pt idx="142">
                  <c:v>99.11</c:v>
                </c:pt>
                <c:pt idx="143">
                  <c:v>101.31</c:v>
                </c:pt>
                <c:pt idx="144">
                  <c:v>96.59</c:v>
                </c:pt>
                <c:pt idx="145">
                  <c:v>97.14</c:v>
                </c:pt>
                <c:pt idx="146">
                  <c:v>93.25</c:v>
                </c:pt>
                <c:pt idx="147">
                  <c:v>91.29</c:v>
                </c:pt>
                <c:pt idx="148">
                  <c:v>91.77</c:v>
                </c:pt>
                <c:pt idx="149">
                  <c:v>93.52</c:v>
                </c:pt>
                <c:pt idx="150">
                  <c:v>93.18</c:v>
                </c:pt>
                <c:pt idx="151">
                  <c:v>94.68</c:v>
                </c:pt>
                <c:pt idx="152">
                  <c:v>97.02</c:v>
                </c:pt>
                <c:pt idx="153">
                  <c:v>94.86</c:v>
                </c:pt>
                <c:pt idx="154">
                  <c:v>92.24</c:v>
                </c:pt>
                <c:pt idx="155">
                  <c:v>89.23</c:v>
                </c:pt>
                <c:pt idx="156">
                  <c:v>90.85</c:v>
                </c:pt>
                <c:pt idx="157">
                  <c:v>93.2</c:v>
                </c:pt>
                <c:pt idx="158">
                  <c:v>93.55</c:v>
                </c:pt>
                <c:pt idx="159">
                  <c:v>93.42</c:v>
                </c:pt>
                <c:pt idx="160">
                  <c:v>96.46</c:v>
                </c:pt>
                <c:pt idx="161">
                  <c:v>95.52</c:v>
                </c:pt>
                <c:pt idx="162">
                  <c:v>93.33</c:v>
                </c:pt>
                <c:pt idx="163">
                  <c:v>93.63</c:v>
                </c:pt>
                <c:pt idx="164">
                  <c:v>97.4</c:v>
                </c:pt>
                <c:pt idx="165">
                  <c:v>92.08</c:v>
                </c:pt>
                <c:pt idx="166">
                  <c:v>90.09</c:v>
                </c:pt>
                <c:pt idx="167">
                  <c:v>87.09</c:v>
                </c:pt>
                <c:pt idx="168">
                  <c:v>87.29</c:v>
                </c:pt>
                <c:pt idx="169">
                  <c:v>87.35</c:v>
                </c:pt>
                <c:pt idx="170">
                  <c:v>82.5</c:v>
                </c:pt>
                <c:pt idx="171">
                  <c:v>84.04</c:v>
                </c:pt>
                <c:pt idx="172">
                  <c:v>87.27</c:v>
                </c:pt>
                <c:pt idx="173">
                  <c:v>88.18</c:v>
                </c:pt>
                <c:pt idx="174">
                  <c:v>87.84</c:v>
                </c:pt>
                <c:pt idx="175">
                  <c:v>88.88</c:v>
                </c:pt>
                <c:pt idx="176">
                  <c:v>85.72</c:v>
                </c:pt>
                <c:pt idx="177">
                  <c:v>85.57</c:v>
                </c:pt>
                <c:pt idx="178">
                  <c:v>86.15</c:v>
                </c:pt>
                <c:pt idx="179">
                  <c:v>84.69</c:v>
                </c:pt>
                <c:pt idx="180">
                  <c:v>83.38</c:v>
                </c:pt>
                <c:pt idx="181">
                  <c:v>84.02</c:v>
                </c:pt>
                <c:pt idx="182">
                  <c:v>79.069999999999993</c:v>
                </c:pt>
                <c:pt idx="183">
                  <c:v>77.17</c:v>
                </c:pt>
                <c:pt idx="184">
                  <c:v>78.91</c:v>
                </c:pt>
                <c:pt idx="185">
                  <c:v>82.61</c:v>
                </c:pt>
                <c:pt idx="186">
                  <c:v>81.78</c:v>
                </c:pt>
                <c:pt idx="187">
                  <c:v>79.91</c:v>
                </c:pt>
                <c:pt idx="188">
                  <c:v>84.05</c:v>
                </c:pt>
                <c:pt idx="189">
                  <c:v>86.87</c:v>
                </c:pt>
                <c:pt idx="190">
                  <c:v>88.22</c:v>
                </c:pt>
                <c:pt idx="191">
                  <c:v>88.9</c:v>
                </c:pt>
                <c:pt idx="192">
                  <c:v>93.07</c:v>
                </c:pt>
                <c:pt idx="193">
                  <c:v>91.6</c:v>
                </c:pt>
                <c:pt idx="194">
                  <c:v>89.75</c:v>
                </c:pt>
                <c:pt idx="195">
                  <c:v>87.83</c:v>
                </c:pt>
                <c:pt idx="196">
                  <c:v>89.59</c:v>
                </c:pt>
                <c:pt idx="197">
                  <c:v>86.1</c:v>
                </c:pt>
                <c:pt idx="198">
                  <c:v>86</c:v>
                </c:pt>
                <c:pt idx="199">
                  <c:v>83.29</c:v>
                </c:pt>
                <c:pt idx="200">
                  <c:v>86</c:v>
                </c:pt>
                <c:pt idx="201">
                  <c:v>86.02</c:v>
                </c:pt>
                <c:pt idx="202">
                  <c:v>85.47</c:v>
                </c:pt>
                <c:pt idx="203">
                  <c:v>86.12</c:v>
                </c:pt>
                <c:pt idx="204">
                  <c:v>86.93</c:v>
                </c:pt>
                <c:pt idx="205">
                  <c:v>89.39</c:v>
                </c:pt>
                <c:pt idx="206">
                  <c:v>89.06</c:v>
                </c:pt>
                <c:pt idx="207">
                  <c:v>87.85</c:v>
                </c:pt>
                <c:pt idx="208">
                  <c:v>86.54</c:v>
                </c:pt>
                <c:pt idx="209">
                  <c:v>88.36</c:v>
                </c:pt>
                <c:pt idx="210">
                  <c:v>90.06</c:v>
                </c:pt>
                <c:pt idx="211">
                  <c:v>88.14</c:v>
                </c:pt>
                <c:pt idx="212">
                  <c:v>92.58</c:v>
                </c:pt>
                <c:pt idx="213">
                  <c:v>91.8</c:v>
                </c:pt>
                <c:pt idx="214">
                  <c:v>88.8</c:v>
                </c:pt>
                <c:pt idx="215">
                  <c:v>85.79</c:v>
                </c:pt>
                <c:pt idx="216">
                  <c:v>86.52</c:v>
                </c:pt>
                <c:pt idx="217">
                  <c:v>89.14</c:v>
                </c:pt>
                <c:pt idx="218">
                  <c:v>85.85</c:v>
                </c:pt>
                <c:pt idx="219">
                  <c:v>86.87</c:v>
                </c:pt>
                <c:pt idx="220">
                  <c:v>85.62</c:v>
                </c:pt>
                <c:pt idx="221">
                  <c:v>81.69</c:v>
                </c:pt>
                <c:pt idx="222">
                  <c:v>80.069999999999993</c:v>
                </c:pt>
                <c:pt idx="223">
                  <c:v>79.739999999999995</c:v>
                </c:pt>
                <c:pt idx="224">
                  <c:v>80.83</c:v>
                </c:pt>
                <c:pt idx="225">
                  <c:v>77.930000000000007</c:v>
                </c:pt>
                <c:pt idx="226">
                  <c:v>76.45</c:v>
                </c:pt>
                <c:pt idx="227">
                  <c:v>77.099999999999994</c:v>
                </c:pt>
                <c:pt idx="228">
                  <c:v>77.959999999999994</c:v>
                </c:pt>
                <c:pt idx="229">
                  <c:v>80.48</c:v>
                </c:pt>
                <c:pt idx="230">
                  <c:v>81.06</c:v>
                </c:pt>
                <c:pt idx="231">
                  <c:v>79.86</c:v>
                </c:pt>
                <c:pt idx="232">
                  <c:v>76.83</c:v>
                </c:pt>
                <c:pt idx="233">
                  <c:v>74.209999999999994</c:v>
                </c:pt>
                <c:pt idx="234">
                  <c:v>71.930000000000007</c:v>
                </c:pt>
                <c:pt idx="235">
                  <c:v>71.3</c:v>
                </c:pt>
                <c:pt idx="236">
                  <c:v>71.05</c:v>
                </c:pt>
                <c:pt idx="237">
                  <c:v>72.959999999999994</c:v>
                </c:pt>
                <c:pt idx="238">
                  <c:v>75.44</c:v>
                </c:pt>
                <c:pt idx="239">
                  <c:v>77.14</c:v>
                </c:pt>
                <c:pt idx="240">
                  <c:v>75.89</c:v>
                </c:pt>
                <c:pt idx="241">
                  <c:v>74.19</c:v>
                </c:pt>
                <c:pt idx="242">
                  <c:v>75.05</c:v>
                </c:pt>
                <c:pt idx="243">
                  <c:v>75.92</c:v>
                </c:pt>
                <c:pt idx="244">
                  <c:v>78.17</c:v>
                </c:pt>
                <c:pt idx="245">
                  <c:v>77.680000000000007</c:v>
                </c:pt>
                <c:pt idx="246">
                  <c:v>79.569999999999993</c:v>
                </c:pt>
                <c:pt idx="247">
                  <c:v>79.45</c:v>
                </c:pt>
                <c:pt idx="248">
                  <c:v>78.89</c:v>
                </c:pt>
                <c:pt idx="249">
                  <c:v>78.430000000000007</c:v>
                </c:pt>
                <c:pt idx="250">
                  <c:v>80.16</c:v>
                </c:pt>
              </c:numCache>
            </c:numRef>
          </c:val>
          <c:smooth val="0"/>
          <c:extLst>
            <c:ext xmlns:c16="http://schemas.microsoft.com/office/drawing/2014/chart" uri="{C3380CC4-5D6E-409C-BE32-E72D297353CC}">
              <c16:uniqueId val="{00000000-E55B-492F-A7E4-F2E1F2CD5A3D}"/>
            </c:ext>
          </c:extLst>
        </c:ser>
        <c:ser>
          <c:idx val="3"/>
          <c:order val="1"/>
          <c:tx>
            <c:strRef>
              <c:f>oilWtiChart!$B$2</c:f>
              <c:strCache>
                <c:ptCount val="1"/>
                <c:pt idx="0">
                  <c:v>WTI</c:v>
                </c:pt>
              </c:strCache>
            </c:strRef>
          </c:tx>
          <c:spPr>
            <a:ln w="15875" cap="rnd">
              <a:solidFill>
                <a:schemeClr val="accent1"/>
              </a:solidFill>
              <a:round/>
            </a:ln>
            <a:effectLst/>
          </c:spPr>
          <c:marker>
            <c:symbol val="none"/>
          </c:marker>
          <c:cat>
            <c:numRef>
              <c:f>oilWtiChart!$A$3:$A$253</c:f>
              <c:numCache>
                <c:formatCode>mmm\-yy</c:formatCode>
                <c:ptCount val="251"/>
                <c:pt idx="0">
                  <c:v>44564</c:v>
                </c:pt>
                <c:pt idx="1">
                  <c:v>44565</c:v>
                </c:pt>
                <c:pt idx="2">
                  <c:v>44566</c:v>
                </c:pt>
                <c:pt idx="3">
                  <c:v>44567</c:v>
                </c:pt>
                <c:pt idx="4">
                  <c:v>44568</c:v>
                </c:pt>
                <c:pt idx="5">
                  <c:v>44571</c:v>
                </c:pt>
                <c:pt idx="6">
                  <c:v>44572</c:v>
                </c:pt>
                <c:pt idx="7">
                  <c:v>44573</c:v>
                </c:pt>
                <c:pt idx="8">
                  <c:v>44574</c:v>
                </c:pt>
                <c:pt idx="9">
                  <c:v>44575</c:v>
                </c:pt>
                <c:pt idx="10">
                  <c:v>44579</c:v>
                </c:pt>
                <c:pt idx="11">
                  <c:v>44580</c:v>
                </c:pt>
                <c:pt idx="12">
                  <c:v>44581</c:v>
                </c:pt>
                <c:pt idx="13">
                  <c:v>44582</c:v>
                </c:pt>
                <c:pt idx="14">
                  <c:v>44585</c:v>
                </c:pt>
                <c:pt idx="15">
                  <c:v>44586</c:v>
                </c:pt>
                <c:pt idx="16">
                  <c:v>44587</c:v>
                </c:pt>
                <c:pt idx="17">
                  <c:v>44588</c:v>
                </c:pt>
                <c:pt idx="18">
                  <c:v>44589</c:v>
                </c:pt>
                <c:pt idx="19">
                  <c:v>44592</c:v>
                </c:pt>
                <c:pt idx="20">
                  <c:v>44593</c:v>
                </c:pt>
                <c:pt idx="21">
                  <c:v>44594</c:v>
                </c:pt>
                <c:pt idx="22">
                  <c:v>44595</c:v>
                </c:pt>
                <c:pt idx="23">
                  <c:v>44596</c:v>
                </c:pt>
                <c:pt idx="24">
                  <c:v>44599</c:v>
                </c:pt>
                <c:pt idx="25">
                  <c:v>44600</c:v>
                </c:pt>
                <c:pt idx="26">
                  <c:v>44601</c:v>
                </c:pt>
                <c:pt idx="27">
                  <c:v>44602</c:v>
                </c:pt>
                <c:pt idx="28">
                  <c:v>44603</c:v>
                </c:pt>
                <c:pt idx="29">
                  <c:v>44606</c:v>
                </c:pt>
                <c:pt idx="30">
                  <c:v>44607</c:v>
                </c:pt>
                <c:pt idx="31">
                  <c:v>44608</c:v>
                </c:pt>
                <c:pt idx="32">
                  <c:v>44609</c:v>
                </c:pt>
                <c:pt idx="33">
                  <c:v>44610</c:v>
                </c:pt>
                <c:pt idx="34">
                  <c:v>44614</c:v>
                </c:pt>
                <c:pt idx="35">
                  <c:v>44615</c:v>
                </c:pt>
                <c:pt idx="36">
                  <c:v>44616</c:v>
                </c:pt>
                <c:pt idx="37">
                  <c:v>44617</c:v>
                </c:pt>
                <c:pt idx="38">
                  <c:v>44620</c:v>
                </c:pt>
                <c:pt idx="39">
                  <c:v>44621</c:v>
                </c:pt>
                <c:pt idx="40">
                  <c:v>44622</c:v>
                </c:pt>
                <c:pt idx="41">
                  <c:v>44623</c:v>
                </c:pt>
                <c:pt idx="42">
                  <c:v>44624</c:v>
                </c:pt>
                <c:pt idx="43">
                  <c:v>44627</c:v>
                </c:pt>
                <c:pt idx="44">
                  <c:v>44628</c:v>
                </c:pt>
                <c:pt idx="45">
                  <c:v>44629</c:v>
                </c:pt>
                <c:pt idx="46">
                  <c:v>44630</c:v>
                </c:pt>
                <c:pt idx="47">
                  <c:v>44631</c:v>
                </c:pt>
                <c:pt idx="48">
                  <c:v>44634</c:v>
                </c:pt>
                <c:pt idx="49">
                  <c:v>44635</c:v>
                </c:pt>
                <c:pt idx="50">
                  <c:v>44636</c:v>
                </c:pt>
                <c:pt idx="51">
                  <c:v>44637</c:v>
                </c:pt>
                <c:pt idx="52">
                  <c:v>44638</c:v>
                </c:pt>
                <c:pt idx="53">
                  <c:v>44641</c:v>
                </c:pt>
                <c:pt idx="54">
                  <c:v>44642</c:v>
                </c:pt>
                <c:pt idx="55">
                  <c:v>44643</c:v>
                </c:pt>
                <c:pt idx="56">
                  <c:v>44644</c:v>
                </c:pt>
                <c:pt idx="57">
                  <c:v>44645</c:v>
                </c:pt>
                <c:pt idx="58">
                  <c:v>44648</c:v>
                </c:pt>
                <c:pt idx="59">
                  <c:v>44649</c:v>
                </c:pt>
                <c:pt idx="60">
                  <c:v>44650</c:v>
                </c:pt>
                <c:pt idx="61">
                  <c:v>44651</c:v>
                </c:pt>
                <c:pt idx="62">
                  <c:v>44652</c:v>
                </c:pt>
                <c:pt idx="63">
                  <c:v>44655</c:v>
                </c:pt>
                <c:pt idx="64">
                  <c:v>44656</c:v>
                </c:pt>
                <c:pt idx="65">
                  <c:v>44657</c:v>
                </c:pt>
                <c:pt idx="66">
                  <c:v>44658</c:v>
                </c:pt>
                <c:pt idx="67">
                  <c:v>44659</c:v>
                </c:pt>
                <c:pt idx="68">
                  <c:v>44662</c:v>
                </c:pt>
                <c:pt idx="69">
                  <c:v>44663</c:v>
                </c:pt>
                <c:pt idx="70">
                  <c:v>44664</c:v>
                </c:pt>
                <c:pt idx="71">
                  <c:v>44665</c:v>
                </c:pt>
                <c:pt idx="72">
                  <c:v>44669</c:v>
                </c:pt>
                <c:pt idx="73">
                  <c:v>44670</c:v>
                </c:pt>
                <c:pt idx="74">
                  <c:v>44671</c:v>
                </c:pt>
                <c:pt idx="75">
                  <c:v>44672</c:v>
                </c:pt>
                <c:pt idx="76">
                  <c:v>44673</c:v>
                </c:pt>
                <c:pt idx="77">
                  <c:v>44676</c:v>
                </c:pt>
                <c:pt idx="78">
                  <c:v>44677</c:v>
                </c:pt>
                <c:pt idx="79">
                  <c:v>44678</c:v>
                </c:pt>
                <c:pt idx="80">
                  <c:v>44679</c:v>
                </c:pt>
                <c:pt idx="81">
                  <c:v>44680</c:v>
                </c:pt>
                <c:pt idx="82">
                  <c:v>44683</c:v>
                </c:pt>
                <c:pt idx="83">
                  <c:v>44684</c:v>
                </c:pt>
                <c:pt idx="84">
                  <c:v>44685</c:v>
                </c:pt>
                <c:pt idx="85">
                  <c:v>44686</c:v>
                </c:pt>
                <c:pt idx="86">
                  <c:v>44687</c:v>
                </c:pt>
                <c:pt idx="87">
                  <c:v>44690</c:v>
                </c:pt>
                <c:pt idx="88">
                  <c:v>44691</c:v>
                </c:pt>
                <c:pt idx="89">
                  <c:v>44692</c:v>
                </c:pt>
                <c:pt idx="90">
                  <c:v>44693</c:v>
                </c:pt>
                <c:pt idx="91">
                  <c:v>44694</c:v>
                </c:pt>
                <c:pt idx="92">
                  <c:v>44697</c:v>
                </c:pt>
                <c:pt idx="93">
                  <c:v>44698</c:v>
                </c:pt>
                <c:pt idx="94">
                  <c:v>44699</c:v>
                </c:pt>
                <c:pt idx="95">
                  <c:v>44700</c:v>
                </c:pt>
                <c:pt idx="96">
                  <c:v>44701</c:v>
                </c:pt>
                <c:pt idx="97">
                  <c:v>44704</c:v>
                </c:pt>
                <c:pt idx="98">
                  <c:v>44705</c:v>
                </c:pt>
                <c:pt idx="99">
                  <c:v>44706</c:v>
                </c:pt>
                <c:pt idx="100">
                  <c:v>44707</c:v>
                </c:pt>
                <c:pt idx="101">
                  <c:v>44708</c:v>
                </c:pt>
                <c:pt idx="102">
                  <c:v>44712</c:v>
                </c:pt>
                <c:pt idx="103">
                  <c:v>44713</c:v>
                </c:pt>
                <c:pt idx="104">
                  <c:v>44714</c:v>
                </c:pt>
                <c:pt idx="105">
                  <c:v>44715</c:v>
                </c:pt>
                <c:pt idx="106">
                  <c:v>44718</c:v>
                </c:pt>
                <c:pt idx="107">
                  <c:v>44719</c:v>
                </c:pt>
                <c:pt idx="108">
                  <c:v>44720</c:v>
                </c:pt>
                <c:pt idx="109">
                  <c:v>44721</c:v>
                </c:pt>
                <c:pt idx="110">
                  <c:v>44722</c:v>
                </c:pt>
                <c:pt idx="111">
                  <c:v>44725</c:v>
                </c:pt>
                <c:pt idx="112">
                  <c:v>44726</c:v>
                </c:pt>
                <c:pt idx="113">
                  <c:v>44727</c:v>
                </c:pt>
                <c:pt idx="114">
                  <c:v>44728</c:v>
                </c:pt>
                <c:pt idx="115">
                  <c:v>44729</c:v>
                </c:pt>
                <c:pt idx="116">
                  <c:v>44733</c:v>
                </c:pt>
                <c:pt idx="117">
                  <c:v>44734</c:v>
                </c:pt>
                <c:pt idx="118">
                  <c:v>44735</c:v>
                </c:pt>
                <c:pt idx="119">
                  <c:v>44736</c:v>
                </c:pt>
                <c:pt idx="120">
                  <c:v>44739</c:v>
                </c:pt>
                <c:pt idx="121">
                  <c:v>44740</c:v>
                </c:pt>
                <c:pt idx="122">
                  <c:v>44741</c:v>
                </c:pt>
                <c:pt idx="123">
                  <c:v>44742</c:v>
                </c:pt>
                <c:pt idx="124">
                  <c:v>44743</c:v>
                </c:pt>
                <c:pt idx="125">
                  <c:v>44747</c:v>
                </c:pt>
                <c:pt idx="126">
                  <c:v>44748</c:v>
                </c:pt>
                <c:pt idx="127">
                  <c:v>44749</c:v>
                </c:pt>
                <c:pt idx="128">
                  <c:v>44750</c:v>
                </c:pt>
                <c:pt idx="129">
                  <c:v>44753</c:v>
                </c:pt>
                <c:pt idx="130">
                  <c:v>44754</c:v>
                </c:pt>
                <c:pt idx="131">
                  <c:v>44755</c:v>
                </c:pt>
                <c:pt idx="132">
                  <c:v>44756</c:v>
                </c:pt>
                <c:pt idx="133">
                  <c:v>44757</c:v>
                </c:pt>
                <c:pt idx="134">
                  <c:v>44760</c:v>
                </c:pt>
                <c:pt idx="135">
                  <c:v>44761</c:v>
                </c:pt>
                <c:pt idx="136">
                  <c:v>44762</c:v>
                </c:pt>
                <c:pt idx="137">
                  <c:v>44763</c:v>
                </c:pt>
                <c:pt idx="138">
                  <c:v>44764</c:v>
                </c:pt>
                <c:pt idx="139">
                  <c:v>44767</c:v>
                </c:pt>
                <c:pt idx="140">
                  <c:v>44768</c:v>
                </c:pt>
                <c:pt idx="141">
                  <c:v>44769</c:v>
                </c:pt>
                <c:pt idx="142">
                  <c:v>44770</c:v>
                </c:pt>
                <c:pt idx="143">
                  <c:v>44771</c:v>
                </c:pt>
                <c:pt idx="144">
                  <c:v>44774</c:v>
                </c:pt>
                <c:pt idx="145">
                  <c:v>44775</c:v>
                </c:pt>
                <c:pt idx="146">
                  <c:v>44776</c:v>
                </c:pt>
                <c:pt idx="147">
                  <c:v>44777</c:v>
                </c:pt>
                <c:pt idx="148">
                  <c:v>44778</c:v>
                </c:pt>
                <c:pt idx="149">
                  <c:v>44781</c:v>
                </c:pt>
                <c:pt idx="150">
                  <c:v>44782</c:v>
                </c:pt>
                <c:pt idx="151">
                  <c:v>44783</c:v>
                </c:pt>
                <c:pt idx="152">
                  <c:v>44784</c:v>
                </c:pt>
                <c:pt idx="153">
                  <c:v>44785</c:v>
                </c:pt>
                <c:pt idx="154">
                  <c:v>44788</c:v>
                </c:pt>
                <c:pt idx="155">
                  <c:v>44789</c:v>
                </c:pt>
                <c:pt idx="156">
                  <c:v>44790</c:v>
                </c:pt>
                <c:pt idx="157">
                  <c:v>44791</c:v>
                </c:pt>
                <c:pt idx="158">
                  <c:v>44792</c:v>
                </c:pt>
                <c:pt idx="159">
                  <c:v>44795</c:v>
                </c:pt>
                <c:pt idx="160">
                  <c:v>44796</c:v>
                </c:pt>
                <c:pt idx="161">
                  <c:v>44797</c:v>
                </c:pt>
                <c:pt idx="162">
                  <c:v>44798</c:v>
                </c:pt>
                <c:pt idx="163">
                  <c:v>44799</c:v>
                </c:pt>
                <c:pt idx="164">
                  <c:v>44802</c:v>
                </c:pt>
                <c:pt idx="165">
                  <c:v>44803</c:v>
                </c:pt>
                <c:pt idx="166">
                  <c:v>44804</c:v>
                </c:pt>
                <c:pt idx="167">
                  <c:v>44805</c:v>
                </c:pt>
                <c:pt idx="168">
                  <c:v>44806</c:v>
                </c:pt>
                <c:pt idx="169">
                  <c:v>44810</c:v>
                </c:pt>
                <c:pt idx="170">
                  <c:v>44811</c:v>
                </c:pt>
                <c:pt idx="171">
                  <c:v>44812</c:v>
                </c:pt>
                <c:pt idx="172">
                  <c:v>44813</c:v>
                </c:pt>
                <c:pt idx="173">
                  <c:v>44816</c:v>
                </c:pt>
                <c:pt idx="174">
                  <c:v>44817</c:v>
                </c:pt>
                <c:pt idx="175">
                  <c:v>44818</c:v>
                </c:pt>
                <c:pt idx="176">
                  <c:v>44819</c:v>
                </c:pt>
                <c:pt idx="177">
                  <c:v>44820</c:v>
                </c:pt>
                <c:pt idx="178">
                  <c:v>44823</c:v>
                </c:pt>
                <c:pt idx="179">
                  <c:v>44824</c:v>
                </c:pt>
                <c:pt idx="180">
                  <c:v>44825</c:v>
                </c:pt>
                <c:pt idx="181">
                  <c:v>44826</c:v>
                </c:pt>
                <c:pt idx="182">
                  <c:v>44827</c:v>
                </c:pt>
                <c:pt idx="183">
                  <c:v>44830</c:v>
                </c:pt>
                <c:pt idx="184">
                  <c:v>44831</c:v>
                </c:pt>
                <c:pt idx="185">
                  <c:v>44832</c:v>
                </c:pt>
                <c:pt idx="186">
                  <c:v>44833</c:v>
                </c:pt>
                <c:pt idx="187">
                  <c:v>44834</c:v>
                </c:pt>
                <c:pt idx="188">
                  <c:v>44837</c:v>
                </c:pt>
                <c:pt idx="189">
                  <c:v>44838</c:v>
                </c:pt>
                <c:pt idx="190">
                  <c:v>44839</c:v>
                </c:pt>
                <c:pt idx="191">
                  <c:v>44840</c:v>
                </c:pt>
                <c:pt idx="192">
                  <c:v>44841</c:v>
                </c:pt>
                <c:pt idx="193">
                  <c:v>44844</c:v>
                </c:pt>
                <c:pt idx="194">
                  <c:v>44845</c:v>
                </c:pt>
                <c:pt idx="195">
                  <c:v>44846</c:v>
                </c:pt>
                <c:pt idx="196">
                  <c:v>44847</c:v>
                </c:pt>
                <c:pt idx="197">
                  <c:v>44848</c:v>
                </c:pt>
                <c:pt idx="198">
                  <c:v>44851</c:v>
                </c:pt>
                <c:pt idx="199">
                  <c:v>44852</c:v>
                </c:pt>
                <c:pt idx="200">
                  <c:v>44853</c:v>
                </c:pt>
                <c:pt idx="201">
                  <c:v>44854</c:v>
                </c:pt>
                <c:pt idx="202">
                  <c:v>44855</c:v>
                </c:pt>
                <c:pt idx="203">
                  <c:v>44858</c:v>
                </c:pt>
                <c:pt idx="204">
                  <c:v>44859</c:v>
                </c:pt>
                <c:pt idx="205">
                  <c:v>44860</c:v>
                </c:pt>
                <c:pt idx="206">
                  <c:v>44861</c:v>
                </c:pt>
                <c:pt idx="207">
                  <c:v>44862</c:v>
                </c:pt>
                <c:pt idx="208">
                  <c:v>44865</c:v>
                </c:pt>
                <c:pt idx="209">
                  <c:v>44866</c:v>
                </c:pt>
                <c:pt idx="210">
                  <c:v>44867</c:v>
                </c:pt>
                <c:pt idx="211">
                  <c:v>44868</c:v>
                </c:pt>
                <c:pt idx="212">
                  <c:v>44869</c:v>
                </c:pt>
                <c:pt idx="213">
                  <c:v>44872</c:v>
                </c:pt>
                <c:pt idx="214">
                  <c:v>44873</c:v>
                </c:pt>
                <c:pt idx="215">
                  <c:v>44874</c:v>
                </c:pt>
                <c:pt idx="216">
                  <c:v>44875</c:v>
                </c:pt>
                <c:pt idx="217">
                  <c:v>44876</c:v>
                </c:pt>
                <c:pt idx="218">
                  <c:v>44879</c:v>
                </c:pt>
                <c:pt idx="219">
                  <c:v>44880</c:v>
                </c:pt>
                <c:pt idx="220">
                  <c:v>44881</c:v>
                </c:pt>
                <c:pt idx="221">
                  <c:v>44882</c:v>
                </c:pt>
                <c:pt idx="222">
                  <c:v>44883</c:v>
                </c:pt>
                <c:pt idx="223">
                  <c:v>44886</c:v>
                </c:pt>
                <c:pt idx="224">
                  <c:v>44887</c:v>
                </c:pt>
                <c:pt idx="225">
                  <c:v>44888</c:v>
                </c:pt>
                <c:pt idx="226">
                  <c:v>44890</c:v>
                </c:pt>
                <c:pt idx="227">
                  <c:v>44893</c:v>
                </c:pt>
                <c:pt idx="228">
                  <c:v>44894</c:v>
                </c:pt>
                <c:pt idx="229">
                  <c:v>44895</c:v>
                </c:pt>
                <c:pt idx="230">
                  <c:v>44896</c:v>
                </c:pt>
                <c:pt idx="231">
                  <c:v>44897</c:v>
                </c:pt>
                <c:pt idx="232">
                  <c:v>44900</c:v>
                </c:pt>
                <c:pt idx="233">
                  <c:v>44901</c:v>
                </c:pt>
                <c:pt idx="234">
                  <c:v>44902</c:v>
                </c:pt>
                <c:pt idx="235">
                  <c:v>44903</c:v>
                </c:pt>
                <c:pt idx="236">
                  <c:v>44904</c:v>
                </c:pt>
                <c:pt idx="237">
                  <c:v>44907</c:v>
                </c:pt>
                <c:pt idx="238">
                  <c:v>44908</c:v>
                </c:pt>
                <c:pt idx="239">
                  <c:v>44909</c:v>
                </c:pt>
                <c:pt idx="240">
                  <c:v>44910</c:v>
                </c:pt>
                <c:pt idx="241">
                  <c:v>44911</c:v>
                </c:pt>
                <c:pt idx="242">
                  <c:v>44914</c:v>
                </c:pt>
                <c:pt idx="243">
                  <c:v>44915</c:v>
                </c:pt>
                <c:pt idx="244">
                  <c:v>44916</c:v>
                </c:pt>
                <c:pt idx="245">
                  <c:v>44917</c:v>
                </c:pt>
                <c:pt idx="246">
                  <c:v>44918</c:v>
                </c:pt>
                <c:pt idx="247">
                  <c:v>44922</c:v>
                </c:pt>
                <c:pt idx="248">
                  <c:v>44923</c:v>
                </c:pt>
                <c:pt idx="249">
                  <c:v>44924</c:v>
                </c:pt>
                <c:pt idx="250">
                  <c:v>44925</c:v>
                </c:pt>
              </c:numCache>
            </c:numRef>
          </c:cat>
          <c:val>
            <c:numRef>
              <c:f>oilWtiChart!$B$3:$B$253</c:f>
              <c:numCache>
                <c:formatCode>_-* #,##0.0_-;\-* #,##0.0_-;_-* "-"??_-;_-@_-</c:formatCode>
                <c:ptCount val="251"/>
                <c:pt idx="0">
                  <c:v>75.989999999999995</c:v>
                </c:pt>
                <c:pt idx="1">
                  <c:v>77</c:v>
                </c:pt>
                <c:pt idx="2">
                  <c:v>77.83</c:v>
                </c:pt>
                <c:pt idx="3">
                  <c:v>79.47</c:v>
                </c:pt>
                <c:pt idx="4">
                  <c:v>79</c:v>
                </c:pt>
                <c:pt idx="5">
                  <c:v>78.11</c:v>
                </c:pt>
                <c:pt idx="6">
                  <c:v>81.17</c:v>
                </c:pt>
                <c:pt idx="7">
                  <c:v>82.51</c:v>
                </c:pt>
                <c:pt idx="8">
                  <c:v>81.97</c:v>
                </c:pt>
                <c:pt idx="9">
                  <c:v>83.82</c:v>
                </c:pt>
                <c:pt idx="10">
                  <c:v>85.42</c:v>
                </c:pt>
                <c:pt idx="11">
                  <c:v>86.84</c:v>
                </c:pt>
                <c:pt idx="12">
                  <c:v>86.29</c:v>
                </c:pt>
                <c:pt idx="13">
                  <c:v>85.16</c:v>
                </c:pt>
                <c:pt idx="14">
                  <c:v>84.48</c:v>
                </c:pt>
                <c:pt idx="15">
                  <c:v>86.61</c:v>
                </c:pt>
                <c:pt idx="16">
                  <c:v>88.33</c:v>
                </c:pt>
                <c:pt idx="17">
                  <c:v>87.61</c:v>
                </c:pt>
                <c:pt idx="18">
                  <c:v>87.67</c:v>
                </c:pt>
                <c:pt idx="19">
                  <c:v>89.16</c:v>
                </c:pt>
                <c:pt idx="20">
                  <c:v>88.22</c:v>
                </c:pt>
                <c:pt idx="21">
                  <c:v>88.16</c:v>
                </c:pt>
                <c:pt idx="22">
                  <c:v>90.17</c:v>
                </c:pt>
                <c:pt idx="23">
                  <c:v>92.27</c:v>
                </c:pt>
                <c:pt idx="24">
                  <c:v>91.25</c:v>
                </c:pt>
                <c:pt idx="25">
                  <c:v>89.32</c:v>
                </c:pt>
                <c:pt idx="26">
                  <c:v>89.57</c:v>
                </c:pt>
                <c:pt idx="27">
                  <c:v>89.83</c:v>
                </c:pt>
                <c:pt idx="28">
                  <c:v>93.1</c:v>
                </c:pt>
                <c:pt idx="29">
                  <c:v>95.52</c:v>
                </c:pt>
                <c:pt idx="30">
                  <c:v>92.07</c:v>
                </c:pt>
                <c:pt idx="31">
                  <c:v>93.83</c:v>
                </c:pt>
                <c:pt idx="32">
                  <c:v>91.78</c:v>
                </c:pt>
                <c:pt idx="33">
                  <c:v>91.26</c:v>
                </c:pt>
                <c:pt idx="34">
                  <c:v>92.11</c:v>
                </c:pt>
                <c:pt idx="35">
                  <c:v>92.14</c:v>
                </c:pt>
                <c:pt idx="36">
                  <c:v>92.77</c:v>
                </c:pt>
                <c:pt idx="37">
                  <c:v>91.68</c:v>
                </c:pt>
                <c:pt idx="38">
                  <c:v>96.13</c:v>
                </c:pt>
                <c:pt idx="39">
                  <c:v>103.66</c:v>
                </c:pt>
                <c:pt idx="40">
                  <c:v>110.74</c:v>
                </c:pt>
                <c:pt idx="41">
                  <c:v>107.69</c:v>
                </c:pt>
                <c:pt idx="42">
                  <c:v>115.77</c:v>
                </c:pt>
                <c:pt idx="43">
                  <c:v>119.26</c:v>
                </c:pt>
                <c:pt idx="44">
                  <c:v>123.64</c:v>
                </c:pt>
                <c:pt idx="45">
                  <c:v>108.81</c:v>
                </c:pt>
                <c:pt idx="46">
                  <c:v>105.93</c:v>
                </c:pt>
                <c:pt idx="47">
                  <c:v>109.31</c:v>
                </c:pt>
                <c:pt idx="48">
                  <c:v>103.22</c:v>
                </c:pt>
                <c:pt idx="49">
                  <c:v>96.42</c:v>
                </c:pt>
                <c:pt idx="50">
                  <c:v>94.85</c:v>
                </c:pt>
                <c:pt idx="51">
                  <c:v>102.97</c:v>
                </c:pt>
                <c:pt idx="52">
                  <c:v>104.69</c:v>
                </c:pt>
                <c:pt idx="53">
                  <c:v>112.14</c:v>
                </c:pt>
                <c:pt idx="54">
                  <c:v>111.03</c:v>
                </c:pt>
                <c:pt idx="55">
                  <c:v>114.89</c:v>
                </c:pt>
                <c:pt idx="56">
                  <c:v>114.2</c:v>
                </c:pt>
                <c:pt idx="57">
                  <c:v>116.2</c:v>
                </c:pt>
                <c:pt idx="58">
                  <c:v>107.55</c:v>
                </c:pt>
                <c:pt idx="59">
                  <c:v>104.25</c:v>
                </c:pt>
                <c:pt idx="60">
                  <c:v>107.81</c:v>
                </c:pt>
                <c:pt idx="61">
                  <c:v>100.53</c:v>
                </c:pt>
                <c:pt idx="62">
                  <c:v>99.32</c:v>
                </c:pt>
                <c:pt idx="63">
                  <c:v>103.29</c:v>
                </c:pt>
                <c:pt idx="64">
                  <c:v>101.98</c:v>
                </c:pt>
                <c:pt idx="65">
                  <c:v>96.39</c:v>
                </c:pt>
                <c:pt idx="66">
                  <c:v>96.05</c:v>
                </c:pt>
                <c:pt idx="67">
                  <c:v>98.35</c:v>
                </c:pt>
                <c:pt idx="68">
                  <c:v>94.22</c:v>
                </c:pt>
                <c:pt idx="69">
                  <c:v>100.52</c:v>
                </c:pt>
                <c:pt idx="70">
                  <c:v>104.26</c:v>
                </c:pt>
                <c:pt idx="71">
                  <c:v>106.84</c:v>
                </c:pt>
                <c:pt idx="72">
                  <c:v>108.24</c:v>
                </c:pt>
                <c:pt idx="73">
                  <c:v>102.54</c:v>
                </c:pt>
                <c:pt idx="74">
                  <c:v>102.56</c:v>
                </c:pt>
                <c:pt idx="75">
                  <c:v>103.89</c:v>
                </c:pt>
                <c:pt idx="76">
                  <c:v>102.86</c:v>
                </c:pt>
                <c:pt idx="77">
                  <c:v>99.6</c:v>
                </c:pt>
                <c:pt idx="78">
                  <c:v>102.62</c:v>
                </c:pt>
                <c:pt idx="79">
                  <c:v>101.96</c:v>
                </c:pt>
                <c:pt idx="80">
                  <c:v>105.47</c:v>
                </c:pt>
                <c:pt idx="81">
                  <c:v>104.59</c:v>
                </c:pt>
                <c:pt idx="82">
                  <c:v>105.18</c:v>
                </c:pt>
                <c:pt idx="83">
                  <c:v>102.53</c:v>
                </c:pt>
                <c:pt idx="84">
                  <c:v>107.84</c:v>
                </c:pt>
                <c:pt idx="85">
                  <c:v>108.17</c:v>
                </c:pt>
                <c:pt idx="86">
                  <c:v>109.72</c:v>
                </c:pt>
                <c:pt idx="87">
                  <c:v>103.08</c:v>
                </c:pt>
                <c:pt idx="88">
                  <c:v>99.74</c:v>
                </c:pt>
                <c:pt idx="89">
                  <c:v>105.5</c:v>
                </c:pt>
                <c:pt idx="90">
                  <c:v>106.15</c:v>
                </c:pt>
                <c:pt idx="91">
                  <c:v>110.52</c:v>
                </c:pt>
                <c:pt idx="92">
                  <c:v>114.07</c:v>
                </c:pt>
                <c:pt idx="93">
                  <c:v>112.31</c:v>
                </c:pt>
                <c:pt idx="94">
                  <c:v>109.67</c:v>
                </c:pt>
                <c:pt idx="95">
                  <c:v>112.21</c:v>
                </c:pt>
                <c:pt idx="96">
                  <c:v>112.63</c:v>
                </c:pt>
                <c:pt idx="97">
                  <c:v>110.32</c:v>
                </c:pt>
                <c:pt idx="98">
                  <c:v>112.55</c:v>
                </c:pt>
                <c:pt idx="99">
                  <c:v>112.88</c:v>
                </c:pt>
                <c:pt idx="100">
                  <c:v>116.19</c:v>
                </c:pt>
                <c:pt idx="101">
                  <c:v>114.96</c:v>
                </c:pt>
                <c:pt idx="102">
                  <c:v>114.38</c:v>
                </c:pt>
                <c:pt idx="103">
                  <c:v>115.26</c:v>
                </c:pt>
                <c:pt idx="104">
                  <c:v>116.88</c:v>
                </c:pt>
                <c:pt idx="105">
                  <c:v>118.97</c:v>
                </c:pt>
                <c:pt idx="106">
                  <c:v>118.41</c:v>
                </c:pt>
                <c:pt idx="107">
                  <c:v>119.55</c:v>
                </c:pt>
                <c:pt idx="108">
                  <c:v>121.94</c:v>
                </c:pt>
                <c:pt idx="109">
                  <c:v>121.52</c:v>
                </c:pt>
                <c:pt idx="110">
                  <c:v>120.73</c:v>
                </c:pt>
                <c:pt idx="111">
                  <c:v>120.92</c:v>
                </c:pt>
                <c:pt idx="112">
                  <c:v>118.92</c:v>
                </c:pt>
                <c:pt idx="113">
                  <c:v>115.32</c:v>
                </c:pt>
                <c:pt idx="114">
                  <c:v>117.56</c:v>
                </c:pt>
                <c:pt idx="115">
                  <c:v>109.56</c:v>
                </c:pt>
                <c:pt idx="116">
                  <c:v>110.49</c:v>
                </c:pt>
                <c:pt idx="117">
                  <c:v>106.22</c:v>
                </c:pt>
                <c:pt idx="118">
                  <c:v>105.75</c:v>
                </c:pt>
                <c:pt idx="119">
                  <c:v>109.07</c:v>
                </c:pt>
                <c:pt idx="120">
                  <c:v>111.44</c:v>
                </c:pt>
                <c:pt idx="121">
                  <c:v>113.66</c:v>
                </c:pt>
                <c:pt idx="122">
                  <c:v>111.65</c:v>
                </c:pt>
                <c:pt idx="123">
                  <c:v>107.76</c:v>
                </c:pt>
                <c:pt idx="124">
                  <c:v>110.3</c:v>
                </c:pt>
                <c:pt idx="125">
                  <c:v>101.55</c:v>
                </c:pt>
                <c:pt idx="126">
                  <c:v>100.31</c:v>
                </c:pt>
                <c:pt idx="127">
                  <c:v>104.62</c:v>
                </c:pt>
                <c:pt idx="128">
                  <c:v>106.78</c:v>
                </c:pt>
                <c:pt idx="129">
                  <c:v>106.09</c:v>
                </c:pt>
                <c:pt idx="130">
                  <c:v>97.69</c:v>
                </c:pt>
                <c:pt idx="131">
                  <c:v>98.44</c:v>
                </c:pt>
                <c:pt idx="132">
                  <c:v>97.79</c:v>
                </c:pt>
                <c:pt idx="133">
                  <c:v>99.59</c:v>
                </c:pt>
                <c:pt idx="134">
                  <c:v>104.48</c:v>
                </c:pt>
                <c:pt idx="135">
                  <c:v>106.12</c:v>
                </c:pt>
                <c:pt idx="136">
                  <c:v>104.45</c:v>
                </c:pt>
                <c:pt idx="137">
                  <c:v>98.44</c:v>
                </c:pt>
                <c:pt idx="138">
                  <c:v>97.71</c:v>
                </c:pt>
                <c:pt idx="139">
                  <c:v>99.83</c:v>
                </c:pt>
                <c:pt idx="140">
                  <c:v>97.74</c:v>
                </c:pt>
                <c:pt idx="141">
                  <c:v>100.03</c:v>
                </c:pt>
                <c:pt idx="142">
                  <c:v>99.11</c:v>
                </c:pt>
                <c:pt idx="143">
                  <c:v>101.31</c:v>
                </c:pt>
                <c:pt idx="144">
                  <c:v>96.59</c:v>
                </c:pt>
                <c:pt idx="145">
                  <c:v>97.14</c:v>
                </c:pt>
                <c:pt idx="146">
                  <c:v>93.25</c:v>
                </c:pt>
                <c:pt idx="147">
                  <c:v>91.29</c:v>
                </c:pt>
                <c:pt idx="148">
                  <c:v>91.77</c:v>
                </c:pt>
                <c:pt idx="149">
                  <c:v>93.52</c:v>
                </c:pt>
                <c:pt idx="150">
                  <c:v>93.18</c:v>
                </c:pt>
                <c:pt idx="151">
                  <c:v>94.68</c:v>
                </c:pt>
                <c:pt idx="152">
                  <c:v>97.02</c:v>
                </c:pt>
                <c:pt idx="153">
                  <c:v>94.86</c:v>
                </c:pt>
                <c:pt idx="154">
                  <c:v>92.24</c:v>
                </c:pt>
                <c:pt idx="155">
                  <c:v>89.23</c:v>
                </c:pt>
                <c:pt idx="156">
                  <c:v>90.85</c:v>
                </c:pt>
                <c:pt idx="157">
                  <c:v>93.2</c:v>
                </c:pt>
                <c:pt idx="158">
                  <c:v>93.55</c:v>
                </c:pt>
                <c:pt idx="159">
                  <c:v>93.42</c:v>
                </c:pt>
                <c:pt idx="160">
                  <c:v>96.46</c:v>
                </c:pt>
                <c:pt idx="161">
                  <c:v>95.52</c:v>
                </c:pt>
                <c:pt idx="162">
                  <c:v>93.33</c:v>
                </c:pt>
                <c:pt idx="163">
                  <c:v>93.63</c:v>
                </c:pt>
                <c:pt idx="164">
                  <c:v>97.4</c:v>
                </c:pt>
                <c:pt idx="165">
                  <c:v>92.08</c:v>
                </c:pt>
                <c:pt idx="166">
                  <c:v>90.09</c:v>
                </c:pt>
                <c:pt idx="167">
                  <c:v>87.09</c:v>
                </c:pt>
                <c:pt idx="168">
                  <c:v>87.29</c:v>
                </c:pt>
                <c:pt idx="169">
                  <c:v>87.35</c:v>
                </c:pt>
                <c:pt idx="170">
                  <c:v>82.5</c:v>
                </c:pt>
                <c:pt idx="171">
                  <c:v>84.04</c:v>
                </c:pt>
                <c:pt idx="172">
                  <c:v>87.27</c:v>
                </c:pt>
                <c:pt idx="173">
                  <c:v>88.18</c:v>
                </c:pt>
                <c:pt idx="174">
                  <c:v>87.84</c:v>
                </c:pt>
                <c:pt idx="175">
                  <c:v>88.88</c:v>
                </c:pt>
                <c:pt idx="176">
                  <c:v>85.72</c:v>
                </c:pt>
                <c:pt idx="177">
                  <c:v>85.57</c:v>
                </c:pt>
                <c:pt idx="178">
                  <c:v>86.15</c:v>
                </c:pt>
                <c:pt idx="179">
                  <c:v>84.69</c:v>
                </c:pt>
                <c:pt idx="180">
                  <c:v>83.38</c:v>
                </c:pt>
                <c:pt idx="181">
                  <c:v>84.02</c:v>
                </c:pt>
                <c:pt idx="182">
                  <c:v>79.069999999999993</c:v>
                </c:pt>
                <c:pt idx="183">
                  <c:v>77.17</c:v>
                </c:pt>
                <c:pt idx="184">
                  <c:v>78.91</c:v>
                </c:pt>
                <c:pt idx="185">
                  <c:v>82.61</c:v>
                </c:pt>
                <c:pt idx="186">
                  <c:v>81.78</c:v>
                </c:pt>
                <c:pt idx="187">
                  <c:v>79.91</c:v>
                </c:pt>
                <c:pt idx="188">
                  <c:v>84.05</c:v>
                </c:pt>
                <c:pt idx="189">
                  <c:v>86.87</c:v>
                </c:pt>
                <c:pt idx="190">
                  <c:v>88.22</c:v>
                </c:pt>
                <c:pt idx="191">
                  <c:v>88.9</c:v>
                </c:pt>
                <c:pt idx="192">
                  <c:v>93.07</c:v>
                </c:pt>
                <c:pt idx="193">
                  <c:v>91.6</c:v>
                </c:pt>
                <c:pt idx="194">
                  <c:v>89.75</c:v>
                </c:pt>
                <c:pt idx="195">
                  <c:v>87.83</c:v>
                </c:pt>
                <c:pt idx="196">
                  <c:v>89.59</c:v>
                </c:pt>
                <c:pt idx="197">
                  <c:v>86.1</c:v>
                </c:pt>
                <c:pt idx="198">
                  <c:v>86</c:v>
                </c:pt>
                <c:pt idx="199">
                  <c:v>83.29</c:v>
                </c:pt>
                <c:pt idx="200">
                  <c:v>86</c:v>
                </c:pt>
                <c:pt idx="201">
                  <c:v>86.02</c:v>
                </c:pt>
                <c:pt idx="202">
                  <c:v>85.47</c:v>
                </c:pt>
                <c:pt idx="203">
                  <c:v>86.12</c:v>
                </c:pt>
                <c:pt idx="204">
                  <c:v>86.93</c:v>
                </c:pt>
                <c:pt idx="205">
                  <c:v>89.39</c:v>
                </c:pt>
                <c:pt idx="206">
                  <c:v>89.06</c:v>
                </c:pt>
                <c:pt idx="207">
                  <c:v>87.85</c:v>
                </c:pt>
                <c:pt idx="208">
                  <c:v>86.54</c:v>
                </c:pt>
                <c:pt idx="209">
                  <c:v>88.36</c:v>
                </c:pt>
                <c:pt idx="210">
                  <c:v>90.06</c:v>
                </c:pt>
                <c:pt idx="211">
                  <c:v>88.14</c:v>
                </c:pt>
                <c:pt idx="212">
                  <c:v>92.58</c:v>
                </c:pt>
                <c:pt idx="213">
                  <c:v>91.8</c:v>
                </c:pt>
                <c:pt idx="214">
                  <c:v>88.8</c:v>
                </c:pt>
                <c:pt idx="215">
                  <c:v>85.79</c:v>
                </c:pt>
                <c:pt idx="216">
                  <c:v>86.52</c:v>
                </c:pt>
                <c:pt idx="217">
                  <c:v>89.14</c:v>
                </c:pt>
                <c:pt idx="218">
                  <c:v>85.85</c:v>
                </c:pt>
                <c:pt idx="219">
                  <c:v>86.87</c:v>
                </c:pt>
                <c:pt idx="220">
                  <c:v>85.62</c:v>
                </c:pt>
                <c:pt idx="221">
                  <c:v>81.69</c:v>
                </c:pt>
                <c:pt idx="222">
                  <c:v>80.069999999999993</c:v>
                </c:pt>
                <c:pt idx="223">
                  <c:v>79.739999999999995</c:v>
                </c:pt>
                <c:pt idx="224">
                  <c:v>80.83</c:v>
                </c:pt>
                <c:pt idx="225">
                  <c:v>77.930000000000007</c:v>
                </c:pt>
                <c:pt idx="226">
                  <c:v>76.45</c:v>
                </c:pt>
                <c:pt idx="227">
                  <c:v>77.099999999999994</c:v>
                </c:pt>
                <c:pt idx="228">
                  <c:v>77.959999999999994</c:v>
                </c:pt>
                <c:pt idx="229">
                  <c:v>80.48</c:v>
                </c:pt>
                <c:pt idx="230">
                  <c:v>81.06</c:v>
                </c:pt>
                <c:pt idx="231">
                  <c:v>79.86</c:v>
                </c:pt>
                <c:pt idx="232">
                  <c:v>76.83</c:v>
                </c:pt>
                <c:pt idx="233">
                  <c:v>74.209999999999994</c:v>
                </c:pt>
                <c:pt idx="234">
                  <c:v>71.930000000000007</c:v>
                </c:pt>
                <c:pt idx="235">
                  <c:v>71.3</c:v>
                </c:pt>
                <c:pt idx="236">
                  <c:v>71.05</c:v>
                </c:pt>
                <c:pt idx="237">
                  <c:v>72.959999999999994</c:v>
                </c:pt>
                <c:pt idx="238">
                  <c:v>75.44</c:v>
                </c:pt>
                <c:pt idx="239">
                  <c:v>77.14</c:v>
                </c:pt>
                <c:pt idx="240">
                  <c:v>75.89</c:v>
                </c:pt>
                <c:pt idx="241">
                  <c:v>74.19</c:v>
                </c:pt>
                <c:pt idx="242">
                  <c:v>75.05</c:v>
                </c:pt>
                <c:pt idx="243">
                  <c:v>75.92</c:v>
                </c:pt>
                <c:pt idx="244">
                  <c:v>78.17</c:v>
                </c:pt>
                <c:pt idx="245">
                  <c:v>77.680000000000007</c:v>
                </c:pt>
                <c:pt idx="246">
                  <c:v>79.569999999999993</c:v>
                </c:pt>
                <c:pt idx="247">
                  <c:v>79.45</c:v>
                </c:pt>
                <c:pt idx="248">
                  <c:v>78.89</c:v>
                </c:pt>
                <c:pt idx="249">
                  <c:v>78.430000000000007</c:v>
                </c:pt>
                <c:pt idx="250">
                  <c:v>80.16</c:v>
                </c:pt>
              </c:numCache>
            </c:numRef>
          </c:val>
          <c:smooth val="0"/>
          <c:extLst>
            <c:ext xmlns:c16="http://schemas.microsoft.com/office/drawing/2014/chart" uri="{C3380CC4-5D6E-409C-BE32-E72D297353CC}">
              <c16:uniqueId val="{00000001-E55B-492F-A7E4-F2E1F2CD5A3D}"/>
            </c:ext>
          </c:extLst>
        </c:ser>
        <c:ser>
          <c:idx val="1"/>
          <c:order val="2"/>
          <c:tx>
            <c:strRef>
              <c:f>oilWtiChart!$B$2</c:f>
              <c:strCache>
                <c:ptCount val="1"/>
                <c:pt idx="0">
                  <c:v>WTI</c:v>
                </c:pt>
              </c:strCache>
            </c:strRef>
          </c:tx>
          <c:spPr>
            <a:ln w="15875"/>
          </c:spPr>
          <c:marker>
            <c:symbol val="none"/>
          </c:marker>
          <c:cat>
            <c:numRef>
              <c:f>oilWtiChart!$A$3:$A$253</c:f>
              <c:numCache>
                <c:formatCode>mmm\-yy</c:formatCode>
                <c:ptCount val="251"/>
                <c:pt idx="0">
                  <c:v>44564</c:v>
                </c:pt>
                <c:pt idx="1">
                  <c:v>44565</c:v>
                </c:pt>
                <c:pt idx="2">
                  <c:v>44566</c:v>
                </c:pt>
                <c:pt idx="3">
                  <c:v>44567</c:v>
                </c:pt>
                <c:pt idx="4">
                  <c:v>44568</c:v>
                </c:pt>
                <c:pt idx="5">
                  <c:v>44571</c:v>
                </c:pt>
                <c:pt idx="6">
                  <c:v>44572</c:v>
                </c:pt>
                <c:pt idx="7">
                  <c:v>44573</c:v>
                </c:pt>
                <c:pt idx="8">
                  <c:v>44574</c:v>
                </c:pt>
                <c:pt idx="9">
                  <c:v>44575</c:v>
                </c:pt>
                <c:pt idx="10">
                  <c:v>44579</c:v>
                </c:pt>
                <c:pt idx="11">
                  <c:v>44580</c:v>
                </c:pt>
                <c:pt idx="12">
                  <c:v>44581</c:v>
                </c:pt>
                <c:pt idx="13">
                  <c:v>44582</c:v>
                </c:pt>
                <c:pt idx="14">
                  <c:v>44585</c:v>
                </c:pt>
                <c:pt idx="15">
                  <c:v>44586</c:v>
                </c:pt>
                <c:pt idx="16">
                  <c:v>44587</c:v>
                </c:pt>
                <c:pt idx="17">
                  <c:v>44588</c:v>
                </c:pt>
                <c:pt idx="18">
                  <c:v>44589</c:v>
                </c:pt>
                <c:pt idx="19">
                  <c:v>44592</c:v>
                </c:pt>
                <c:pt idx="20">
                  <c:v>44593</c:v>
                </c:pt>
                <c:pt idx="21">
                  <c:v>44594</c:v>
                </c:pt>
                <c:pt idx="22">
                  <c:v>44595</c:v>
                </c:pt>
                <c:pt idx="23">
                  <c:v>44596</c:v>
                </c:pt>
                <c:pt idx="24">
                  <c:v>44599</c:v>
                </c:pt>
                <c:pt idx="25">
                  <c:v>44600</c:v>
                </c:pt>
                <c:pt idx="26">
                  <c:v>44601</c:v>
                </c:pt>
                <c:pt idx="27">
                  <c:v>44602</c:v>
                </c:pt>
                <c:pt idx="28">
                  <c:v>44603</c:v>
                </c:pt>
                <c:pt idx="29">
                  <c:v>44606</c:v>
                </c:pt>
                <c:pt idx="30">
                  <c:v>44607</c:v>
                </c:pt>
                <c:pt idx="31">
                  <c:v>44608</c:v>
                </c:pt>
                <c:pt idx="32">
                  <c:v>44609</c:v>
                </c:pt>
                <c:pt idx="33">
                  <c:v>44610</c:v>
                </c:pt>
                <c:pt idx="34">
                  <c:v>44614</c:v>
                </c:pt>
                <c:pt idx="35">
                  <c:v>44615</c:v>
                </c:pt>
                <c:pt idx="36">
                  <c:v>44616</c:v>
                </c:pt>
                <c:pt idx="37">
                  <c:v>44617</c:v>
                </c:pt>
                <c:pt idx="38">
                  <c:v>44620</c:v>
                </c:pt>
                <c:pt idx="39">
                  <c:v>44621</c:v>
                </c:pt>
                <c:pt idx="40">
                  <c:v>44622</c:v>
                </c:pt>
                <c:pt idx="41">
                  <c:v>44623</c:v>
                </c:pt>
                <c:pt idx="42">
                  <c:v>44624</c:v>
                </c:pt>
                <c:pt idx="43">
                  <c:v>44627</c:v>
                </c:pt>
                <c:pt idx="44">
                  <c:v>44628</c:v>
                </c:pt>
                <c:pt idx="45">
                  <c:v>44629</c:v>
                </c:pt>
                <c:pt idx="46">
                  <c:v>44630</c:v>
                </c:pt>
                <c:pt idx="47">
                  <c:v>44631</c:v>
                </c:pt>
                <c:pt idx="48">
                  <c:v>44634</c:v>
                </c:pt>
                <c:pt idx="49">
                  <c:v>44635</c:v>
                </c:pt>
                <c:pt idx="50">
                  <c:v>44636</c:v>
                </c:pt>
                <c:pt idx="51">
                  <c:v>44637</c:v>
                </c:pt>
                <c:pt idx="52">
                  <c:v>44638</c:v>
                </c:pt>
                <c:pt idx="53">
                  <c:v>44641</c:v>
                </c:pt>
                <c:pt idx="54">
                  <c:v>44642</c:v>
                </c:pt>
                <c:pt idx="55">
                  <c:v>44643</c:v>
                </c:pt>
                <c:pt idx="56">
                  <c:v>44644</c:v>
                </c:pt>
                <c:pt idx="57">
                  <c:v>44645</c:v>
                </c:pt>
                <c:pt idx="58">
                  <c:v>44648</c:v>
                </c:pt>
                <c:pt idx="59">
                  <c:v>44649</c:v>
                </c:pt>
                <c:pt idx="60">
                  <c:v>44650</c:v>
                </c:pt>
                <c:pt idx="61">
                  <c:v>44651</c:v>
                </c:pt>
                <c:pt idx="62">
                  <c:v>44652</c:v>
                </c:pt>
                <c:pt idx="63">
                  <c:v>44655</c:v>
                </c:pt>
                <c:pt idx="64">
                  <c:v>44656</c:v>
                </c:pt>
                <c:pt idx="65">
                  <c:v>44657</c:v>
                </c:pt>
                <c:pt idx="66">
                  <c:v>44658</c:v>
                </c:pt>
                <c:pt idx="67">
                  <c:v>44659</c:v>
                </c:pt>
                <c:pt idx="68">
                  <c:v>44662</c:v>
                </c:pt>
                <c:pt idx="69">
                  <c:v>44663</c:v>
                </c:pt>
                <c:pt idx="70">
                  <c:v>44664</c:v>
                </c:pt>
                <c:pt idx="71">
                  <c:v>44665</c:v>
                </c:pt>
                <c:pt idx="72">
                  <c:v>44669</c:v>
                </c:pt>
                <c:pt idx="73">
                  <c:v>44670</c:v>
                </c:pt>
                <c:pt idx="74">
                  <c:v>44671</c:v>
                </c:pt>
                <c:pt idx="75">
                  <c:v>44672</c:v>
                </c:pt>
                <c:pt idx="76">
                  <c:v>44673</c:v>
                </c:pt>
                <c:pt idx="77">
                  <c:v>44676</c:v>
                </c:pt>
                <c:pt idx="78">
                  <c:v>44677</c:v>
                </c:pt>
                <c:pt idx="79">
                  <c:v>44678</c:v>
                </c:pt>
                <c:pt idx="80">
                  <c:v>44679</c:v>
                </c:pt>
                <c:pt idx="81">
                  <c:v>44680</c:v>
                </c:pt>
                <c:pt idx="82">
                  <c:v>44683</c:v>
                </c:pt>
                <c:pt idx="83">
                  <c:v>44684</c:v>
                </c:pt>
                <c:pt idx="84">
                  <c:v>44685</c:v>
                </c:pt>
                <c:pt idx="85">
                  <c:v>44686</c:v>
                </c:pt>
                <c:pt idx="86">
                  <c:v>44687</c:v>
                </c:pt>
                <c:pt idx="87">
                  <c:v>44690</c:v>
                </c:pt>
                <c:pt idx="88">
                  <c:v>44691</c:v>
                </c:pt>
                <c:pt idx="89">
                  <c:v>44692</c:v>
                </c:pt>
                <c:pt idx="90">
                  <c:v>44693</c:v>
                </c:pt>
                <c:pt idx="91">
                  <c:v>44694</c:v>
                </c:pt>
                <c:pt idx="92">
                  <c:v>44697</c:v>
                </c:pt>
                <c:pt idx="93">
                  <c:v>44698</c:v>
                </c:pt>
                <c:pt idx="94">
                  <c:v>44699</c:v>
                </c:pt>
                <c:pt idx="95">
                  <c:v>44700</c:v>
                </c:pt>
                <c:pt idx="96">
                  <c:v>44701</c:v>
                </c:pt>
                <c:pt idx="97">
                  <c:v>44704</c:v>
                </c:pt>
                <c:pt idx="98">
                  <c:v>44705</c:v>
                </c:pt>
                <c:pt idx="99">
                  <c:v>44706</c:v>
                </c:pt>
                <c:pt idx="100">
                  <c:v>44707</c:v>
                </c:pt>
                <c:pt idx="101">
                  <c:v>44708</c:v>
                </c:pt>
                <c:pt idx="102">
                  <c:v>44712</c:v>
                </c:pt>
                <c:pt idx="103">
                  <c:v>44713</c:v>
                </c:pt>
                <c:pt idx="104">
                  <c:v>44714</c:v>
                </c:pt>
                <c:pt idx="105">
                  <c:v>44715</c:v>
                </c:pt>
                <c:pt idx="106">
                  <c:v>44718</c:v>
                </c:pt>
                <c:pt idx="107">
                  <c:v>44719</c:v>
                </c:pt>
                <c:pt idx="108">
                  <c:v>44720</c:v>
                </c:pt>
                <c:pt idx="109">
                  <c:v>44721</c:v>
                </c:pt>
                <c:pt idx="110">
                  <c:v>44722</c:v>
                </c:pt>
                <c:pt idx="111">
                  <c:v>44725</c:v>
                </c:pt>
                <c:pt idx="112">
                  <c:v>44726</c:v>
                </c:pt>
                <c:pt idx="113">
                  <c:v>44727</c:v>
                </c:pt>
                <c:pt idx="114">
                  <c:v>44728</c:v>
                </c:pt>
                <c:pt idx="115">
                  <c:v>44729</c:v>
                </c:pt>
                <c:pt idx="116">
                  <c:v>44733</c:v>
                </c:pt>
                <c:pt idx="117">
                  <c:v>44734</c:v>
                </c:pt>
                <c:pt idx="118">
                  <c:v>44735</c:v>
                </c:pt>
                <c:pt idx="119">
                  <c:v>44736</c:v>
                </c:pt>
                <c:pt idx="120">
                  <c:v>44739</c:v>
                </c:pt>
                <c:pt idx="121">
                  <c:v>44740</c:v>
                </c:pt>
                <c:pt idx="122">
                  <c:v>44741</c:v>
                </c:pt>
                <c:pt idx="123">
                  <c:v>44742</c:v>
                </c:pt>
                <c:pt idx="124">
                  <c:v>44743</c:v>
                </c:pt>
                <c:pt idx="125">
                  <c:v>44747</c:v>
                </c:pt>
                <c:pt idx="126">
                  <c:v>44748</c:v>
                </c:pt>
                <c:pt idx="127">
                  <c:v>44749</c:v>
                </c:pt>
                <c:pt idx="128">
                  <c:v>44750</c:v>
                </c:pt>
                <c:pt idx="129">
                  <c:v>44753</c:v>
                </c:pt>
                <c:pt idx="130">
                  <c:v>44754</c:v>
                </c:pt>
                <c:pt idx="131">
                  <c:v>44755</c:v>
                </c:pt>
                <c:pt idx="132">
                  <c:v>44756</c:v>
                </c:pt>
                <c:pt idx="133">
                  <c:v>44757</c:v>
                </c:pt>
                <c:pt idx="134">
                  <c:v>44760</c:v>
                </c:pt>
                <c:pt idx="135">
                  <c:v>44761</c:v>
                </c:pt>
                <c:pt idx="136">
                  <c:v>44762</c:v>
                </c:pt>
                <c:pt idx="137">
                  <c:v>44763</c:v>
                </c:pt>
                <c:pt idx="138">
                  <c:v>44764</c:v>
                </c:pt>
                <c:pt idx="139">
                  <c:v>44767</c:v>
                </c:pt>
                <c:pt idx="140">
                  <c:v>44768</c:v>
                </c:pt>
                <c:pt idx="141">
                  <c:v>44769</c:v>
                </c:pt>
                <c:pt idx="142">
                  <c:v>44770</c:v>
                </c:pt>
                <c:pt idx="143">
                  <c:v>44771</c:v>
                </c:pt>
                <c:pt idx="144">
                  <c:v>44774</c:v>
                </c:pt>
                <c:pt idx="145">
                  <c:v>44775</c:v>
                </c:pt>
                <c:pt idx="146">
                  <c:v>44776</c:v>
                </c:pt>
                <c:pt idx="147">
                  <c:v>44777</c:v>
                </c:pt>
                <c:pt idx="148">
                  <c:v>44778</c:v>
                </c:pt>
                <c:pt idx="149">
                  <c:v>44781</c:v>
                </c:pt>
                <c:pt idx="150">
                  <c:v>44782</c:v>
                </c:pt>
                <c:pt idx="151">
                  <c:v>44783</c:v>
                </c:pt>
                <c:pt idx="152">
                  <c:v>44784</c:v>
                </c:pt>
                <c:pt idx="153">
                  <c:v>44785</c:v>
                </c:pt>
                <c:pt idx="154">
                  <c:v>44788</c:v>
                </c:pt>
                <c:pt idx="155">
                  <c:v>44789</c:v>
                </c:pt>
                <c:pt idx="156">
                  <c:v>44790</c:v>
                </c:pt>
                <c:pt idx="157">
                  <c:v>44791</c:v>
                </c:pt>
                <c:pt idx="158">
                  <c:v>44792</c:v>
                </c:pt>
                <c:pt idx="159">
                  <c:v>44795</c:v>
                </c:pt>
                <c:pt idx="160">
                  <c:v>44796</c:v>
                </c:pt>
                <c:pt idx="161">
                  <c:v>44797</c:v>
                </c:pt>
                <c:pt idx="162">
                  <c:v>44798</c:v>
                </c:pt>
                <c:pt idx="163">
                  <c:v>44799</c:v>
                </c:pt>
                <c:pt idx="164">
                  <c:v>44802</c:v>
                </c:pt>
                <c:pt idx="165">
                  <c:v>44803</c:v>
                </c:pt>
                <c:pt idx="166">
                  <c:v>44804</c:v>
                </c:pt>
                <c:pt idx="167">
                  <c:v>44805</c:v>
                </c:pt>
                <c:pt idx="168">
                  <c:v>44806</c:v>
                </c:pt>
                <c:pt idx="169">
                  <c:v>44810</c:v>
                </c:pt>
                <c:pt idx="170">
                  <c:v>44811</c:v>
                </c:pt>
                <c:pt idx="171">
                  <c:v>44812</c:v>
                </c:pt>
                <c:pt idx="172">
                  <c:v>44813</c:v>
                </c:pt>
                <c:pt idx="173">
                  <c:v>44816</c:v>
                </c:pt>
                <c:pt idx="174">
                  <c:v>44817</c:v>
                </c:pt>
                <c:pt idx="175">
                  <c:v>44818</c:v>
                </c:pt>
                <c:pt idx="176">
                  <c:v>44819</c:v>
                </c:pt>
                <c:pt idx="177">
                  <c:v>44820</c:v>
                </c:pt>
                <c:pt idx="178">
                  <c:v>44823</c:v>
                </c:pt>
                <c:pt idx="179">
                  <c:v>44824</c:v>
                </c:pt>
                <c:pt idx="180">
                  <c:v>44825</c:v>
                </c:pt>
                <c:pt idx="181">
                  <c:v>44826</c:v>
                </c:pt>
                <c:pt idx="182">
                  <c:v>44827</c:v>
                </c:pt>
                <c:pt idx="183">
                  <c:v>44830</c:v>
                </c:pt>
                <c:pt idx="184">
                  <c:v>44831</c:v>
                </c:pt>
                <c:pt idx="185">
                  <c:v>44832</c:v>
                </c:pt>
                <c:pt idx="186">
                  <c:v>44833</c:v>
                </c:pt>
                <c:pt idx="187">
                  <c:v>44834</c:v>
                </c:pt>
                <c:pt idx="188">
                  <c:v>44837</c:v>
                </c:pt>
                <c:pt idx="189">
                  <c:v>44838</c:v>
                </c:pt>
                <c:pt idx="190">
                  <c:v>44839</c:v>
                </c:pt>
                <c:pt idx="191">
                  <c:v>44840</c:v>
                </c:pt>
                <c:pt idx="192">
                  <c:v>44841</c:v>
                </c:pt>
                <c:pt idx="193">
                  <c:v>44844</c:v>
                </c:pt>
                <c:pt idx="194">
                  <c:v>44845</c:v>
                </c:pt>
                <c:pt idx="195">
                  <c:v>44846</c:v>
                </c:pt>
                <c:pt idx="196">
                  <c:v>44847</c:v>
                </c:pt>
                <c:pt idx="197">
                  <c:v>44848</c:v>
                </c:pt>
                <c:pt idx="198">
                  <c:v>44851</c:v>
                </c:pt>
                <c:pt idx="199">
                  <c:v>44852</c:v>
                </c:pt>
                <c:pt idx="200">
                  <c:v>44853</c:v>
                </c:pt>
                <c:pt idx="201">
                  <c:v>44854</c:v>
                </c:pt>
                <c:pt idx="202">
                  <c:v>44855</c:v>
                </c:pt>
                <c:pt idx="203">
                  <c:v>44858</c:v>
                </c:pt>
                <c:pt idx="204">
                  <c:v>44859</c:v>
                </c:pt>
                <c:pt idx="205">
                  <c:v>44860</c:v>
                </c:pt>
                <c:pt idx="206">
                  <c:v>44861</c:v>
                </c:pt>
                <c:pt idx="207">
                  <c:v>44862</c:v>
                </c:pt>
                <c:pt idx="208">
                  <c:v>44865</c:v>
                </c:pt>
                <c:pt idx="209">
                  <c:v>44866</c:v>
                </c:pt>
                <c:pt idx="210">
                  <c:v>44867</c:v>
                </c:pt>
                <c:pt idx="211">
                  <c:v>44868</c:v>
                </c:pt>
                <c:pt idx="212">
                  <c:v>44869</c:v>
                </c:pt>
                <c:pt idx="213">
                  <c:v>44872</c:v>
                </c:pt>
                <c:pt idx="214">
                  <c:v>44873</c:v>
                </c:pt>
                <c:pt idx="215">
                  <c:v>44874</c:v>
                </c:pt>
                <c:pt idx="216">
                  <c:v>44875</c:v>
                </c:pt>
                <c:pt idx="217">
                  <c:v>44876</c:v>
                </c:pt>
                <c:pt idx="218">
                  <c:v>44879</c:v>
                </c:pt>
                <c:pt idx="219">
                  <c:v>44880</c:v>
                </c:pt>
                <c:pt idx="220">
                  <c:v>44881</c:v>
                </c:pt>
                <c:pt idx="221">
                  <c:v>44882</c:v>
                </c:pt>
                <c:pt idx="222">
                  <c:v>44883</c:v>
                </c:pt>
                <c:pt idx="223">
                  <c:v>44886</c:v>
                </c:pt>
                <c:pt idx="224">
                  <c:v>44887</c:v>
                </c:pt>
                <c:pt idx="225">
                  <c:v>44888</c:v>
                </c:pt>
                <c:pt idx="226">
                  <c:v>44890</c:v>
                </c:pt>
                <c:pt idx="227">
                  <c:v>44893</c:v>
                </c:pt>
                <c:pt idx="228">
                  <c:v>44894</c:v>
                </c:pt>
                <c:pt idx="229">
                  <c:v>44895</c:v>
                </c:pt>
                <c:pt idx="230">
                  <c:v>44896</c:v>
                </c:pt>
                <c:pt idx="231">
                  <c:v>44897</c:v>
                </c:pt>
                <c:pt idx="232">
                  <c:v>44900</c:v>
                </c:pt>
                <c:pt idx="233">
                  <c:v>44901</c:v>
                </c:pt>
                <c:pt idx="234">
                  <c:v>44902</c:v>
                </c:pt>
                <c:pt idx="235">
                  <c:v>44903</c:v>
                </c:pt>
                <c:pt idx="236">
                  <c:v>44904</c:v>
                </c:pt>
                <c:pt idx="237">
                  <c:v>44907</c:v>
                </c:pt>
                <c:pt idx="238">
                  <c:v>44908</c:v>
                </c:pt>
                <c:pt idx="239">
                  <c:v>44909</c:v>
                </c:pt>
                <c:pt idx="240">
                  <c:v>44910</c:v>
                </c:pt>
                <c:pt idx="241">
                  <c:v>44911</c:v>
                </c:pt>
                <c:pt idx="242">
                  <c:v>44914</c:v>
                </c:pt>
                <c:pt idx="243">
                  <c:v>44915</c:v>
                </c:pt>
                <c:pt idx="244">
                  <c:v>44916</c:v>
                </c:pt>
                <c:pt idx="245">
                  <c:v>44917</c:v>
                </c:pt>
                <c:pt idx="246">
                  <c:v>44918</c:v>
                </c:pt>
                <c:pt idx="247">
                  <c:v>44922</c:v>
                </c:pt>
                <c:pt idx="248">
                  <c:v>44923</c:v>
                </c:pt>
                <c:pt idx="249">
                  <c:v>44924</c:v>
                </c:pt>
                <c:pt idx="250">
                  <c:v>44925</c:v>
                </c:pt>
              </c:numCache>
            </c:numRef>
          </c:cat>
          <c:val>
            <c:numRef>
              <c:f>oilWtiChart!$B$3:$B$253</c:f>
              <c:numCache>
                <c:formatCode>_-* #,##0.0_-;\-* #,##0.0_-;_-* "-"??_-;_-@_-</c:formatCode>
                <c:ptCount val="251"/>
                <c:pt idx="0">
                  <c:v>75.989999999999995</c:v>
                </c:pt>
                <c:pt idx="1">
                  <c:v>77</c:v>
                </c:pt>
                <c:pt idx="2">
                  <c:v>77.83</c:v>
                </c:pt>
                <c:pt idx="3">
                  <c:v>79.47</c:v>
                </c:pt>
                <c:pt idx="4">
                  <c:v>79</c:v>
                </c:pt>
                <c:pt idx="5">
                  <c:v>78.11</c:v>
                </c:pt>
                <c:pt idx="6">
                  <c:v>81.17</c:v>
                </c:pt>
                <c:pt idx="7">
                  <c:v>82.51</c:v>
                </c:pt>
                <c:pt idx="8">
                  <c:v>81.97</c:v>
                </c:pt>
                <c:pt idx="9">
                  <c:v>83.82</c:v>
                </c:pt>
                <c:pt idx="10">
                  <c:v>85.42</c:v>
                </c:pt>
                <c:pt idx="11">
                  <c:v>86.84</c:v>
                </c:pt>
                <c:pt idx="12">
                  <c:v>86.29</c:v>
                </c:pt>
                <c:pt idx="13">
                  <c:v>85.16</c:v>
                </c:pt>
                <c:pt idx="14">
                  <c:v>84.48</c:v>
                </c:pt>
                <c:pt idx="15">
                  <c:v>86.61</c:v>
                </c:pt>
                <c:pt idx="16">
                  <c:v>88.33</c:v>
                </c:pt>
                <c:pt idx="17">
                  <c:v>87.61</c:v>
                </c:pt>
                <c:pt idx="18">
                  <c:v>87.67</c:v>
                </c:pt>
                <c:pt idx="19">
                  <c:v>89.16</c:v>
                </c:pt>
                <c:pt idx="20">
                  <c:v>88.22</c:v>
                </c:pt>
                <c:pt idx="21">
                  <c:v>88.16</c:v>
                </c:pt>
                <c:pt idx="22">
                  <c:v>90.17</c:v>
                </c:pt>
                <c:pt idx="23">
                  <c:v>92.27</c:v>
                </c:pt>
                <c:pt idx="24">
                  <c:v>91.25</c:v>
                </c:pt>
                <c:pt idx="25">
                  <c:v>89.32</c:v>
                </c:pt>
                <c:pt idx="26">
                  <c:v>89.57</c:v>
                </c:pt>
                <c:pt idx="27">
                  <c:v>89.83</c:v>
                </c:pt>
                <c:pt idx="28">
                  <c:v>93.1</c:v>
                </c:pt>
                <c:pt idx="29">
                  <c:v>95.52</c:v>
                </c:pt>
                <c:pt idx="30">
                  <c:v>92.07</c:v>
                </c:pt>
                <c:pt idx="31">
                  <c:v>93.83</c:v>
                </c:pt>
                <c:pt idx="32">
                  <c:v>91.78</c:v>
                </c:pt>
                <c:pt idx="33">
                  <c:v>91.26</c:v>
                </c:pt>
                <c:pt idx="34">
                  <c:v>92.11</c:v>
                </c:pt>
                <c:pt idx="35">
                  <c:v>92.14</c:v>
                </c:pt>
                <c:pt idx="36">
                  <c:v>92.77</c:v>
                </c:pt>
                <c:pt idx="37">
                  <c:v>91.68</c:v>
                </c:pt>
                <c:pt idx="38">
                  <c:v>96.13</c:v>
                </c:pt>
                <c:pt idx="39">
                  <c:v>103.66</c:v>
                </c:pt>
                <c:pt idx="40">
                  <c:v>110.74</c:v>
                </c:pt>
                <c:pt idx="41">
                  <c:v>107.69</c:v>
                </c:pt>
                <c:pt idx="42">
                  <c:v>115.77</c:v>
                </c:pt>
                <c:pt idx="43">
                  <c:v>119.26</c:v>
                </c:pt>
                <c:pt idx="44">
                  <c:v>123.64</c:v>
                </c:pt>
                <c:pt idx="45">
                  <c:v>108.81</c:v>
                </c:pt>
                <c:pt idx="46">
                  <c:v>105.93</c:v>
                </c:pt>
                <c:pt idx="47">
                  <c:v>109.31</c:v>
                </c:pt>
                <c:pt idx="48">
                  <c:v>103.22</c:v>
                </c:pt>
                <c:pt idx="49">
                  <c:v>96.42</c:v>
                </c:pt>
                <c:pt idx="50">
                  <c:v>94.85</c:v>
                </c:pt>
                <c:pt idx="51">
                  <c:v>102.97</c:v>
                </c:pt>
                <c:pt idx="52">
                  <c:v>104.69</c:v>
                </c:pt>
                <c:pt idx="53">
                  <c:v>112.14</c:v>
                </c:pt>
                <c:pt idx="54">
                  <c:v>111.03</c:v>
                </c:pt>
                <c:pt idx="55">
                  <c:v>114.89</c:v>
                </c:pt>
                <c:pt idx="56">
                  <c:v>114.2</c:v>
                </c:pt>
                <c:pt idx="57">
                  <c:v>116.2</c:v>
                </c:pt>
                <c:pt idx="58">
                  <c:v>107.55</c:v>
                </c:pt>
                <c:pt idx="59">
                  <c:v>104.25</c:v>
                </c:pt>
                <c:pt idx="60">
                  <c:v>107.81</c:v>
                </c:pt>
                <c:pt idx="61">
                  <c:v>100.53</c:v>
                </c:pt>
                <c:pt idx="62">
                  <c:v>99.32</c:v>
                </c:pt>
                <c:pt idx="63">
                  <c:v>103.29</c:v>
                </c:pt>
                <c:pt idx="64">
                  <c:v>101.98</c:v>
                </c:pt>
                <c:pt idx="65">
                  <c:v>96.39</c:v>
                </c:pt>
                <c:pt idx="66">
                  <c:v>96.05</c:v>
                </c:pt>
                <c:pt idx="67">
                  <c:v>98.35</c:v>
                </c:pt>
                <c:pt idx="68">
                  <c:v>94.22</c:v>
                </c:pt>
                <c:pt idx="69">
                  <c:v>100.52</c:v>
                </c:pt>
                <c:pt idx="70">
                  <c:v>104.26</c:v>
                </c:pt>
                <c:pt idx="71">
                  <c:v>106.84</c:v>
                </c:pt>
                <c:pt idx="72">
                  <c:v>108.24</c:v>
                </c:pt>
                <c:pt idx="73">
                  <c:v>102.54</c:v>
                </c:pt>
                <c:pt idx="74">
                  <c:v>102.56</c:v>
                </c:pt>
                <c:pt idx="75">
                  <c:v>103.89</c:v>
                </c:pt>
                <c:pt idx="76">
                  <c:v>102.86</c:v>
                </c:pt>
                <c:pt idx="77">
                  <c:v>99.6</c:v>
                </c:pt>
                <c:pt idx="78">
                  <c:v>102.62</c:v>
                </c:pt>
                <c:pt idx="79">
                  <c:v>101.96</c:v>
                </c:pt>
                <c:pt idx="80">
                  <c:v>105.47</c:v>
                </c:pt>
                <c:pt idx="81">
                  <c:v>104.59</c:v>
                </c:pt>
                <c:pt idx="82">
                  <c:v>105.18</c:v>
                </c:pt>
                <c:pt idx="83">
                  <c:v>102.53</c:v>
                </c:pt>
                <c:pt idx="84">
                  <c:v>107.84</c:v>
                </c:pt>
                <c:pt idx="85">
                  <c:v>108.17</c:v>
                </c:pt>
                <c:pt idx="86">
                  <c:v>109.72</c:v>
                </c:pt>
                <c:pt idx="87">
                  <c:v>103.08</c:v>
                </c:pt>
                <c:pt idx="88">
                  <c:v>99.74</c:v>
                </c:pt>
                <c:pt idx="89">
                  <c:v>105.5</c:v>
                </c:pt>
                <c:pt idx="90">
                  <c:v>106.15</c:v>
                </c:pt>
                <c:pt idx="91">
                  <c:v>110.52</c:v>
                </c:pt>
                <c:pt idx="92">
                  <c:v>114.07</c:v>
                </c:pt>
                <c:pt idx="93">
                  <c:v>112.31</c:v>
                </c:pt>
                <c:pt idx="94">
                  <c:v>109.67</c:v>
                </c:pt>
                <c:pt idx="95">
                  <c:v>112.21</c:v>
                </c:pt>
                <c:pt idx="96">
                  <c:v>112.63</c:v>
                </c:pt>
                <c:pt idx="97">
                  <c:v>110.32</c:v>
                </c:pt>
                <c:pt idx="98">
                  <c:v>112.55</c:v>
                </c:pt>
                <c:pt idx="99">
                  <c:v>112.88</c:v>
                </c:pt>
                <c:pt idx="100">
                  <c:v>116.19</c:v>
                </c:pt>
                <c:pt idx="101">
                  <c:v>114.96</c:v>
                </c:pt>
                <c:pt idx="102">
                  <c:v>114.38</c:v>
                </c:pt>
                <c:pt idx="103">
                  <c:v>115.26</c:v>
                </c:pt>
                <c:pt idx="104">
                  <c:v>116.88</c:v>
                </c:pt>
                <c:pt idx="105">
                  <c:v>118.97</c:v>
                </c:pt>
                <c:pt idx="106">
                  <c:v>118.41</c:v>
                </c:pt>
                <c:pt idx="107">
                  <c:v>119.55</c:v>
                </c:pt>
                <c:pt idx="108">
                  <c:v>121.94</c:v>
                </c:pt>
                <c:pt idx="109">
                  <c:v>121.52</c:v>
                </c:pt>
                <c:pt idx="110">
                  <c:v>120.73</c:v>
                </c:pt>
                <c:pt idx="111">
                  <c:v>120.92</c:v>
                </c:pt>
                <c:pt idx="112">
                  <c:v>118.92</c:v>
                </c:pt>
                <c:pt idx="113">
                  <c:v>115.32</c:v>
                </c:pt>
                <c:pt idx="114">
                  <c:v>117.56</c:v>
                </c:pt>
                <c:pt idx="115">
                  <c:v>109.56</c:v>
                </c:pt>
                <c:pt idx="116">
                  <c:v>110.49</c:v>
                </c:pt>
                <c:pt idx="117">
                  <c:v>106.22</c:v>
                </c:pt>
                <c:pt idx="118">
                  <c:v>105.75</c:v>
                </c:pt>
                <c:pt idx="119">
                  <c:v>109.07</c:v>
                </c:pt>
                <c:pt idx="120">
                  <c:v>111.44</c:v>
                </c:pt>
                <c:pt idx="121">
                  <c:v>113.66</c:v>
                </c:pt>
                <c:pt idx="122">
                  <c:v>111.65</c:v>
                </c:pt>
                <c:pt idx="123">
                  <c:v>107.76</c:v>
                </c:pt>
                <c:pt idx="124">
                  <c:v>110.3</c:v>
                </c:pt>
                <c:pt idx="125">
                  <c:v>101.55</c:v>
                </c:pt>
                <c:pt idx="126">
                  <c:v>100.31</c:v>
                </c:pt>
                <c:pt idx="127">
                  <c:v>104.62</c:v>
                </c:pt>
                <c:pt idx="128">
                  <c:v>106.78</c:v>
                </c:pt>
                <c:pt idx="129">
                  <c:v>106.09</c:v>
                </c:pt>
                <c:pt idx="130">
                  <c:v>97.69</c:v>
                </c:pt>
                <c:pt idx="131">
                  <c:v>98.44</c:v>
                </c:pt>
                <c:pt idx="132">
                  <c:v>97.79</c:v>
                </c:pt>
                <c:pt idx="133">
                  <c:v>99.59</c:v>
                </c:pt>
                <c:pt idx="134">
                  <c:v>104.48</c:v>
                </c:pt>
                <c:pt idx="135">
                  <c:v>106.12</c:v>
                </c:pt>
                <c:pt idx="136">
                  <c:v>104.45</c:v>
                </c:pt>
                <c:pt idx="137">
                  <c:v>98.44</c:v>
                </c:pt>
                <c:pt idx="138">
                  <c:v>97.71</c:v>
                </c:pt>
                <c:pt idx="139">
                  <c:v>99.83</c:v>
                </c:pt>
                <c:pt idx="140">
                  <c:v>97.74</c:v>
                </c:pt>
                <c:pt idx="141">
                  <c:v>100.03</c:v>
                </c:pt>
                <c:pt idx="142">
                  <c:v>99.11</c:v>
                </c:pt>
                <c:pt idx="143">
                  <c:v>101.31</c:v>
                </c:pt>
                <c:pt idx="144">
                  <c:v>96.59</c:v>
                </c:pt>
                <c:pt idx="145">
                  <c:v>97.14</c:v>
                </c:pt>
                <c:pt idx="146">
                  <c:v>93.25</c:v>
                </c:pt>
                <c:pt idx="147">
                  <c:v>91.29</c:v>
                </c:pt>
                <c:pt idx="148">
                  <c:v>91.77</c:v>
                </c:pt>
                <c:pt idx="149">
                  <c:v>93.52</c:v>
                </c:pt>
                <c:pt idx="150">
                  <c:v>93.18</c:v>
                </c:pt>
                <c:pt idx="151">
                  <c:v>94.68</c:v>
                </c:pt>
                <c:pt idx="152">
                  <c:v>97.02</c:v>
                </c:pt>
                <c:pt idx="153">
                  <c:v>94.86</c:v>
                </c:pt>
                <c:pt idx="154">
                  <c:v>92.24</c:v>
                </c:pt>
                <c:pt idx="155">
                  <c:v>89.23</c:v>
                </c:pt>
                <c:pt idx="156">
                  <c:v>90.85</c:v>
                </c:pt>
                <c:pt idx="157">
                  <c:v>93.2</c:v>
                </c:pt>
                <c:pt idx="158">
                  <c:v>93.55</c:v>
                </c:pt>
                <c:pt idx="159">
                  <c:v>93.42</c:v>
                </c:pt>
                <c:pt idx="160">
                  <c:v>96.46</c:v>
                </c:pt>
                <c:pt idx="161">
                  <c:v>95.52</c:v>
                </c:pt>
                <c:pt idx="162">
                  <c:v>93.33</c:v>
                </c:pt>
                <c:pt idx="163">
                  <c:v>93.63</c:v>
                </c:pt>
                <c:pt idx="164">
                  <c:v>97.4</c:v>
                </c:pt>
                <c:pt idx="165">
                  <c:v>92.08</c:v>
                </c:pt>
                <c:pt idx="166">
                  <c:v>90.09</c:v>
                </c:pt>
                <c:pt idx="167">
                  <c:v>87.09</c:v>
                </c:pt>
                <c:pt idx="168">
                  <c:v>87.29</c:v>
                </c:pt>
                <c:pt idx="169">
                  <c:v>87.35</c:v>
                </c:pt>
                <c:pt idx="170">
                  <c:v>82.5</c:v>
                </c:pt>
                <c:pt idx="171">
                  <c:v>84.04</c:v>
                </c:pt>
                <c:pt idx="172">
                  <c:v>87.27</c:v>
                </c:pt>
                <c:pt idx="173">
                  <c:v>88.18</c:v>
                </c:pt>
                <c:pt idx="174">
                  <c:v>87.84</c:v>
                </c:pt>
                <c:pt idx="175">
                  <c:v>88.88</c:v>
                </c:pt>
                <c:pt idx="176">
                  <c:v>85.72</c:v>
                </c:pt>
                <c:pt idx="177">
                  <c:v>85.57</c:v>
                </c:pt>
                <c:pt idx="178">
                  <c:v>86.15</c:v>
                </c:pt>
                <c:pt idx="179">
                  <c:v>84.69</c:v>
                </c:pt>
                <c:pt idx="180">
                  <c:v>83.38</c:v>
                </c:pt>
                <c:pt idx="181">
                  <c:v>84.02</c:v>
                </c:pt>
                <c:pt idx="182">
                  <c:v>79.069999999999993</c:v>
                </c:pt>
                <c:pt idx="183">
                  <c:v>77.17</c:v>
                </c:pt>
                <c:pt idx="184">
                  <c:v>78.91</c:v>
                </c:pt>
                <c:pt idx="185">
                  <c:v>82.61</c:v>
                </c:pt>
                <c:pt idx="186">
                  <c:v>81.78</c:v>
                </c:pt>
                <c:pt idx="187">
                  <c:v>79.91</c:v>
                </c:pt>
                <c:pt idx="188">
                  <c:v>84.05</c:v>
                </c:pt>
                <c:pt idx="189">
                  <c:v>86.87</c:v>
                </c:pt>
                <c:pt idx="190">
                  <c:v>88.22</c:v>
                </c:pt>
                <c:pt idx="191">
                  <c:v>88.9</c:v>
                </c:pt>
                <c:pt idx="192">
                  <c:v>93.07</c:v>
                </c:pt>
                <c:pt idx="193">
                  <c:v>91.6</c:v>
                </c:pt>
                <c:pt idx="194">
                  <c:v>89.75</c:v>
                </c:pt>
                <c:pt idx="195">
                  <c:v>87.83</c:v>
                </c:pt>
                <c:pt idx="196">
                  <c:v>89.59</c:v>
                </c:pt>
                <c:pt idx="197">
                  <c:v>86.1</c:v>
                </c:pt>
                <c:pt idx="198">
                  <c:v>86</c:v>
                </c:pt>
                <c:pt idx="199">
                  <c:v>83.29</c:v>
                </c:pt>
                <c:pt idx="200">
                  <c:v>86</c:v>
                </c:pt>
                <c:pt idx="201">
                  <c:v>86.02</c:v>
                </c:pt>
                <c:pt idx="202">
                  <c:v>85.47</c:v>
                </c:pt>
                <c:pt idx="203">
                  <c:v>86.12</c:v>
                </c:pt>
                <c:pt idx="204">
                  <c:v>86.93</c:v>
                </c:pt>
                <c:pt idx="205">
                  <c:v>89.39</c:v>
                </c:pt>
                <c:pt idx="206">
                  <c:v>89.06</c:v>
                </c:pt>
                <c:pt idx="207">
                  <c:v>87.85</c:v>
                </c:pt>
                <c:pt idx="208">
                  <c:v>86.54</c:v>
                </c:pt>
                <c:pt idx="209">
                  <c:v>88.36</c:v>
                </c:pt>
                <c:pt idx="210">
                  <c:v>90.06</c:v>
                </c:pt>
                <c:pt idx="211">
                  <c:v>88.14</c:v>
                </c:pt>
                <c:pt idx="212">
                  <c:v>92.58</c:v>
                </c:pt>
                <c:pt idx="213">
                  <c:v>91.8</c:v>
                </c:pt>
                <c:pt idx="214">
                  <c:v>88.8</c:v>
                </c:pt>
                <c:pt idx="215">
                  <c:v>85.79</c:v>
                </c:pt>
                <c:pt idx="216">
                  <c:v>86.52</c:v>
                </c:pt>
                <c:pt idx="217">
                  <c:v>89.14</c:v>
                </c:pt>
                <c:pt idx="218">
                  <c:v>85.85</c:v>
                </c:pt>
                <c:pt idx="219">
                  <c:v>86.87</c:v>
                </c:pt>
                <c:pt idx="220">
                  <c:v>85.62</c:v>
                </c:pt>
                <c:pt idx="221">
                  <c:v>81.69</c:v>
                </c:pt>
                <c:pt idx="222">
                  <c:v>80.069999999999993</c:v>
                </c:pt>
                <c:pt idx="223">
                  <c:v>79.739999999999995</c:v>
                </c:pt>
                <c:pt idx="224">
                  <c:v>80.83</c:v>
                </c:pt>
                <c:pt idx="225">
                  <c:v>77.930000000000007</c:v>
                </c:pt>
                <c:pt idx="226">
                  <c:v>76.45</c:v>
                </c:pt>
                <c:pt idx="227">
                  <c:v>77.099999999999994</c:v>
                </c:pt>
                <c:pt idx="228">
                  <c:v>77.959999999999994</c:v>
                </c:pt>
                <c:pt idx="229">
                  <c:v>80.48</c:v>
                </c:pt>
                <c:pt idx="230">
                  <c:v>81.06</c:v>
                </c:pt>
                <c:pt idx="231">
                  <c:v>79.86</c:v>
                </c:pt>
                <c:pt idx="232">
                  <c:v>76.83</c:v>
                </c:pt>
                <c:pt idx="233">
                  <c:v>74.209999999999994</c:v>
                </c:pt>
                <c:pt idx="234">
                  <c:v>71.930000000000007</c:v>
                </c:pt>
                <c:pt idx="235">
                  <c:v>71.3</c:v>
                </c:pt>
                <c:pt idx="236">
                  <c:v>71.05</c:v>
                </c:pt>
                <c:pt idx="237">
                  <c:v>72.959999999999994</c:v>
                </c:pt>
                <c:pt idx="238">
                  <c:v>75.44</c:v>
                </c:pt>
                <c:pt idx="239">
                  <c:v>77.14</c:v>
                </c:pt>
                <c:pt idx="240">
                  <c:v>75.89</c:v>
                </c:pt>
                <c:pt idx="241">
                  <c:v>74.19</c:v>
                </c:pt>
                <c:pt idx="242">
                  <c:v>75.05</c:v>
                </c:pt>
                <c:pt idx="243">
                  <c:v>75.92</c:v>
                </c:pt>
                <c:pt idx="244">
                  <c:v>78.17</c:v>
                </c:pt>
                <c:pt idx="245">
                  <c:v>77.680000000000007</c:v>
                </c:pt>
                <c:pt idx="246">
                  <c:v>79.569999999999993</c:v>
                </c:pt>
                <c:pt idx="247">
                  <c:v>79.45</c:v>
                </c:pt>
                <c:pt idx="248">
                  <c:v>78.89</c:v>
                </c:pt>
                <c:pt idx="249">
                  <c:v>78.430000000000007</c:v>
                </c:pt>
                <c:pt idx="250">
                  <c:v>80.16</c:v>
                </c:pt>
              </c:numCache>
            </c:numRef>
          </c:val>
          <c:smooth val="0"/>
          <c:extLst>
            <c:ext xmlns:c16="http://schemas.microsoft.com/office/drawing/2014/chart" uri="{C3380CC4-5D6E-409C-BE32-E72D297353CC}">
              <c16:uniqueId val="{00000002-E55B-492F-A7E4-F2E1F2CD5A3D}"/>
            </c:ext>
          </c:extLst>
        </c:ser>
        <c:ser>
          <c:idx val="0"/>
          <c:order val="3"/>
          <c:tx>
            <c:strRef>
              <c:f>oilWtiChart!$B$2</c:f>
              <c:strCache>
                <c:ptCount val="1"/>
                <c:pt idx="0">
                  <c:v>WTI</c:v>
                </c:pt>
              </c:strCache>
            </c:strRef>
          </c:tx>
          <c:spPr>
            <a:ln w="15875" cap="rnd">
              <a:solidFill>
                <a:srgbClr val="002060"/>
              </a:solidFill>
              <a:round/>
            </a:ln>
            <a:effectLst/>
          </c:spPr>
          <c:marker>
            <c:symbol val="none"/>
          </c:marker>
          <c:dLbls>
            <c:dLbl>
              <c:idx val="1"/>
              <c:layout>
                <c:manualLayout>
                  <c:x val="-6.5866854857680568E-2"/>
                  <c:y val="7.05716302046577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55B-492F-A7E4-F2E1F2CD5A3D}"/>
                </c:ext>
              </c:extLst>
            </c:dLbl>
            <c:dLbl>
              <c:idx val="44"/>
              <c:layout>
                <c:manualLayout>
                  <c:x val="-2.8228652081863093E-2"/>
                  <c:y val="-1.4114326040931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55B-492F-A7E4-F2E1F2CD5A3D}"/>
                </c:ext>
              </c:extLst>
            </c:dLbl>
            <c:dLbl>
              <c:idx val="250"/>
              <c:layout>
                <c:manualLayout>
                  <c:x val="0"/>
                  <c:y val="-5.64573041637262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55B-492F-A7E4-F2E1F2CD5A3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oilWtiChart!$A$3:$A$253</c:f>
              <c:numCache>
                <c:formatCode>mmm\-yy</c:formatCode>
                <c:ptCount val="251"/>
                <c:pt idx="0">
                  <c:v>44564</c:v>
                </c:pt>
                <c:pt idx="1">
                  <c:v>44565</c:v>
                </c:pt>
                <c:pt idx="2">
                  <c:v>44566</c:v>
                </c:pt>
                <c:pt idx="3">
                  <c:v>44567</c:v>
                </c:pt>
                <c:pt idx="4">
                  <c:v>44568</c:v>
                </c:pt>
                <c:pt idx="5">
                  <c:v>44571</c:v>
                </c:pt>
                <c:pt idx="6">
                  <c:v>44572</c:v>
                </c:pt>
                <c:pt idx="7">
                  <c:v>44573</c:v>
                </c:pt>
                <c:pt idx="8">
                  <c:v>44574</c:v>
                </c:pt>
                <c:pt idx="9">
                  <c:v>44575</c:v>
                </c:pt>
                <c:pt idx="10">
                  <c:v>44579</c:v>
                </c:pt>
                <c:pt idx="11">
                  <c:v>44580</c:v>
                </c:pt>
                <c:pt idx="12">
                  <c:v>44581</c:v>
                </c:pt>
                <c:pt idx="13">
                  <c:v>44582</c:v>
                </c:pt>
                <c:pt idx="14">
                  <c:v>44585</c:v>
                </c:pt>
                <c:pt idx="15">
                  <c:v>44586</c:v>
                </c:pt>
                <c:pt idx="16">
                  <c:v>44587</c:v>
                </c:pt>
                <c:pt idx="17">
                  <c:v>44588</c:v>
                </c:pt>
                <c:pt idx="18">
                  <c:v>44589</c:v>
                </c:pt>
                <c:pt idx="19">
                  <c:v>44592</c:v>
                </c:pt>
                <c:pt idx="20">
                  <c:v>44593</c:v>
                </c:pt>
                <c:pt idx="21">
                  <c:v>44594</c:v>
                </c:pt>
                <c:pt idx="22">
                  <c:v>44595</c:v>
                </c:pt>
                <c:pt idx="23">
                  <c:v>44596</c:v>
                </c:pt>
                <c:pt idx="24">
                  <c:v>44599</c:v>
                </c:pt>
                <c:pt idx="25">
                  <c:v>44600</c:v>
                </c:pt>
                <c:pt idx="26">
                  <c:v>44601</c:v>
                </c:pt>
                <c:pt idx="27">
                  <c:v>44602</c:v>
                </c:pt>
                <c:pt idx="28">
                  <c:v>44603</c:v>
                </c:pt>
                <c:pt idx="29">
                  <c:v>44606</c:v>
                </c:pt>
                <c:pt idx="30">
                  <c:v>44607</c:v>
                </c:pt>
                <c:pt idx="31">
                  <c:v>44608</c:v>
                </c:pt>
                <c:pt idx="32">
                  <c:v>44609</c:v>
                </c:pt>
                <c:pt idx="33">
                  <c:v>44610</c:v>
                </c:pt>
                <c:pt idx="34">
                  <c:v>44614</c:v>
                </c:pt>
                <c:pt idx="35">
                  <c:v>44615</c:v>
                </c:pt>
                <c:pt idx="36">
                  <c:v>44616</c:v>
                </c:pt>
                <c:pt idx="37">
                  <c:v>44617</c:v>
                </c:pt>
                <c:pt idx="38">
                  <c:v>44620</c:v>
                </c:pt>
                <c:pt idx="39">
                  <c:v>44621</c:v>
                </c:pt>
                <c:pt idx="40">
                  <c:v>44622</c:v>
                </c:pt>
                <c:pt idx="41">
                  <c:v>44623</c:v>
                </c:pt>
                <c:pt idx="42">
                  <c:v>44624</c:v>
                </c:pt>
                <c:pt idx="43">
                  <c:v>44627</c:v>
                </c:pt>
                <c:pt idx="44">
                  <c:v>44628</c:v>
                </c:pt>
                <c:pt idx="45">
                  <c:v>44629</c:v>
                </c:pt>
                <c:pt idx="46">
                  <c:v>44630</c:v>
                </c:pt>
                <c:pt idx="47">
                  <c:v>44631</c:v>
                </c:pt>
                <c:pt idx="48">
                  <c:v>44634</c:v>
                </c:pt>
                <c:pt idx="49">
                  <c:v>44635</c:v>
                </c:pt>
                <c:pt idx="50">
                  <c:v>44636</c:v>
                </c:pt>
                <c:pt idx="51">
                  <c:v>44637</c:v>
                </c:pt>
                <c:pt idx="52">
                  <c:v>44638</c:v>
                </c:pt>
                <c:pt idx="53">
                  <c:v>44641</c:v>
                </c:pt>
                <c:pt idx="54">
                  <c:v>44642</c:v>
                </c:pt>
                <c:pt idx="55">
                  <c:v>44643</c:v>
                </c:pt>
                <c:pt idx="56">
                  <c:v>44644</c:v>
                </c:pt>
                <c:pt idx="57">
                  <c:v>44645</c:v>
                </c:pt>
                <c:pt idx="58">
                  <c:v>44648</c:v>
                </c:pt>
                <c:pt idx="59">
                  <c:v>44649</c:v>
                </c:pt>
                <c:pt idx="60">
                  <c:v>44650</c:v>
                </c:pt>
                <c:pt idx="61">
                  <c:v>44651</c:v>
                </c:pt>
                <c:pt idx="62">
                  <c:v>44652</c:v>
                </c:pt>
                <c:pt idx="63">
                  <c:v>44655</c:v>
                </c:pt>
                <c:pt idx="64">
                  <c:v>44656</c:v>
                </c:pt>
                <c:pt idx="65">
                  <c:v>44657</c:v>
                </c:pt>
                <c:pt idx="66">
                  <c:v>44658</c:v>
                </c:pt>
                <c:pt idx="67">
                  <c:v>44659</c:v>
                </c:pt>
                <c:pt idx="68">
                  <c:v>44662</c:v>
                </c:pt>
                <c:pt idx="69">
                  <c:v>44663</c:v>
                </c:pt>
                <c:pt idx="70">
                  <c:v>44664</c:v>
                </c:pt>
                <c:pt idx="71">
                  <c:v>44665</c:v>
                </c:pt>
                <c:pt idx="72">
                  <c:v>44669</c:v>
                </c:pt>
                <c:pt idx="73">
                  <c:v>44670</c:v>
                </c:pt>
                <c:pt idx="74">
                  <c:v>44671</c:v>
                </c:pt>
                <c:pt idx="75">
                  <c:v>44672</c:v>
                </c:pt>
                <c:pt idx="76">
                  <c:v>44673</c:v>
                </c:pt>
                <c:pt idx="77">
                  <c:v>44676</c:v>
                </c:pt>
                <c:pt idx="78">
                  <c:v>44677</c:v>
                </c:pt>
                <c:pt idx="79">
                  <c:v>44678</c:v>
                </c:pt>
                <c:pt idx="80">
                  <c:v>44679</c:v>
                </c:pt>
                <c:pt idx="81">
                  <c:v>44680</c:v>
                </c:pt>
                <c:pt idx="82">
                  <c:v>44683</c:v>
                </c:pt>
                <c:pt idx="83">
                  <c:v>44684</c:v>
                </c:pt>
                <c:pt idx="84">
                  <c:v>44685</c:v>
                </c:pt>
                <c:pt idx="85">
                  <c:v>44686</c:v>
                </c:pt>
                <c:pt idx="86">
                  <c:v>44687</c:v>
                </c:pt>
                <c:pt idx="87">
                  <c:v>44690</c:v>
                </c:pt>
                <c:pt idx="88">
                  <c:v>44691</c:v>
                </c:pt>
                <c:pt idx="89">
                  <c:v>44692</c:v>
                </c:pt>
                <c:pt idx="90">
                  <c:v>44693</c:v>
                </c:pt>
                <c:pt idx="91">
                  <c:v>44694</c:v>
                </c:pt>
                <c:pt idx="92">
                  <c:v>44697</c:v>
                </c:pt>
                <c:pt idx="93">
                  <c:v>44698</c:v>
                </c:pt>
                <c:pt idx="94">
                  <c:v>44699</c:v>
                </c:pt>
                <c:pt idx="95">
                  <c:v>44700</c:v>
                </c:pt>
                <c:pt idx="96">
                  <c:v>44701</c:v>
                </c:pt>
                <c:pt idx="97">
                  <c:v>44704</c:v>
                </c:pt>
                <c:pt idx="98">
                  <c:v>44705</c:v>
                </c:pt>
                <c:pt idx="99">
                  <c:v>44706</c:v>
                </c:pt>
                <c:pt idx="100">
                  <c:v>44707</c:v>
                </c:pt>
                <c:pt idx="101">
                  <c:v>44708</c:v>
                </c:pt>
                <c:pt idx="102">
                  <c:v>44712</c:v>
                </c:pt>
                <c:pt idx="103">
                  <c:v>44713</c:v>
                </c:pt>
                <c:pt idx="104">
                  <c:v>44714</c:v>
                </c:pt>
                <c:pt idx="105">
                  <c:v>44715</c:v>
                </c:pt>
                <c:pt idx="106">
                  <c:v>44718</c:v>
                </c:pt>
                <c:pt idx="107">
                  <c:v>44719</c:v>
                </c:pt>
                <c:pt idx="108">
                  <c:v>44720</c:v>
                </c:pt>
                <c:pt idx="109">
                  <c:v>44721</c:v>
                </c:pt>
                <c:pt idx="110">
                  <c:v>44722</c:v>
                </c:pt>
                <c:pt idx="111">
                  <c:v>44725</c:v>
                </c:pt>
                <c:pt idx="112">
                  <c:v>44726</c:v>
                </c:pt>
                <c:pt idx="113">
                  <c:v>44727</c:v>
                </c:pt>
                <c:pt idx="114">
                  <c:v>44728</c:v>
                </c:pt>
                <c:pt idx="115">
                  <c:v>44729</c:v>
                </c:pt>
                <c:pt idx="116">
                  <c:v>44733</c:v>
                </c:pt>
                <c:pt idx="117">
                  <c:v>44734</c:v>
                </c:pt>
                <c:pt idx="118">
                  <c:v>44735</c:v>
                </c:pt>
                <c:pt idx="119">
                  <c:v>44736</c:v>
                </c:pt>
                <c:pt idx="120">
                  <c:v>44739</c:v>
                </c:pt>
                <c:pt idx="121">
                  <c:v>44740</c:v>
                </c:pt>
                <c:pt idx="122">
                  <c:v>44741</c:v>
                </c:pt>
                <c:pt idx="123">
                  <c:v>44742</c:v>
                </c:pt>
                <c:pt idx="124">
                  <c:v>44743</c:v>
                </c:pt>
                <c:pt idx="125">
                  <c:v>44747</c:v>
                </c:pt>
                <c:pt idx="126">
                  <c:v>44748</c:v>
                </c:pt>
                <c:pt idx="127">
                  <c:v>44749</c:v>
                </c:pt>
                <c:pt idx="128">
                  <c:v>44750</c:v>
                </c:pt>
                <c:pt idx="129">
                  <c:v>44753</c:v>
                </c:pt>
                <c:pt idx="130">
                  <c:v>44754</c:v>
                </c:pt>
                <c:pt idx="131">
                  <c:v>44755</c:v>
                </c:pt>
                <c:pt idx="132">
                  <c:v>44756</c:v>
                </c:pt>
                <c:pt idx="133">
                  <c:v>44757</c:v>
                </c:pt>
                <c:pt idx="134">
                  <c:v>44760</c:v>
                </c:pt>
                <c:pt idx="135">
                  <c:v>44761</c:v>
                </c:pt>
                <c:pt idx="136">
                  <c:v>44762</c:v>
                </c:pt>
                <c:pt idx="137">
                  <c:v>44763</c:v>
                </c:pt>
                <c:pt idx="138">
                  <c:v>44764</c:v>
                </c:pt>
                <c:pt idx="139">
                  <c:v>44767</c:v>
                </c:pt>
                <c:pt idx="140">
                  <c:v>44768</c:v>
                </c:pt>
                <c:pt idx="141">
                  <c:v>44769</c:v>
                </c:pt>
                <c:pt idx="142">
                  <c:v>44770</c:v>
                </c:pt>
                <c:pt idx="143">
                  <c:v>44771</c:v>
                </c:pt>
                <c:pt idx="144">
                  <c:v>44774</c:v>
                </c:pt>
                <c:pt idx="145">
                  <c:v>44775</c:v>
                </c:pt>
                <c:pt idx="146">
                  <c:v>44776</c:v>
                </c:pt>
                <c:pt idx="147">
                  <c:v>44777</c:v>
                </c:pt>
                <c:pt idx="148">
                  <c:v>44778</c:v>
                </c:pt>
                <c:pt idx="149">
                  <c:v>44781</c:v>
                </c:pt>
                <c:pt idx="150">
                  <c:v>44782</c:v>
                </c:pt>
                <c:pt idx="151">
                  <c:v>44783</c:v>
                </c:pt>
                <c:pt idx="152">
                  <c:v>44784</c:v>
                </c:pt>
                <c:pt idx="153">
                  <c:v>44785</c:v>
                </c:pt>
                <c:pt idx="154">
                  <c:v>44788</c:v>
                </c:pt>
                <c:pt idx="155">
                  <c:v>44789</c:v>
                </c:pt>
                <c:pt idx="156">
                  <c:v>44790</c:v>
                </c:pt>
                <c:pt idx="157">
                  <c:v>44791</c:v>
                </c:pt>
                <c:pt idx="158">
                  <c:v>44792</c:v>
                </c:pt>
                <c:pt idx="159">
                  <c:v>44795</c:v>
                </c:pt>
                <c:pt idx="160">
                  <c:v>44796</c:v>
                </c:pt>
                <c:pt idx="161">
                  <c:v>44797</c:v>
                </c:pt>
                <c:pt idx="162">
                  <c:v>44798</c:v>
                </c:pt>
                <c:pt idx="163">
                  <c:v>44799</c:v>
                </c:pt>
                <c:pt idx="164">
                  <c:v>44802</c:v>
                </c:pt>
                <c:pt idx="165">
                  <c:v>44803</c:v>
                </c:pt>
                <c:pt idx="166">
                  <c:v>44804</c:v>
                </c:pt>
                <c:pt idx="167">
                  <c:v>44805</c:v>
                </c:pt>
                <c:pt idx="168">
                  <c:v>44806</c:v>
                </c:pt>
                <c:pt idx="169">
                  <c:v>44810</c:v>
                </c:pt>
                <c:pt idx="170">
                  <c:v>44811</c:v>
                </c:pt>
                <c:pt idx="171">
                  <c:v>44812</c:v>
                </c:pt>
                <c:pt idx="172">
                  <c:v>44813</c:v>
                </c:pt>
                <c:pt idx="173">
                  <c:v>44816</c:v>
                </c:pt>
                <c:pt idx="174">
                  <c:v>44817</c:v>
                </c:pt>
                <c:pt idx="175">
                  <c:v>44818</c:v>
                </c:pt>
                <c:pt idx="176">
                  <c:v>44819</c:v>
                </c:pt>
                <c:pt idx="177">
                  <c:v>44820</c:v>
                </c:pt>
                <c:pt idx="178">
                  <c:v>44823</c:v>
                </c:pt>
                <c:pt idx="179">
                  <c:v>44824</c:v>
                </c:pt>
                <c:pt idx="180">
                  <c:v>44825</c:v>
                </c:pt>
                <c:pt idx="181">
                  <c:v>44826</c:v>
                </c:pt>
                <c:pt idx="182">
                  <c:v>44827</c:v>
                </c:pt>
                <c:pt idx="183">
                  <c:v>44830</c:v>
                </c:pt>
                <c:pt idx="184">
                  <c:v>44831</c:v>
                </c:pt>
                <c:pt idx="185">
                  <c:v>44832</c:v>
                </c:pt>
                <c:pt idx="186">
                  <c:v>44833</c:v>
                </c:pt>
                <c:pt idx="187">
                  <c:v>44834</c:v>
                </c:pt>
                <c:pt idx="188">
                  <c:v>44837</c:v>
                </c:pt>
                <c:pt idx="189">
                  <c:v>44838</c:v>
                </c:pt>
                <c:pt idx="190">
                  <c:v>44839</c:v>
                </c:pt>
                <c:pt idx="191">
                  <c:v>44840</c:v>
                </c:pt>
                <c:pt idx="192">
                  <c:v>44841</c:v>
                </c:pt>
                <c:pt idx="193">
                  <c:v>44844</c:v>
                </c:pt>
                <c:pt idx="194">
                  <c:v>44845</c:v>
                </c:pt>
                <c:pt idx="195">
                  <c:v>44846</c:v>
                </c:pt>
                <c:pt idx="196">
                  <c:v>44847</c:v>
                </c:pt>
                <c:pt idx="197">
                  <c:v>44848</c:v>
                </c:pt>
                <c:pt idx="198">
                  <c:v>44851</c:v>
                </c:pt>
                <c:pt idx="199">
                  <c:v>44852</c:v>
                </c:pt>
                <c:pt idx="200">
                  <c:v>44853</c:v>
                </c:pt>
                <c:pt idx="201">
                  <c:v>44854</c:v>
                </c:pt>
                <c:pt idx="202">
                  <c:v>44855</c:v>
                </c:pt>
                <c:pt idx="203">
                  <c:v>44858</c:v>
                </c:pt>
                <c:pt idx="204">
                  <c:v>44859</c:v>
                </c:pt>
                <c:pt idx="205">
                  <c:v>44860</c:v>
                </c:pt>
                <c:pt idx="206">
                  <c:v>44861</c:v>
                </c:pt>
                <c:pt idx="207">
                  <c:v>44862</c:v>
                </c:pt>
                <c:pt idx="208">
                  <c:v>44865</c:v>
                </c:pt>
                <c:pt idx="209">
                  <c:v>44866</c:v>
                </c:pt>
                <c:pt idx="210">
                  <c:v>44867</c:v>
                </c:pt>
                <c:pt idx="211">
                  <c:v>44868</c:v>
                </c:pt>
                <c:pt idx="212">
                  <c:v>44869</c:v>
                </c:pt>
                <c:pt idx="213">
                  <c:v>44872</c:v>
                </c:pt>
                <c:pt idx="214">
                  <c:v>44873</c:v>
                </c:pt>
                <c:pt idx="215">
                  <c:v>44874</c:v>
                </c:pt>
                <c:pt idx="216">
                  <c:v>44875</c:v>
                </c:pt>
                <c:pt idx="217">
                  <c:v>44876</c:v>
                </c:pt>
                <c:pt idx="218">
                  <c:v>44879</c:v>
                </c:pt>
                <c:pt idx="219">
                  <c:v>44880</c:v>
                </c:pt>
                <c:pt idx="220">
                  <c:v>44881</c:v>
                </c:pt>
                <c:pt idx="221">
                  <c:v>44882</c:v>
                </c:pt>
                <c:pt idx="222">
                  <c:v>44883</c:v>
                </c:pt>
                <c:pt idx="223">
                  <c:v>44886</c:v>
                </c:pt>
                <c:pt idx="224">
                  <c:v>44887</c:v>
                </c:pt>
                <c:pt idx="225">
                  <c:v>44888</c:v>
                </c:pt>
                <c:pt idx="226">
                  <c:v>44890</c:v>
                </c:pt>
                <c:pt idx="227">
                  <c:v>44893</c:v>
                </c:pt>
                <c:pt idx="228">
                  <c:v>44894</c:v>
                </c:pt>
                <c:pt idx="229">
                  <c:v>44895</c:v>
                </c:pt>
                <c:pt idx="230">
                  <c:v>44896</c:v>
                </c:pt>
                <c:pt idx="231">
                  <c:v>44897</c:v>
                </c:pt>
                <c:pt idx="232">
                  <c:v>44900</c:v>
                </c:pt>
                <c:pt idx="233">
                  <c:v>44901</c:v>
                </c:pt>
                <c:pt idx="234">
                  <c:v>44902</c:v>
                </c:pt>
                <c:pt idx="235">
                  <c:v>44903</c:v>
                </c:pt>
                <c:pt idx="236">
                  <c:v>44904</c:v>
                </c:pt>
                <c:pt idx="237">
                  <c:v>44907</c:v>
                </c:pt>
                <c:pt idx="238">
                  <c:v>44908</c:v>
                </c:pt>
                <c:pt idx="239">
                  <c:v>44909</c:v>
                </c:pt>
                <c:pt idx="240">
                  <c:v>44910</c:v>
                </c:pt>
                <c:pt idx="241">
                  <c:v>44911</c:v>
                </c:pt>
                <c:pt idx="242">
                  <c:v>44914</c:v>
                </c:pt>
                <c:pt idx="243">
                  <c:v>44915</c:v>
                </c:pt>
                <c:pt idx="244">
                  <c:v>44916</c:v>
                </c:pt>
                <c:pt idx="245">
                  <c:v>44917</c:v>
                </c:pt>
                <c:pt idx="246">
                  <c:v>44918</c:v>
                </c:pt>
                <c:pt idx="247">
                  <c:v>44922</c:v>
                </c:pt>
                <c:pt idx="248">
                  <c:v>44923</c:v>
                </c:pt>
                <c:pt idx="249">
                  <c:v>44924</c:v>
                </c:pt>
                <c:pt idx="250">
                  <c:v>44925</c:v>
                </c:pt>
              </c:numCache>
            </c:numRef>
          </c:cat>
          <c:val>
            <c:numRef>
              <c:f>oilWtiChart!$B$3:$B$253</c:f>
              <c:numCache>
                <c:formatCode>_-* #,##0.0_-;\-* #,##0.0_-;_-* "-"??_-;_-@_-</c:formatCode>
                <c:ptCount val="251"/>
                <c:pt idx="0">
                  <c:v>75.989999999999995</c:v>
                </c:pt>
                <c:pt idx="1">
                  <c:v>77</c:v>
                </c:pt>
                <c:pt idx="2">
                  <c:v>77.83</c:v>
                </c:pt>
                <c:pt idx="3">
                  <c:v>79.47</c:v>
                </c:pt>
                <c:pt idx="4">
                  <c:v>79</c:v>
                </c:pt>
                <c:pt idx="5">
                  <c:v>78.11</c:v>
                </c:pt>
                <c:pt idx="6">
                  <c:v>81.17</c:v>
                </c:pt>
                <c:pt idx="7">
                  <c:v>82.51</c:v>
                </c:pt>
                <c:pt idx="8">
                  <c:v>81.97</c:v>
                </c:pt>
                <c:pt idx="9">
                  <c:v>83.82</c:v>
                </c:pt>
                <c:pt idx="10">
                  <c:v>85.42</c:v>
                </c:pt>
                <c:pt idx="11">
                  <c:v>86.84</c:v>
                </c:pt>
                <c:pt idx="12">
                  <c:v>86.29</c:v>
                </c:pt>
                <c:pt idx="13">
                  <c:v>85.16</c:v>
                </c:pt>
                <c:pt idx="14">
                  <c:v>84.48</c:v>
                </c:pt>
                <c:pt idx="15">
                  <c:v>86.61</c:v>
                </c:pt>
                <c:pt idx="16">
                  <c:v>88.33</c:v>
                </c:pt>
                <c:pt idx="17">
                  <c:v>87.61</c:v>
                </c:pt>
                <c:pt idx="18">
                  <c:v>87.67</c:v>
                </c:pt>
                <c:pt idx="19">
                  <c:v>89.16</c:v>
                </c:pt>
                <c:pt idx="20">
                  <c:v>88.22</c:v>
                </c:pt>
                <c:pt idx="21">
                  <c:v>88.16</c:v>
                </c:pt>
                <c:pt idx="22">
                  <c:v>90.17</c:v>
                </c:pt>
                <c:pt idx="23">
                  <c:v>92.27</c:v>
                </c:pt>
                <c:pt idx="24">
                  <c:v>91.25</c:v>
                </c:pt>
                <c:pt idx="25">
                  <c:v>89.32</c:v>
                </c:pt>
                <c:pt idx="26">
                  <c:v>89.57</c:v>
                </c:pt>
                <c:pt idx="27">
                  <c:v>89.83</c:v>
                </c:pt>
                <c:pt idx="28">
                  <c:v>93.1</c:v>
                </c:pt>
                <c:pt idx="29">
                  <c:v>95.52</c:v>
                </c:pt>
                <c:pt idx="30">
                  <c:v>92.07</c:v>
                </c:pt>
                <c:pt idx="31">
                  <c:v>93.83</c:v>
                </c:pt>
                <c:pt idx="32">
                  <c:v>91.78</c:v>
                </c:pt>
                <c:pt idx="33">
                  <c:v>91.26</c:v>
                </c:pt>
                <c:pt idx="34">
                  <c:v>92.11</c:v>
                </c:pt>
                <c:pt idx="35">
                  <c:v>92.14</c:v>
                </c:pt>
                <c:pt idx="36">
                  <c:v>92.77</c:v>
                </c:pt>
                <c:pt idx="37">
                  <c:v>91.68</c:v>
                </c:pt>
                <c:pt idx="38">
                  <c:v>96.13</c:v>
                </c:pt>
                <c:pt idx="39">
                  <c:v>103.66</c:v>
                </c:pt>
                <c:pt idx="40">
                  <c:v>110.74</c:v>
                </c:pt>
                <c:pt idx="41">
                  <c:v>107.69</c:v>
                </c:pt>
                <c:pt idx="42">
                  <c:v>115.77</c:v>
                </c:pt>
                <c:pt idx="43">
                  <c:v>119.26</c:v>
                </c:pt>
                <c:pt idx="44">
                  <c:v>123.64</c:v>
                </c:pt>
                <c:pt idx="45">
                  <c:v>108.81</c:v>
                </c:pt>
                <c:pt idx="46">
                  <c:v>105.93</c:v>
                </c:pt>
                <c:pt idx="47">
                  <c:v>109.31</c:v>
                </c:pt>
                <c:pt idx="48">
                  <c:v>103.22</c:v>
                </c:pt>
                <c:pt idx="49">
                  <c:v>96.42</c:v>
                </c:pt>
                <c:pt idx="50">
                  <c:v>94.85</c:v>
                </c:pt>
                <c:pt idx="51">
                  <c:v>102.97</c:v>
                </c:pt>
                <c:pt idx="52">
                  <c:v>104.69</c:v>
                </c:pt>
                <c:pt idx="53">
                  <c:v>112.14</c:v>
                </c:pt>
                <c:pt idx="54">
                  <c:v>111.03</c:v>
                </c:pt>
                <c:pt idx="55">
                  <c:v>114.89</c:v>
                </c:pt>
                <c:pt idx="56">
                  <c:v>114.2</c:v>
                </c:pt>
                <c:pt idx="57">
                  <c:v>116.2</c:v>
                </c:pt>
                <c:pt idx="58">
                  <c:v>107.55</c:v>
                </c:pt>
                <c:pt idx="59">
                  <c:v>104.25</c:v>
                </c:pt>
                <c:pt idx="60">
                  <c:v>107.81</c:v>
                </c:pt>
                <c:pt idx="61">
                  <c:v>100.53</c:v>
                </c:pt>
                <c:pt idx="62">
                  <c:v>99.32</c:v>
                </c:pt>
                <c:pt idx="63">
                  <c:v>103.29</c:v>
                </c:pt>
                <c:pt idx="64">
                  <c:v>101.98</c:v>
                </c:pt>
                <c:pt idx="65">
                  <c:v>96.39</c:v>
                </c:pt>
                <c:pt idx="66">
                  <c:v>96.05</c:v>
                </c:pt>
                <c:pt idx="67">
                  <c:v>98.35</c:v>
                </c:pt>
                <c:pt idx="68">
                  <c:v>94.22</c:v>
                </c:pt>
                <c:pt idx="69">
                  <c:v>100.52</c:v>
                </c:pt>
                <c:pt idx="70">
                  <c:v>104.26</c:v>
                </c:pt>
                <c:pt idx="71">
                  <c:v>106.84</c:v>
                </c:pt>
                <c:pt idx="72">
                  <c:v>108.24</c:v>
                </c:pt>
                <c:pt idx="73">
                  <c:v>102.54</c:v>
                </c:pt>
                <c:pt idx="74">
                  <c:v>102.56</c:v>
                </c:pt>
                <c:pt idx="75">
                  <c:v>103.89</c:v>
                </c:pt>
                <c:pt idx="76">
                  <c:v>102.86</c:v>
                </c:pt>
                <c:pt idx="77">
                  <c:v>99.6</c:v>
                </c:pt>
                <c:pt idx="78">
                  <c:v>102.62</c:v>
                </c:pt>
                <c:pt idx="79">
                  <c:v>101.96</c:v>
                </c:pt>
                <c:pt idx="80">
                  <c:v>105.47</c:v>
                </c:pt>
                <c:pt idx="81">
                  <c:v>104.59</c:v>
                </c:pt>
                <c:pt idx="82">
                  <c:v>105.18</c:v>
                </c:pt>
                <c:pt idx="83">
                  <c:v>102.53</c:v>
                </c:pt>
                <c:pt idx="84">
                  <c:v>107.84</c:v>
                </c:pt>
                <c:pt idx="85">
                  <c:v>108.17</c:v>
                </c:pt>
                <c:pt idx="86">
                  <c:v>109.72</c:v>
                </c:pt>
                <c:pt idx="87">
                  <c:v>103.08</c:v>
                </c:pt>
                <c:pt idx="88">
                  <c:v>99.74</c:v>
                </c:pt>
                <c:pt idx="89">
                  <c:v>105.5</c:v>
                </c:pt>
                <c:pt idx="90">
                  <c:v>106.15</c:v>
                </c:pt>
                <c:pt idx="91">
                  <c:v>110.52</c:v>
                </c:pt>
                <c:pt idx="92">
                  <c:v>114.07</c:v>
                </c:pt>
                <c:pt idx="93">
                  <c:v>112.31</c:v>
                </c:pt>
                <c:pt idx="94">
                  <c:v>109.67</c:v>
                </c:pt>
                <c:pt idx="95">
                  <c:v>112.21</c:v>
                </c:pt>
                <c:pt idx="96">
                  <c:v>112.63</c:v>
                </c:pt>
                <c:pt idx="97">
                  <c:v>110.32</c:v>
                </c:pt>
                <c:pt idx="98">
                  <c:v>112.55</c:v>
                </c:pt>
                <c:pt idx="99">
                  <c:v>112.88</c:v>
                </c:pt>
                <c:pt idx="100">
                  <c:v>116.19</c:v>
                </c:pt>
                <c:pt idx="101">
                  <c:v>114.96</c:v>
                </c:pt>
                <c:pt idx="102">
                  <c:v>114.38</c:v>
                </c:pt>
                <c:pt idx="103">
                  <c:v>115.26</c:v>
                </c:pt>
                <c:pt idx="104">
                  <c:v>116.88</c:v>
                </c:pt>
                <c:pt idx="105">
                  <c:v>118.97</c:v>
                </c:pt>
                <c:pt idx="106">
                  <c:v>118.41</c:v>
                </c:pt>
                <c:pt idx="107">
                  <c:v>119.55</c:v>
                </c:pt>
                <c:pt idx="108">
                  <c:v>121.94</c:v>
                </c:pt>
                <c:pt idx="109">
                  <c:v>121.52</c:v>
                </c:pt>
                <c:pt idx="110">
                  <c:v>120.73</c:v>
                </c:pt>
                <c:pt idx="111">
                  <c:v>120.92</c:v>
                </c:pt>
                <c:pt idx="112">
                  <c:v>118.92</c:v>
                </c:pt>
                <c:pt idx="113">
                  <c:v>115.32</c:v>
                </c:pt>
                <c:pt idx="114">
                  <c:v>117.56</c:v>
                </c:pt>
                <c:pt idx="115">
                  <c:v>109.56</c:v>
                </c:pt>
                <c:pt idx="116">
                  <c:v>110.49</c:v>
                </c:pt>
                <c:pt idx="117">
                  <c:v>106.22</c:v>
                </c:pt>
                <c:pt idx="118">
                  <c:v>105.75</c:v>
                </c:pt>
                <c:pt idx="119">
                  <c:v>109.07</c:v>
                </c:pt>
                <c:pt idx="120">
                  <c:v>111.44</c:v>
                </c:pt>
                <c:pt idx="121">
                  <c:v>113.66</c:v>
                </c:pt>
                <c:pt idx="122">
                  <c:v>111.65</c:v>
                </c:pt>
                <c:pt idx="123">
                  <c:v>107.76</c:v>
                </c:pt>
                <c:pt idx="124">
                  <c:v>110.3</c:v>
                </c:pt>
                <c:pt idx="125">
                  <c:v>101.55</c:v>
                </c:pt>
                <c:pt idx="126">
                  <c:v>100.31</c:v>
                </c:pt>
                <c:pt idx="127">
                  <c:v>104.62</c:v>
                </c:pt>
                <c:pt idx="128">
                  <c:v>106.78</c:v>
                </c:pt>
                <c:pt idx="129">
                  <c:v>106.09</c:v>
                </c:pt>
                <c:pt idx="130">
                  <c:v>97.69</c:v>
                </c:pt>
                <c:pt idx="131">
                  <c:v>98.44</c:v>
                </c:pt>
                <c:pt idx="132">
                  <c:v>97.79</c:v>
                </c:pt>
                <c:pt idx="133">
                  <c:v>99.59</c:v>
                </c:pt>
                <c:pt idx="134">
                  <c:v>104.48</c:v>
                </c:pt>
                <c:pt idx="135">
                  <c:v>106.12</c:v>
                </c:pt>
                <c:pt idx="136">
                  <c:v>104.45</c:v>
                </c:pt>
                <c:pt idx="137">
                  <c:v>98.44</c:v>
                </c:pt>
                <c:pt idx="138">
                  <c:v>97.71</c:v>
                </c:pt>
                <c:pt idx="139">
                  <c:v>99.83</c:v>
                </c:pt>
                <c:pt idx="140">
                  <c:v>97.74</c:v>
                </c:pt>
                <c:pt idx="141">
                  <c:v>100.03</c:v>
                </c:pt>
                <c:pt idx="142">
                  <c:v>99.11</c:v>
                </c:pt>
                <c:pt idx="143">
                  <c:v>101.31</c:v>
                </c:pt>
                <c:pt idx="144">
                  <c:v>96.59</c:v>
                </c:pt>
                <c:pt idx="145">
                  <c:v>97.14</c:v>
                </c:pt>
                <c:pt idx="146">
                  <c:v>93.25</c:v>
                </c:pt>
                <c:pt idx="147">
                  <c:v>91.29</c:v>
                </c:pt>
                <c:pt idx="148">
                  <c:v>91.77</c:v>
                </c:pt>
                <c:pt idx="149">
                  <c:v>93.52</c:v>
                </c:pt>
                <c:pt idx="150">
                  <c:v>93.18</c:v>
                </c:pt>
                <c:pt idx="151">
                  <c:v>94.68</c:v>
                </c:pt>
                <c:pt idx="152">
                  <c:v>97.02</c:v>
                </c:pt>
                <c:pt idx="153">
                  <c:v>94.86</c:v>
                </c:pt>
                <c:pt idx="154">
                  <c:v>92.24</c:v>
                </c:pt>
                <c:pt idx="155">
                  <c:v>89.23</c:v>
                </c:pt>
                <c:pt idx="156">
                  <c:v>90.85</c:v>
                </c:pt>
                <c:pt idx="157">
                  <c:v>93.2</c:v>
                </c:pt>
                <c:pt idx="158">
                  <c:v>93.55</c:v>
                </c:pt>
                <c:pt idx="159">
                  <c:v>93.42</c:v>
                </c:pt>
                <c:pt idx="160">
                  <c:v>96.46</c:v>
                </c:pt>
                <c:pt idx="161">
                  <c:v>95.52</c:v>
                </c:pt>
                <c:pt idx="162">
                  <c:v>93.33</c:v>
                </c:pt>
                <c:pt idx="163">
                  <c:v>93.63</c:v>
                </c:pt>
                <c:pt idx="164">
                  <c:v>97.4</c:v>
                </c:pt>
                <c:pt idx="165">
                  <c:v>92.08</c:v>
                </c:pt>
                <c:pt idx="166">
                  <c:v>90.09</c:v>
                </c:pt>
                <c:pt idx="167">
                  <c:v>87.09</c:v>
                </c:pt>
                <c:pt idx="168">
                  <c:v>87.29</c:v>
                </c:pt>
                <c:pt idx="169">
                  <c:v>87.35</c:v>
                </c:pt>
                <c:pt idx="170">
                  <c:v>82.5</c:v>
                </c:pt>
                <c:pt idx="171">
                  <c:v>84.04</c:v>
                </c:pt>
                <c:pt idx="172">
                  <c:v>87.27</c:v>
                </c:pt>
                <c:pt idx="173">
                  <c:v>88.18</c:v>
                </c:pt>
                <c:pt idx="174">
                  <c:v>87.84</c:v>
                </c:pt>
                <c:pt idx="175">
                  <c:v>88.88</c:v>
                </c:pt>
                <c:pt idx="176">
                  <c:v>85.72</c:v>
                </c:pt>
                <c:pt idx="177">
                  <c:v>85.57</c:v>
                </c:pt>
                <c:pt idx="178">
                  <c:v>86.15</c:v>
                </c:pt>
                <c:pt idx="179">
                  <c:v>84.69</c:v>
                </c:pt>
                <c:pt idx="180">
                  <c:v>83.38</c:v>
                </c:pt>
                <c:pt idx="181">
                  <c:v>84.02</c:v>
                </c:pt>
                <c:pt idx="182">
                  <c:v>79.069999999999993</c:v>
                </c:pt>
                <c:pt idx="183">
                  <c:v>77.17</c:v>
                </c:pt>
                <c:pt idx="184">
                  <c:v>78.91</c:v>
                </c:pt>
                <c:pt idx="185">
                  <c:v>82.61</c:v>
                </c:pt>
                <c:pt idx="186">
                  <c:v>81.78</c:v>
                </c:pt>
                <c:pt idx="187">
                  <c:v>79.91</c:v>
                </c:pt>
                <c:pt idx="188">
                  <c:v>84.05</c:v>
                </c:pt>
                <c:pt idx="189">
                  <c:v>86.87</c:v>
                </c:pt>
                <c:pt idx="190">
                  <c:v>88.22</c:v>
                </c:pt>
                <c:pt idx="191">
                  <c:v>88.9</c:v>
                </c:pt>
                <c:pt idx="192">
                  <c:v>93.07</c:v>
                </c:pt>
                <c:pt idx="193">
                  <c:v>91.6</c:v>
                </c:pt>
                <c:pt idx="194">
                  <c:v>89.75</c:v>
                </c:pt>
                <c:pt idx="195">
                  <c:v>87.83</c:v>
                </c:pt>
                <c:pt idx="196">
                  <c:v>89.59</c:v>
                </c:pt>
                <c:pt idx="197">
                  <c:v>86.1</c:v>
                </c:pt>
                <c:pt idx="198">
                  <c:v>86</c:v>
                </c:pt>
                <c:pt idx="199">
                  <c:v>83.29</c:v>
                </c:pt>
                <c:pt idx="200">
                  <c:v>86</c:v>
                </c:pt>
                <c:pt idx="201">
                  <c:v>86.02</c:v>
                </c:pt>
                <c:pt idx="202">
                  <c:v>85.47</c:v>
                </c:pt>
                <c:pt idx="203">
                  <c:v>86.12</c:v>
                </c:pt>
                <c:pt idx="204">
                  <c:v>86.93</c:v>
                </c:pt>
                <c:pt idx="205">
                  <c:v>89.39</c:v>
                </c:pt>
                <c:pt idx="206">
                  <c:v>89.06</c:v>
                </c:pt>
                <c:pt idx="207">
                  <c:v>87.85</c:v>
                </c:pt>
                <c:pt idx="208">
                  <c:v>86.54</c:v>
                </c:pt>
                <c:pt idx="209">
                  <c:v>88.36</c:v>
                </c:pt>
                <c:pt idx="210">
                  <c:v>90.06</c:v>
                </c:pt>
                <c:pt idx="211">
                  <c:v>88.14</c:v>
                </c:pt>
                <c:pt idx="212">
                  <c:v>92.58</c:v>
                </c:pt>
                <c:pt idx="213">
                  <c:v>91.8</c:v>
                </c:pt>
                <c:pt idx="214">
                  <c:v>88.8</c:v>
                </c:pt>
                <c:pt idx="215">
                  <c:v>85.79</c:v>
                </c:pt>
                <c:pt idx="216">
                  <c:v>86.52</c:v>
                </c:pt>
                <c:pt idx="217">
                  <c:v>89.14</c:v>
                </c:pt>
                <c:pt idx="218">
                  <c:v>85.85</c:v>
                </c:pt>
                <c:pt idx="219">
                  <c:v>86.87</c:v>
                </c:pt>
                <c:pt idx="220">
                  <c:v>85.62</c:v>
                </c:pt>
                <c:pt idx="221">
                  <c:v>81.69</c:v>
                </c:pt>
                <c:pt idx="222">
                  <c:v>80.069999999999993</c:v>
                </c:pt>
                <c:pt idx="223">
                  <c:v>79.739999999999995</c:v>
                </c:pt>
                <c:pt idx="224">
                  <c:v>80.83</c:v>
                </c:pt>
                <c:pt idx="225">
                  <c:v>77.930000000000007</c:v>
                </c:pt>
                <c:pt idx="226">
                  <c:v>76.45</c:v>
                </c:pt>
                <c:pt idx="227">
                  <c:v>77.099999999999994</c:v>
                </c:pt>
                <c:pt idx="228">
                  <c:v>77.959999999999994</c:v>
                </c:pt>
                <c:pt idx="229">
                  <c:v>80.48</c:v>
                </c:pt>
                <c:pt idx="230">
                  <c:v>81.06</c:v>
                </c:pt>
                <c:pt idx="231">
                  <c:v>79.86</c:v>
                </c:pt>
                <c:pt idx="232">
                  <c:v>76.83</c:v>
                </c:pt>
                <c:pt idx="233">
                  <c:v>74.209999999999994</c:v>
                </c:pt>
                <c:pt idx="234">
                  <c:v>71.930000000000007</c:v>
                </c:pt>
                <c:pt idx="235">
                  <c:v>71.3</c:v>
                </c:pt>
                <c:pt idx="236">
                  <c:v>71.05</c:v>
                </c:pt>
                <c:pt idx="237">
                  <c:v>72.959999999999994</c:v>
                </c:pt>
                <c:pt idx="238">
                  <c:v>75.44</c:v>
                </c:pt>
                <c:pt idx="239">
                  <c:v>77.14</c:v>
                </c:pt>
                <c:pt idx="240">
                  <c:v>75.89</c:v>
                </c:pt>
                <c:pt idx="241">
                  <c:v>74.19</c:v>
                </c:pt>
                <c:pt idx="242">
                  <c:v>75.05</c:v>
                </c:pt>
                <c:pt idx="243">
                  <c:v>75.92</c:v>
                </c:pt>
                <c:pt idx="244">
                  <c:v>78.17</c:v>
                </c:pt>
                <c:pt idx="245">
                  <c:v>77.680000000000007</c:v>
                </c:pt>
                <c:pt idx="246">
                  <c:v>79.569999999999993</c:v>
                </c:pt>
                <c:pt idx="247">
                  <c:v>79.45</c:v>
                </c:pt>
                <c:pt idx="248">
                  <c:v>78.89</c:v>
                </c:pt>
                <c:pt idx="249">
                  <c:v>78.430000000000007</c:v>
                </c:pt>
                <c:pt idx="250">
                  <c:v>80.16</c:v>
                </c:pt>
              </c:numCache>
            </c:numRef>
          </c:val>
          <c:smooth val="0"/>
          <c:extLst>
            <c:ext xmlns:c16="http://schemas.microsoft.com/office/drawing/2014/chart" uri="{C3380CC4-5D6E-409C-BE32-E72D297353CC}">
              <c16:uniqueId val="{00000006-E55B-492F-A7E4-F2E1F2CD5A3D}"/>
            </c:ext>
          </c:extLst>
        </c:ser>
        <c:dLbls>
          <c:showLegendKey val="0"/>
          <c:showVal val="0"/>
          <c:showCatName val="0"/>
          <c:showSerName val="0"/>
          <c:showPercent val="0"/>
          <c:showBubbleSize val="0"/>
        </c:dLbls>
        <c:smooth val="0"/>
        <c:axId val="1500902960"/>
        <c:axId val="1500871760"/>
      </c:lineChart>
      <c:dateAx>
        <c:axId val="1500902960"/>
        <c:scaling>
          <c:orientation val="minMax"/>
        </c:scaling>
        <c:delete val="0"/>
        <c:axPos val="b"/>
        <c:numFmt formatCode="mmm\-yy" sourceLinked="0"/>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500871760"/>
        <c:crosses val="autoZero"/>
        <c:auto val="1"/>
        <c:lblOffset val="100"/>
        <c:baseTimeUnit val="days"/>
      </c:dateAx>
      <c:valAx>
        <c:axId val="1500871760"/>
        <c:scaling>
          <c:orientation val="minMax"/>
          <c:max val="125"/>
          <c:min val="40"/>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900" baseline="0"/>
                  <a:t>USD$ por barril</a:t>
                </a:r>
                <a:endParaRPr lang="es-GT" sz="900"/>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500902960"/>
        <c:crosses val="autoZero"/>
        <c:crossBetween val="between"/>
      </c:valAx>
    </c:plotArea>
    <c:plotVisOnly val="1"/>
    <c:dispBlanksAs val="gap"/>
    <c:showDLblsOverMax val="0"/>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448587581076455"/>
          <c:y val="6.4675925925925928E-2"/>
          <c:w val="0.77081229123680339"/>
          <c:h val="0.75960416666666664"/>
        </c:manualLayout>
      </c:layout>
      <c:lineChart>
        <c:grouping val="standard"/>
        <c:varyColors val="0"/>
        <c:ser>
          <c:idx val="0"/>
          <c:order val="0"/>
          <c:tx>
            <c:strRef>
              <c:f>cornWheatChart!$B$2</c:f>
              <c:strCache>
                <c:ptCount val="1"/>
                <c:pt idx="0">
                  <c:v>Maíz</c:v>
                </c:pt>
              </c:strCache>
            </c:strRef>
          </c:tx>
          <c:spPr>
            <a:ln w="15875">
              <a:solidFill>
                <a:schemeClr val="accent5"/>
              </a:solidFill>
            </a:ln>
          </c:spPr>
          <c:marker>
            <c:symbol val="none"/>
          </c:marker>
          <c:dLbls>
            <c:dLbl>
              <c:idx val="0"/>
              <c:layout>
                <c:manualLayout>
                  <c:x val="-3.7638202775817496E-2"/>
                  <c:y val="4.1164363422522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866-4A02-86CE-03BD9E806DF6}"/>
                </c:ext>
              </c:extLst>
            </c:dLbl>
            <c:dLbl>
              <c:idx val="253"/>
              <c:layout>
                <c:manualLayout>
                  <c:x val="0"/>
                  <c:y val="7.05674801528962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866-4A02-86CE-03BD9E806DF6}"/>
                </c:ext>
              </c:extLst>
            </c:dLbl>
            <c:spPr>
              <a:noFill/>
              <a:ln>
                <a:noFill/>
              </a:ln>
              <a:effectLst/>
            </c:spPr>
            <c:txPr>
              <a:bodyPr wrap="square" lIns="38100" tIns="19050" rIns="38100" bIns="19050" anchor="ctr">
                <a:spAutoFit/>
              </a:bodyPr>
              <a:lstStyle/>
              <a:p>
                <a:pPr>
                  <a:defRPr sz="900" b="1">
                    <a:solidFill>
                      <a:schemeClr val="accent5"/>
                    </a:solidFill>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cornWheatChart!$A$3:$A$256</c:f>
              <c:numCache>
                <c:formatCode>mmm\-yy</c:formatCode>
                <c:ptCount val="254"/>
                <c:pt idx="0">
                  <c:v>44564</c:v>
                </c:pt>
                <c:pt idx="1">
                  <c:v>44565</c:v>
                </c:pt>
                <c:pt idx="2">
                  <c:v>44566</c:v>
                </c:pt>
                <c:pt idx="3">
                  <c:v>44567</c:v>
                </c:pt>
                <c:pt idx="4">
                  <c:v>44568</c:v>
                </c:pt>
                <c:pt idx="5">
                  <c:v>44571</c:v>
                </c:pt>
                <c:pt idx="6">
                  <c:v>44572</c:v>
                </c:pt>
                <c:pt idx="7">
                  <c:v>44573</c:v>
                </c:pt>
                <c:pt idx="8">
                  <c:v>44574</c:v>
                </c:pt>
                <c:pt idx="9">
                  <c:v>44575</c:v>
                </c:pt>
                <c:pt idx="10">
                  <c:v>44579</c:v>
                </c:pt>
                <c:pt idx="11">
                  <c:v>44580</c:v>
                </c:pt>
                <c:pt idx="12">
                  <c:v>44581</c:v>
                </c:pt>
                <c:pt idx="13">
                  <c:v>44582</c:v>
                </c:pt>
                <c:pt idx="14">
                  <c:v>44585</c:v>
                </c:pt>
                <c:pt idx="15">
                  <c:v>44586</c:v>
                </c:pt>
                <c:pt idx="16">
                  <c:v>44587</c:v>
                </c:pt>
                <c:pt idx="17">
                  <c:v>44588</c:v>
                </c:pt>
                <c:pt idx="18">
                  <c:v>44589</c:v>
                </c:pt>
                <c:pt idx="19">
                  <c:v>44592</c:v>
                </c:pt>
                <c:pt idx="20">
                  <c:v>44593</c:v>
                </c:pt>
                <c:pt idx="21">
                  <c:v>44594</c:v>
                </c:pt>
                <c:pt idx="22">
                  <c:v>44595</c:v>
                </c:pt>
                <c:pt idx="23">
                  <c:v>44596</c:v>
                </c:pt>
                <c:pt idx="24">
                  <c:v>44599</c:v>
                </c:pt>
                <c:pt idx="25">
                  <c:v>44600</c:v>
                </c:pt>
                <c:pt idx="26">
                  <c:v>44601</c:v>
                </c:pt>
                <c:pt idx="27">
                  <c:v>44602</c:v>
                </c:pt>
                <c:pt idx="28">
                  <c:v>44603</c:v>
                </c:pt>
                <c:pt idx="29">
                  <c:v>44606</c:v>
                </c:pt>
                <c:pt idx="30">
                  <c:v>44607</c:v>
                </c:pt>
                <c:pt idx="31">
                  <c:v>44608</c:v>
                </c:pt>
                <c:pt idx="32">
                  <c:v>44609</c:v>
                </c:pt>
                <c:pt idx="33">
                  <c:v>44610</c:v>
                </c:pt>
                <c:pt idx="34">
                  <c:v>44614</c:v>
                </c:pt>
                <c:pt idx="35">
                  <c:v>44615</c:v>
                </c:pt>
                <c:pt idx="36">
                  <c:v>44616</c:v>
                </c:pt>
                <c:pt idx="37">
                  <c:v>44617</c:v>
                </c:pt>
                <c:pt idx="38">
                  <c:v>44620</c:v>
                </c:pt>
                <c:pt idx="39">
                  <c:v>44621</c:v>
                </c:pt>
                <c:pt idx="40">
                  <c:v>44622</c:v>
                </c:pt>
                <c:pt idx="41">
                  <c:v>44623</c:v>
                </c:pt>
                <c:pt idx="42">
                  <c:v>44624</c:v>
                </c:pt>
                <c:pt idx="43">
                  <c:v>44627</c:v>
                </c:pt>
                <c:pt idx="44">
                  <c:v>44628</c:v>
                </c:pt>
                <c:pt idx="45">
                  <c:v>44629</c:v>
                </c:pt>
                <c:pt idx="46">
                  <c:v>44630</c:v>
                </c:pt>
                <c:pt idx="47">
                  <c:v>44631</c:v>
                </c:pt>
                <c:pt idx="48">
                  <c:v>44634</c:v>
                </c:pt>
                <c:pt idx="49">
                  <c:v>44635</c:v>
                </c:pt>
                <c:pt idx="50">
                  <c:v>44636</c:v>
                </c:pt>
                <c:pt idx="51">
                  <c:v>44637</c:v>
                </c:pt>
                <c:pt idx="52">
                  <c:v>44638</c:v>
                </c:pt>
                <c:pt idx="53">
                  <c:v>44641</c:v>
                </c:pt>
                <c:pt idx="54">
                  <c:v>44642</c:v>
                </c:pt>
                <c:pt idx="55">
                  <c:v>44643</c:v>
                </c:pt>
                <c:pt idx="56">
                  <c:v>44644</c:v>
                </c:pt>
                <c:pt idx="57">
                  <c:v>44645</c:v>
                </c:pt>
                <c:pt idx="58">
                  <c:v>44648</c:v>
                </c:pt>
                <c:pt idx="59">
                  <c:v>44649</c:v>
                </c:pt>
                <c:pt idx="60">
                  <c:v>44650</c:v>
                </c:pt>
                <c:pt idx="61">
                  <c:v>44651</c:v>
                </c:pt>
                <c:pt idx="62">
                  <c:v>44652</c:v>
                </c:pt>
                <c:pt idx="63">
                  <c:v>44655</c:v>
                </c:pt>
                <c:pt idx="64">
                  <c:v>44656</c:v>
                </c:pt>
                <c:pt idx="65">
                  <c:v>44657</c:v>
                </c:pt>
                <c:pt idx="66">
                  <c:v>44658</c:v>
                </c:pt>
                <c:pt idx="67">
                  <c:v>44659</c:v>
                </c:pt>
                <c:pt idx="68">
                  <c:v>44662</c:v>
                </c:pt>
                <c:pt idx="69">
                  <c:v>44663</c:v>
                </c:pt>
                <c:pt idx="70">
                  <c:v>44664</c:v>
                </c:pt>
                <c:pt idx="71">
                  <c:v>44665</c:v>
                </c:pt>
                <c:pt idx="72">
                  <c:v>44666</c:v>
                </c:pt>
                <c:pt idx="73">
                  <c:v>44669</c:v>
                </c:pt>
                <c:pt idx="74">
                  <c:v>44670</c:v>
                </c:pt>
                <c:pt idx="75">
                  <c:v>44671</c:v>
                </c:pt>
                <c:pt idx="76">
                  <c:v>44672</c:v>
                </c:pt>
                <c:pt idx="77">
                  <c:v>44673</c:v>
                </c:pt>
                <c:pt idx="78">
                  <c:v>44676</c:v>
                </c:pt>
                <c:pt idx="79">
                  <c:v>44677</c:v>
                </c:pt>
                <c:pt idx="80">
                  <c:v>44678</c:v>
                </c:pt>
                <c:pt idx="81">
                  <c:v>44679</c:v>
                </c:pt>
                <c:pt idx="82">
                  <c:v>44680</c:v>
                </c:pt>
                <c:pt idx="83">
                  <c:v>44683</c:v>
                </c:pt>
                <c:pt idx="84">
                  <c:v>44684</c:v>
                </c:pt>
                <c:pt idx="85">
                  <c:v>44685</c:v>
                </c:pt>
                <c:pt idx="86">
                  <c:v>44686</c:v>
                </c:pt>
                <c:pt idx="87">
                  <c:v>44687</c:v>
                </c:pt>
                <c:pt idx="88">
                  <c:v>44690</c:v>
                </c:pt>
                <c:pt idx="89">
                  <c:v>44691</c:v>
                </c:pt>
                <c:pt idx="90">
                  <c:v>44692</c:v>
                </c:pt>
                <c:pt idx="91">
                  <c:v>44693</c:v>
                </c:pt>
                <c:pt idx="92">
                  <c:v>44694</c:v>
                </c:pt>
                <c:pt idx="93">
                  <c:v>44697</c:v>
                </c:pt>
                <c:pt idx="94">
                  <c:v>44698</c:v>
                </c:pt>
                <c:pt idx="95">
                  <c:v>44699</c:v>
                </c:pt>
                <c:pt idx="96">
                  <c:v>44700</c:v>
                </c:pt>
                <c:pt idx="97">
                  <c:v>44701</c:v>
                </c:pt>
                <c:pt idx="98">
                  <c:v>44704</c:v>
                </c:pt>
                <c:pt idx="99">
                  <c:v>44705</c:v>
                </c:pt>
                <c:pt idx="100">
                  <c:v>44706</c:v>
                </c:pt>
                <c:pt idx="101">
                  <c:v>44707</c:v>
                </c:pt>
                <c:pt idx="102">
                  <c:v>44708</c:v>
                </c:pt>
                <c:pt idx="103">
                  <c:v>44711</c:v>
                </c:pt>
                <c:pt idx="104">
                  <c:v>44712</c:v>
                </c:pt>
                <c:pt idx="105">
                  <c:v>44713</c:v>
                </c:pt>
                <c:pt idx="106">
                  <c:v>44714</c:v>
                </c:pt>
                <c:pt idx="107">
                  <c:v>44715</c:v>
                </c:pt>
                <c:pt idx="108">
                  <c:v>44718</c:v>
                </c:pt>
                <c:pt idx="109">
                  <c:v>44719</c:v>
                </c:pt>
                <c:pt idx="110">
                  <c:v>44720</c:v>
                </c:pt>
                <c:pt idx="111">
                  <c:v>44721</c:v>
                </c:pt>
                <c:pt idx="112">
                  <c:v>44722</c:v>
                </c:pt>
                <c:pt idx="113">
                  <c:v>44725</c:v>
                </c:pt>
                <c:pt idx="114">
                  <c:v>44726</c:v>
                </c:pt>
                <c:pt idx="115">
                  <c:v>44727</c:v>
                </c:pt>
                <c:pt idx="116">
                  <c:v>44728</c:v>
                </c:pt>
                <c:pt idx="117">
                  <c:v>44729</c:v>
                </c:pt>
                <c:pt idx="118">
                  <c:v>44733</c:v>
                </c:pt>
                <c:pt idx="119">
                  <c:v>44734</c:v>
                </c:pt>
                <c:pt idx="120">
                  <c:v>44735</c:v>
                </c:pt>
                <c:pt idx="121">
                  <c:v>44736</c:v>
                </c:pt>
                <c:pt idx="122">
                  <c:v>44739</c:v>
                </c:pt>
                <c:pt idx="123">
                  <c:v>44740</c:v>
                </c:pt>
                <c:pt idx="124">
                  <c:v>44741</c:v>
                </c:pt>
                <c:pt idx="125">
                  <c:v>44742</c:v>
                </c:pt>
                <c:pt idx="126">
                  <c:v>44743</c:v>
                </c:pt>
                <c:pt idx="127">
                  <c:v>44747</c:v>
                </c:pt>
                <c:pt idx="128">
                  <c:v>44748</c:v>
                </c:pt>
                <c:pt idx="129">
                  <c:v>44749</c:v>
                </c:pt>
                <c:pt idx="130">
                  <c:v>44750</c:v>
                </c:pt>
                <c:pt idx="131">
                  <c:v>44753</c:v>
                </c:pt>
                <c:pt idx="132">
                  <c:v>44754</c:v>
                </c:pt>
                <c:pt idx="133">
                  <c:v>44755</c:v>
                </c:pt>
                <c:pt idx="134">
                  <c:v>44756</c:v>
                </c:pt>
                <c:pt idx="135">
                  <c:v>44757</c:v>
                </c:pt>
                <c:pt idx="136">
                  <c:v>44760</c:v>
                </c:pt>
                <c:pt idx="137">
                  <c:v>44761</c:v>
                </c:pt>
                <c:pt idx="138">
                  <c:v>44762</c:v>
                </c:pt>
                <c:pt idx="139">
                  <c:v>44763</c:v>
                </c:pt>
                <c:pt idx="140">
                  <c:v>44764</c:v>
                </c:pt>
                <c:pt idx="141">
                  <c:v>44767</c:v>
                </c:pt>
                <c:pt idx="142">
                  <c:v>44768</c:v>
                </c:pt>
                <c:pt idx="143">
                  <c:v>44769</c:v>
                </c:pt>
                <c:pt idx="144">
                  <c:v>44770</c:v>
                </c:pt>
                <c:pt idx="145">
                  <c:v>44771</c:v>
                </c:pt>
                <c:pt idx="146">
                  <c:v>44774</c:v>
                </c:pt>
                <c:pt idx="147">
                  <c:v>44775</c:v>
                </c:pt>
                <c:pt idx="148">
                  <c:v>44776</c:v>
                </c:pt>
                <c:pt idx="149">
                  <c:v>44777</c:v>
                </c:pt>
                <c:pt idx="150">
                  <c:v>44778</c:v>
                </c:pt>
                <c:pt idx="151">
                  <c:v>44781</c:v>
                </c:pt>
                <c:pt idx="152">
                  <c:v>44782</c:v>
                </c:pt>
                <c:pt idx="153">
                  <c:v>44783</c:v>
                </c:pt>
                <c:pt idx="154">
                  <c:v>44784</c:v>
                </c:pt>
                <c:pt idx="155">
                  <c:v>44785</c:v>
                </c:pt>
                <c:pt idx="156">
                  <c:v>44788</c:v>
                </c:pt>
                <c:pt idx="157">
                  <c:v>44789</c:v>
                </c:pt>
                <c:pt idx="158">
                  <c:v>44790</c:v>
                </c:pt>
                <c:pt idx="159">
                  <c:v>44791</c:v>
                </c:pt>
                <c:pt idx="160">
                  <c:v>44792</c:v>
                </c:pt>
                <c:pt idx="161">
                  <c:v>44795</c:v>
                </c:pt>
                <c:pt idx="162">
                  <c:v>44796</c:v>
                </c:pt>
                <c:pt idx="163">
                  <c:v>44797</c:v>
                </c:pt>
                <c:pt idx="164">
                  <c:v>44798</c:v>
                </c:pt>
                <c:pt idx="165">
                  <c:v>44799</c:v>
                </c:pt>
                <c:pt idx="166">
                  <c:v>44802</c:v>
                </c:pt>
                <c:pt idx="167">
                  <c:v>44803</c:v>
                </c:pt>
                <c:pt idx="168">
                  <c:v>44804</c:v>
                </c:pt>
                <c:pt idx="169">
                  <c:v>44805</c:v>
                </c:pt>
                <c:pt idx="170">
                  <c:v>44806</c:v>
                </c:pt>
                <c:pt idx="171">
                  <c:v>44809</c:v>
                </c:pt>
                <c:pt idx="172">
                  <c:v>44810</c:v>
                </c:pt>
                <c:pt idx="173">
                  <c:v>44811</c:v>
                </c:pt>
                <c:pt idx="174">
                  <c:v>44812</c:v>
                </c:pt>
                <c:pt idx="175">
                  <c:v>44813</c:v>
                </c:pt>
                <c:pt idx="176">
                  <c:v>44816</c:v>
                </c:pt>
                <c:pt idx="177">
                  <c:v>44817</c:v>
                </c:pt>
                <c:pt idx="178">
                  <c:v>44818</c:v>
                </c:pt>
                <c:pt idx="179">
                  <c:v>44819</c:v>
                </c:pt>
                <c:pt idx="180">
                  <c:v>44820</c:v>
                </c:pt>
                <c:pt idx="181">
                  <c:v>44823</c:v>
                </c:pt>
                <c:pt idx="182">
                  <c:v>44824</c:v>
                </c:pt>
                <c:pt idx="183">
                  <c:v>44825</c:v>
                </c:pt>
                <c:pt idx="184">
                  <c:v>44826</c:v>
                </c:pt>
                <c:pt idx="185">
                  <c:v>44827</c:v>
                </c:pt>
                <c:pt idx="186">
                  <c:v>44830</c:v>
                </c:pt>
                <c:pt idx="187">
                  <c:v>44831</c:v>
                </c:pt>
                <c:pt idx="188">
                  <c:v>44832</c:v>
                </c:pt>
                <c:pt idx="189">
                  <c:v>44833</c:v>
                </c:pt>
                <c:pt idx="190">
                  <c:v>44834</c:v>
                </c:pt>
                <c:pt idx="191">
                  <c:v>44837</c:v>
                </c:pt>
                <c:pt idx="192">
                  <c:v>44838</c:v>
                </c:pt>
                <c:pt idx="193">
                  <c:v>44839</c:v>
                </c:pt>
                <c:pt idx="194">
                  <c:v>44840</c:v>
                </c:pt>
                <c:pt idx="195">
                  <c:v>44841</c:v>
                </c:pt>
                <c:pt idx="196">
                  <c:v>44844</c:v>
                </c:pt>
                <c:pt idx="197">
                  <c:v>44845</c:v>
                </c:pt>
                <c:pt idx="198">
                  <c:v>44846</c:v>
                </c:pt>
                <c:pt idx="199">
                  <c:v>44847</c:v>
                </c:pt>
                <c:pt idx="200">
                  <c:v>44848</c:v>
                </c:pt>
                <c:pt idx="201">
                  <c:v>44851</c:v>
                </c:pt>
                <c:pt idx="202">
                  <c:v>44852</c:v>
                </c:pt>
                <c:pt idx="203">
                  <c:v>44853</c:v>
                </c:pt>
                <c:pt idx="204">
                  <c:v>44854</c:v>
                </c:pt>
                <c:pt idx="205">
                  <c:v>44855</c:v>
                </c:pt>
                <c:pt idx="206">
                  <c:v>44858</c:v>
                </c:pt>
                <c:pt idx="207">
                  <c:v>44859</c:v>
                </c:pt>
                <c:pt idx="208">
                  <c:v>44860</c:v>
                </c:pt>
                <c:pt idx="209">
                  <c:v>44861</c:v>
                </c:pt>
                <c:pt idx="210">
                  <c:v>44862</c:v>
                </c:pt>
                <c:pt idx="211">
                  <c:v>44865</c:v>
                </c:pt>
                <c:pt idx="212">
                  <c:v>44866</c:v>
                </c:pt>
                <c:pt idx="213">
                  <c:v>44867</c:v>
                </c:pt>
                <c:pt idx="214">
                  <c:v>44868</c:v>
                </c:pt>
                <c:pt idx="215">
                  <c:v>44869</c:v>
                </c:pt>
                <c:pt idx="216">
                  <c:v>44872</c:v>
                </c:pt>
                <c:pt idx="217">
                  <c:v>44873</c:v>
                </c:pt>
                <c:pt idx="218">
                  <c:v>44874</c:v>
                </c:pt>
                <c:pt idx="219">
                  <c:v>44875</c:v>
                </c:pt>
                <c:pt idx="220">
                  <c:v>44876</c:v>
                </c:pt>
                <c:pt idx="221">
                  <c:v>44879</c:v>
                </c:pt>
                <c:pt idx="222">
                  <c:v>44880</c:v>
                </c:pt>
                <c:pt idx="223">
                  <c:v>44881</c:v>
                </c:pt>
                <c:pt idx="224">
                  <c:v>44882</c:v>
                </c:pt>
                <c:pt idx="225">
                  <c:v>44883</c:v>
                </c:pt>
                <c:pt idx="226">
                  <c:v>44886</c:v>
                </c:pt>
                <c:pt idx="227">
                  <c:v>44887</c:v>
                </c:pt>
                <c:pt idx="228">
                  <c:v>44888</c:v>
                </c:pt>
                <c:pt idx="229">
                  <c:v>44890</c:v>
                </c:pt>
                <c:pt idx="230">
                  <c:v>44893</c:v>
                </c:pt>
                <c:pt idx="231">
                  <c:v>44894</c:v>
                </c:pt>
                <c:pt idx="232">
                  <c:v>44895</c:v>
                </c:pt>
                <c:pt idx="233">
                  <c:v>44896</c:v>
                </c:pt>
                <c:pt idx="234">
                  <c:v>44897</c:v>
                </c:pt>
                <c:pt idx="235">
                  <c:v>44900</c:v>
                </c:pt>
                <c:pt idx="236">
                  <c:v>44901</c:v>
                </c:pt>
                <c:pt idx="237">
                  <c:v>44902</c:v>
                </c:pt>
                <c:pt idx="238">
                  <c:v>44903</c:v>
                </c:pt>
                <c:pt idx="239">
                  <c:v>44904</c:v>
                </c:pt>
                <c:pt idx="240">
                  <c:v>44907</c:v>
                </c:pt>
                <c:pt idx="241">
                  <c:v>44908</c:v>
                </c:pt>
                <c:pt idx="242">
                  <c:v>44909</c:v>
                </c:pt>
                <c:pt idx="243">
                  <c:v>44910</c:v>
                </c:pt>
                <c:pt idx="244">
                  <c:v>44911</c:v>
                </c:pt>
                <c:pt idx="245">
                  <c:v>44914</c:v>
                </c:pt>
                <c:pt idx="246">
                  <c:v>44915</c:v>
                </c:pt>
                <c:pt idx="247">
                  <c:v>44916</c:v>
                </c:pt>
                <c:pt idx="248">
                  <c:v>44917</c:v>
                </c:pt>
                <c:pt idx="249">
                  <c:v>44918</c:v>
                </c:pt>
                <c:pt idx="250">
                  <c:v>44922</c:v>
                </c:pt>
                <c:pt idx="251">
                  <c:v>44923</c:v>
                </c:pt>
                <c:pt idx="252">
                  <c:v>44924</c:v>
                </c:pt>
                <c:pt idx="253">
                  <c:v>44925</c:v>
                </c:pt>
              </c:numCache>
            </c:numRef>
          </c:cat>
          <c:val>
            <c:numRef>
              <c:f>cornWheatChart!$B$3:$B$256</c:f>
              <c:numCache>
                <c:formatCode>0.0</c:formatCode>
                <c:ptCount val="254"/>
                <c:pt idx="0">
                  <c:v>589.25</c:v>
                </c:pt>
                <c:pt idx="1">
                  <c:v>609.5</c:v>
                </c:pt>
                <c:pt idx="2">
                  <c:v>602.25</c:v>
                </c:pt>
                <c:pt idx="3">
                  <c:v>603.75</c:v>
                </c:pt>
                <c:pt idx="4">
                  <c:v>606.75</c:v>
                </c:pt>
                <c:pt idx="5">
                  <c:v>599.75</c:v>
                </c:pt>
                <c:pt idx="6">
                  <c:v>601</c:v>
                </c:pt>
                <c:pt idx="7">
                  <c:v>599</c:v>
                </c:pt>
                <c:pt idx="8">
                  <c:v>587.5</c:v>
                </c:pt>
                <c:pt idx="9">
                  <c:v>596.25</c:v>
                </c:pt>
                <c:pt idx="10">
                  <c:v>599.5</c:v>
                </c:pt>
                <c:pt idx="11">
                  <c:v>610.5</c:v>
                </c:pt>
                <c:pt idx="12">
                  <c:v>611</c:v>
                </c:pt>
                <c:pt idx="13">
                  <c:v>616.25</c:v>
                </c:pt>
                <c:pt idx="14">
                  <c:v>621</c:v>
                </c:pt>
                <c:pt idx="15">
                  <c:v>620</c:v>
                </c:pt>
                <c:pt idx="16">
                  <c:v>627</c:v>
                </c:pt>
                <c:pt idx="17">
                  <c:v>625.25</c:v>
                </c:pt>
                <c:pt idx="18">
                  <c:v>636</c:v>
                </c:pt>
                <c:pt idx="19">
                  <c:v>626</c:v>
                </c:pt>
                <c:pt idx="20">
                  <c:v>634.75</c:v>
                </c:pt>
                <c:pt idx="21">
                  <c:v>622.5</c:v>
                </c:pt>
                <c:pt idx="22">
                  <c:v>616.75</c:v>
                </c:pt>
                <c:pt idx="23">
                  <c:v>620.5</c:v>
                </c:pt>
                <c:pt idx="24">
                  <c:v>635.25</c:v>
                </c:pt>
                <c:pt idx="25">
                  <c:v>632.25</c:v>
                </c:pt>
                <c:pt idx="26">
                  <c:v>646.75</c:v>
                </c:pt>
                <c:pt idx="27">
                  <c:v>641.75</c:v>
                </c:pt>
                <c:pt idx="28">
                  <c:v>651</c:v>
                </c:pt>
                <c:pt idx="29">
                  <c:v>655.75</c:v>
                </c:pt>
                <c:pt idx="30">
                  <c:v>638</c:v>
                </c:pt>
                <c:pt idx="31">
                  <c:v>647</c:v>
                </c:pt>
                <c:pt idx="32">
                  <c:v>650</c:v>
                </c:pt>
                <c:pt idx="33">
                  <c:v>654.25</c:v>
                </c:pt>
                <c:pt idx="34">
                  <c:v>674.75</c:v>
                </c:pt>
                <c:pt idx="35">
                  <c:v>683.75</c:v>
                </c:pt>
                <c:pt idx="36">
                  <c:v>695</c:v>
                </c:pt>
                <c:pt idx="37">
                  <c:v>659.5</c:v>
                </c:pt>
                <c:pt idx="38">
                  <c:v>697.5</c:v>
                </c:pt>
                <c:pt idx="39">
                  <c:v>739.75</c:v>
                </c:pt>
                <c:pt idx="40">
                  <c:v>739</c:v>
                </c:pt>
                <c:pt idx="41">
                  <c:v>751.25</c:v>
                </c:pt>
                <c:pt idx="42">
                  <c:v>756.5</c:v>
                </c:pt>
                <c:pt idx="43">
                  <c:v>749.25</c:v>
                </c:pt>
                <c:pt idx="44">
                  <c:v>754.5</c:v>
                </c:pt>
                <c:pt idx="45">
                  <c:v>735</c:v>
                </c:pt>
                <c:pt idx="46">
                  <c:v>757.75</c:v>
                </c:pt>
                <c:pt idx="47">
                  <c:v>764.5</c:v>
                </c:pt>
                <c:pt idx="48">
                  <c:v>728.25</c:v>
                </c:pt>
                <c:pt idx="49">
                  <c:v>758</c:v>
                </c:pt>
                <c:pt idx="50">
                  <c:v>730</c:v>
                </c:pt>
                <c:pt idx="51">
                  <c:v>754.5</c:v>
                </c:pt>
                <c:pt idx="52">
                  <c:v>741.75</c:v>
                </c:pt>
                <c:pt idx="53">
                  <c:v>756.25</c:v>
                </c:pt>
                <c:pt idx="54">
                  <c:v>753</c:v>
                </c:pt>
                <c:pt idx="55">
                  <c:v>757.75</c:v>
                </c:pt>
                <c:pt idx="56">
                  <c:v>748.25</c:v>
                </c:pt>
                <c:pt idx="57">
                  <c:v>754</c:v>
                </c:pt>
                <c:pt idx="58">
                  <c:v>748.5</c:v>
                </c:pt>
                <c:pt idx="59">
                  <c:v>726.25</c:v>
                </c:pt>
                <c:pt idx="60">
                  <c:v>738</c:v>
                </c:pt>
                <c:pt idx="61">
                  <c:v>748.75</c:v>
                </c:pt>
                <c:pt idx="62">
                  <c:v>735</c:v>
                </c:pt>
                <c:pt idx="63">
                  <c:v>750.5</c:v>
                </c:pt>
                <c:pt idx="64">
                  <c:v>759.75</c:v>
                </c:pt>
                <c:pt idx="65">
                  <c:v>756.5</c:v>
                </c:pt>
                <c:pt idx="66">
                  <c:v>757.75</c:v>
                </c:pt>
                <c:pt idx="67">
                  <c:v>768.75</c:v>
                </c:pt>
                <c:pt idx="68">
                  <c:v>764.5</c:v>
                </c:pt>
                <c:pt idx="69">
                  <c:v>776.25</c:v>
                </c:pt>
                <c:pt idx="70">
                  <c:v>783.5</c:v>
                </c:pt>
                <c:pt idx="71">
                  <c:v>790.25</c:v>
                </c:pt>
                <c:pt idx="72">
                  <c:v>791</c:v>
                </c:pt>
                <c:pt idx="73">
                  <c:v>813.25</c:v>
                </c:pt>
                <c:pt idx="74">
                  <c:v>804</c:v>
                </c:pt>
                <c:pt idx="75">
                  <c:v>815.75</c:v>
                </c:pt>
                <c:pt idx="76">
                  <c:v>799.25</c:v>
                </c:pt>
                <c:pt idx="77">
                  <c:v>793</c:v>
                </c:pt>
                <c:pt idx="78">
                  <c:v>800.25</c:v>
                </c:pt>
                <c:pt idx="79">
                  <c:v>803.25</c:v>
                </c:pt>
                <c:pt idx="80">
                  <c:v>815.5</c:v>
                </c:pt>
                <c:pt idx="81">
                  <c:v>816</c:v>
                </c:pt>
                <c:pt idx="82">
                  <c:v>818.25</c:v>
                </c:pt>
                <c:pt idx="83">
                  <c:v>813</c:v>
                </c:pt>
                <c:pt idx="84">
                  <c:v>800.75</c:v>
                </c:pt>
                <c:pt idx="85">
                  <c:v>798.5</c:v>
                </c:pt>
                <c:pt idx="86">
                  <c:v>803.75</c:v>
                </c:pt>
                <c:pt idx="87">
                  <c:v>792.25</c:v>
                </c:pt>
                <c:pt idx="88">
                  <c:v>784.5</c:v>
                </c:pt>
                <c:pt idx="89">
                  <c:v>786.5</c:v>
                </c:pt>
                <c:pt idx="90">
                  <c:v>802.25</c:v>
                </c:pt>
                <c:pt idx="91">
                  <c:v>813.5</c:v>
                </c:pt>
                <c:pt idx="92">
                  <c:v>794.5</c:v>
                </c:pt>
                <c:pt idx="93">
                  <c:v>809.5</c:v>
                </c:pt>
                <c:pt idx="94">
                  <c:v>800.75</c:v>
                </c:pt>
                <c:pt idx="95">
                  <c:v>781.5</c:v>
                </c:pt>
                <c:pt idx="96">
                  <c:v>783.25</c:v>
                </c:pt>
                <c:pt idx="97">
                  <c:v>778.75</c:v>
                </c:pt>
                <c:pt idx="98">
                  <c:v>786.25</c:v>
                </c:pt>
                <c:pt idx="99">
                  <c:v>771.75</c:v>
                </c:pt>
                <c:pt idx="100">
                  <c:v>772.25</c:v>
                </c:pt>
                <c:pt idx="101">
                  <c:v>765</c:v>
                </c:pt>
                <c:pt idx="102">
                  <c:v>777.25</c:v>
                </c:pt>
                <c:pt idx="103">
                  <c:v>775.62</c:v>
                </c:pt>
                <c:pt idx="104">
                  <c:v>753.5</c:v>
                </c:pt>
                <c:pt idx="105">
                  <c:v>731.25</c:v>
                </c:pt>
                <c:pt idx="106">
                  <c:v>730.25</c:v>
                </c:pt>
                <c:pt idx="107">
                  <c:v>727</c:v>
                </c:pt>
                <c:pt idx="108">
                  <c:v>742.5</c:v>
                </c:pt>
                <c:pt idx="109">
                  <c:v>757</c:v>
                </c:pt>
                <c:pt idx="110">
                  <c:v>764.5</c:v>
                </c:pt>
                <c:pt idx="111">
                  <c:v>773</c:v>
                </c:pt>
                <c:pt idx="112">
                  <c:v>773.25</c:v>
                </c:pt>
                <c:pt idx="113">
                  <c:v>769.25</c:v>
                </c:pt>
                <c:pt idx="114">
                  <c:v>768.25</c:v>
                </c:pt>
                <c:pt idx="115">
                  <c:v>774</c:v>
                </c:pt>
                <c:pt idx="116">
                  <c:v>788.25</c:v>
                </c:pt>
                <c:pt idx="117">
                  <c:v>784.5</c:v>
                </c:pt>
                <c:pt idx="118">
                  <c:v>760.75</c:v>
                </c:pt>
                <c:pt idx="119">
                  <c:v>768</c:v>
                </c:pt>
                <c:pt idx="120">
                  <c:v>746.75</c:v>
                </c:pt>
                <c:pt idx="121">
                  <c:v>750.25</c:v>
                </c:pt>
                <c:pt idx="122">
                  <c:v>744.25</c:v>
                </c:pt>
                <c:pt idx="123">
                  <c:v>759.5</c:v>
                </c:pt>
                <c:pt idx="124">
                  <c:v>770.25</c:v>
                </c:pt>
                <c:pt idx="125">
                  <c:v>743.75</c:v>
                </c:pt>
                <c:pt idx="126">
                  <c:v>754.5</c:v>
                </c:pt>
                <c:pt idx="127">
                  <c:v>736</c:v>
                </c:pt>
                <c:pt idx="128">
                  <c:v>744.25</c:v>
                </c:pt>
                <c:pt idx="129">
                  <c:v>747</c:v>
                </c:pt>
                <c:pt idx="130">
                  <c:v>778.25</c:v>
                </c:pt>
                <c:pt idx="131">
                  <c:v>781.25</c:v>
                </c:pt>
                <c:pt idx="132">
                  <c:v>732.75</c:v>
                </c:pt>
                <c:pt idx="133">
                  <c:v>740</c:v>
                </c:pt>
                <c:pt idx="134">
                  <c:v>695</c:v>
                </c:pt>
                <c:pt idx="135">
                  <c:v>604.25</c:v>
                </c:pt>
                <c:pt idx="136">
                  <c:v>612.25</c:v>
                </c:pt>
                <c:pt idx="137">
                  <c:v>596.75</c:v>
                </c:pt>
                <c:pt idx="138">
                  <c:v>592.25</c:v>
                </c:pt>
                <c:pt idx="139">
                  <c:v>575.75</c:v>
                </c:pt>
                <c:pt idx="140">
                  <c:v>564.25</c:v>
                </c:pt>
                <c:pt idx="141">
                  <c:v>580</c:v>
                </c:pt>
                <c:pt idx="142">
                  <c:v>597</c:v>
                </c:pt>
                <c:pt idx="143">
                  <c:v>600.25</c:v>
                </c:pt>
                <c:pt idx="144">
                  <c:v>615</c:v>
                </c:pt>
                <c:pt idx="145">
                  <c:v>616.25</c:v>
                </c:pt>
                <c:pt idx="146">
                  <c:v>607</c:v>
                </c:pt>
                <c:pt idx="147">
                  <c:v>591.25</c:v>
                </c:pt>
                <c:pt idx="148">
                  <c:v>591.5</c:v>
                </c:pt>
                <c:pt idx="149">
                  <c:v>602.25</c:v>
                </c:pt>
                <c:pt idx="150">
                  <c:v>610.25</c:v>
                </c:pt>
                <c:pt idx="151">
                  <c:v>608.5</c:v>
                </c:pt>
                <c:pt idx="152">
                  <c:v>615.5</c:v>
                </c:pt>
                <c:pt idx="153">
                  <c:v>621.25</c:v>
                </c:pt>
                <c:pt idx="154">
                  <c:v>629.25</c:v>
                </c:pt>
                <c:pt idx="155">
                  <c:v>639.75</c:v>
                </c:pt>
                <c:pt idx="156">
                  <c:v>626.75</c:v>
                </c:pt>
                <c:pt idx="157">
                  <c:v>611</c:v>
                </c:pt>
                <c:pt idx="158">
                  <c:v>615</c:v>
                </c:pt>
                <c:pt idx="159">
                  <c:v>619.75</c:v>
                </c:pt>
                <c:pt idx="160">
                  <c:v>626</c:v>
                </c:pt>
                <c:pt idx="161">
                  <c:v>633.5</c:v>
                </c:pt>
                <c:pt idx="162">
                  <c:v>660</c:v>
                </c:pt>
                <c:pt idx="163">
                  <c:v>665.75</c:v>
                </c:pt>
                <c:pt idx="164">
                  <c:v>657.5</c:v>
                </c:pt>
                <c:pt idx="165">
                  <c:v>668.75</c:v>
                </c:pt>
                <c:pt idx="166">
                  <c:v>683.75</c:v>
                </c:pt>
                <c:pt idx="167">
                  <c:v>679.75</c:v>
                </c:pt>
                <c:pt idx="168">
                  <c:v>673.75</c:v>
                </c:pt>
                <c:pt idx="169">
                  <c:v>658.25</c:v>
                </c:pt>
                <c:pt idx="170">
                  <c:v>669</c:v>
                </c:pt>
                <c:pt idx="171">
                  <c:v>667.38</c:v>
                </c:pt>
                <c:pt idx="172">
                  <c:v>680.75</c:v>
                </c:pt>
                <c:pt idx="173">
                  <c:v>676.75</c:v>
                </c:pt>
                <c:pt idx="174">
                  <c:v>668.5</c:v>
                </c:pt>
                <c:pt idx="175">
                  <c:v>698.5</c:v>
                </c:pt>
                <c:pt idx="176">
                  <c:v>712.25</c:v>
                </c:pt>
                <c:pt idx="177">
                  <c:v>709</c:v>
                </c:pt>
                <c:pt idx="178">
                  <c:v>709</c:v>
                </c:pt>
                <c:pt idx="179">
                  <c:v>677.5</c:v>
                </c:pt>
                <c:pt idx="180">
                  <c:v>677.25</c:v>
                </c:pt>
                <c:pt idx="181">
                  <c:v>678.25</c:v>
                </c:pt>
                <c:pt idx="182">
                  <c:v>692</c:v>
                </c:pt>
                <c:pt idx="183">
                  <c:v>685.5</c:v>
                </c:pt>
                <c:pt idx="184">
                  <c:v>688.25</c:v>
                </c:pt>
                <c:pt idx="185">
                  <c:v>676.75</c:v>
                </c:pt>
                <c:pt idx="186">
                  <c:v>666.25</c:v>
                </c:pt>
                <c:pt idx="187">
                  <c:v>667.5</c:v>
                </c:pt>
                <c:pt idx="188">
                  <c:v>670.5</c:v>
                </c:pt>
                <c:pt idx="189">
                  <c:v>669.5</c:v>
                </c:pt>
                <c:pt idx="190">
                  <c:v>677.5</c:v>
                </c:pt>
                <c:pt idx="191">
                  <c:v>680.75</c:v>
                </c:pt>
                <c:pt idx="192">
                  <c:v>683</c:v>
                </c:pt>
                <c:pt idx="193">
                  <c:v>684</c:v>
                </c:pt>
                <c:pt idx="194">
                  <c:v>675.5</c:v>
                </c:pt>
                <c:pt idx="195">
                  <c:v>683.25</c:v>
                </c:pt>
                <c:pt idx="196">
                  <c:v>698.25</c:v>
                </c:pt>
                <c:pt idx="197">
                  <c:v>693</c:v>
                </c:pt>
                <c:pt idx="198">
                  <c:v>693</c:v>
                </c:pt>
                <c:pt idx="199">
                  <c:v>697.75</c:v>
                </c:pt>
                <c:pt idx="200">
                  <c:v>689.75</c:v>
                </c:pt>
                <c:pt idx="201">
                  <c:v>683.5</c:v>
                </c:pt>
                <c:pt idx="202">
                  <c:v>681</c:v>
                </c:pt>
                <c:pt idx="203">
                  <c:v>678.25</c:v>
                </c:pt>
                <c:pt idx="204">
                  <c:v>684</c:v>
                </c:pt>
                <c:pt idx="205">
                  <c:v>684.25</c:v>
                </c:pt>
                <c:pt idx="206">
                  <c:v>681.5</c:v>
                </c:pt>
                <c:pt idx="207">
                  <c:v>686.25</c:v>
                </c:pt>
                <c:pt idx="208">
                  <c:v>685</c:v>
                </c:pt>
                <c:pt idx="209">
                  <c:v>682.25</c:v>
                </c:pt>
                <c:pt idx="210">
                  <c:v>680.75</c:v>
                </c:pt>
                <c:pt idx="211">
                  <c:v>691.5</c:v>
                </c:pt>
                <c:pt idx="212">
                  <c:v>697.75</c:v>
                </c:pt>
                <c:pt idx="213">
                  <c:v>687.5</c:v>
                </c:pt>
                <c:pt idx="214">
                  <c:v>679.25</c:v>
                </c:pt>
                <c:pt idx="215">
                  <c:v>681</c:v>
                </c:pt>
                <c:pt idx="216">
                  <c:v>675.75</c:v>
                </c:pt>
                <c:pt idx="217">
                  <c:v>667.5</c:v>
                </c:pt>
                <c:pt idx="218">
                  <c:v>664.5</c:v>
                </c:pt>
                <c:pt idx="219">
                  <c:v>653.25</c:v>
                </c:pt>
                <c:pt idx="220">
                  <c:v>658</c:v>
                </c:pt>
                <c:pt idx="221">
                  <c:v>657.25</c:v>
                </c:pt>
                <c:pt idx="222">
                  <c:v>666.75</c:v>
                </c:pt>
                <c:pt idx="223">
                  <c:v>665.25</c:v>
                </c:pt>
                <c:pt idx="224">
                  <c:v>667.5</c:v>
                </c:pt>
                <c:pt idx="225">
                  <c:v>667.75</c:v>
                </c:pt>
                <c:pt idx="226">
                  <c:v>659.5</c:v>
                </c:pt>
                <c:pt idx="227">
                  <c:v>656.75</c:v>
                </c:pt>
                <c:pt idx="228">
                  <c:v>663.25</c:v>
                </c:pt>
                <c:pt idx="229">
                  <c:v>668</c:v>
                </c:pt>
                <c:pt idx="230">
                  <c:v>668.75</c:v>
                </c:pt>
                <c:pt idx="231">
                  <c:v>665.75</c:v>
                </c:pt>
                <c:pt idx="232">
                  <c:v>662</c:v>
                </c:pt>
                <c:pt idx="233">
                  <c:v>650</c:v>
                </c:pt>
                <c:pt idx="234">
                  <c:v>635</c:v>
                </c:pt>
                <c:pt idx="235">
                  <c:v>628.75</c:v>
                </c:pt>
                <c:pt idx="236">
                  <c:v>625.5</c:v>
                </c:pt>
                <c:pt idx="237">
                  <c:v>627.75</c:v>
                </c:pt>
                <c:pt idx="238">
                  <c:v>632</c:v>
                </c:pt>
                <c:pt idx="239">
                  <c:v>634.75</c:v>
                </c:pt>
                <c:pt idx="240">
                  <c:v>641.25</c:v>
                </c:pt>
                <c:pt idx="241">
                  <c:v>643.75</c:v>
                </c:pt>
                <c:pt idx="242">
                  <c:v>639</c:v>
                </c:pt>
                <c:pt idx="243">
                  <c:v>653.5</c:v>
                </c:pt>
                <c:pt idx="244">
                  <c:v>653</c:v>
                </c:pt>
                <c:pt idx="245">
                  <c:v>647.25</c:v>
                </c:pt>
                <c:pt idx="246">
                  <c:v>652</c:v>
                </c:pt>
                <c:pt idx="247">
                  <c:v>662.25</c:v>
                </c:pt>
                <c:pt idx="248">
                  <c:v>660.5</c:v>
                </c:pt>
                <c:pt idx="249">
                  <c:v>666.25</c:v>
                </c:pt>
                <c:pt idx="250">
                  <c:v>674.75</c:v>
                </c:pt>
                <c:pt idx="251">
                  <c:v>682.75</c:v>
                </c:pt>
                <c:pt idx="252">
                  <c:v>679.5</c:v>
                </c:pt>
                <c:pt idx="253">
                  <c:v>678.5</c:v>
                </c:pt>
              </c:numCache>
            </c:numRef>
          </c:val>
          <c:smooth val="0"/>
          <c:extLst>
            <c:ext xmlns:c16="http://schemas.microsoft.com/office/drawing/2014/chart" uri="{C3380CC4-5D6E-409C-BE32-E72D297353CC}">
              <c16:uniqueId val="{00000002-B866-4A02-86CE-03BD9E806DF6}"/>
            </c:ext>
          </c:extLst>
        </c:ser>
        <c:ser>
          <c:idx val="1"/>
          <c:order val="1"/>
          <c:tx>
            <c:strRef>
              <c:f>cornWheatChart!$C$2</c:f>
              <c:strCache>
                <c:ptCount val="1"/>
                <c:pt idx="0">
                  <c:v>Trigo</c:v>
                </c:pt>
              </c:strCache>
            </c:strRef>
          </c:tx>
          <c:spPr>
            <a:ln w="15875">
              <a:solidFill>
                <a:srgbClr val="002060"/>
              </a:solidFill>
            </a:ln>
          </c:spPr>
          <c:marker>
            <c:symbol val="none"/>
          </c:marker>
          <c:dLbls>
            <c:dLbl>
              <c:idx val="0"/>
              <c:layout>
                <c:manualLayout>
                  <c:x val="-5.1752528816749022E-2"/>
                  <c:y val="-9.408997353719499E-2"/>
                </c:manualLayout>
              </c:layout>
              <c:spPr>
                <a:noFill/>
                <a:ln>
                  <a:noFill/>
                </a:ln>
                <a:effectLst/>
              </c:spPr>
              <c:txPr>
                <a:bodyPr wrap="square" lIns="38100" tIns="19050" rIns="38100" bIns="19050" anchor="ctr">
                  <a:spAutoFit/>
                </a:bodyPr>
                <a:lstStyle/>
                <a:p>
                  <a:pPr>
                    <a:defRPr sz="900" b="1">
                      <a:solidFill>
                        <a:srgbClr val="002060"/>
                      </a:solidFill>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866-4A02-86CE-03BD9E806DF6}"/>
                </c:ext>
              </c:extLst>
            </c:dLbl>
            <c:dLbl>
              <c:idx val="253"/>
              <c:layout>
                <c:manualLayout>
                  <c:x val="-4.7047753469771818E-3"/>
                  <c:y val="-7.6448103498970896E-2"/>
                </c:manualLayout>
              </c:layout>
              <c:spPr>
                <a:noFill/>
                <a:ln>
                  <a:noFill/>
                </a:ln>
                <a:effectLst/>
              </c:spPr>
              <c:txPr>
                <a:bodyPr wrap="square" lIns="38100" tIns="19050" rIns="38100" bIns="19050" anchor="ctr">
                  <a:spAutoFit/>
                </a:bodyPr>
                <a:lstStyle/>
                <a:p>
                  <a:pPr>
                    <a:defRPr sz="900" b="1">
                      <a:solidFill>
                        <a:srgbClr val="002060"/>
                      </a:solidFill>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866-4A02-86CE-03BD9E806DF6}"/>
                </c:ext>
              </c:extLst>
            </c:dLbl>
            <c:spPr>
              <a:noFill/>
              <a:ln>
                <a:noFill/>
              </a:ln>
              <a:effectLst/>
            </c:spPr>
            <c:txPr>
              <a:bodyPr wrap="square" lIns="38100" tIns="19050" rIns="38100" bIns="19050" anchor="ctr">
                <a:spAutoFit/>
              </a:bodyPr>
              <a:lstStyle/>
              <a:p>
                <a:pPr>
                  <a:defRPr sz="900"/>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cornWheatChart!$A$3:$A$256</c:f>
              <c:numCache>
                <c:formatCode>mmm\-yy</c:formatCode>
                <c:ptCount val="254"/>
                <c:pt idx="0">
                  <c:v>44564</c:v>
                </c:pt>
                <c:pt idx="1">
                  <c:v>44565</c:v>
                </c:pt>
                <c:pt idx="2">
                  <c:v>44566</c:v>
                </c:pt>
                <c:pt idx="3">
                  <c:v>44567</c:v>
                </c:pt>
                <c:pt idx="4">
                  <c:v>44568</c:v>
                </c:pt>
                <c:pt idx="5">
                  <c:v>44571</c:v>
                </c:pt>
                <c:pt idx="6">
                  <c:v>44572</c:v>
                </c:pt>
                <c:pt idx="7">
                  <c:v>44573</c:v>
                </c:pt>
                <c:pt idx="8">
                  <c:v>44574</c:v>
                </c:pt>
                <c:pt idx="9">
                  <c:v>44575</c:v>
                </c:pt>
                <c:pt idx="10">
                  <c:v>44579</c:v>
                </c:pt>
                <c:pt idx="11">
                  <c:v>44580</c:v>
                </c:pt>
                <c:pt idx="12">
                  <c:v>44581</c:v>
                </c:pt>
                <c:pt idx="13">
                  <c:v>44582</c:v>
                </c:pt>
                <c:pt idx="14">
                  <c:v>44585</c:v>
                </c:pt>
                <c:pt idx="15">
                  <c:v>44586</c:v>
                </c:pt>
                <c:pt idx="16">
                  <c:v>44587</c:v>
                </c:pt>
                <c:pt idx="17">
                  <c:v>44588</c:v>
                </c:pt>
                <c:pt idx="18">
                  <c:v>44589</c:v>
                </c:pt>
                <c:pt idx="19">
                  <c:v>44592</c:v>
                </c:pt>
                <c:pt idx="20">
                  <c:v>44593</c:v>
                </c:pt>
                <c:pt idx="21">
                  <c:v>44594</c:v>
                </c:pt>
                <c:pt idx="22">
                  <c:v>44595</c:v>
                </c:pt>
                <c:pt idx="23">
                  <c:v>44596</c:v>
                </c:pt>
                <c:pt idx="24">
                  <c:v>44599</c:v>
                </c:pt>
                <c:pt idx="25">
                  <c:v>44600</c:v>
                </c:pt>
                <c:pt idx="26">
                  <c:v>44601</c:v>
                </c:pt>
                <c:pt idx="27">
                  <c:v>44602</c:v>
                </c:pt>
                <c:pt idx="28">
                  <c:v>44603</c:v>
                </c:pt>
                <c:pt idx="29">
                  <c:v>44606</c:v>
                </c:pt>
                <c:pt idx="30">
                  <c:v>44607</c:v>
                </c:pt>
                <c:pt idx="31">
                  <c:v>44608</c:v>
                </c:pt>
                <c:pt idx="32">
                  <c:v>44609</c:v>
                </c:pt>
                <c:pt idx="33">
                  <c:v>44610</c:v>
                </c:pt>
                <c:pt idx="34">
                  <c:v>44614</c:v>
                </c:pt>
                <c:pt idx="35">
                  <c:v>44615</c:v>
                </c:pt>
                <c:pt idx="36">
                  <c:v>44616</c:v>
                </c:pt>
                <c:pt idx="37">
                  <c:v>44617</c:v>
                </c:pt>
                <c:pt idx="38">
                  <c:v>44620</c:v>
                </c:pt>
                <c:pt idx="39">
                  <c:v>44621</c:v>
                </c:pt>
                <c:pt idx="40">
                  <c:v>44622</c:v>
                </c:pt>
                <c:pt idx="41">
                  <c:v>44623</c:v>
                </c:pt>
                <c:pt idx="42">
                  <c:v>44624</c:v>
                </c:pt>
                <c:pt idx="43">
                  <c:v>44627</c:v>
                </c:pt>
                <c:pt idx="44">
                  <c:v>44628</c:v>
                </c:pt>
                <c:pt idx="45">
                  <c:v>44629</c:v>
                </c:pt>
                <c:pt idx="46">
                  <c:v>44630</c:v>
                </c:pt>
                <c:pt idx="47">
                  <c:v>44631</c:v>
                </c:pt>
                <c:pt idx="48">
                  <c:v>44634</c:v>
                </c:pt>
                <c:pt idx="49">
                  <c:v>44635</c:v>
                </c:pt>
                <c:pt idx="50">
                  <c:v>44636</c:v>
                </c:pt>
                <c:pt idx="51">
                  <c:v>44637</c:v>
                </c:pt>
                <c:pt idx="52">
                  <c:v>44638</c:v>
                </c:pt>
                <c:pt idx="53">
                  <c:v>44641</c:v>
                </c:pt>
                <c:pt idx="54">
                  <c:v>44642</c:v>
                </c:pt>
                <c:pt idx="55">
                  <c:v>44643</c:v>
                </c:pt>
                <c:pt idx="56">
                  <c:v>44644</c:v>
                </c:pt>
                <c:pt idx="57">
                  <c:v>44645</c:v>
                </c:pt>
                <c:pt idx="58">
                  <c:v>44648</c:v>
                </c:pt>
                <c:pt idx="59">
                  <c:v>44649</c:v>
                </c:pt>
                <c:pt idx="60">
                  <c:v>44650</c:v>
                </c:pt>
                <c:pt idx="61">
                  <c:v>44651</c:v>
                </c:pt>
                <c:pt idx="62">
                  <c:v>44652</c:v>
                </c:pt>
                <c:pt idx="63">
                  <c:v>44655</c:v>
                </c:pt>
                <c:pt idx="64">
                  <c:v>44656</c:v>
                </c:pt>
                <c:pt idx="65">
                  <c:v>44657</c:v>
                </c:pt>
                <c:pt idx="66">
                  <c:v>44658</c:v>
                </c:pt>
                <c:pt idx="67">
                  <c:v>44659</c:v>
                </c:pt>
                <c:pt idx="68">
                  <c:v>44662</c:v>
                </c:pt>
                <c:pt idx="69">
                  <c:v>44663</c:v>
                </c:pt>
                <c:pt idx="70">
                  <c:v>44664</c:v>
                </c:pt>
                <c:pt idx="71">
                  <c:v>44665</c:v>
                </c:pt>
                <c:pt idx="72">
                  <c:v>44666</c:v>
                </c:pt>
                <c:pt idx="73">
                  <c:v>44669</c:v>
                </c:pt>
                <c:pt idx="74">
                  <c:v>44670</c:v>
                </c:pt>
                <c:pt idx="75">
                  <c:v>44671</c:v>
                </c:pt>
                <c:pt idx="76">
                  <c:v>44672</c:v>
                </c:pt>
                <c:pt idx="77">
                  <c:v>44673</c:v>
                </c:pt>
                <c:pt idx="78">
                  <c:v>44676</c:v>
                </c:pt>
                <c:pt idx="79">
                  <c:v>44677</c:v>
                </c:pt>
                <c:pt idx="80">
                  <c:v>44678</c:v>
                </c:pt>
                <c:pt idx="81">
                  <c:v>44679</c:v>
                </c:pt>
                <c:pt idx="82">
                  <c:v>44680</c:v>
                </c:pt>
                <c:pt idx="83">
                  <c:v>44683</c:v>
                </c:pt>
                <c:pt idx="84">
                  <c:v>44684</c:v>
                </c:pt>
                <c:pt idx="85">
                  <c:v>44685</c:v>
                </c:pt>
                <c:pt idx="86">
                  <c:v>44686</c:v>
                </c:pt>
                <c:pt idx="87">
                  <c:v>44687</c:v>
                </c:pt>
                <c:pt idx="88">
                  <c:v>44690</c:v>
                </c:pt>
                <c:pt idx="89">
                  <c:v>44691</c:v>
                </c:pt>
                <c:pt idx="90">
                  <c:v>44692</c:v>
                </c:pt>
                <c:pt idx="91">
                  <c:v>44693</c:v>
                </c:pt>
                <c:pt idx="92">
                  <c:v>44694</c:v>
                </c:pt>
                <c:pt idx="93">
                  <c:v>44697</c:v>
                </c:pt>
                <c:pt idx="94">
                  <c:v>44698</c:v>
                </c:pt>
                <c:pt idx="95">
                  <c:v>44699</c:v>
                </c:pt>
                <c:pt idx="96">
                  <c:v>44700</c:v>
                </c:pt>
                <c:pt idx="97">
                  <c:v>44701</c:v>
                </c:pt>
                <c:pt idx="98">
                  <c:v>44704</c:v>
                </c:pt>
                <c:pt idx="99">
                  <c:v>44705</c:v>
                </c:pt>
                <c:pt idx="100">
                  <c:v>44706</c:v>
                </c:pt>
                <c:pt idx="101">
                  <c:v>44707</c:v>
                </c:pt>
                <c:pt idx="102">
                  <c:v>44708</c:v>
                </c:pt>
                <c:pt idx="103">
                  <c:v>44711</c:v>
                </c:pt>
                <c:pt idx="104">
                  <c:v>44712</c:v>
                </c:pt>
                <c:pt idx="105">
                  <c:v>44713</c:v>
                </c:pt>
                <c:pt idx="106">
                  <c:v>44714</c:v>
                </c:pt>
                <c:pt idx="107">
                  <c:v>44715</c:v>
                </c:pt>
                <c:pt idx="108">
                  <c:v>44718</c:v>
                </c:pt>
                <c:pt idx="109">
                  <c:v>44719</c:v>
                </c:pt>
                <c:pt idx="110">
                  <c:v>44720</c:v>
                </c:pt>
                <c:pt idx="111">
                  <c:v>44721</c:v>
                </c:pt>
                <c:pt idx="112">
                  <c:v>44722</c:v>
                </c:pt>
                <c:pt idx="113">
                  <c:v>44725</c:v>
                </c:pt>
                <c:pt idx="114">
                  <c:v>44726</c:v>
                </c:pt>
                <c:pt idx="115">
                  <c:v>44727</c:v>
                </c:pt>
                <c:pt idx="116">
                  <c:v>44728</c:v>
                </c:pt>
                <c:pt idx="117">
                  <c:v>44729</c:v>
                </c:pt>
                <c:pt idx="118">
                  <c:v>44733</c:v>
                </c:pt>
                <c:pt idx="119">
                  <c:v>44734</c:v>
                </c:pt>
                <c:pt idx="120">
                  <c:v>44735</c:v>
                </c:pt>
                <c:pt idx="121">
                  <c:v>44736</c:v>
                </c:pt>
                <c:pt idx="122">
                  <c:v>44739</c:v>
                </c:pt>
                <c:pt idx="123">
                  <c:v>44740</c:v>
                </c:pt>
                <c:pt idx="124">
                  <c:v>44741</c:v>
                </c:pt>
                <c:pt idx="125">
                  <c:v>44742</c:v>
                </c:pt>
                <c:pt idx="126">
                  <c:v>44743</c:v>
                </c:pt>
                <c:pt idx="127">
                  <c:v>44747</c:v>
                </c:pt>
                <c:pt idx="128">
                  <c:v>44748</c:v>
                </c:pt>
                <c:pt idx="129">
                  <c:v>44749</c:v>
                </c:pt>
                <c:pt idx="130">
                  <c:v>44750</c:v>
                </c:pt>
                <c:pt idx="131">
                  <c:v>44753</c:v>
                </c:pt>
                <c:pt idx="132">
                  <c:v>44754</c:v>
                </c:pt>
                <c:pt idx="133">
                  <c:v>44755</c:v>
                </c:pt>
                <c:pt idx="134">
                  <c:v>44756</c:v>
                </c:pt>
                <c:pt idx="135">
                  <c:v>44757</c:v>
                </c:pt>
                <c:pt idx="136">
                  <c:v>44760</c:v>
                </c:pt>
                <c:pt idx="137">
                  <c:v>44761</c:v>
                </c:pt>
                <c:pt idx="138">
                  <c:v>44762</c:v>
                </c:pt>
                <c:pt idx="139">
                  <c:v>44763</c:v>
                </c:pt>
                <c:pt idx="140">
                  <c:v>44764</c:v>
                </c:pt>
                <c:pt idx="141">
                  <c:v>44767</c:v>
                </c:pt>
                <c:pt idx="142">
                  <c:v>44768</c:v>
                </c:pt>
                <c:pt idx="143">
                  <c:v>44769</c:v>
                </c:pt>
                <c:pt idx="144">
                  <c:v>44770</c:v>
                </c:pt>
                <c:pt idx="145">
                  <c:v>44771</c:v>
                </c:pt>
                <c:pt idx="146">
                  <c:v>44774</c:v>
                </c:pt>
                <c:pt idx="147">
                  <c:v>44775</c:v>
                </c:pt>
                <c:pt idx="148">
                  <c:v>44776</c:v>
                </c:pt>
                <c:pt idx="149">
                  <c:v>44777</c:v>
                </c:pt>
                <c:pt idx="150">
                  <c:v>44778</c:v>
                </c:pt>
                <c:pt idx="151">
                  <c:v>44781</c:v>
                </c:pt>
                <c:pt idx="152">
                  <c:v>44782</c:v>
                </c:pt>
                <c:pt idx="153">
                  <c:v>44783</c:v>
                </c:pt>
                <c:pt idx="154">
                  <c:v>44784</c:v>
                </c:pt>
                <c:pt idx="155">
                  <c:v>44785</c:v>
                </c:pt>
                <c:pt idx="156">
                  <c:v>44788</c:v>
                </c:pt>
                <c:pt idx="157">
                  <c:v>44789</c:v>
                </c:pt>
                <c:pt idx="158">
                  <c:v>44790</c:v>
                </c:pt>
                <c:pt idx="159">
                  <c:v>44791</c:v>
                </c:pt>
                <c:pt idx="160">
                  <c:v>44792</c:v>
                </c:pt>
                <c:pt idx="161">
                  <c:v>44795</c:v>
                </c:pt>
                <c:pt idx="162">
                  <c:v>44796</c:v>
                </c:pt>
                <c:pt idx="163">
                  <c:v>44797</c:v>
                </c:pt>
                <c:pt idx="164">
                  <c:v>44798</c:v>
                </c:pt>
                <c:pt idx="165">
                  <c:v>44799</c:v>
                </c:pt>
                <c:pt idx="166">
                  <c:v>44802</c:v>
                </c:pt>
                <c:pt idx="167">
                  <c:v>44803</c:v>
                </c:pt>
                <c:pt idx="168">
                  <c:v>44804</c:v>
                </c:pt>
                <c:pt idx="169">
                  <c:v>44805</c:v>
                </c:pt>
                <c:pt idx="170">
                  <c:v>44806</c:v>
                </c:pt>
                <c:pt idx="171">
                  <c:v>44809</c:v>
                </c:pt>
                <c:pt idx="172">
                  <c:v>44810</c:v>
                </c:pt>
                <c:pt idx="173">
                  <c:v>44811</c:v>
                </c:pt>
                <c:pt idx="174">
                  <c:v>44812</c:v>
                </c:pt>
                <c:pt idx="175">
                  <c:v>44813</c:v>
                </c:pt>
                <c:pt idx="176">
                  <c:v>44816</c:v>
                </c:pt>
                <c:pt idx="177">
                  <c:v>44817</c:v>
                </c:pt>
                <c:pt idx="178">
                  <c:v>44818</c:v>
                </c:pt>
                <c:pt idx="179">
                  <c:v>44819</c:v>
                </c:pt>
                <c:pt idx="180">
                  <c:v>44820</c:v>
                </c:pt>
                <c:pt idx="181">
                  <c:v>44823</c:v>
                </c:pt>
                <c:pt idx="182">
                  <c:v>44824</c:v>
                </c:pt>
                <c:pt idx="183">
                  <c:v>44825</c:v>
                </c:pt>
                <c:pt idx="184">
                  <c:v>44826</c:v>
                </c:pt>
                <c:pt idx="185">
                  <c:v>44827</c:v>
                </c:pt>
                <c:pt idx="186">
                  <c:v>44830</c:v>
                </c:pt>
                <c:pt idx="187">
                  <c:v>44831</c:v>
                </c:pt>
                <c:pt idx="188">
                  <c:v>44832</c:v>
                </c:pt>
                <c:pt idx="189">
                  <c:v>44833</c:v>
                </c:pt>
                <c:pt idx="190">
                  <c:v>44834</c:v>
                </c:pt>
                <c:pt idx="191">
                  <c:v>44837</c:v>
                </c:pt>
                <c:pt idx="192">
                  <c:v>44838</c:v>
                </c:pt>
                <c:pt idx="193">
                  <c:v>44839</c:v>
                </c:pt>
                <c:pt idx="194">
                  <c:v>44840</c:v>
                </c:pt>
                <c:pt idx="195">
                  <c:v>44841</c:v>
                </c:pt>
                <c:pt idx="196">
                  <c:v>44844</c:v>
                </c:pt>
                <c:pt idx="197">
                  <c:v>44845</c:v>
                </c:pt>
                <c:pt idx="198">
                  <c:v>44846</c:v>
                </c:pt>
                <c:pt idx="199">
                  <c:v>44847</c:v>
                </c:pt>
                <c:pt idx="200">
                  <c:v>44848</c:v>
                </c:pt>
                <c:pt idx="201">
                  <c:v>44851</c:v>
                </c:pt>
                <c:pt idx="202">
                  <c:v>44852</c:v>
                </c:pt>
                <c:pt idx="203">
                  <c:v>44853</c:v>
                </c:pt>
                <c:pt idx="204">
                  <c:v>44854</c:v>
                </c:pt>
                <c:pt idx="205">
                  <c:v>44855</c:v>
                </c:pt>
                <c:pt idx="206">
                  <c:v>44858</c:v>
                </c:pt>
                <c:pt idx="207">
                  <c:v>44859</c:v>
                </c:pt>
                <c:pt idx="208">
                  <c:v>44860</c:v>
                </c:pt>
                <c:pt idx="209">
                  <c:v>44861</c:v>
                </c:pt>
                <c:pt idx="210">
                  <c:v>44862</c:v>
                </c:pt>
                <c:pt idx="211">
                  <c:v>44865</c:v>
                </c:pt>
                <c:pt idx="212">
                  <c:v>44866</c:v>
                </c:pt>
                <c:pt idx="213">
                  <c:v>44867</c:v>
                </c:pt>
                <c:pt idx="214">
                  <c:v>44868</c:v>
                </c:pt>
                <c:pt idx="215">
                  <c:v>44869</c:v>
                </c:pt>
                <c:pt idx="216">
                  <c:v>44872</c:v>
                </c:pt>
                <c:pt idx="217">
                  <c:v>44873</c:v>
                </c:pt>
                <c:pt idx="218">
                  <c:v>44874</c:v>
                </c:pt>
                <c:pt idx="219">
                  <c:v>44875</c:v>
                </c:pt>
                <c:pt idx="220">
                  <c:v>44876</c:v>
                </c:pt>
                <c:pt idx="221">
                  <c:v>44879</c:v>
                </c:pt>
                <c:pt idx="222">
                  <c:v>44880</c:v>
                </c:pt>
                <c:pt idx="223">
                  <c:v>44881</c:v>
                </c:pt>
                <c:pt idx="224">
                  <c:v>44882</c:v>
                </c:pt>
                <c:pt idx="225">
                  <c:v>44883</c:v>
                </c:pt>
                <c:pt idx="226">
                  <c:v>44886</c:v>
                </c:pt>
                <c:pt idx="227">
                  <c:v>44887</c:v>
                </c:pt>
                <c:pt idx="228">
                  <c:v>44888</c:v>
                </c:pt>
                <c:pt idx="229">
                  <c:v>44890</c:v>
                </c:pt>
                <c:pt idx="230">
                  <c:v>44893</c:v>
                </c:pt>
                <c:pt idx="231">
                  <c:v>44894</c:v>
                </c:pt>
                <c:pt idx="232">
                  <c:v>44895</c:v>
                </c:pt>
                <c:pt idx="233">
                  <c:v>44896</c:v>
                </c:pt>
                <c:pt idx="234">
                  <c:v>44897</c:v>
                </c:pt>
                <c:pt idx="235">
                  <c:v>44900</c:v>
                </c:pt>
                <c:pt idx="236">
                  <c:v>44901</c:v>
                </c:pt>
                <c:pt idx="237">
                  <c:v>44902</c:v>
                </c:pt>
                <c:pt idx="238">
                  <c:v>44903</c:v>
                </c:pt>
                <c:pt idx="239">
                  <c:v>44904</c:v>
                </c:pt>
                <c:pt idx="240">
                  <c:v>44907</c:v>
                </c:pt>
                <c:pt idx="241">
                  <c:v>44908</c:v>
                </c:pt>
                <c:pt idx="242">
                  <c:v>44909</c:v>
                </c:pt>
                <c:pt idx="243">
                  <c:v>44910</c:v>
                </c:pt>
                <c:pt idx="244">
                  <c:v>44911</c:v>
                </c:pt>
                <c:pt idx="245">
                  <c:v>44914</c:v>
                </c:pt>
                <c:pt idx="246">
                  <c:v>44915</c:v>
                </c:pt>
                <c:pt idx="247">
                  <c:v>44916</c:v>
                </c:pt>
                <c:pt idx="248">
                  <c:v>44917</c:v>
                </c:pt>
                <c:pt idx="249">
                  <c:v>44918</c:v>
                </c:pt>
                <c:pt idx="250">
                  <c:v>44922</c:v>
                </c:pt>
                <c:pt idx="251">
                  <c:v>44923</c:v>
                </c:pt>
                <c:pt idx="252">
                  <c:v>44924</c:v>
                </c:pt>
                <c:pt idx="253">
                  <c:v>44925</c:v>
                </c:pt>
              </c:numCache>
            </c:numRef>
          </c:cat>
          <c:val>
            <c:numRef>
              <c:f>cornWheatChart!$C$3:$C$256</c:f>
              <c:numCache>
                <c:formatCode>0.0</c:formatCode>
                <c:ptCount val="254"/>
                <c:pt idx="0">
                  <c:v>758</c:v>
                </c:pt>
                <c:pt idx="1">
                  <c:v>770</c:v>
                </c:pt>
                <c:pt idx="2">
                  <c:v>760.75</c:v>
                </c:pt>
                <c:pt idx="3">
                  <c:v>746</c:v>
                </c:pt>
                <c:pt idx="4">
                  <c:v>758.5</c:v>
                </c:pt>
                <c:pt idx="5">
                  <c:v>762</c:v>
                </c:pt>
                <c:pt idx="6">
                  <c:v>770.25</c:v>
                </c:pt>
                <c:pt idx="7">
                  <c:v>757.75</c:v>
                </c:pt>
                <c:pt idx="8">
                  <c:v>746.75</c:v>
                </c:pt>
                <c:pt idx="9">
                  <c:v>741.5</c:v>
                </c:pt>
                <c:pt idx="10">
                  <c:v>769</c:v>
                </c:pt>
                <c:pt idx="11">
                  <c:v>796.5</c:v>
                </c:pt>
                <c:pt idx="12">
                  <c:v>790.25</c:v>
                </c:pt>
                <c:pt idx="13">
                  <c:v>780</c:v>
                </c:pt>
                <c:pt idx="14">
                  <c:v>800.5</c:v>
                </c:pt>
                <c:pt idx="15">
                  <c:v>818</c:v>
                </c:pt>
                <c:pt idx="16">
                  <c:v>795</c:v>
                </c:pt>
                <c:pt idx="17">
                  <c:v>777</c:v>
                </c:pt>
                <c:pt idx="18">
                  <c:v>786.25</c:v>
                </c:pt>
                <c:pt idx="19">
                  <c:v>761.25</c:v>
                </c:pt>
                <c:pt idx="20">
                  <c:v>769</c:v>
                </c:pt>
                <c:pt idx="21">
                  <c:v>755</c:v>
                </c:pt>
                <c:pt idx="22">
                  <c:v>751.75</c:v>
                </c:pt>
                <c:pt idx="23">
                  <c:v>763.25</c:v>
                </c:pt>
                <c:pt idx="24">
                  <c:v>768.75</c:v>
                </c:pt>
                <c:pt idx="25">
                  <c:v>778.75</c:v>
                </c:pt>
                <c:pt idx="26">
                  <c:v>785</c:v>
                </c:pt>
                <c:pt idx="27">
                  <c:v>771.5</c:v>
                </c:pt>
                <c:pt idx="28">
                  <c:v>797.75</c:v>
                </c:pt>
                <c:pt idx="29">
                  <c:v>799.25</c:v>
                </c:pt>
                <c:pt idx="30">
                  <c:v>779.75</c:v>
                </c:pt>
                <c:pt idx="31">
                  <c:v>780.5</c:v>
                </c:pt>
                <c:pt idx="32">
                  <c:v>798</c:v>
                </c:pt>
                <c:pt idx="33">
                  <c:v>797</c:v>
                </c:pt>
                <c:pt idx="34">
                  <c:v>844.25</c:v>
                </c:pt>
                <c:pt idx="35">
                  <c:v>876</c:v>
                </c:pt>
                <c:pt idx="36">
                  <c:v>926</c:v>
                </c:pt>
                <c:pt idx="37">
                  <c:v>843</c:v>
                </c:pt>
                <c:pt idx="38">
                  <c:v>928</c:v>
                </c:pt>
                <c:pt idx="39">
                  <c:v>1001.75</c:v>
                </c:pt>
                <c:pt idx="40">
                  <c:v>1058.5</c:v>
                </c:pt>
                <c:pt idx="41">
                  <c:v>1289</c:v>
                </c:pt>
                <c:pt idx="42">
                  <c:v>1348</c:v>
                </c:pt>
                <c:pt idx="43">
                  <c:v>1425.25</c:v>
                </c:pt>
                <c:pt idx="44">
                  <c:v>1273</c:v>
                </c:pt>
                <c:pt idx="45">
                  <c:v>1199.5</c:v>
                </c:pt>
                <c:pt idx="46">
                  <c:v>1073.75</c:v>
                </c:pt>
                <c:pt idx="47">
                  <c:v>1090</c:v>
                </c:pt>
                <c:pt idx="48">
                  <c:v>1099.75</c:v>
                </c:pt>
                <c:pt idx="49">
                  <c:v>1154.25</c:v>
                </c:pt>
                <c:pt idx="50">
                  <c:v>1069.25</c:v>
                </c:pt>
                <c:pt idx="51">
                  <c:v>1098</c:v>
                </c:pt>
                <c:pt idx="52">
                  <c:v>1063.75</c:v>
                </c:pt>
                <c:pt idx="53">
                  <c:v>1119.25</c:v>
                </c:pt>
                <c:pt idx="54">
                  <c:v>1118.25</c:v>
                </c:pt>
                <c:pt idx="55">
                  <c:v>1105.75</c:v>
                </c:pt>
                <c:pt idx="56">
                  <c:v>1085.75</c:v>
                </c:pt>
                <c:pt idx="57">
                  <c:v>1102.25</c:v>
                </c:pt>
                <c:pt idx="58">
                  <c:v>1057</c:v>
                </c:pt>
                <c:pt idx="59">
                  <c:v>1014.25</c:v>
                </c:pt>
                <c:pt idx="60">
                  <c:v>1027.25</c:v>
                </c:pt>
                <c:pt idx="61">
                  <c:v>1006</c:v>
                </c:pt>
                <c:pt idx="62">
                  <c:v>984.5</c:v>
                </c:pt>
                <c:pt idx="63">
                  <c:v>1010.25</c:v>
                </c:pt>
                <c:pt idx="64">
                  <c:v>1045.25</c:v>
                </c:pt>
                <c:pt idx="65">
                  <c:v>1041.1199999999999</c:v>
                </c:pt>
                <c:pt idx="66">
                  <c:v>1020</c:v>
                </c:pt>
                <c:pt idx="67">
                  <c:v>1051.5</c:v>
                </c:pt>
                <c:pt idx="68">
                  <c:v>1081.25</c:v>
                </c:pt>
                <c:pt idx="69">
                  <c:v>1103.75</c:v>
                </c:pt>
                <c:pt idx="70">
                  <c:v>1113.5</c:v>
                </c:pt>
                <c:pt idx="71">
                  <c:v>1096.5</c:v>
                </c:pt>
                <c:pt idx="72">
                  <c:v>1095.75</c:v>
                </c:pt>
                <c:pt idx="73">
                  <c:v>1120.5</c:v>
                </c:pt>
                <c:pt idx="74">
                  <c:v>1099</c:v>
                </c:pt>
                <c:pt idx="75">
                  <c:v>1088</c:v>
                </c:pt>
                <c:pt idx="76">
                  <c:v>1068</c:v>
                </c:pt>
                <c:pt idx="77">
                  <c:v>1065.5</c:v>
                </c:pt>
                <c:pt idx="78">
                  <c:v>1082.1199999999999</c:v>
                </c:pt>
                <c:pt idx="79">
                  <c:v>1095</c:v>
                </c:pt>
                <c:pt idx="80">
                  <c:v>1091.25</c:v>
                </c:pt>
                <c:pt idx="81">
                  <c:v>1085.75</c:v>
                </c:pt>
                <c:pt idx="82">
                  <c:v>1055.75</c:v>
                </c:pt>
                <c:pt idx="83">
                  <c:v>1054.3800000000001</c:v>
                </c:pt>
                <c:pt idx="84">
                  <c:v>1047</c:v>
                </c:pt>
                <c:pt idx="85">
                  <c:v>1076.5</c:v>
                </c:pt>
                <c:pt idx="86">
                  <c:v>1106.5</c:v>
                </c:pt>
                <c:pt idx="87">
                  <c:v>1108.5</c:v>
                </c:pt>
                <c:pt idx="88">
                  <c:v>1092.75</c:v>
                </c:pt>
                <c:pt idx="89">
                  <c:v>1083.25</c:v>
                </c:pt>
                <c:pt idx="90">
                  <c:v>1108.75</c:v>
                </c:pt>
                <c:pt idx="91">
                  <c:v>1174.5</c:v>
                </c:pt>
                <c:pt idx="92">
                  <c:v>1167.25</c:v>
                </c:pt>
                <c:pt idx="93">
                  <c:v>1247.5</c:v>
                </c:pt>
                <c:pt idx="94">
                  <c:v>1277.5</c:v>
                </c:pt>
                <c:pt idx="95">
                  <c:v>1230.75</c:v>
                </c:pt>
                <c:pt idx="96">
                  <c:v>1200.5</c:v>
                </c:pt>
                <c:pt idx="97">
                  <c:v>1168.75</c:v>
                </c:pt>
                <c:pt idx="98">
                  <c:v>1190</c:v>
                </c:pt>
                <c:pt idx="99">
                  <c:v>1154.75</c:v>
                </c:pt>
                <c:pt idx="100">
                  <c:v>1148.25</c:v>
                </c:pt>
                <c:pt idx="101">
                  <c:v>1143.25</c:v>
                </c:pt>
                <c:pt idx="102">
                  <c:v>1157.5</c:v>
                </c:pt>
                <c:pt idx="103">
                  <c:v>1155.3800000000001</c:v>
                </c:pt>
                <c:pt idx="104">
                  <c:v>1087.5</c:v>
                </c:pt>
                <c:pt idx="105">
                  <c:v>1041.25</c:v>
                </c:pt>
                <c:pt idx="106">
                  <c:v>1058.25</c:v>
                </c:pt>
                <c:pt idx="107">
                  <c:v>1040</c:v>
                </c:pt>
                <c:pt idx="108">
                  <c:v>1093</c:v>
                </c:pt>
                <c:pt idx="109">
                  <c:v>1071.75</c:v>
                </c:pt>
                <c:pt idx="110">
                  <c:v>1074.75</c:v>
                </c:pt>
                <c:pt idx="111">
                  <c:v>1071.25</c:v>
                </c:pt>
                <c:pt idx="112">
                  <c:v>1070.75</c:v>
                </c:pt>
                <c:pt idx="113">
                  <c:v>1071</c:v>
                </c:pt>
                <c:pt idx="114">
                  <c:v>1050.25</c:v>
                </c:pt>
                <c:pt idx="115">
                  <c:v>1050</c:v>
                </c:pt>
                <c:pt idx="116">
                  <c:v>1078.25</c:v>
                </c:pt>
                <c:pt idx="117">
                  <c:v>1034.25</c:v>
                </c:pt>
                <c:pt idx="118">
                  <c:v>975.25</c:v>
                </c:pt>
                <c:pt idx="119">
                  <c:v>976.5</c:v>
                </c:pt>
                <c:pt idx="120">
                  <c:v>937.25</c:v>
                </c:pt>
                <c:pt idx="121">
                  <c:v>923.75</c:v>
                </c:pt>
                <c:pt idx="122">
                  <c:v>917.5</c:v>
                </c:pt>
                <c:pt idx="123">
                  <c:v>936</c:v>
                </c:pt>
                <c:pt idx="124">
                  <c:v>930</c:v>
                </c:pt>
                <c:pt idx="125">
                  <c:v>884</c:v>
                </c:pt>
                <c:pt idx="126">
                  <c:v>846</c:v>
                </c:pt>
                <c:pt idx="127">
                  <c:v>807</c:v>
                </c:pt>
                <c:pt idx="128">
                  <c:v>804.5</c:v>
                </c:pt>
                <c:pt idx="129">
                  <c:v>836.5</c:v>
                </c:pt>
                <c:pt idx="130">
                  <c:v>891.5</c:v>
                </c:pt>
                <c:pt idx="131">
                  <c:v>843.75</c:v>
                </c:pt>
                <c:pt idx="132">
                  <c:v>801.5</c:v>
                </c:pt>
                <c:pt idx="133">
                  <c:v>798.25</c:v>
                </c:pt>
                <c:pt idx="134">
                  <c:v>794.25</c:v>
                </c:pt>
                <c:pt idx="135">
                  <c:v>776.75</c:v>
                </c:pt>
                <c:pt idx="136">
                  <c:v>812.75</c:v>
                </c:pt>
                <c:pt idx="137">
                  <c:v>812.25</c:v>
                </c:pt>
                <c:pt idx="138">
                  <c:v>819.5</c:v>
                </c:pt>
                <c:pt idx="139">
                  <c:v>806.25</c:v>
                </c:pt>
                <c:pt idx="140">
                  <c:v>759</c:v>
                </c:pt>
                <c:pt idx="141">
                  <c:v>770</c:v>
                </c:pt>
                <c:pt idx="142">
                  <c:v>803.75</c:v>
                </c:pt>
                <c:pt idx="143">
                  <c:v>790.25</c:v>
                </c:pt>
                <c:pt idx="144">
                  <c:v>817</c:v>
                </c:pt>
                <c:pt idx="145">
                  <c:v>807.75</c:v>
                </c:pt>
                <c:pt idx="146">
                  <c:v>800.25</c:v>
                </c:pt>
                <c:pt idx="147">
                  <c:v>774.75</c:v>
                </c:pt>
                <c:pt idx="148">
                  <c:v>763.75</c:v>
                </c:pt>
                <c:pt idx="149">
                  <c:v>782.5</c:v>
                </c:pt>
                <c:pt idx="150">
                  <c:v>775.75</c:v>
                </c:pt>
                <c:pt idx="151">
                  <c:v>779.75</c:v>
                </c:pt>
                <c:pt idx="152">
                  <c:v>781.5</c:v>
                </c:pt>
                <c:pt idx="153">
                  <c:v>799.75</c:v>
                </c:pt>
                <c:pt idx="154">
                  <c:v>810.75</c:v>
                </c:pt>
                <c:pt idx="155">
                  <c:v>806</c:v>
                </c:pt>
                <c:pt idx="156">
                  <c:v>800.75</c:v>
                </c:pt>
                <c:pt idx="157">
                  <c:v>786</c:v>
                </c:pt>
                <c:pt idx="158">
                  <c:v>763.25</c:v>
                </c:pt>
                <c:pt idx="159">
                  <c:v>731.5</c:v>
                </c:pt>
                <c:pt idx="160">
                  <c:v>753.25</c:v>
                </c:pt>
                <c:pt idx="161">
                  <c:v>770.5</c:v>
                </c:pt>
                <c:pt idx="162">
                  <c:v>782.75</c:v>
                </c:pt>
                <c:pt idx="163">
                  <c:v>795</c:v>
                </c:pt>
                <c:pt idx="164">
                  <c:v>769.75</c:v>
                </c:pt>
                <c:pt idx="165">
                  <c:v>784.75</c:v>
                </c:pt>
                <c:pt idx="166">
                  <c:v>842.75</c:v>
                </c:pt>
                <c:pt idx="167">
                  <c:v>820.25</c:v>
                </c:pt>
                <c:pt idx="168">
                  <c:v>831.5</c:v>
                </c:pt>
                <c:pt idx="169">
                  <c:v>797.75</c:v>
                </c:pt>
                <c:pt idx="170">
                  <c:v>811</c:v>
                </c:pt>
                <c:pt idx="171">
                  <c:v>812.25</c:v>
                </c:pt>
                <c:pt idx="172">
                  <c:v>817</c:v>
                </c:pt>
                <c:pt idx="173">
                  <c:v>844.25</c:v>
                </c:pt>
                <c:pt idx="174">
                  <c:v>829</c:v>
                </c:pt>
                <c:pt idx="175">
                  <c:v>869.5</c:v>
                </c:pt>
                <c:pt idx="176">
                  <c:v>858.75</c:v>
                </c:pt>
                <c:pt idx="177">
                  <c:v>842.75</c:v>
                </c:pt>
                <c:pt idx="178">
                  <c:v>853.75</c:v>
                </c:pt>
                <c:pt idx="179">
                  <c:v>845</c:v>
                </c:pt>
                <c:pt idx="180">
                  <c:v>859.75</c:v>
                </c:pt>
                <c:pt idx="181">
                  <c:v>830.5</c:v>
                </c:pt>
                <c:pt idx="182">
                  <c:v>893.75</c:v>
                </c:pt>
                <c:pt idx="183">
                  <c:v>903.75</c:v>
                </c:pt>
                <c:pt idx="184">
                  <c:v>910.75</c:v>
                </c:pt>
                <c:pt idx="185">
                  <c:v>880.5</c:v>
                </c:pt>
                <c:pt idx="186">
                  <c:v>858</c:v>
                </c:pt>
                <c:pt idx="187">
                  <c:v>871.5</c:v>
                </c:pt>
                <c:pt idx="188">
                  <c:v>903.25</c:v>
                </c:pt>
                <c:pt idx="189">
                  <c:v>896.25</c:v>
                </c:pt>
                <c:pt idx="190">
                  <c:v>921.5</c:v>
                </c:pt>
                <c:pt idx="191">
                  <c:v>912</c:v>
                </c:pt>
                <c:pt idx="192">
                  <c:v>903</c:v>
                </c:pt>
                <c:pt idx="193">
                  <c:v>902</c:v>
                </c:pt>
                <c:pt idx="194">
                  <c:v>879</c:v>
                </c:pt>
                <c:pt idx="195">
                  <c:v>880.25</c:v>
                </c:pt>
                <c:pt idx="196">
                  <c:v>938</c:v>
                </c:pt>
                <c:pt idx="197">
                  <c:v>901</c:v>
                </c:pt>
                <c:pt idx="198">
                  <c:v>882.25</c:v>
                </c:pt>
                <c:pt idx="199">
                  <c:v>892.25</c:v>
                </c:pt>
                <c:pt idx="200">
                  <c:v>859.75</c:v>
                </c:pt>
                <c:pt idx="201">
                  <c:v>861</c:v>
                </c:pt>
                <c:pt idx="202">
                  <c:v>849.5</c:v>
                </c:pt>
                <c:pt idx="203">
                  <c:v>841.25</c:v>
                </c:pt>
                <c:pt idx="204">
                  <c:v>849.25</c:v>
                </c:pt>
                <c:pt idx="205">
                  <c:v>850.75</c:v>
                </c:pt>
                <c:pt idx="206">
                  <c:v>838.75</c:v>
                </c:pt>
                <c:pt idx="207">
                  <c:v>834.75</c:v>
                </c:pt>
                <c:pt idx="208">
                  <c:v>840.5</c:v>
                </c:pt>
                <c:pt idx="209">
                  <c:v>838.5</c:v>
                </c:pt>
                <c:pt idx="210">
                  <c:v>829.25</c:v>
                </c:pt>
                <c:pt idx="211">
                  <c:v>882.25</c:v>
                </c:pt>
                <c:pt idx="212">
                  <c:v>902.5</c:v>
                </c:pt>
                <c:pt idx="213">
                  <c:v>846</c:v>
                </c:pt>
                <c:pt idx="214">
                  <c:v>840.5</c:v>
                </c:pt>
                <c:pt idx="215">
                  <c:v>847.75</c:v>
                </c:pt>
                <c:pt idx="216">
                  <c:v>845.75</c:v>
                </c:pt>
                <c:pt idx="217">
                  <c:v>827.75</c:v>
                </c:pt>
                <c:pt idx="218">
                  <c:v>806.5</c:v>
                </c:pt>
                <c:pt idx="219">
                  <c:v>803.5</c:v>
                </c:pt>
                <c:pt idx="220">
                  <c:v>813.75</c:v>
                </c:pt>
                <c:pt idx="221">
                  <c:v>818.5</c:v>
                </c:pt>
                <c:pt idx="222">
                  <c:v>828.25</c:v>
                </c:pt>
                <c:pt idx="223">
                  <c:v>817.5</c:v>
                </c:pt>
                <c:pt idx="224">
                  <c:v>806.75</c:v>
                </c:pt>
                <c:pt idx="225">
                  <c:v>803.25</c:v>
                </c:pt>
                <c:pt idx="226">
                  <c:v>799.25</c:v>
                </c:pt>
                <c:pt idx="227">
                  <c:v>810.5</c:v>
                </c:pt>
                <c:pt idx="228">
                  <c:v>813.5</c:v>
                </c:pt>
                <c:pt idx="229">
                  <c:v>797</c:v>
                </c:pt>
                <c:pt idx="230">
                  <c:v>780.75</c:v>
                </c:pt>
                <c:pt idx="231">
                  <c:v>781.5</c:v>
                </c:pt>
                <c:pt idx="232">
                  <c:v>795.5</c:v>
                </c:pt>
                <c:pt idx="233">
                  <c:v>783</c:v>
                </c:pt>
                <c:pt idx="234">
                  <c:v>737.25</c:v>
                </c:pt>
                <c:pt idx="235">
                  <c:v>715.5</c:v>
                </c:pt>
                <c:pt idx="236">
                  <c:v>705.5</c:v>
                </c:pt>
                <c:pt idx="237">
                  <c:v>727</c:v>
                </c:pt>
                <c:pt idx="238">
                  <c:v>724.25</c:v>
                </c:pt>
                <c:pt idx="239">
                  <c:v>712.75</c:v>
                </c:pt>
                <c:pt idx="240">
                  <c:v>733</c:v>
                </c:pt>
                <c:pt idx="241">
                  <c:v>728.75</c:v>
                </c:pt>
                <c:pt idx="242">
                  <c:v>728.25</c:v>
                </c:pt>
                <c:pt idx="243">
                  <c:v>757.25</c:v>
                </c:pt>
                <c:pt idx="244">
                  <c:v>753.5</c:v>
                </c:pt>
                <c:pt idx="245">
                  <c:v>748.5</c:v>
                </c:pt>
                <c:pt idx="246">
                  <c:v>750.5</c:v>
                </c:pt>
                <c:pt idx="247">
                  <c:v>767.75</c:v>
                </c:pt>
                <c:pt idx="248">
                  <c:v>762.25</c:v>
                </c:pt>
                <c:pt idx="249">
                  <c:v>776</c:v>
                </c:pt>
                <c:pt idx="250">
                  <c:v>774.5</c:v>
                </c:pt>
                <c:pt idx="251">
                  <c:v>785.5</c:v>
                </c:pt>
                <c:pt idx="252">
                  <c:v>774</c:v>
                </c:pt>
                <c:pt idx="253">
                  <c:v>792</c:v>
                </c:pt>
              </c:numCache>
            </c:numRef>
          </c:val>
          <c:smooth val="0"/>
          <c:extLst>
            <c:ext xmlns:c16="http://schemas.microsoft.com/office/drawing/2014/chart" uri="{C3380CC4-5D6E-409C-BE32-E72D297353CC}">
              <c16:uniqueId val="{00000005-B866-4A02-86CE-03BD9E806DF6}"/>
            </c:ext>
          </c:extLst>
        </c:ser>
        <c:dLbls>
          <c:showLegendKey val="0"/>
          <c:showVal val="0"/>
          <c:showCatName val="0"/>
          <c:showSerName val="0"/>
          <c:showPercent val="0"/>
          <c:showBubbleSize val="0"/>
        </c:dLbls>
        <c:smooth val="0"/>
        <c:axId val="1500902960"/>
        <c:axId val="1500871760"/>
      </c:lineChart>
      <c:dateAx>
        <c:axId val="150090296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500871760"/>
        <c:crosses val="autoZero"/>
        <c:auto val="1"/>
        <c:lblOffset val="100"/>
        <c:baseTimeUnit val="days"/>
      </c:dateAx>
      <c:valAx>
        <c:axId val="1500871760"/>
        <c:scaling>
          <c:orientation val="minMax"/>
          <c:min val="300"/>
        </c:scaling>
        <c:delete val="0"/>
        <c:axPos val="l"/>
        <c:title>
          <c:tx>
            <c:rich>
              <a:bodyPr/>
              <a:lstStyle/>
              <a:p>
                <a:pPr>
                  <a:defRPr sz="900" b="0"/>
                </a:pPr>
                <a:r>
                  <a:rPr lang="es-GT" sz="900" b="0">
                    <a:solidFill>
                      <a:schemeClr val="tx1">
                        <a:lumMod val="75000"/>
                        <a:lumOff val="25000"/>
                      </a:schemeClr>
                    </a:solidFill>
                  </a:rPr>
                  <a:t>$cts/bushel</a:t>
                </a:r>
              </a:p>
            </c:rich>
          </c:tx>
          <c:overlay val="0"/>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500902960"/>
        <c:crosses val="autoZero"/>
        <c:crossBetween val="between"/>
      </c:valAx>
    </c:plotArea>
    <c:legend>
      <c:legendPos val="r"/>
      <c:layout>
        <c:manualLayout>
          <c:xMode val="edge"/>
          <c:yMode val="edge"/>
          <c:x val="0.20404351361513826"/>
          <c:y val="4.3803698310131107E-4"/>
          <c:w val="0.47610888888888891"/>
          <c:h val="0.14656944444444445"/>
        </c:manualLayout>
      </c:layout>
      <c:overlay val="0"/>
    </c:legend>
    <c:plotVisOnly val="1"/>
    <c:dispBlanksAs val="gap"/>
    <c:showDLblsOverMax val="0"/>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WTI_spot!$D$1</c:f>
              <c:strCache>
                <c:ptCount val="1"/>
                <c:pt idx="0">
                  <c:v>SPOT</c:v>
                </c:pt>
              </c:strCache>
            </c:strRef>
          </c:tx>
          <c:spPr>
            <a:ln w="15875" cap="rnd">
              <a:solidFill>
                <a:schemeClr val="accent1">
                  <a:lumMod val="50000"/>
                </a:schemeClr>
              </a:solidFill>
              <a:round/>
            </a:ln>
            <a:effectLst/>
          </c:spPr>
          <c:marker>
            <c:symbol val="none"/>
          </c:marker>
          <c:dLbls>
            <c:dLbl>
              <c:idx val="56"/>
              <c:layout>
                <c:manualLayout>
                  <c:x val="-9.3876206502413004E-2"/>
                  <c:y val="-7.17891297462199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074-462C-9F4B-5F51DE4EC678}"/>
                </c:ext>
              </c:extLst>
            </c:dLbl>
            <c:dLbl>
              <c:idx val="161"/>
              <c:layout>
                <c:manualLayout>
                  <c:x val="-8.3795561341122676E-2"/>
                  <c:y val="-0.1070749448485488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074-462C-9F4B-5F51DE4EC678}"/>
                </c:ext>
              </c:extLst>
            </c:dLbl>
            <c:dLbl>
              <c:idx val="228"/>
              <c:layout>
                <c:manualLayout>
                  <c:x val="-4.6618806637636866E-2"/>
                  <c:y val="-0.1068476851851851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074-462C-9F4B-5F51DE4EC678}"/>
                </c:ext>
              </c:extLst>
            </c:dLbl>
            <c:dLbl>
              <c:idx val="380"/>
              <c:layout>
                <c:manualLayout>
                  <c:x val="-0.13293870650241302"/>
                  <c:y val="-8.59034557871515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074-462C-9F4B-5F51DE4EC678}"/>
                </c:ext>
              </c:extLst>
            </c:dLbl>
            <c:dLbl>
              <c:idx val="396"/>
              <c:layout>
                <c:manualLayout>
                  <c:x val="-1.8149374849386619E-2"/>
                  <c:y val="-7.15699074074074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074-462C-9F4B-5F51DE4EC67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GT"/>
              </a:p>
            </c:txPr>
            <c:dLblPos val="t"/>
            <c:showLegendKey val="0"/>
            <c:showVal val="0"/>
            <c:showCatName val="0"/>
            <c:showSerName val="0"/>
            <c:showPercent val="0"/>
            <c:showBubbleSize val="0"/>
            <c:extLst>
              <c:ext xmlns:c15="http://schemas.microsoft.com/office/drawing/2012/chart" uri="{CE6537A1-D6FC-4f65-9D91-7224C49458BB}">
                <c15:showLeaderLines val="0"/>
              </c:ext>
            </c:extLst>
          </c:dLbls>
          <c:cat>
            <c:numRef>
              <c:f>WTI_spot!$C$3274:$C$3929</c:f>
              <c:numCache>
                <c:formatCode>m/d/yyyy</c:formatCode>
                <c:ptCount val="656"/>
                <c:pt idx="0">
                  <c:v>44563</c:v>
                </c:pt>
                <c:pt idx="1">
                  <c:v>44564</c:v>
                </c:pt>
                <c:pt idx="2">
                  <c:v>44565</c:v>
                </c:pt>
                <c:pt idx="3">
                  <c:v>44566</c:v>
                </c:pt>
                <c:pt idx="4">
                  <c:v>44567</c:v>
                </c:pt>
                <c:pt idx="5">
                  <c:v>44568</c:v>
                </c:pt>
                <c:pt idx="6">
                  <c:v>44570</c:v>
                </c:pt>
                <c:pt idx="7">
                  <c:v>44571</c:v>
                </c:pt>
                <c:pt idx="8">
                  <c:v>44572</c:v>
                </c:pt>
                <c:pt idx="9">
                  <c:v>44573</c:v>
                </c:pt>
                <c:pt idx="10">
                  <c:v>44574</c:v>
                </c:pt>
                <c:pt idx="11">
                  <c:v>44575</c:v>
                </c:pt>
                <c:pt idx="12">
                  <c:v>44577</c:v>
                </c:pt>
                <c:pt idx="13">
                  <c:v>44578</c:v>
                </c:pt>
                <c:pt idx="14">
                  <c:v>44579</c:v>
                </c:pt>
                <c:pt idx="15">
                  <c:v>44580</c:v>
                </c:pt>
                <c:pt idx="16">
                  <c:v>44581</c:v>
                </c:pt>
                <c:pt idx="17">
                  <c:v>44582</c:v>
                </c:pt>
                <c:pt idx="18">
                  <c:v>44584</c:v>
                </c:pt>
                <c:pt idx="19">
                  <c:v>44585</c:v>
                </c:pt>
                <c:pt idx="20">
                  <c:v>44586</c:v>
                </c:pt>
                <c:pt idx="21">
                  <c:v>44587</c:v>
                </c:pt>
                <c:pt idx="22">
                  <c:v>44588</c:v>
                </c:pt>
                <c:pt idx="23">
                  <c:v>44589</c:v>
                </c:pt>
                <c:pt idx="24">
                  <c:v>44591</c:v>
                </c:pt>
                <c:pt idx="25">
                  <c:v>44592</c:v>
                </c:pt>
                <c:pt idx="26">
                  <c:v>44593</c:v>
                </c:pt>
                <c:pt idx="27">
                  <c:v>44594</c:v>
                </c:pt>
                <c:pt idx="28">
                  <c:v>44595</c:v>
                </c:pt>
                <c:pt idx="29">
                  <c:v>44596</c:v>
                </c:pt>
                <c:pt idx="30">
                  <c:v>44598</c:v>
                </c:pt>
                <c:pt idx="31">
                  <c:v>44599</c:v>
                </c:pt>
                <c:pt idx="32">
                  <c:v>44600</c:v>
                </c:pt>
                <c:pt idx="33">
                  <c:v>44601</c:v>
                </c:pt>
                <c:pt idx="34">
                  <c:v>44602</c:v>
                </c:pt>
                <c:pt idx="35">
                  <c:v>44603</c:v>
                </c:pt>
                <c:pt idx="36">
                  <c:v>44605</c:v>
                </c:pt>
                <c:pt idx="37">
                  <c:v>44606</c:v>
                </c:pt>
                <c:pt idx="38">
                  <c:v>44607</c:v>
                </c:pt>
                <c:pt idx="39">
                  <c:v>44608</c:v>
                </c:pt>
                <c:pt idx="40">
                  <c:v>44609</c:v>
                </c:pt>
                <c:pt idx="41">
                  <c:v>44610</c:v>
                </c:pt>
                <c:pt idx="42">
                  <c:v>44612</c:v>
                </c:pt>
                <c:pt idx="43">
                  <c:v>44613</c:v>
                </c:pt>
                <c:pt idx="44">
                  <c:v>44614</c:v>
                </c:pt>
                <c:pt idx="45">
                  <c:v>44615</c:v>
                </c:pt>
                <c:pt idx="46">
                  <c:v>44616</c:v>
                </c:pt>
                <c:pt idx="47">
                  <c:v>44617</c:v>
                </c:pt>
                <c:pt idx="48">
                  <c:v>44619</c:v>
                </c:pt>
                <c:pt idx="49">
                  <c:v>44620</c:v>
                </c:pt>
                <c:pt idx="50">
                  <c:v>44621</c:v>
                </c:pt>
                <c:pt idx="51">
                  <c:v>44622</c:v>
                </c:pt>
                <c:pt idx="52">
                  <c:v>44623</c:v>
                </c:pt>
                <c:pt idx="53">
                  <c:v>44624</c:v>
                </c:pt>
                <c:pt idx="54">
                  <c:v>44626</c:v>
                </c:pt>
                <c:pt idx="55">
                  <c:v>44627</c:v>
                </c:pt>
                <c:pt idx="56">
                  <c:v>44628</c:v>
                </c:pt>
                <c:pt idx="57">
                  <c:v>44629</c:v>
                </c:pt>
                <c:pt idx="58">
                  <c:v>44630</c:v>
                </c:pt>
                <c:pt idx="59">
                  <c:v>44631</c:v>
                </c:pt>
                <c:pt idx="60">
                  <c:v>44633</c:v>
                </c:pt>
                <c:pt idx="61">
                  <c:v>44634</c:v>
                </c:pt>
                <c:pt idx="62">
                  <c:v>44635</c:v>
                </c:pt>
                <c:pt idx="63">
                  <c:v>44636</c:v>
                </c:pt>
                <c:pt idx="64">
                  <c:v>44637</c:v>
                </c:pt>
                <c:pt idx="65">
                  <c:v>44638</c:v>
                </c:pt>
                <c:pt idx="66">
                  <c:v>44640</c:v>
                </c:pt>
                <c:pt idx="67">
                  <c:v>44641</c:v>
                </c:pt>
                <c:pt idx="68">
                  <c:v>44642</c:v>
                </c:pt>
                <c:pt idx="69">
                  <c:v>44643</c:v>
                </c:pt>
                <c:pt idx="70">
                  <c:v>44644</c:v>
                </c:pt>
                <c:pt idx="71">
                  <c:v>44645</c:v>
                </c:pt>
                <c:pt idx="72">
                  <c:v>44647</c:v>
                </c:pt>
                <c:pt idx="73">
                  <c:v>44648</c:v>
                </c:pt>
                <c:pt idx="74">
                  <c:v>44649</c:v>
                </c:pt>
                <c:pt idx="75">
                  <c:v>44650</c:v>
                </c:pt>
                <c:pt idx="76">
                  <c:v>44651</c:v>
                </c:pt>
                <c:pt idx="77">
                  <c:v>44652</c:v>
                </c:pt>
                <c:pt idx="78">
                  <c:v>44654</c:v>
                </c:pt>
                <c:pt idx="79">
                  <c:v>44655</c:v>
                </c:pt>
                <c:pt idx="80">
                  <c:v>44656</c:v>
                </c:pt>
                <c:pt idx="81">
                  <c:v>44657</c:v>
                </c:pt>
                <c:pt idx="82">
                  <c:v>44658</c:v>
                </c:pt>
                <c:pt idx="83">
                  <c:v>44659</c:v>
                </c:pt>
                <c:pt idx="84">
                  <c:v>44661</c:v>
                </c:pt>
                <c:pt idx="85">
                  <c:v>44662</c:v>
                </c:pt>
                <c:pt idx="86">
                  <c:v>44663</c:v>
                </c:pt>
                <c:pt idx="87">
                  <c:v>44664</c:v>
                </c:pt>
                <c:pt idx="88">
                  <c:v>44665</c:v>
                </c:pt>
                <c:pt idx="89">
                  <c:v>44668</c:v>
                </c:pt>
                <c:pt idx="90">
                  <c:v>44669</c:v>
                </c:pt>
                <c:pt idx="91">
                  <c:v>44670</c:v>
                </c:pt>
                <c:pt idx="92">
                  <c:v>44671</c:v>
                </c:pt>
                <c:pt idx="93">
                  <c:v>44672</c:v>
                </c:pt>
                <c:pt idx="94">
                  <c:v>44673</c:v>
                </c:pt>
                <c:pt idx="95">
                  <c:v>44675</c:v>
                </c:pt>
                <c:pt idx="96">
                  <c:v>44676</c:v>
                </c:pt>
                <c:pt idx="97">
                  <c:v>44677</c:v>
                </c:pt>
                <c:pt idx="98">
                  <c:v>44678</c:v>
                </c:pt>
                <c:pt idx="99">
                  <c:v>44679</c:v>
                </c:pt>
                <c:pt idx="100">
                  <c:v>44680</c:v>
                </c:pt>
                <c:pt idx="101">
                  <c:v>44682</c:v>
                </c:pt>
                <c:pt idx="102">
                  <c:v>44683</c:v>
                </c:pt>
                <c:pt idx="103">
                  <c:v>44684</c:v>
                </c:pt>
                <c:pt idx="104">
                  <c:v>44685</c:v>
                </c:pt>
                <c:pt idx="105">
                  <c:v>44686</c:v>
                </c:pt>
                <c:pt idx="106">
                  <c:v>44687</c:v>
                </c:pt>
                <c:pt idx="107">
                  <c:v>44689</c:v>
                </c:pt>
                <c:pt idx="108">
                  <c:v>44690</c:v>
                </c:pt>
                <c:pt idx="109">
                  <c:v>44691</c:v>
                </c:pt>
                <c:pt idx="110">
                  <c:v>44692</c:v>
                </c:pt>
                <c:pt idx="111">
                  <c:v>44693</c:v>
                </c:pt>
                <c:pt idx="112">
                  <c:v>44694</c:v>
                </c:pt>
                <c:pt idx="113">
                  <c:v>44696</c:v>
                </c:pt>
                <c:pt idx="114">
                  <c:v>44697</c:v>
                </c:pt>
                <c:pt idx="115">
                  <c:v>44698</c:v>
                </c:pt>
                <c:pt idx="116">
                  <c:v>44699</c:v>
                </c:pt>
                <c:pt idx="117">
                  <c:v>44700</c:v>
                </c:pt>
                <c:pt idx="118">
                  <c:v>44701</c:v>
                </c:pt>
                <c:pt idx="119">
                  <c:v>44703</c:v>
                </c:pt>
                <c:pt idx="120">
                  <c:v>44704</c:v>
                </c:pt>
                <c:pt idx="121">
                  <c:v>44705</c:v>
                </c:pt>
                <c:pt idx="122">
                  <c:v>44706</c:v>
                </c:pt>
                <c:pt idx="123">
                  <c:v>44707</c:v>
                </c:pt>
                <c:pt idx="124">
                  <c:v>44708</c:v>
                </c:pt>
                <c:pt idx="125">
                  <c:v>44710</c:v>
                </c:pt>
                <c:pt idx="126">
                  <c:v>44711</c:v>
                </c:pt>
                <c:pt idx="127">
                  <c:v>44712</c:v>
                </c:pt>
                <c:pt idx="128">
                  <c:v>44713</c:v>
                </c:pt>
                <c:pt idx="129">
                  <c:v>44714</c:v>
                </c:pt>
                <c:pt idx="130">
                  <c:v>44715</c:v>
                </c:pt>
                <c:pt idx="131">
                  <c:v>44717</c:v>
                </c:pt>
                <c:pt idx="132">
                  <c:v>44718</c:v>
                </c:pt>
                <c:pt idx="133">
                  <c:v>44719</c:v>
                </c:pt>
                <c:pt idx="134">
                  <c:v>44720</c:v>
                </c:pt>
                <c:pt idx="135">
                  <c:v>44721</c:v>
                </c:pt>
                <c:pt idx="136">
                  <c:v>44722</c:v>
                </c:pt>
                <c:pt idx="137">
                  <c:v>44724</c:v>
                </c:pt>
                <c:pt idx="138">
                  <c:v>44725</c:v>
                </c:pt>
                <c:pt idx="139">
                  <c:v>44726</c:v>
                </c:pt>
                <c:pt idx="140">
                  <c:v>44727</c:v>
                </c:pt>
                <c:pt idx="141">
                  <c:v>44728</c:v>
                </c:pt>
                <c:pt idx="142">
                  <c:v>44729</c:v>
                </c:pt>
                <c:pt idx="143">
                  <c:v>44731</c:v>
                </c:pt>
                <c:pt idx="144">
                  <c:v>44732</c:v>
                </c:pt>
                <c:pt idx="145">
                  <c:v>44733</c:v>
                </c:pt>
                <c:pt idx="146">
                  <c:v>44734</c:v>
                </c:pt>
                <c:pt idx="147">
                  <c:v>44735</c:v>
                </c:pt>
                <c:pt idx="148">
                  <c:v>44736</c:v>
                </c:pt>
                <c:pt idx="149">
                  <c:v>44738</c:v>
                </c:pt>
                <c:pt idx="150">
                  <c:v>44739</c:v>
                </c:pt>
                <c:pt idx="151">
                  <c:v>44740</c:v>
                </c:pt>
                <c:pt idx="152">
                  <c:v>44741</c:v>
                </c:pt>
                <c:pt idx="153">
                  <c:v>44742</c:v>
                </c:pt>
                <c:pt idx="154">
                  <c:v>44743</c:v>
                </c:pt>
                <c:pt idx="155">
                  <c:v>44745</c:v>
                </c:pt>
                <c:pt idx="156">
                  <c:v>44746</c:v>
                </c:pt>
                <c:pt idx="157">
                  <c:v>44747</c:v>
                </c:pt>
                <c:pt idx="158">
                  <c:v>44748</c:v>
                </c:pt>
                <c:pt idx="159">
                  <c:v>44749</c:v>
                </c:pt>
                <c:pt idx="160">
                  <c:v>44750</c:v>
                </c:pt>
                <c:pt idx="161">
                  <c:v>44752</c:v>
                </c:pt>
                <c:pt idx="162">
                  <c:v>44753</c:v>
                </c:pt>
                <c:pt idx="163">
                  <c:v>44754</c:v>
                </c:pt>
                <c:pt idx="164">
                  <c:v>44755</c:v>
                </c:pt>
                <c:pt idx="165">
                  <c:v>44756</c:v>
                </c:pt>
                <c:pt idx="166">
                  <c:v>44757</c:v>
                </c:pt>
                <c:pt idx="167">
                  <c:v>44759</c:v>
                </c:pt>
                <c:pt idx="168">
                  <c:v>44760</c:v>
                </c:pt>
                <c:pt idx="169">
                  <c:v>44761</c:v>
                </c:pt>
                <c:pt idx="170">
                  <c:v>44762</c:v>
                </c:pt>
                <c:pt idx="171">
                  <c:v>44763</c:v>
                </c:pt>
                <c:pt idx="172">
                  <c:v>44764</c:v>
                </c:pt>
                <c:pt idx="173">
                  <c:v>44766</c:v>
                </c:pt>
                <c:pt idx="174">
                  <c:v>44767</c:v>
                </c:pt>
                <c:pt idx="175">
                  <c:v>44768</c:v>
                </c:pt>
                <c:pt idx="176">
                  <c:v>44769</c:v>
                </c:pt>
                <c:pt idx="177">
                  <c:v>44770</c:v>
                </c:pt>
                <c:pt idx="178">
                  <c:v>44771</c:v>
                </c:pt>
                <c:pt idx="179">
                  <c:v>44773</c:v>
                </c:pt>
                <c:pt idx="180">
                  <c:v>44774</c:v>
                </c:pt>
                <c:pt idx="181">
                  <c:v>44775</c:v>
                </c:pt>
                <c:pt idx="182">
                  <c:v>44776</c:v>
                </c:pt>
                <c:pt idx="183">
                  <c:v>44777</c:v>
                </c:pt>
                <c:pt idx="184">
                  <c:v>44778</c:v>
                </c:pt>
                <c:pt idx="185">
                  <c:v>44780</c:v>
                </c:pt>
                <c:pt idx="186">
                  <c:v>44781</c:v>
                </c:pt>
                <c:pt idx="187">
                  <c:v>44782</c:v>
                </c:pt>
                <c:pt idx="188">
                  <c:v>44783</c:v>
                </c:pt>
                <c:pt idx="189">
                  <c:v>44784</c:v>
                </c:pt>
                <c:pt idx="190">
                  <c:v>44785</c:v>
                </c:pt>
                <c:pt idx="191">
                  <c:v>44787</c:v>
                </c:pt>
                <c:pt idx="192">
                  <c:v>44788</c:v>
                </c:pt>
                <c:pt idx="193">
                  <c:v>44789</c:v>
                </c:pt>
                <c:pt idx="194">
                  <c:v>44790</c:v>
                </c:pt>
                <c:pt idx="195">
                  <c:v>44791</c:v>
                </c:pt>
                <c:pt idx="196">
                  <c:v>44792</c:v>
                </c:pt>
                <c:pt idx="197">
                  <c:v>44794</c:v>
                </c:pt>
                <c:pt idx="198">
                  <c:v>44795</c:v>
                </c:pt>
                <c:pt idx="199">
                  <c:v>44796</c:v>
                </c:pt>
                <c:pt idx="200">
                  <c:v>44797</c:v>
                </c:pt>
                <c:pt idx="201">
                  <c:v>44798</c:v>
                </c:pt>
                <c:pt idx="202">
                  <c:v>44799</c:v>
                </c:pt>
                <c:pt idx="203">
                  <c:v>44801</c:v>
                </c:pt>
                <c:pt idx="204">
                  <c:v>44802</c:v>
                </c:pt>
                <c:pt idx="205">
                  <c:v>44803</c:v>
                </c:pt>
                <c:pt idx="206">
                  <c:v>44804</c:v>
                </c:pt>
                <c:pt idx="207">
                  <c:v>44805</c:v>
                </c:pt>
                <c:pt idx="208">
                  <c:v>44806</c:v>
                </c:pt>
                <c:pt idx="209">
                  <c:v>44808</c:v>
                </c:pt>
                <c:pt idx="210">
                  <c:v>44809</c:v>
                </c:pt>
                <c:pt idx="211">
                  <c:v>44810</c:v>
                </c:pt>
                <c:pt idx="212">
                  <c:v>44811</c:v>
                </c:pt>
                <c:pt idx="213">
                  <c:v>44812</c:v>
                </c:pt>
                <c:pt idx="214">
                  <c:v>44813</c:v>
                </c:pt>
                <c:pt idx="215">
                  <c:v>44815</c:v>
                </c:pt>
                <c:pt idx="216">
                  <c:v>44816</c:v>
                </c:pt>
                <c:pt idx="217">
                  <c:v>44817</c:v>
                </c:pt>
                <c:pt idx="218">
                  <c:v>44818</c:v>
                </c:pt>
                <c:pt idx="219">
                  <c:v>44819</c:v>
                </c:pt>
                <c:pt idx="220">
                  <c:v>44820</c:v>
                </c:pt>
                <c:pt idx="221">
                  <c:v>44822</c:v>
                </c:pt>
                <c:pt idx="222">
                  <c:v>44823</c:v>
                </c:pt>
                <c:pt idx="223">
                  <c:v>44824</c:v>
                </c:pt>
                <c:pt idx="224">
                  <c:v>44825</c:v>
                </c:pt>
                <c:pt idx="225">
                  <c:v>44826</c:v>
                </c:pt>
                <c:pt idx="226">
                  <c:v>44827</c:v>
                </c:pt>
                <c:pt idx="227">
                  <c:v>44829</c:v>
                </c:pt>
                <c:pt idx="228">
                  <c:v>44830</c:v>
                </c:pt>
                <c:pt idx="229">
                  <c:v>44831</c:v>
                </c:pt>
                <c:pt idx="230">
                  <c:v>44832</c:v>
                </c:pt>
                <c:pt idx="231">
                  <c:v>44833</c:v>
                </c:pt>
                <c:pt idx="232">
                  <c:v>44834</c:v>
                </c:pt>
                <c:pt idx="233">
                  <c:v>44836</c:v>
                </c:pt>
                <c:pt idx="234">
                  <c:v>44837</c:v>
                </c:pt>
                <c:pt idx="235">
                  <c:v>44838</c:v>
                </c:pt>
                <c:pt idx="236">
                  <c:v>44839</c:v>
                </c:pt>
                <c:pt idx="237">
                  <c:v>44840</c:v>
                </c:pt>
                <c:pt idx="238">
                  <c:v>44841</c:v>
                </c:pt>
                <c:pt idx="239">
                  <c:v>44843</c:v>
                </c:pt>
                <c:pt idx="240">
                  <c:v>44844</c:v>
                </c:pt>
                <c:pt idx="241">
                  <c:v>44845</c:v>
                </c:pt>
                <c:pt idx="242">
                  <c:v>44846</c:v>
                </c:pt>
                <c:pt idx="243">
                  <c:v>44847</c:v>
                </c:pt>
                <c:pt idx="244">
                  <c:v>44848</c:v>
                </c:pt>
                <c:pt idx="245">
                  <c:v>44850</c:v>
                </c:pt>
                <c:pt idx="246">
                  <c:v>44851</c:v>
                </c:pt>
                <c:pt idx="247">
                  <c:v>44852</c:v>
                </c:pt>
                <c:pt idx="248">
                  <c:v>44853</c:v>
                </c:pt>
                <c:pt idx="249">
                  <c:v>44854</c:v>
                </c:pt>
                <c:pt idx="250">
                  <c:v>44855</c:v>
                </c:pt>
                <c:pt idx="251">
                  <c:v>44857</c:v>
                </c:pt>
                <c:pt idx="252">
                  <c:v>44858</c:v>
                </c:pt>
                <c:pt idx="253">
                  <c:v>44859</c:v>
                </c:pt>
                <c:pt idx="254">
                  <c:v>44860</c:v>
                </c:pt>
                <c:pt idx="255">
                  <c:v>44861</c:v>
                </c:pt>
                <c:pt idx="256">
                  <c:v>44862</c:v>
                </c:pt>
                <c:pt idx="257">
                  <c:v>44864</c:v>
                </c:pt>
                <c:pt idx="258">
                  <c:v>44865</c:v>
                </c:pt>
                <c:pt idx="259">
                  <c:v>44866</c:v>
                </c:pt>
                <c:pt idx="260">
                  <c:v>44867</c:v>
                </c:pt>
                <c:pt idx="261">
                  <c:v>44868</c:v>
                </c:pt>
                <c:pt idx="262">
                  <c:v>44869</c:v>
                </c:pt>
                <c:pt idx="263">
                  <c:v>44871</c:v>
                </c:pt>
                <c:pt idx="264">
                  <c:v>44872</c:v>
                </c:pt>
                <c:pt idx="265">
                  <c:v>44873</c:v>
                </c:pt>
                <c:pt idx="266">
                  <c:v>44874</c:v>
                </c:pt>
                <c:pt idx="267">
                  <c:v>44875</c:v>
                </c:pt>
                <c:pt idx="268">
                  <c:v>44876</c:v>
                </c:pt>
                <c:pt idx="269">
                  <c:v>44878</c:v>
                </c:pt>
                <c:pt idx="270">
                  <c:v>44879</c:v>
                </c:pt>
                <c:pt idx="271">
                  <c:v>44880</c:v>
                </c:pt>
                <c:pt idx="272">
                  <c:v>44881</c:v>
                </c:pt>
                <c:pt idx="273">
                  <c:v>44882</c:v>
                </c:pt>
                <c:pt idx="274">
                  <c:v>44883</c:v>
                </c:pt>
                <c:pt idx="275">
                  <c:v>44885</c:v>
                </c:pt>
                <c:pt idx="276">
                  <c:v>44886</c:v>
                </c:pt>
                <c:pt idx="277">
                  <c:v>44887</c:v>
                </c:pt>
                <c:pt idx="278">
                  <c:v>44888</c:v>
                </c:pt>
                <c:pt idx="279">
                  <c:v>44889</c:v>
                </c:pt>
                <c:pt idx="280">
                  <c:v>44890</c:v>
                </c:pt>
                <c:pt idx="281">
                  <c:v>44892</c:v>
                </c:pt>
                <c:pt idx="282">
                  <c:v>44893</c:v>
                </c:pt>
                <c:pt idx="283">
                  <c:v>44894</c:v>
                </c:pt>
                <c:pt idx="284">
                  <c:v>44895</c:v>
                </c:pt>
                <c:pt idx="285">
                  <c:v>44896</c:v>
                </c:pt>
                <c:pt idx="286">
                  <c:v>44897</c:v>
                </c:pt>
                <c:pt idx="287">
                  <c:v>44899</c:v>
                </c:pt>
                <c:pt idx="288">
                  <c:v>44900</c:v>
                </c:pt>
                <c:pt idx="289">
                  <c:v>44901</c:v>
                </c:pt>
                <c:pt idx="290">
                  <c:v>44902</c:v>
                </c:pt>
                <c:pt idx="291">
                  <c:v>44903</c:v>
                </c:pt>
                <c:pt idx="292">
                  <c:v>44904</c:v>
                </c:pt>
                <c:pt idx="293">
                  <c:v>44906</c:v>
                </c:pt>
                <c:pt idx="294">
                  <c:v>44907</c:v>
                </c:pt>
                <c:pt idx="295">
                  <c:v>44908</c:v>
                </c:pt>
                <c:pt idx="296">
                  <c:v>44909</c:v>
                </c:pt>
                <c:pt idx="297">
                  <c:v>44910</c:v>
                </c:pt>
                <c:pt idx="298">
                  <c:v>44911</c:v>
                </c:pt>
                <c:pt idx="299">
                  <c:v>44913</c:v>
                </c:pt>
                <c:pt idx="300">
                  <c:v>44914</c:v>
                </c:pt>
                <c:pt idx="301">
                  <c:v>44915</c:v>
                </c:pt>
                <c:pt idx="302">
                  <c:v>44916</c:v>
                </c:pt>
                <c:pt idx="303">
                  <c:v>44917</c:v>
                </c:pt>
                <c:pt idx="304">
                  <c:v>44918</c:v>
                </c:pt>
                <c:pt idx="305">
                  <c:v>44921</c:v>
                </c:pt>
                <c:pt idx="306">
                  <c:v>44922</c:v>
                </c:pt>
                <c:pt idx="307">
                  <c:v>44923</c:v>
                </c:pt>
                <c:pt idx="308">
                  <c:v>44924</c:v>
                </c:pt>
                <c:pt idx="309">
                  <c:v>44925</c:v>
                </c:pt>
                <c:pt idx="310">
                  <c:v>44928</c:v>
                </c:pt>
                <c:pt idx="311">
                  <c:v>44929</c:v>
                </c:pt>
                <c:pt idx="312">
                  <c:v>44930</c:v>
                </c:pt>
                <c:pt idx="313">
                  <c:v>44931</c:v>
                </c:pt>
                <c:pt idx="314">
                  <c:v>44932</c:v>
                </c:pt>
                <c:pt idx="315">
                  <c:v>44934</c:v>
                </c:pt>
                <c:pt idx="316">
                  <c:v>44935</c:v>
                </c:pt>
                <c:pt idx="317">
                  <c:v>44936</c:v>
                </c:pt>
                <c:pt idx="318">
                  <c:v>44937</c:v>
                </c:pt>
                <c:pt idx="319">
                  <c:v>44938</c:v>
                </c:pt>
                <c:pt idx="320">
                  <c:v>44939</c:v>
                </c:pt>
                <c:pt idx="321">
                  <c:v>44941</c:v>
                </c:pt>
                <c:pt idx="322">
                  <c:v>44942</c:v>
                </c:pt>
                <c:pt idx="323">
                  <c:v>44943</c:v>
                </c:pt>
                <c:pt idx="324">
                  <c:v>44944</c:v>
                </c:pt>
                <c:pt idx="325">
                  <c:v>44945</c:v>
                </c:pt>
                <c:pt idx="326">
                  <c:v>44946</c:v>
                </c:pt>
                <c:pt idx="327">
                  <c:v>44948</c:v>
                </c:pt>
                <c:pt idx="328">
                  <c:v>44949</c:v>
                </c:pt>
                <c:pt idx="329">
                  <c:v>44950</c:v>
                </c:pt>
                <c:pt idx="330">
                  <c:v>44951</c:v>
                </c:pt>
                <c:pt idx="331">
                  <c:v>44952</c:v>
                </c:pt>
                <c:pt idx="332">
                  <c:v>44953</c:v>
                </c:pt>
                <c:pt idx="333">
                  <c:v>44955</c:v>
                </c:pt>
                <c:pt idx="334">
                  <c:v>44956</c:v>
                </c:pt>
                <c:pt idx="335">
                  <c:v>44957</c:v>
                </c:pt>
                <c:pt idx="336">
                  <c:v>44958</c:v>
                </c:pt>
                <c:pt idx="337">
                  <c:v>44959</c:v>
                </c:pt>
                <c:pt idx="338">
                  <c:v>44960</c:v>
                </c:pt>
                <c:pt idx="339">
                  <c:v>44962</c:v>
                </c:pt>
                <c:pt idx="340">
                  <c:v>44963</c:v>
                </c:pt>
                <c:pt idx="341">
                  <c:v>44964</c:v>
                </c:pt>
                <c:pt idx="342">
                  <c:v>44965</c:v>
                </c:pt>
                <c:pt idx="343">
                  <c:v>44966</c:v>
                </c:pt>
                <c:pt idx="344">
                  <c:v>44967</c:v>
                </c:pt>
                <c:pt idx="345">
                  <c:v>44969</c:v>
                </c:pt>
                <c:pt idx="346">
                  <c:v>44970</c:v>
                </c:pt>
                <c:pt idx="347">
                  <c:v>44971</c:v>
                </c:pt>
                <c:pt idx="348">
                  <c:v>44972</c:v>
                </c:pt>
                <c:pt idx="349">
                  <c:v>44973</c:v>
                </c:pt>
                <c:pt idx="350">
                  <c:v>44974</c:v>
                </c:pt>
                <c:pt idx="351">
                  <c:v>44976</c:v>
                </c:pt>
                <c:pt idx="352">
                  <c:v>44977</c:v>
                </c:pt>
                <c:pt idx="353">
                  <c:v>44978</c:v>
                </c:pt>
                <c:pt idx="354">
                  <c:v>44979</c:v>
                </c:pt>
                <c:pt idx="355">
                  <c:v>44980</c:v>
                </c:pt>
                <c:pt idx="356">
                  <c:v>44981</c:v>
                </c:pt>
                <c:pt idx="357">
                  <c:v>44983</c:v>
                </c:pt>
                <c:pt idx="358">
                  <c:v>44984</c:v>
                </c:pt>
                <c:pt idx="359">
                  <c:v>44985</c:v>
                </c:pt>
                <c:pt idx="360">
                  <c:v>44986</c:v>
                </c:pt>
                <c:pt idx="361">
                  <c:v>44987</c:v>
                </c:pt>
                <c:pt idx="362">
                  <c:v>44988</c:v>
                </c:pt>
                <c:pt idx="363">
                  <c:v>44990</c:v>
                </c:pt>
                <c:pt idx="364">
                  <c:v>44991</c:v>
                </c:pt>
                <c:pt idx="365">
                  <c:v>44992</c:v>
                </c:pt>
                <c:pt idx="366">
                  <c:v>44993</c:v>
                </c:pt>
                <c:pt idx="367">
                  <c:v>44994</c:v>
                </c:pt>
                <c:pt idx="368">
                  <c:v>44995</c:v>
                </c:pt>
                <c:pt idx="369">
                  <c:v>44997</c:v>
                </c:pt>
                <c:pt idx="370">
                  <c:v>44998</c:v>
                </c:pt>
                <c:pt idx="371">
                  <c:v>44999</c:v>
                </c:pt>
                <c:pt idx="372">
                  <c:v>45000</c:v>
                </c:pt>
                <c:pt idx="373">
                  <c:v>45001</c:v>
                </c:pt>
                <c:pt idx="374">
                  <c:v>45002</c:v>
                </c:pt>
                <c:pt idx="375">
                  <c:v>45005</c:v>
                </c:pt>
                <c:pt idx="376">
                  <c:v>45006</c:v>
                </c:pt>
                <c:pt idx="377">
                  <c:v>45007</c:v>
                </c:pt>
                <c:pt idx="378">
                  <c:v>45008</c:v>
                </c:pt>
                <c:pt idx="379">
                  <c:v>45009</c:v>
                </c:pt>
                <c:pt idx="380">
                  <c:v>45011</c:v>
                </c:pt>
                <c:pt idx="381">
                  <c:v>45012</c:v>
                </c:pt>
                <c:pt idx="382">
                  <c:v>45013</c:v>
                </c:pt>
                <c:pt idx="383">
                  <c:v>45014</c:v>
                </c:pt>
                <c:pt idx="384">
                  <c:v>45015</c:v>
                </c:pt>
                <c:pt idx="385">
                  <c:v>45016</c:v>
                </c:pt>
                <c:pt idx="386">
                  <c:v>45018</c:v>
                </c:pt>
                <c:pt idx="387">
                  <c:v>45019</c:v>
                </c:pt>
                <c:pt idx="388">
                  <c:v>45020</c:v>
                </c:pt>
                <c:pt idx="389">
                  <c:v>45021</c:v>
                </c:pt>
                <c:pt idx="390">
                  <c:v>45022</c:v>
                </c:pt>
                <c:pt idx="391">
                  <c:v>45025</c:v>
                </c:pt>
                <c:pt idx="392">
                  <c:v>45026</c:v>
                </c:pt>
                <c:pt idx="393">
                  <c:v>45027</c:v>
                </c:pt>
                <c:pt idx="394">
                  <c:v>45028</c:v>
                </c:pt>
                <c:pt idx="395">
                  <c:v>45029</c:v>
                </c:pt>
                <c:pt idx="396">
                  <c:v>45030</c:v>
                </c:pt>
                <c:pt idx="397">
                  <c:v>45032</c:v>
                </c:pt>
                <c:pt idx="398">
                  <c:v>45033</c:v>
                </c:pt>
                <c:pt idx="399">
                  <c:v>45034</c:v>
                </c:pt>
                <c:pt idx="400">
                  <c:v>45035</c:v>
                </c:pt>
                <c:pt idx="401">
                  <c:v>45036</c:v>
                </c:pt>
                <c:pt idx="402">
                  <c:v>45037</c:v>
                </c:pt>
                <c:pt idx="403">
                  <c:v>45039</c:v>
                </c:pt>
                <c:pt idx="404">
                  <c:v>45040</c:v>
                </c:pt>
                <c:pt idx="405">
                  <c:v>45041</c:v>
                </c:pt>
                <c:pt idx="406">
                  <c:v>45042</c:v>
                </c:pt>
                <c:pt idx="407">
                  <c:v>45043</c:v>
                </c:pt>
                <c:pt idx="408">
                  <c:v>45044</c:v>
                </c:pt>
                <c:pt idx="409">
                  <c:v>45046</c:v>
                </c:pt>
                <c:pt idx="410">
                  <c:v>45047</c:v>
                </c:pt>
                <c:pt idx="411">
                  <c:v>45048</c:v>
                </c:pt>
                <c:pt idx="412">
                  <c:v>45049</c:v>
                </c:pt>
                <c:pt idx="413">
                  <c:v>45050</c:v>
                </c:pt>
                <c:pt idx="414">
                  <c:v>45051</c:v>
                </c:pt>
                <c:pt idx="415">
                  <c:v>45052</c:v>
                </c:pt>
                <c:pt idx="416">
                  <c:v>45053</c:v>
                </c:pt>
                <c:pt idx="417">
                  <c:v>45054</c:v>
                </c:pt>
                <c:pt idx="418">
                  <c:v>45055</c:v>
                </c:pt>
                <c:pt idx="419">
                  <c:v>45056</c:v>
                </c:pt>
                <c:pt idx="420">
                  <c:v>45057</c:v>
                </c:pt>
                <c:pt idx="421">
                  <c:v>45058</c:v>
                </c:pt>
                <c:pt idx="422">
                  <c:v>45059</c:v>
                </c:pt>
                <c:pt idx="423">
                  <c:v>45060</c:v>
                </c:pt>
                <c:pt idx="424">
                  <c:v>45061</c:v>
                </c:pt>
                <c:pt idx="425">
                  <c:v>45062</c:v>
                </c:pt>
                <c:pt idx="426">
                  <c:v>45063</c:v>
                </c:pt>
                <c:pt idx="427">
                  <c:v>45064</c:v>
                </c:pt>
                <c:pt idx="428">
                  <c:v>45065</c:v>
                </c:pt>
                <c:pt idx="429">
                  <c:v>45066</c:v>
                </c:pt>
                <c:pt idx="430">
                  <c:v>45067</c:v>
                </c:pt>
                <c:pt idx="431">
                  <c:v>45068</c:v>
                </c:pt>
                <c:pt idx="432">
                  <c:v>45069</c:v>
                </c:pt>
                <c:pt idx="433">
                  <c:v>45070</c:v>
                </c:pt>
                <c:pt idx="434">
                  <c:v>45071</c:v>
                </c:pt>
                <c:pt idx="435">
                  <c:v>45072</c:v>
                </c:pt>
                <c:pt idx="436">
                  <c:v>45073</c:v>
                </c:pt>
                <c:pt idx="437">
                  <c:v>45074</c:v>
                </c:pt>
                <c:pt idx="438">
                  <c:v>45075</c:v>
                </c:pt>
                <c:pt idx="439">
                  <c:v>45076</c:v>
                </c:pt>
                <c:pt idx="440">
                  <c:v>45077</c:v>
                </c:pt>
                <c:pt idx="441">
                  <c:v>45078</c:v>
                </c:pt>
                <c:pt idx="442">
                  <c:v>45079</c:v>
                </c:pt>
                <c:pt idx="443">
                  <c:v>45080</c:v>
                </c:pt>
                <c:pt idx="444">
                  <c:v>45081</c:v>
                </c:pt>
                <c:pt idx="445">
                  <c:v>45082</c:v>
                </c:pt>
                <c:pt idx="446">
                  <c:v>45083</c:v>
                </c:pt>
                <c:pt idx="447">
                  <c:v>45084</c:v>
                </c:pt>
                <c:pt idx="448">
                  <c:v>45085</c:v>
                </c:pt>
                <c:pt idx="449">
                  <c:v>45086</c:v>
                </c:pt>
                <c:pt idx="450">
                  <c:v>45087</c:v>
                </c:pt>
                <c:pt idx="451">
                  <c:v>45088</c:v>
                </c:pt>
                <c:pt idx="452">
                  <c:v>45089</c:v>
                </c:pt>
                <c:pt idx="453">
                  <c:v>45090</c:v>
                </c:pt>
                <c:pt idx="454">
                  <c:v>45091</c:v>
                </c:pt>
                <c:pt idx="455">
                  <c:v>45092</c:v>
                </c:pt>
                <c:pt idx="456">
                  <c:v>45093</c:v>
                </c:pt>
                <c:pt idx="457">
                  <c:v>45094</c:v>
                </c:pt>
                <c:pt idx="458">
                  <c:v>45095</c:v>
                </c:pt>
                <c:pt idx="459">
                  <c:v>45096</c:v>
                </c:pt>
                <c:pt idx="460">
                  <c:v>45097</c:v>
                </c:pt>
                <c:pt idx="461">
                  <c:v>45098</c:v>
                </c:pt>
                <c:pt idx="462">
                  <c:v>45099</c:v>
                </c:pt>
                <c:pt idx="463">
                  <c:v>45100</c:v>
                </c:pt>
                <c:pt idx="464">
                  <c:v>45101</c:v>
                </c:pt>
                <c:pt idx="465">
                  <c:v>45102</c:v>
                </c:pt>
                <c:pt idx="466">
                  <c:v>45103</c:v>
                </c:pt>
                <c:pt idx="467">
                  <c:v>45104</c:v>
                </c:pt>
                <c:pt idx="468">
                  <c:v>45105</c:v>
                </c:pt>
                <c:pt idx="469">
                  <c:v>45106</c:v>
                </c:pt>
                <c:pt idx="470">
                  <c:v>45107</c:v>
                </c:pt>
                <c:pt idx="471">
                  <c:v>45108</c:v>
                </c:pt>
                <c:pt idx="472">
                  <c:v>45109</c:v>
                </c:pt>
                <c:pt idx="473">
                  <c:v>45110</c:v>
                </c:pt>
                <c:pt idx="474">
                  <c:v>45111</c:v>
                </c:pt>
                <c:pt idx="475">
                  <c:v>45112</c:v>
                </c:pt>
                <c:pt idx="476">
                  <c:v>45113</c:v>
                </c:pt>
                <c:pt idx="477">
                  <c:v>45114</c:v>
                </c:pt>
                <c:pt idx="478">
                  <c:v>45115</c:v>
                </c:pt>
                <c:pt idx="479">
                  <c:v>45116</c:v>
                </c:pt>
                <c:pt idx="480">
                  <c:v>45117</c:v>
                </c:pt>
                <c:pt idx="481">
                  <c:v>45118</c:v>
                </c:pt>
                <c:pt idx="482">
                  <c:v>45119</c:v>
                </c:pt>
                <c:pt idx="483">
                  <c:v>45120</c:v>
                </c:pt>
                <c:pt idx="484">
                  <c:v>45121</c:v>
                </c:pt>
                <c:pt idx="485">
                  <c:v>45122</c:v>
                </c:pt>
                <c:pt idx="486">
                  <c:v>45123</c:v>
                </c:pt>
                <c:pt idx="487">
                  <c:v>45124</c:v>
                </c:pt>
                <c:pt idx="488">
                  <c:v>45125</c:v>
                </c:pt>
                <c:pt idx="489">
                  <c:v>45126</c:v>
                </c:pt>
                <c:pt idx="490">
                  <c:v>45127</c:v>
                </c:pt>
                <c:pt idx="491">
                  <c:v>45128</c:v>
                </c:pt>
                <c:pt idx="492">
                  <c:v>45129</c:v>
                </c:pt>
                <c:pt idx="493">
                  <c:v>45130</c:v>
                </c:pt>
                <c:pt idx="494">
                  <c:v>45131</c:v>
                </c:pt>
                <c:pt idx="495">
                  <c:v>45132</c:v>
                </c:pt>
                <c:pt idx="496">
                  <c:v>45133</c:v>
                </c:pt>
                <c:pt idx="497">
                  <c:v>45134</c:v>
                </c:pt>
                <c:pt idx="498">
                  <c:v>45135</c:v>
                </c:pt>
                <c:pt idx="499">
                  <c:v>45136</c:v>
                </c:pt>
                <c:pt idx="500">
                  <c:v>45137</c:v>
                </c:pt>
                <c:pt idx="501">
                  <c:v>45138</c:v>
                </c:pt>
                <c:pt idx="502">
                  <c:v>45139</c:v>
                </c:pt>
                <c:pt idx="503">
                  <c:v>45140</c:v>
                </c:pt>
                <c:pt idx="504">
                  <c:v>45141</c:v>
                </c:pt>
                <c:pt idx="505">
                  <c:v>45142</c:v>
                </c:pt>
                <c:pt idx="506">
                  <c:v>45143</c:v>
                </c:pt>
                <c:pt idx="507">
                  <c:v>45144</c:v>
                </c:pt>
                <c:pt idx="508">
                  <c:v>45145</c:v>
                </c:pt>
                <c:pt idx="509">
                  <c:v>45146</c:v>
                </c:pt>
                <c:pt idx="510">
                  <c:v>45147</c:v>
                </c:pt>
                <c:pt idx="511">
                  <c:v>45148</c:v>
                </c:pt>
                <c:pt idx="512">
                  <c:v>45149</c:v>
                </c:pt>
                <c:pt idx="513">
                  <c:v>45150</c:v>
                </c:pt>
                <c:pt idx="514">
                  <c:v>45151</c:v>
                </c:pt>
                <c:pt idx="515">
                  <c:v>45152</c:v>
                </c:pt>
                <c:pt idx="516">
                  <c:v>45153</c:v>
                </c:pt>
                <c:pt idx="517">
                  <c:v>45154</c:v>
                </c:pt>
                <c:pt idx="518">
                  <c:v>45155</c:v>
                </c:pt>
                <c:pt idx="519">
                  <c:v>45156</c:v>
                </c:pt>
                <c:pt idx="520">
                  <c:v>45157</c:v>
                </c:pt>
                <c:pt idx="521">
                  <c:v>45158</c:v>
                </c:pt>
                <c:pt idx="522">
                  <c:v>45159</c:v>
                </c:pt>
                <c:pt idx="523">
                  <c:v>45160</c:v>
                </c:pt>
                <c:pt idx="524">
                  <c:v>45161</c:v>
                </c:pt>
                <c:pt idx="525">
                  <c:v>45162</c:v>
                </c:pt>
                <c:pt idx="526">
                  <c:v>45163</c:v>
                </c:pt>
                <c:pt idx="527">
                  <c:v>45164</c:v>
                </c:pt>
                <c:pt idx="528">
                  <c:v>45165</c:v>
                </c:pt>
                <c:pt idx="529">
                  <c:v>45166</c:v>
                </c:pt>
                <c:pt idx="530">
                  <c:v>45167</c:v>
                </c:pt>
                <c:pt idx="531">
                  <c:v>45168</c:v>
                </c:pt>
                <c:pt idx="532">
                  <c:v>45169</c:v>
                </c:pt>
                <c:pt idx="533">
                  <c:v>45170</c:v>
                </c:pt>
                <c:pt idx="534">
                  <c:v>45171</c:v>
                </c:pt>
                <c:pt idx="535">
                  <c:v>45172</c:v>
                </c:pt>
                <c:pt idx="536">
                  <c:v>45173</c:v>
                </c:pt>
                <c:pt idx="537">
                  <c:v>45174</c:v>
                </c:pt>
                <c:pt idx="538">
                  <c:v>45175</c:v>
                </c:pt>
                <c:pt idx="539">
                  <c:v>45176</c:v>
                </c:pt>
                <c:pt idx="540">
                  <c:v>45177</c:v>
                </c:pt>
                <c:pt idx="541">
                  <c:v>45178</c:v>
                </c:pt>
                <c:pt idx="542">
                  <c:v>45179</c:v>
                </c:pt>
                <c:pt idx="543">
                  <c:v>45180</c:v>
                </c:pt>
                <c:pt idx="544">
                  <c:v>45181</c:v>
                </c:pt>
                <c:pt idx="545">
                  <c:v>45182</c:v>
                </c:pt>
                <c:pt idx="546">
                  <c:v>45183</c:v>
                </c:pt>
                <c:pt idx="547">
                  <c:v>45184</c:v>
                </c:pt>
                <c:pt idx="548">
                  <c:v>45185</c:v>
                </c:pt>
                <c:pt idx="549">
                  <c:v>45186</c:v>
                </c:pt>
                <c:pt idx="550">
                  <c:v>45187</c:v>
                </c:pt>
                <c:pt idx="551">
                  <c:v>45188</c:v>
                </c:pt>
                <c:pt idx="552">
                  <c:v>45189</c:v>
                </c:pt>
                <c:pt idx="553">
                  <c:v>45190</c:v>
                </c:pt>
                <c:pt idx="554">
                  <c:v>45191</c:v>
                </c:pt>
                <c:pt idx="555">
                  <c:v>45192</c:v>
                </c:pt>
                <c:pt idx="556">
                  <c:v>45193</c:v>
                </c:pt>
                <c:pt idx="557">
                  <c:v>45194</c:v>
                </c:pt>
                <c:pt idx="558">
                  <c:v>45195</c:v>
                </c:pt>
                <c:pt idx="559">
                  <c:v>45196</c:v>
                </c:pt>
                <c:pt idx="560">
                  <c:v>45197</c:v>
                </c:pt>
                <c:pt idx="561">
                  <c:v>45198</c:v>
                </c:pt>
                <c:pt idx="562">
                  <c:v>45199</c:v>
                </c:pt>
                <c:pt idx="563">
                  <c:v>45200</c:v>
                </c:pt>
                <c:pt idx="564">
                  <c:v>45201</c:v>
                </c:pt>
                <c:pt idx="565">
                  <c:v>45202</c:v>
                </c:pt>
                <c:pt idx="566">
                  <c:v>45203</c:v>
                </c:pt>
                <c:pt idx="567">
                  <c:v>45204</c:v>
                </c:pt>
                <c:pt idx="568">
                  <c:v>45205</c:v>
                </c:pt>
                <c:pt idx="569">
                  <c:v>45206</c:v>
                </c:pt>
                <c:pt idx="570">
                  <c:v>45207</c:v>
                </c:pt>
                <c:pt idx="571">
                  <c:v>45208</c:v>
                </c:pt>
                <c:pt idx="572">
                  <c:v>45209</c:v>
                </c:pt>
                <c:pt idx="573">
                  <c:v>45210</c:v>
                </c:pt>
                <c:pt idx="574">
                  <c:v>45211</c:v>
                </c:pt>
                <c:pt idx="575">
                  <c:v>45212</c:v>
                </c:pt>
                <c:pt idx="576">
                  <c:v>45213</c:v>
                </c:pt>
                <c:pt idx="577">
                  <c:v>45214</c:v>
                </c:pt>
                <c:pt idx="578">
                  <c:v>45215</c:v>
                </c:pt>
                <c:pt idx="579">
                  <c:v>45216</c:v>
                </c:pt>
                <c:pt idx="580">
                  <c:v>45217</c:v>
                </c:pt>
                <c:pt idx="581">
                  <c:v>45218</c:v>
                </c:pt>
                <c:pt idx="582">
                  <c:v>45219</c:v>
                </c:pt>
                <c:pt idx="583">
                  <c:v>45220</c:v>
                </c:pt>
                <c:pt idx="584">
                  <c:v>45221</c:v>
                </c:pt>
                <c:pt idx="585">
                  <c:v>45222</c:v>
                </c:pt>
                <c:pt idx="586">
                  <c:v>45223</c:v>
                </c:pt>
                <c:pt idx="587">
                  <c:v>45224</c:v>
                </c:pt>
                <c:pt idx="588">
                  <c:v>45225</c:v>
                </c:pt>
                <c:pt idx="589">
                  <c:v>45226</c:v>
                </c:pt>
                <c:pt idx="590">
                  <c:v>45227</c:v>
                </c:pt>
                <c:pt idx="591">
                  <c:v>45228</c:v>
                </c:pt>
                <c:pt idx="592">
                  <c:v>45229</c:v>
                </c:pt>
                <c:pt idx="593">
                  <c:v>45230</c:v>
                </c:pt>
                <c:pt idx="594">
                  <c:v>45231</c:v>
                </c:pt>
                <c:pt idx="595">
                  <c:v>45232</c:v>
                </c:pt>
                <c:pt idx="596">
                  <c:v>45233</c:v>
                </c:pt>
                <c:pt idx="597">
                  <c:v>45234</c:v>
                </c:pt>
                <c:pt idx="598">
                  <c:v>45235</c:v>
                </c:pt>
                <c:pt idx="599">
                  <c:v>45236</c:v>
                </c:pt>
                <c:pt idx="600">
                  <c:v>45237</c:v>
                </c:pt>
                <c:pt idx="601">
                  <c:v>45238</c:v>
                </c:pt>
                <c:pt idx="602">
                  <c:v>45239</c:v>
                </c:pt>
                <c:pt idx="603">
                  <c:v>45240</c:v>
                </c:pt>
                <c:pt idx="604">
                  <c:v>45241</c:v>
                </c:pt>
                <c:pt idx="605">
                  <c:v>45242</c:v>
                </c:pt>
                <c:pt idx="606">
                  <c:v>45243</c:v>
                </c:pt>
                <c:pt idx="607">
                  <c:v>45244</c:v>
                </c:pt>
                <c:pt idx="608">
                  <c:v>45245</c:v>
                </c:pt>
                <c:pt idx="609">
                  <c:v>45246</c:v>
                </c:pt>
                <c:pt idx="610">
                  <c:v>45247</c:v>
                </c:pt>
                <c:pt idx="611">
                  <c:v>45248</c:v>
                </c:pt>
                <c:pt idx="612">
                  <c:v>45249</c:v>
                </c:pt>
                <c:pt idx="613">
                  <c:v>45250</c:v>
                </c:pt>
                <c:pt idx="614">
                  <c:v>45251</c:v>
                </c:pt>
                <c:pt idx="615">
                  <c:v>45252</c:v>
                </c:pt>
                <c:pt idx="616">
                  <c:v>45253</c:v>
                </c:pt>
                <c:pt idx="617">
                  <c:v>45254</c:v>
                </c:pt>
                <c:pt idx="618">
                  <c:v>45255</c:v>
                </c:pt>
                <c:pt idx="619">
                  <c:v>45256</c:v>
                </c:pt>
                <c:pt idx="620">
                  <c:v>45257</c:v>
                </c:pt>
                <c:pt idx="621">
                  <c:v>45258</c:v>
                </c:pt>
                <c:pt idx="622">
                  <c:v>45259</c:v>
                </c:pt>
                <c:pt idx="623">
                  <c:v>45260</c:v>
                </c:pt>
                <c:pt idx="624">
                  <c:v>45261</c:v>
                </c:pt>
                <c:pt idx="625">
                  <c:v>45262</c:v>
                </c:pt>
                <c:pt idx="626">
                  <c:v>45263</c:v>
                </c:pt>
                <c:pt idx="627">
                  <c:v>45264</c:v>
                </c:pt>
                <c:pt idx="628">
                  <c:v>45265</c:v>
                </c:pt>
                <c:pt idx="629">
                  <c:v>45266</c:v>
                </c:pt>
                <c:pt idx="630">
                  <c:v>45267</c:v>
                </c:pt>
                <c:pt idx="631">
                  <c:v>45268</c:v>
                </c:pt>
                <c:pt idx="632">
                  <c:v>45269</c:v>
                </c:pt>
                <c:pt idx="633">
                  <c:v>45270</c:v>
                </c:pt>
                <c:pt idx="634">
                  <c:v>45271</c:v>
                </c:pt>
                <c:pt idx="635">
                  <c:v>45272</c:v>
                </c:pt>
                <c:pt idx="636">
                  <c:v>45273</c:v>
                </c:pt>
                <c:pt idx="637">
                  <c:v>45274</c:v>
                </c:pt>
                <c:pt idx="638">
                  <c:v>45275</c:v>
                </c:pt>
                <c:pt idx="639">
                  <c:v>45276</c:v>
                </c:pt>
                <c:pt idx="640">
                  <c:v>45277</c:v>
                </c:pt>
                <c:pt idx="641">
                  <c:v>45278</c:v>
                </c:pt>
                <c:pt idx="642">
                  <c:v>45279</c:v>
                </c:pt>
                <c:pt idx="643">
                  <c:v>45280</c:v>
                </c:pt>
                <c:pt idx="644">
                  <c:v>45281</c:v>
                </c:pt>
                <c:pt idx="645">
                  <c:v>45282</c:v>
                </c:pt>
                <c:pt idx="646">
                  <c:v>45283</c:v>
                </c:pt>
                <c:pt idx="647">
                  <c:v>45284</c:v>
                </c:pt>
                <c:pt idx="648">
                  <c:v>45285</c:v>
                </c:pt>
                <c:pt idx="649">
                  <c:v>45286</c:v>
                </c:pt>
                <c:pt idx="650">
                  <c:v>45287</c:v>
                </c:pt>
                <c:pt idx="651">
                  <c:v>45288</c:v>
                </c:pt>
                <c:pt idx="652">
                  <c:v>45289</c:v>
                </c:pt>
                <c:pt idx="653">
                  <c:v>45290</c:v>
                </c:pt>
                <c:pt idx="654">
                  <c:v>45291</c:v>
                </c:pt>
                <c:pt idx="655">
                  <c:v>45292</c:v>
                </c:pt>
              </c:numCache>
            </c:numRef>
          </c:cat>
          <c:val>
            <c:numRef>
              <c:f>WTI_spot!$D$3274:$D$3929</c:f>
              <c:numCache>
                <c:formatCode>0.0</c:formatCode>
                <c:ptCount val="656"/>
                <c:pt idx="0">
                  <c:v>76.03</c:v>
                </c:pt>
                <c:pt idx="1">
                  <c:v>76.17</c:v>
                </c:pt>
                <c:pt idx="2">
                  <c:v>77.25</c:v>
                </c:pt>
                <c:pt idx="3">
                  <c:v>77.39</c:v>
                </c:pt>
                <c:pt idx="4">
                  <c:v>79.69</c:v>
                </c:pt>
                <c:pt idx="5">
                  <c:v>79.069999999999993</c:v>
                </c:pt>
                <c:pt idx="6">
                  <c:v>78.7</c:v>
                </c:pt>
                <c:pt idx="7">
                  <c:v>78.7</c:v>
                </c:pt>
                <c:pt idx="8">
                  <c:v>81.42</c:v>
                </c:pt>
                <c:pt idx="9">
                  <c:v>82.86</c:v>
                </c:pt>
                <c:pt idx="10">
                  <c:v>82.03</c:v>
                </c:pt>
                <c:pt idx="11">
                  <c:v>84.35</c:v>
                </c:pt>
                <c:pt idx="12">
                  <c:v>84.5</c:v>
                </c:pt>
                <c:pt idx="13">
                  <c:v>84.33</c:v>
                </c:pt>
                <c:pt idx="14">
                  <c:v>86.75</c:v>
                </c:pt>
                <c:pt idx="15">
                  <c:v>85.58</c:v>
                </c:pt>
                <c:pt idx="16">
                  <c:v>84.67</c:v>
                </c:pt>
                <c:pt idx="17">
                  <c:v>85.43</c:v>
                </c:pt>
                <c:pt idx="18">
                  <c:v>86.39</c:v>
                </c:pt>
                <c:pt idx="19">
                  <c:v>84.7</c:v>
                </c:pt>
                <c:pt idx="20">
                  <c:v>85.86</c:v>
                </c:pt>
                <c:pt idx="21">
                  <c:v>87.89</c:v>
                </c:pt>
                <c:pt idx="22">
                  <c:v>87.86</c:v>
                </c:pt>
                <c:pt idx="23">
                  <c:v>87.79</c:v>
                </c:pt>
                <c:pt idx="24">
                  <c:v>88.19</c:v>
                </c:pt>
                <c:pt idx="25">
                  <c:v>88.8</c:v>
                </c:pt>
                <c:pt idx="26">
                  <c:v>88.73</c:v>
                </c:pt>
                <c:pt idx="27">
                  <c:v>88.02</c:v>
                </c:pt>
                <c:pt idx="28">
                  <c:v>90.52</c:v>
                </c:pt>
                <c:pt idx="29">
                  <c:v>92.33</c:v>
                </c:pt>
                <c:pt idx="30">
                  <c:v>92.14</c:v>
                </c:pt>
                <c:pt idx="31">
                  <c:v>91.69</c:v>
                </c:pt>
                <c:pt idx="32">
                  <c:v>90.08</c:v>
                </c:pt>
                <c:pt idx="33">
                  <c:v>90.28</c:v>
                </c:pt>
                <c:pt idx="34">
                  <c:v>90.17</c:v>
                </c:pt>
                <c:pt idx="35">
                  <c:v>94.17</c:v>
                </c:pt>
                <c:pt idx="36">
                  <c:v>94.55</c:v>
                </c:pt>
                <c:pt idx="37">
                  <c:v>94.97</c:v>
                </c:pt>
                <c:pt idx="38">
                  <c:v>92.55</c:v>
                </c:pt>
                <c:pt idx="39">
                  <c:v>91.42</c:v>
                </c:pt>
                <c:pt idx="40">
                  <c:v>91.8</c:v>
                </c:pt>
                <c:pt idx="41">
                  <c:v>92.52</c:v>
                </c:pt>
                <c:pt idx="42">
                  <c:v>93.33</c:v>
                </c:pt>
                <c:pt idx="43">
                  <c:v>94.31</c:v>
                </c:pt>
                <c:pt idx="44">
                  <c:v>93.28</c:v>
                </c:pt>
                <c:pt idx="45">
                  <c:v>94.36</c:v>
                </c:pt>
                <c:pt idx="46">
                  <c:v>96.28</c:v>
                </c:pt>
                <c:pt idx="47">
                  <c:v>93.41</c:v>
                </c:pt>
                <c:pt idx="48">
                  <c:v>98.13</c:v>
                </c:pt>
                <c:pt idx="49">
                  <c:v>97.25</c:v>
                </c:pt>
                <c:pt idx="50">
                  <c:v>107.77</c:v>
                </c:pt>
                <c:pt idx="51">
                  <c:v>112.22</c:v>
                </c:pt>
                <c:pt idx="52">
                  <c:v>110.52</c:v>
                </c:pt>
                <c:pt idx="53">
                  <c:v>116.37</c:v>
                </c:pt>
                <c:pt idx="54">
                  <c:v>128.26</c:v>
                </c:pt>
                <c:pt idx="55">
                  <c:v>122.09</c:v>
                </c:pt>
                <c:pt idx="56">
                  <c:v>126.47</c:v>
                </c:pt>
                <c:pt idx="57">
                  <c:v>111.59</c:v>
                </c:pt>
                <c:pt idx="58">
                  <c:v>108.32</c:v>
                </c:pt>
                <c:pt idx="59">
                  <c:v>110</c:v>
                </c:pt>
                <c:pt idx="60">
                  <c:v>107.76</c:v>
                </c:pt>
                <c:pt idx="61">
                  <c:v>101.84</c:v>
                </c:pt>
                <c:pt idx="62">
                  <c:v>96.28</c:v>
                </c:pt>
                <c:pt idx="63">
                  <c:v>96.69</c:v>
                </c:pt>
                <c:pt idx="64">
                  <c:v>103.92</c:v>
                </c:pt>
                <c:pt idx="65">
                  <c:v>105.47</c:v>
                </c:pt>
                <c:pt idx="66">
                  <c:v>106.65</c:v>
                </c:pt>
                <c:pt idx="67">
                  <c:v>114.2</c:v>
                </c:pt>
                <c:pt idx="68">
                  <c:v>110.59</c:v>
                </c:pt>
                <c:pt idx="69">
                  <c:v>116.44</c:v>
                </c:pt>
                <c:pt idx="70">
                  <c:v>113.83</c:v>
                </c:pt>
                <c:pt idx="71">
                  <c:v>114.39</c:v>
                </c:pt>
                <c:pt idx="72">
                  <c:v>112.31</c:v>
                </c:pt>
                <c:pt idx="73">
                  <c:v>105.47</c:v>
                </c:pt>
                <c:pt idx="74">
                  <c:v>107.69</c:v>
                </c:pt>
                <c:pt idx="75">
                  <c:v>108.88</c:v>
                </c:pt>
                <c:pt idx="76">
                  <c:v>102.19</c:v>
                </c:pt>
                <c:pt idx="77">
                  <c:v>100.57</c:v>
                </c:pt>
                <c:pt idx="78">
                  <c:v>99.39</c:v>
                </c:pt>
                <c:pt idx="79">
                  <c:v>105.3</c:v>
                </c:pt>
                <c:pt idx="80">
                  <c:v>101.94</c:v>
                </c:pt>
                <c:pt idx="81">
                  <c:v>97.59</c:v>
                </c:pt>
                <c:pt idx="82">
                  <c:v>97.69</c:v>
                </c:pt>
                <c:pt idx="83">
                  <c:v>98.6</c:v>
                </c:pt>
                <c:pt idx="84">
                  <c:v>97.33</c:v>
                </c:pt>
                <c:pt idx="85">
                  <c:v>95.83</c:v>
                </c:pt>
                <c:pt idx="86">
                  <c:v>101.91</c:v>
                </c:pt>
                <c:pt idx="87">
                  <c:v>104.19</c:v>
                </c:pt>
                <c:pt idx="88">
                  <c:v>106.91</c:v>
                </c:pt>
                <c:pt idx="89">
                  <c:v>108.28</c:v>
                </c:pt>
                <c:pt idx="90">
                  <c:v>108.16</c:v>
                </c:pt>
                <c:pt idx="91">
                  <c:v>104</c:v>
                </c:pt>
                <c:pt idx="92">
                  <c:v>103.08</c:v>
                </c:pt>
                <c:pt idx="93">
                  <c:v>104.34</c:v>
                </c:pt>
                <c:pt idx="94">
                  <c:v>102.42</c:v>
                </c:pt>
                <c:pt idx="95">
                  <c:v>101.16</c:v>
                </c:pt>
                <c:pt idx="96">
                  <c:v>99.2</c:v>
                </c:pt>
                <c:pt idx="97">
                  <c:v>102.58</c:v>
                </c:pt>
                <c:pt idx="98">
                  <c:v>102.41</c:v>
                </c:pt>
                <c:pt idx="99">
                  <c:v>105.56</c:v>
                </c:pt>
                <c:pt idx="100">
                  <c:v>104.78</c:v>
                </c:pt>
                <c:pt idx="101">
                  <c:v>105.17</c:v>
                </c:pt>
                <c:pt idx="102">
                  <c:v>105.7</c:v>
                </c:pt>
                <c:pt idx="103">
                  <c:v>103.86</c:v>
                </c:pt>
                <c:pt idx="104">
                  <c:v>108.61</c:v>
                </c:pt>
                <c:pt idx="105">
                  <c:v>109.09</c:v>
                </c:pt>
                <c:pt idx="106">
                  <c:v>110.95</c:v>
                </c:pt>
                <c:pt idx="107">
                  <c:v>109.47</c:v>
                </c:pt>
                <c:pt idx="108">
                  <c:v>103.03</c:v>
                </c:pt>
                <c:pt idx="109">
                  <c:v>99.08</c:v>
                </c:pt>
                <c:pt idx="110">
                  <c:v>105.97</c:v>
                </c:pt>
                <c:pt idx="111">
                  <c:v>107.23</c:v>
                </c:pt>
                <c:pt idx="112">
                  <c:v>110.3</c:v>
                </c:pt>
                <c:pt idx="113">
                  <c:v>111.44</c:v>
                </c:pt>
                <c:pt idx="114">
                  <c:v>113.67</c:v>
                </c:pt>
                <c:pt idx="115">
                  <c:v>112.83</c:v>
                </c:pt>
                <c:pt idx="116">
                  <c:v>107.35</c:v>
                </c:pt>
                <c:pt idx="117">
                  <c:v>110.89</c:v>
                </c:pt>
                <c:pt idx="118">
                  <c:v>112.04</c:v>
                </c:pt>
                <c:pt idx="119">
                  <c:v>111.89</c:v>
                </c:pt>
                <c:pt idx="120">
                  <c:v>111.23</c:v>
                </c:pt>
                <c:pt idx="121">
                  <c:v>112.06</c:v>
                </c:pt>
                <c:pt idx="122">
                  <c:v>112.13</c:v>
                </c:pt>
                <c:pt idx="123">
                  <c:v>115.45</c:v>
                </c:pt>
                <c:pt idx="124">
                  <c:v>116.45</c:v>
                </c:pt>
                <c:pt idx="125">
                  <c:v>116.86</c:v>
                </c:pt>
                <c:pt idx="126">
                  <c:v>118.83</c:v>
                </c:pt>
                <c:pt idx="127">
                  <c:v>116.2</c:v>
                </c:pt>
                <c:pt idx="128">
                  <c:v>114.22</c:v>
                </c:pt>
                <c:pt idx="129">
                  <c:v>118.45</c:v>
                </c:pt>
                <c:pt idx="130">
                  <c:v>121.43</c:v>
                </c:pt>
                <c:pt idx="131">
                  <c:v>121.19</c:v>
                </c:pt>
                <c:pt idx="132">
                  <c:v>119.83</c:v>
                </c:pt>
                <c:pt idx="133">
                  <c:v>120.27</c:v>
                </c:pt>
                <c:pt idx="134">
                  <c:v>122.86</c:v>
                </c:pt>
                <c:pt idx="135">
                  <c:v>122</c:v>
                </c:pt>
                <c:pt idx="136">
                  <c:v>121.08</c:v>
                </c:pt>
                <c:pt idx="137">
                  <c:v>119.34</c:v>
                </c:pt>
                <c:pt idx="138">
                  <c:v>121.02</c:v>
                </c:pt>
                <c:pt idx="139">
                  <c:v>118.97</c:v>
                </c:pt>
                <c:pt idx="140">
                  <c:v>117.14</c:v>
                </c:pt>
                <c:pt idx="141">
                  <c:v>117.38</c:v>
                </c:pt>
                <c:pt idx="142">
                  <c:v>111.42</c:v>
                </c:pt>
                <c:pt idx="143">
                  <c:v>111.42</c:v>
                </c:pt>
                <c:pt idx="144">
                  <c:v>111.2</c:v>
                </c:pt>
                <c:pt idx="145">
                  <c:v>111.47</c:v>
                </c:pt>
                <c:pt idx="146">
                  <c:v>105.97</c:v>
                </c:pt>
                <c:pt idx="147">
                  <c:v>106.44</c:v>
                </c:pt>
                <c:pt idx="148">
                  <c:v>109.16</c:v>
                </c:pt>
                <c:pt idx="149">
                  <c:v>108.33</c:v>
                </c:pt>
                <c:pt idx="150">
                  <c:v>112.11</c:v>
                </c:pt>
                <c:pt idx="151">
                  <c:v>113.64</c:v>
                </c:pt>
                <c:pt idx="152">
                  <c:v>111.39</c:v>
                </c:pt>
                <c:pt idx="153">
                  <c:v>107.75</c:v>
                </c:pt>
                <c:pt idx="154">
                  <c:v>109.94</c:v>
                </c:pt>
                <c:pt idx="155">
                  <c:v>109.5</c:v>
                </c:pt>
                <c:pt idx="156">
                  <c:v>111.67</c:v>
                </c:pt>
                <c:pt idx="157">
                  <c:v>102.28</c:v>
                </c:pt>
                <c:pt idx="158">
                  <c:v>99.25</c:v>
                </c:pt>
                <c:pt idx="159">
                  <c:v>103.78</c:v>
                </c:pt>
                <c:pt idx="160">
                  <c:v>105.8</c:v>
                </c:pt>
                <c:pt idx="161">
                  <c:v>105.16</c:v>
                </c:pt>
                <c:pt idx="162">
                  <c:v>103.81</c:v>
                </c:pt>
                <c:pt idx="163">
                  <c:v>94.94</c:v>
                </c:pt>
                <c:pt idx="164">
                  <c:v>96.34</c:v>
                </c:pt>
                <c:pt idx="165">
                  <c:v>96.56</c:v>
                </c:pt>
                <c:pt idx="166">
                  <c:v>97.41</c:v>
                </c:pt>
                <c:pt idx="167">
                  <c:v>96.89</c:v>
                </c:pt>
                <c:pt idx="168">
                  <c:v>101.67</c:v>
                </c:pt>
                <c:pt idx="169">
                  <c:v>102.95</c:v>
                </c:pt>
                <c:pt idx="170">
                  <c:v>102.08</c:v>
                </c:pt>
                <c:pt idx="171">
                  <c:v>98.51</c:v>
                </c:pt>
                <c:pt idx="172">
                  <c:v>97.49</c:v>
                </c:pt>
                <c:pt idx="173">
                  <c:v>97.05</c:v>
                </c:pt>
                <c:pt idx="174">
                  <c:v>98.31</c:v>
                </c:pt>
                <c:pt idx="175">
                  <c:v>97.52</c:v>
                </c:pt>
                <c:pt idx="176">
                  <c:v>99.98</c:v>
                </c:pt>
                <c:pt idx="177">
                  <c:v>99.28</c:v>
                </c:pt>
                <c:pt idx="178">
                  <c:v>100.05</c:v>
                </c:pt>
                <c:pt idx="179">
                  <c:v>99.61</c:v>
                </c:pt>
                <c:pt idx="180">
                  <c:v>95.25</c:v>
                </c:pt>
                <c:pt idx="181">
                  <c:v>95.27</c:v>
                </c:pt>
                <c:pt idx="182">
                  <c:v>92.39</c:v>
                </c:pt>
                <c:pt idx="183">
                  <c:v>89.25</c:v>
                </c:pt>
                <c:pt idx="184">
                  <c:v>89.69</c:v>
                </c:pt>
                <c:pt idx="185">
                  <c:v>89.11</c:v>
                </c:pt>
                <c:pt idx="186">
                  <c:v>91.38</c:v>
                </c:pt>
                <c:pt idx="187">
                  <c:v>91.39</c:v>
                </c:pt>
                <c:pt idx="188">
                  <c:v>92.36</c:v>
                </c:pt>
                <c:pt idx="189">
                  <c:v>94.78</c:v>
                </c:pt>
                <c:pt idx="190">
                  <c:v>92.66</c:v>
                </c:pt>
                <c:pt idx="191">
                  <c:v>92.16</c:v>
                </c:pt>
                <c:pt idx="192">
                  <c:v>88.84</c:v>
                </c:pt>
                <c:pt idx="193">
                  <c:v>87.61</c:v>
                </c:pt>
                <c:pt idx="194">
                  <c:v>88.33</c:v>
                </c:pt>
                <c:pt idx="195">
                  <c:v>91.38</c:v>
                </c:pt>
                <c:pt idx="196">
                  <c:v>90.63</c:v>
                </c:pt>
                <c:pt idx="197">
                  <c:v>90.38</c:v>
                </c:pt>
                <c:pt idx="198">
                  <c:v>91.72</c:v>
                </c:pt>
                <c:pt idx="199">
                  <c:v>94.56</c:v>
                </c:pt>
                <c:pt idx="200">
                  <c:v>96.08</c:v>
                </c:pt>
                <c:pt idx="201">
                  <c:v>93.77</c:v>
                </c:pt>
                <c:pt idx="202">
                  <c:v>93.83</c:v>
                </c:pt>
                <c:pt idx="203">
                  <c:v>93.67</c:v>
                </c:pt>
                <c:pt idx="204">
                  <c:v>97.53</c:v>
                </c:pt>
                <c:pt idx="205">
                  <c:v>92.72</c:v>
                </c:pt>
                <c:pt idx="206">
                  <c:v>89.83</c:v>
                </c:pt>
                <c:pt idx="207">
                  <c:v>87.81</c:v>
                </c:pt>
                <c:pt idx="208">
                  <c:v>87.67</c:v>
                </c:pt>
                <c:pt idx="209">
                  <c:v>88.72</c:v>
                </c:pt>
                <c:pt idx="210">
                  <c:v>89.41</c:v>
                </c:pt>
                <c:pt idx="211">
                  <c:v>87.22</c:v>
                </c:pt>
                <c:pt idx="212">
                  <c:v>82.41</c:v>
                </c:pt>
                <c:pt idx="213">
                  <c:v>83.31</c:v>
                </c:pt>
                <c:pt idx="214">
                  <c:v>86.44</c:v>
                </c:pt>
                <c:pt idx="215">
                  <c:v>86.58</c:v>
                </c:pt>
                <c:pt idx="216">
                  <c:v>88.28</c:v>
                </c:pt>
                <c:pt idx="217">
                  <c:v>87.78</c:v>
                </c:pt>
                <c:pt idx="218">
                  <c:v>89.24</c:v>
                </c:pt>
                <c:pt idx="219">
                  <c:v>84.84</c:v>
                </c:pt>
                <c:pt idx="220">
                  <c:v>85.6</c:v>
                </c:pt>
                <c:pt idx="221">
                  <c:v>85.83</c:v>
                </c:pt>
                <c:pt idx="222">
                  <c:v>86</c:v>
                </c:pt>
                <c:pt idx="223">
                  <c:v>84.56</c:v>
                </c:pt>
                <c:pt idx="224">
                  <c:v>83.36</c:v>
                </c:pt>
                <c:pt idx="225">
                  <c:v>84.09</c:v>
                </c:pt>
                <c:pt idx="226">
                  <c:v>79.73</c:v>
                </c:pt>
                <c:pt idx="227">
                  <c:v>79.94</c:v>
                </c:pt>
                <c:pt idx="228">
                  <c:v>77.06</c:v>
                </c:pt>
                <c:pt idx="229">
                  <c:v>78.86</c:v>
                </c:pt>
                <c:pt idx="230">
                  <c:v>82.09</c:v>
                </c:pt>
                <c:pt idx="231">
                  <c:v>82</c:v>
                </c:pt>
                <c:pt idx="232">
                  <c:v>80.03</c:v>
                </c:pt>
                <c:pt idx="233">
                  <c:v>82.36</c:v>
                </c:pt>
                <c:pt idx="234">
                  <c:v>83.67</c:v>
                </c:pt>
                <c:pt idx="235">
                  <c:v>86.84</c:v>
                </c:pt>
                <c:pt idx="236">
                  <c:v>88.31</c:v>
                </c:pt>
                <c:pt idx="237">
                  <c:v>89.11</c:v>
                </c:pt>
                <c:pt idx="238">
                  <c:v>93.54</c:v>
                </c:pt>
                <c:pt idx="239">
                  <c:v>92.84</c:v>
                </c:pt>
                <c:pt idx="240">
                  <c:v>90.95</c:v>
                </c:pt>
                <c:pt idx="241">
                  <c:v>88.81</c:v>
                </c:pt>
                <c:pt idx="242">
                  <c:v>87.34</c:v>
                </c:pt>
                <c:pt idx="243">
                  <c:v>89.14</c:v>
                </c:pt>
                <c:pt idx="244">
                  <c:v>85.81</c:v>
                </c:pt>
                <c:pt idx="245">
                  <c:v>86.36</c:v>
                </c:pt>
                <c:pt idx="246">
                  <c:v>86.06</c:v>
                </c:pt>
                <c:pt idx="247">
                  <c:v>84.19</c:v>
                </c:pt>
                <c:pt idx="248">
                  <c:v>85.86</c:v>
                </c:pt>
                <c:pt idx="249">
                  <c:v>85.62</c:v>
                </c:pt>
                <c:pt idx="250">
                  <c:v>86.16</c:v>
                </c:pt>
                <c:pt idx="251">
                  <c:v>86.28</c:v>
                </c:pt>
                <c:pt idx="252">
                  <c:v>85.77</c:v>
                </c:pt>
                <c:pt idx="253">
                  <c:v>85.72</c:v>
                </c:pt>
                <c:pt idx="254">
                  <c:v>89.03</c:v>
                </c:pt>
                <c:pt idx="255">
                  <c:v>89.42</c:v>
                </c:pt>
                <c:pt idx="256">
                  <c:v>89.2</c:v>
                </c:pt>
                <c:pt idx="257">
                  <c:v>89.11</c:v>
                </c:pt>
                <c:pt idx="258">
                  <c:v>86.88</c:v>
                </c:pt>
                <c:pt idx="259">
                  <c:v>89.36</c:v>
                </c:pt>
                <c:pt idx="260">
                  <c:v>89.61</c:v>
                </c:pt>
                <c:pt idx="261">
                  <c:v>88.62</c:v>
                </c:pt>
                <c:pt idx="262">
                  <c:v>93.2</c:v>
                </c:pt>
                <c:pt idx="263">
                  <c:v>91.19</c:v>
                </c:pt>
                <c:pt idx="264">
                  <c:v>92.39</c:v>
                </c:pt>
                <c:pt idx="265">
                  <c:v>89.5</c:v>
                </c:pt>
                <c:pt idx="266">
                  <c:v>86.19</c:v>
                </c:pt>
                <c:pt idx="267">
                  <c:v>86.69</c:v>
                </c:pt>
                <c:pt idx="268">
                  <c:v>89.23</c:v>
                </c:pt>
                <c:pt idx="269">
                  <c:v>90</c:v>
                </c:pt>
                <c:pt idx="270">
                  <c:v>85.57</c:v>
                </c:pt>
                <c:pt idx="271">
                  <c:v>87.55</c:v>
                </c:pt>
                <c:pt idx="272">
                  <c:v>85.58</c:v>
                </c:pt>
                <c:pt idx="273">
                  <c:v>82.71</c:v>
                </c:pt>
                <c:pt idx="274">
                  <c:v>81.06</c:v>
                </c:pt>
                <c:pt idx="275">
                  <c:v>80.92</c:v>
                </c:pt>
                <c:pt idx="276">
                  <c:v>81.06</c:v>
                </c:pt>
                <c:pt idx="277">
                  <c:v>82</c:v>
                </c:pt>
                <c:pt idx="278">
                  <c:v>78.14</c:v>
                </c:pt>
                <c:pt idx="279">
                  <c:v>78.56</c:v>
                </c:pt>
                <c:pt idx="280">
                  <c:v>77.150000000000006</c:v>
                </c:pt>
                <c:pt idx="281">
                  <c:v>76.59</c:v>
                </c:pt>
                <c:pt idx="282">
                  <c:v>77.05</c:v>
                </c:pt>
                <c:pt idx="283">
                  <c:v>79.239999999999995</c:v>
                </c:pt>
                <c:pt idx="284">
                  <c:v>81.05</c:v>
                </c:pt>
                <c:pt idx="285">
                  <c:v>81.8</c:v>
                </c:pt>
                <c:pt idx="286">
                  <c:v>80.760000000000005</c:v>
                </c:pt>
                <c:pt idx="287">
                  <c:v>81.53</c:v>
                </c:pt>
                <c:pt idx="288">
                  <c:v>77.739999999999995</c:v>
                </c:pt>
                <c:pt idx="289">
                  <c:v>74.78</c:v>
                </c:pt>
                <c:pt idx="290">
                  <c:v>72.86</c:v>
                </c:pt>
                <c:pt idx="291">
                  <c:v>72.33</c:v>
                </c:pt>
                <c:pt idx="292">
                  <c:v>71.75</c:v>
                </c:pt>
                <c:pt idx="293">
                  <c:v>72.08</c:v>
                </c:pt>
                <c:pt idx="294">
                  <c:v>73.61</c:v>
                </c:pt>
                <c:pt idx="295">
                  <c:v>75.36</c:v>
                </c:pt>
                <c:pt idx="296">
                  <c:v>77.44</c:v>
                </c:pt>
                <c:pt idx="297">
                  <c:v>76.400000000000006</c:v>
                </c:pt>
                <c:pt idx="298">
                  <c:v>74.73</c:v>
                </c:pt>
                <c:pt idx="299">
                  <c:v>75.22</c:v>
                </c:pt>
                <c:pt idx="300">
                  <c:v>76</c:v>
                </c:pt>
                <c:pt idx="301">
                  <c:v>76.27</c:v>
                </c:pt>
                <c:pt idx="302">
                  <c:v>78.59</c:v>
                </c:pt>
                <c:pt idx="303">
                  <c:v>78.56</c:v>
                </c:pt>
                <c:pt idx="304">
                  <c:v>79.44</c:v>
                </c:pt>
                <c:pt idx="305">
                  <c:v>81.06</c:v>
                </c:pt>
                <c:pt idx="306">
                  <c:v>79.84</c:v>
                </c:pt>
                <c:pt idx="307">
                  <c:v>78.67</c:v>
                </c:pt>
                <c:pt idx="308">
                  <c:v>78.67</c:v>
                </c:pt>
                <c:pt idx="309">
                  <c:v>80.55</c:v>
                </c:pt>
                <c:pt idx="310">
                  <c:v>80.53</c:v>
                </c:pt>
                <c:pt idx="311">
                  <c:v>77.14</c:v>
                </c:pt>
                <c:pt idx="312">
                  <c:v>73.42</c:v>
                </c:pt>
                <c:pt idx="313">
                  <c:v>74.02</c:v>
                </c:pt>
                <c:pt idx="314">
                  <c:v>73.75</c:v>
                </c:pt>
                <c:pt idx="315">
                  <c:v>74.14</c:v>
                </c:pt>
                <c:pt idx="316">
                  <c:v>74.73</c:v>
                </c:pt>
                <c:pt idx="317">
                  <c:v>74.62</c:v>
                </c:pt>
                <c:pt idx="318">
                  <c:v>77.73</c:v>
                </c:pt>
                <c:pt idx="319">
                  <c:v>78.36</c:v>
                </c:pt>
                <c:pt idx="320">
                  <c:v>80.11</c:v>
                </c:pt>
                <c:pt idx="321">
                  <c:v>79.84</c:v>
                </c:pt>
                <c:pt idx="322">
                  <c:v>78.84</c:v>
                </c:pt>
                <c:pt idx="323">
                  <c:v>80.75</c:v>
                </c:pt>
                <c:pt idx="324">
                  <c:v>79.25</c:v>
                </c:pt>
                <c:pt idx="325">
                  <c:v>80.83</c:v>
                </c:pt>
                <c:pt idx="326">
                  <c:v>81.53</c:v>
                </c:pt>
                <c:pt idx="327">
                  <c:v>81.06</c:v>
                </c:pt>
                <c:pt idx="328">
                  <c:v>81.44</c:v>
                </c:pt>
                <c:pt idx="329">
                  <c:v>80.02</c:v>
                </c:pt>
                <c:pt idx="330">
                  <c:v>80.36</c:v>
                </c:pt>
                <c:pt idx="331">
                  <c:v>81</c:v>
                </c:pt>
                <c:pt idx="332">
                  <c:v>79.27</c:v>
                </c:pt>
                <c:pt idx="333">
                  <c:v>80.2</c:v>
                </c:pt>
                <c:pt idx="334">
                  <c:v>77.83</c:v>
                </c:pt>
                <c:pt idx="335">
                  <c:v>79.03</c:v>
                </c:pt>
                <c:pt idx="336">
                  <c:v>76.7</c:v>
                </c:pt>
                <c:pt idx="337">
                  <c:v>75.86</c:v>
                </c:pt>
                <c:pt idx="338">
                  <c:v>73.099999999999994</c:v>
                </c:pt>
                <c:pt idx="339">
                  <c:v>73.39</c:v>
                </c:pt>
                <c:pt idx="340">
                  <c:v>74.44</c:v>
                </c:pt>
                <c:pt idx="341">
                  <c:v>77.45</c:v>
                </c:pt>
                <c:pt idx="342">
                  <c:v>78.42</c:v>
                </c:pt>
                <c:pt idx="343">
                  <c:v>77.61</c:v>
                </c:pt>
                <c:pt idx="344">
                  <c:v>79.680000000000007</c:v>
                </c:pt>
                <c:pt idx="345">
                  <c:v>79.31</c:v>
                </c:pt>
                <c:pt idx="346">
                  <c:v>79.19</c:v>
                </c:pt>
                <c:pt idx="347">
                  <c:v>78.790000000000006</c:v>
                </c:pt>
                <c:pt idx="348">
                  <c:v>78.55</c:v>
                </c:pt>
                <c:pt idx="349">
                  <c:v>77.84</c:v>
                </c:pt>
                <c:pt idx="350">
                  <c:v>76.31</c:v>
                </c:pt>
                <c:pt idx="351">
                  <c:v>76.48</c:v>
                </c:pt>
                <c:pt idx="352">
                  <c:v>77.11</c:v>
                </c:pt>
                <c:pt idx="353">
                  <c:v>76.05</c:v>
                </c:pt>
                <c:pt idx="354">
                  <c:v>73.8</c:v>
                </c:pt>
                <c:pt idx="355">
                  <c:v>75.47</c:v>
                </c:pt>
                <c:pt idx="356">
                  <c:v>76.31</c:v>
                </c:pt>
                <c:pt idx="357">
                  <c:v>76.5</c:v>
                </c:pt>
                <c:pt idx="358">
                  <c:v>75.599999999999994</c:v>
                </c:pt>
                <c:pt idx="359">
                  <c:v>76.53</c:v>
                </c:pt>
                <c:pt idx="360">
                  <c:v>77.52</c:v>
                </c:pt>
                <c:pt idx="361">
                  <c:v>77.81</c:v>
                </c:pt>
                <c:pt idx="362">
                  <c:v>79.75</c:v>
                </c:pt>
                <c:pt idx="363">
                  <c:v>79.28</c:v>
                </c:pt>
                <c:pt idx="364">
                  <c:v>80.42</c:v>
                </c:pt>
                <c:pt idx="365">
                  <c:v>77.16</c:v>
                </c:pt>
                <c:pt idx="366">
                  <c:v>76.48</c:v>
                </c:pt>
                <c:pt idx="367">
                  <c:v>75.38</c:v>
                </c:pt>
                <c:pt idx="368">
                  <c:v>76.569999999999993</c:v>
                </c:pt>
                <c:pt idx="369">
                  <c:v>77.03</c:v>
                </c:pt>
                <c:pt idx="370">
                  <c:v>74.53</c:v>
                </c:pt>
                <c:pt idx="371">
                  <c:v>71.77</c:v>
                </c:pt>
                <c:pt idx="372">
                  <c:v>68.16</c:v>
                </c:pt>
                <c:pt idx="373">
                  <c:v>68.31</c:v>
                </c:pt>
                <c:pt idx="374">
                  <c:v>66.36</c:v>
                </c:pt>
                <c:pt idx="375">
                  <c:v>67.47</c:v>
                </c:pt>
                <c:pt idx="376">
                  <c:v>69.31</c:v>
                </c:pt>
                <c:pt idx="377">
                  <c:v>69.92</c:v>
                </c:pt>
                <c:pt idx="378">
                  <c:v>69.39</c:v>
                </c:pt>
                <c:pt idx="379">
                  <c:v>69.099999999999994</c:v>
                </c:pt>
                <c:pt idx="380">
                  <c:v>69.55</c:v>
                </c:pt>
                <c:pt idx="381">
                  <c:v>72.88</c:v>
                </c:pt>
                <c:pt idx="382">
                  <c:v>73.61</c:v>
                </c:pt>
                <c:pt idx="383">
                  <c:v>72.77</c:v>
                </c:pt>
                <c:pt idx="384">
                  <c:v>74.25</c:v>
                </c:pt>
                <c:pt idx="385">
                  <c:v>75.569999999999993</c:v>
                </c:pt>
                <c:pt idx="386">
                  <c:v>80.39</c:v>
                </c:pt>
                <c:pt idx="387">
                  <c:v>80.36</c:v>
                </c:pt>
                <c:pt idx="388">
                  <c:v>80.86</c:v>
                </c:pt>
                <c:pt idx="389">
                  <c:v>80.44</c:v>
                </c:pt>
                <c:pt idx="390">
                  <c:v>80.36</c:v>
                </c:pt>
                <c:pt idx="391">
                  <c:v>80.75</c:v>
                </c:pt>
                <c:pt idx="392">
                  <c:v>79.8</c:v>
                </c:pt>
                <c:pt idx="393">
                  <c:v>81.41</c:v>
                </c:pt>
                <c:pt idx="394">
                  <c:v>83.04</c:v>
                </c:pt>
                <c:pt idx="395">
                  <c:v>82.22</c:v>
                </c:pt>
                <c:pt idx="396">
                  <c:v>82.65</c:v>
                </c:pt>
                <c:pt idx="397">
                  <c:v>82.55</c:v>
                </c:pt>
                <c:pt idx="398">
                  <c:v>80.89</c:v>
                </c:pt>
                <c:pt idx="399">
                  <c:v>81.03</c:v>
                </c:pt>
                <c:pt idx="400">
                  <c:v>78.94</c:v>
                </c:pt>
                <c:pt idx="401">
                  <c:v>77.17</c:v>
                </c:pt>
                <c:pt idx="402">
                  <c:v>77.98</c:v>
                </c:pt>
                <c:pt idx="403">
                  <c:v>77.78</c:v>
                </c:pt>
                <c:pt idx="404">
                  <c:v>78.67</c:v>
                </c:pt>
                <c:pt idx="405">
                  <c:v>77.33</c:v>
                </c:pt>
                <c:pt idx="406">
                  <c:v>74.45</c:v>
                </c:pt>
                <c:pt idx="407">
                  <c:v>74.83</c:v>
                </c:pt>
                <c:pt idx="408">
                  <c:v>76.7</c:v>
                </c:pt>
                <c:pt idx="409">
                  <c:v>76.12</c:v>
                </c:pt>
                <c:pt idx="410">
                  <c:v>75.62</c:v>
                </c:pt>
                <c:pt idx="411">
                  <c:v>71.64</c:v>
                </c:pt>
                <c:pt idx="412" formatCode="General">
                  <c:v>67.25</c:v>
                </c:pt>
                <c:pt idx="413" formatCode="General">
                  <c:v>68.77</c:v>
                </c:pt>
                <c:pt idx="414" formatCode="General">
                  <c:v>71.400000000000006</c:v>
                </c:pt>
                <c:pt idx="415" formatCode="General">
                  <c:v>71.44</c:v>
                </c:pt>
                <c:pt idx="416" formatCode="General">
                  <c:v>73</c:v>
                </c:pt>
                <c:pt idx="417" formatCode="General">
                  <c:v>73.61</c:v>
                </c:pt>
                <c:pt idx="418" formatCode="General">
                  <c:v>72.89</c:v>
                </c:pt>
                <c:pt idx="419" formatCode="General">
                  <c:v>71.36</c:v>
                </c:pt>
                <c:pt idx="420" formatCode="General">
                  <c:v>70.11</c:v>
                </c:pt>
                <c:pt idx="421" formatCode="General">
                  <c:v>70.06</c:v>
                </c:pt>
                <c:pt idx="422" formatCode="General">
                  <c:v>71.42</c:v>
                </c:pt>
                <c:pt idx="423" formatCode="General">
                  <c:v>70.67</c:v>
                </c:pt>
                <c:pt idx="424" formatCode="General">
                  <c:v>72.77</c:v>
                </c:pt>
                <c:pt idx="425" formatCode="General">
                  <c:v>72.14</c:v>
                </c:pt>
                <c:pt idx="426" formatCode="General">
                  <c:v>71.930000000000007</c:v>
                </c:pt>
                <c:pt idx="427" formatCode="General">
                  <c:v>71.86</c:v>
                </c:pt>
                <c:pt idx="428" formatCode="General">
                  <c:v>72.36</c:v>
                </c:pt>
                <c:pt idx="429" formatCode="General">
                  <c:v>73.88</c:v>
                </c:pt>
                <c:pt idx="430" formatCode="General">
                  <c:v>74.25</c:v>
                </c:pt>
                <c:pt idx="431" formatCode="General">
                  <c:v>71.88</c:v>
                </c:pt>
                <c:pt idx="432" formatCode="General">
                  <c:v>72.92</c:v>
                </c:pt>
                <c:pt idx="433" formatCode="General">
                  <c:v>73.23</c:v>
                </c:pt>
                <c:pt idx="434" formatCode="General">
                  <c:v>72.89</c:v>
                </c:pt>
                <c:pt idx="435" formatCode="General">
                  <c:v>69.569999999999993</c:v>
                </c:pt>
                <c:pt idx="436" formatCode="General">
                  <c:v>67.75</c:v>
                </c:pt>
                <c:pt idx="437" formatCode="General">
                  <c:v>70.11</c:v>
                </c:pt>
                <c:pt idx="438" formatCode="General">
                  <c:v>71.94</c:v>
                </c:pt>
                <c:pt idx="439" formatCode="General">
                  <c:v>73.39</c:v>
                </c:pt>
                <c:pt idx="440" formatCode="General">
                  <c:v>71.97</c:v>
                </c:pt>
                <c:pt idx="441" formatCode="General">
                  <c:v>71.77</c:v>
                </c:pt>
                <c:pt idx="442" formatCode="General">
                  <c:v>72.44</c:v>
                </c:pt>
                <c:pt idx="443" formatCode="General">
                  <c:v>70.86</c:v>
                </c:pt>
                <c:pt idx="444" formatCode="General">
                  <c:v>70.34</c:v>
                </c:pt>
                <c:pt idx="445" formatCode="General">
                  <c:v>70</c:v>
                </c:pt>
                <c:pt idx="446" formatCode="General">
                  <c:v>67.42</c:v>
                </c:pt>
                <c:pt idx="447" formatCode="General">
                  <c:v>69.2</c:v>
                </c:pt>
                <c:pt idx="448" formatCode="General">
                  <c:v>68.56</c:v>
                </c:pt>
                <c:pt idx="449" formatCode="General">
                  <c:v>70.66</c:v>
                </c:pt>
                <c:pt idx="450" formatCode="General">
                  <c:v>71.489999999999995</c:v>
                </c:pt>
                <c:pt idx="451" formatCode="General">
                  <c:v>71.34</c:v>
                </c:pt>
                <c:pt idx="452" formatCode="General">
                  <c:v>71.19</c:v>
                </c:pt>
                <c:pt idx="453" formatCode="General">
                  <c:v>70.81</c:v>
                </c:pt>
                <c:pt idx="454" formatCode="General">
                  <c:v>72.38</c:v>
                </c:pt>
                <c:pt idx="455" formatCode="General">
                  <c:v>69.22</c:v>
                </c:pt>
                <c:pt idx="456" formatCode="General">
                  <c:v>69.41</c:v>
                </c:pt>
                <c:pt idx="457" formatCode="General">
                  <c:v>69.84</c:v>
                </c:pt>
                <c:pt idx="458" formatCode="General">
                  <c:v>69.37</c:v>
                </c:pt>
                <c:pt idx="459" formatCode="General">
                  <c:v>67.84</c:v>
                </c:pt>
                <c:pt idx="460" formatCode="General">
                  <c:v>69.22</c:v>
                </c:pt>
                <c:pt idx="461" formatCode="General">
                  <c:v>69.66</c:v>
                </c:pt>
                <c:pt idx="462" formatCode="General">
                  <c:v>70.37</c:v>
                </c:pt>
              </c:numCache>
            </c:numRef>
          </c:val>
          <c:smooth val="0"/>
          <c:extLst>
            <c:ext xmlns:c16="http://schemas.microsoft.com/office/drawing/2014/chart" uri="{C3380CC4-5D6E-409C-BE32-E72D297353CC}">
              <c16:uniqueId val="{00000005-4074-462C-9F4B-5F51DE4EC678}"/>
            </c:ext>
          </c:extLst>
        </c:ser>
        <c:ser>
          <c:idx val="2"/>
          <c:order val="1"/>
          <c:tx>
            <c:strRef>
              <c:f>WTI_spot!$F$1</c:f>
              <c:strCache>
                <c:ptCount val="1"/>
                <c:pt idx="0">
                  <c:v>Valor medio</c:v>
                </c:pt>
              </c:strCache>
            </c:strRef>
          </c:tx>
          <c:spPr>
            <a:ln w="15875" cap="rnd">
              <a:solidFill>
                <a:schemeClr val="accent1">
                  <a:lumMod val="40000"/>
                  <a:lumOff val="60000"/>
                </a:schemeClr>
              </a:solidFill>
              <a:prstDash val="dash"/>
              <a:round/>
            </a:ln>
            <a:effectLst/>
          </c:spPr>
          <c:marker>
            <c:symbol val="none"/>
          </c:marker>
          <c:dLbls>
            <c:dLbl>
              <c:idx val="540"/>
              <c:delete val="1"/>
              <c:extLst>
                <c:ext xmlns:c15="http://schemas.microsoft.com/office/drawing/2012/chart" uri="{CE6537A1-D6FC-4f65-9D91-7224C49458BB}"/>
                <c:ext xmlns:c16="http://schemas.microsoft.com/office/drawing/2014/chart" uri="{C3380CC4-5D6E-409C-BE32-E72D297353CC}">
                  <c16:uniqueId val="{00000006-4074-462C-9F4B-5F51DE4EC678}"/>
                </c:ext>
              </c:extLst>
            </c:dLbl>
            <c:dLbl>
              <c:idx val="572"/>
              <c:layout>
                <c:manualLayout>
                  <c:x val="-0.15371031746031755"/>
                  <c:y val="5.36222222222222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074-462C-9F4B-5F51DE4EC678}"/>
                </c:ext>
              </c:extLst>
            </c:dLbl>
            <c:dLbl>
              <c:idx val="654"/>
              <c:layout>
                <c:manualLayout>
                  <c:x val="-2.5488845144357057E-2"/>
                  <c:y val="3.93172207640711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074-462C-9F4B-5F51DE4EC678}"/>
                </c:ext>
              </c:extLst>
            </c:dLbl>
            <c:spPr>
              <a:noFill/>
              <a:ln>
                <a:noFill/>
              </a:ln>
              <a:effectLst/>
            </c:spPr>
            <c:txPr>
              <a:bodyPr rot="0" spcFirstLastPara="1" vertOverflow="ellipsis" vert="horz" wrap="square" anchor="ctr" anchorCtr="1"/>
              <a:lstStyle/>
              <a:p>
                <a:pPr>
                  <a:defRPr sz="800" b="1" i="0" u="none" strike="noStrike" kern="1200" baseline="0">
                    <a:solidFill>
                      <a:schemeClr val="accent1">
                        <a:lumMod val="60000"/>
                        <a:lumOff val="40000"/>
                      </a:schemeClr>
                    </a:solidFill>
                    <a:latin typeface="Times New Roman" panose="02020603050405020304" pitchFamily="18" charset="0"/>
                    <a:ea typeface="+mn-ea"/>
                    <a:cs typeface="Times New Roman" panose="02020603050405020304" pitchFamily="18" charset="0"/>
                  </a:defRPr>
                </a:pPr>
                <a:endParaRPr lang="es-GT"/>
              </a:p>
            </c:txPr>
            <c:dLblPos val="b"/>
            <c:showLegendKey val="0"/>
            <c:showVal val="0"/>
            <c:showCatName val="0"/>
            <c:showSerName val="0"/>
            <c:showPercent val="0"/>
            <c:showBubbleSize val="0"/>
            <c:extLst>
              <c:ext xmlns:c15="http://schemas.microsoft.com/office/drawing/2012/chart" uri="{CE6537A1-D6FC-4f65-9D91-7224C49458BB}">
                <c15:showLeaderLines val="0"/>
              </c:ext>
            </c:extLst>
          </c:dLbls>
          <c:cat>
            <c:numRef>
              <c:f>WTI_spot!$C$3274:$C$3929</c:f>
              <c:numCache>
                <c:formatCode>m/d/yyyy</c:formatCode>
                <c:ptCount val="656"/>
                <c:pt idx="0">
                  <c:v>44563</c:v>
                </c:pt>
                <c:pt idx="1">
                  <c:v>44564</c:v>
                </c:pt>
                <c:pt idx="2">
                  <c:v>44565</c:v>
                </c:pt>
                <c:pt idx="3">
                  <c:v>44566</c:v>
                </c:pt>
                <c:pt idx="4">
                  <c:v>44567</c:v>
                </c:pt>
                <c:pt idx="5">
                  <c:v>44568</c:v>
                </c:pt>
                <c:pt idx="6">
                  <c:v>44570</c:v>
                </c:pt>
                <c:pt idx="7">
                  <c:v>44571</c:v>
                </c:pt>
                <c:pt idx="8">
                  <c:v>44572</c:v>
                </c:pt>
                <c:pt idx="9">
                  <c:v>44573</c:v>
                </c:pt>
                <c:pt idx="10">
                  <c:v>44574</c:v>
                </c:pt>
                <c:pt idx="11">
                  <c:v>44575</c:v>
                </c:pt>
                <c:pt idx="12">
                  <c:v>44577</c:v>
                </c:pt>
                <c:pt idx="13">
                  <c:v>44578</c:v>
                </c:pt>
                <c:pt idx="14">
                  <c:v>44579</c:v>
                </c:pt>
                <c:pt idx="15">
                  <c:v>44580</c:v>
                </c:pt>
                <c:pt idx="16">
                  <c:v>44581</c:v>
                </c:pt>
                <c:pt idx="17">
                  <c:v>44582</c:v>
                </c:pt>
                <c:pt idx="18">
                  <c:v>44584</c:v>
                </c:pt>
                <c:pt idx="19">
                  <c:v>44585</c:v>
                </c:pt>
                <c:pt idx="20">
                  <c:v>44586</c:v>
                </c:pt>
                <c:pt idx="21">
                  <c:v>44587</c:v>
                </c:pt>
                <c:pt idx="22">
                  <c:v>44588</c:v>
                </c:pt>
                <c:pt idx="23">
                  <c:v>44589</c:v>
                </c:pt>
                <c:pt idx="24">
                  <c:v>44591</c:v>
                </c:pt>
                <c:pt idx="25">
                  <c:v>44592</c:v>
                </c:pt>
                <c:pt idx="26">
                  <c:v>44593</c:v>
                </c:pt>
                <c:pt idx="27">
                  <c:v>44594</c:v>
                </c:pt>
                <c:pt idx="28">
                  <c:v>44595</c:v>
                </c:pt>
                <c:pt idx="29">
                  <c:v>44596</c:v>
                </c:pt>
                <c:pt idx="30">
                  <c:v>44598</c:v>
                </c:pt>
                <c:pt idx="31">
                  <c:v>44599</c:v>
                </c:pt>
                <c:pt idx="32">
                  <c:v>44600</c:v>
                </c:pt>
                <c:pt idx="33">
                  <c:v>44601</c:v>
                </c:pt>
                <c:pt idx="34">
                  <c:v>44602</c:v>
                </c:pt>
                <c:pt idx="35">
                  <c:v>44603</c:v>
                </c:pt>
                <c:pt idx="36">
                  <c:v>44605</c:v>
                </c:pt>
                <c:pt idx="37">
                  <c:v>44606</c:v>
                </c:pt>
                <c:pt idx="38">
                  <c:v>44607</c:v>
                </c:pt>
                <c:pt idx="39">
                  <c:v>44608</c:v>
                </c:pt>
                <c:pt idx="40">
                  <c:v>44609</c:v>
                </c:pt>
                <c:pt idx="41">
                  <c:v>44610</c:v>
                </c:pt>
                <c:pt idx="42">
                  <c:v>44612</c:v>
                </c:pt>
                <c:pt idx="43">
                  <c:v>44613</c:v>
                </c:pt>
                <c:pt idx="44">
                  <c:v>44614</c:v>
                </c:pt>
                <c:pt idx="45">
                  <c:v>44615</c:v>
                </c:pt>
                <c:pt idx="46">
                  <c:v>44616</c:v>
                </c:pt>
                <c:pt idx="47">
                  <c:v>44617</c:v>
                </c:pt>
                <c:pt idx="48">
                  <c:v>44619</c:v>
                </c:pt>
                <c:pt idx="49">
                  <c:v>44620</c:v>
                </c:pt>
                <c:pt idx="50">
                  <c:v>44621</c:v>
                </c:pt>
                <c:pt idx="51">
                  <c:v>44622</c:v>
                </c:pt>
                <c:pt idx="52">
                  <c:v>44623</c:v>
                </c:pt>
                <c:pt idx="53">
                  <c:v>44624</c:v>
                </c:pt>
                <c:pt idx="54">
                  <c:v>44626</c:v>
                </c:pt>
                <c:pt idx="55">
                  <c:v>44627</c:v>
                </c:pt>
                <c:pt idx="56">
                  <c:v>44628</c:v>
                </c:pt>
                <c:pt idx="57">
                  <c:v>44629</c:v>
                </c:pt>
                <c:pt idx="58">
                  <c:v>44630</c:v>
                </c:pt>
                <c:pt idx="59">
                  <c:v>44631</c:v>
                </c:pt>
                <c:pt idx="60">
                  <c:v>44633</c:v>
                </c:pt>
                <c:pt idx="61">
                  <c:v>44634</c:v>
                </c:pt>
                <c:pt idx="62">
                  <c:v>44635</c:v>
                </c:pt>
                <c:pt idx="63">
                  <c:v>44636</c:v>
                </c:pt>
                <c:pt idx="64">
                  <c:v>44637</c:v>
                </c:pt>
                <c:pt idx="65">
                  <c:v>44638</c:v>
                </c:pt>
                <c:pt idx="66">
                  <c:v>44640</c:v>
                </c:pt>
                <c:pt idx="67">
                  <c:v>44641</c:v>
                </c:pt>
                <c:pt idx="68">
                  <c:v>44642</c:v>
                </c:pt>
                <c:pt idx="69">
                  <c:v>44643</c:v>
                </c:pt>
                <c:pt idx="70">
                  <c:v>44644</c:v>
                </c:pt>
                <c:pt idx="71">
                  <c:v>44645</c:v>
                </c:pt>
                <c:pt idx="72">
                  <c:v>44647</c:v>
                </c:pt>
                <c:pt idx="73">
                  <c:v>44648</c:v>
                </c:pt>
                <c:pt idx="74">
                  <c:v>44649</c:v>
                </c:pt>
                <c:pt idx="75">
                  <c:v>44650</c:v>
                </c:pt>
                <c:pt idx="76">
                  <c:v>44651</c:v>
                </c:pt>
                <c:pt idx="77">
                  <c:v>44652</c:v>
                </c:pt>
                <c:pt idx="78">
                  <c:v>44654</c:v>
                </c:pt>
                <c:pt idx="79">
                  <c:v>44655</c:v>
                </c:pt>
                <c:pt idx="80">
                  <c:v>44656</c:v>
                </c:pt>
                <c:pt idx="81">
                  <c:v>44657</c:v>
                </c:pt>
                <c:pt idx="82">
                  <c:v>44658</c:v>
                </c:pt>
                <c:pt idx="83">
                  <c:v>44659</c:v>
                </c:pt>
                <c:pt idx="84">
                  <c:v>44661</c:v>
                </c:pt>
                <c:pt idx="85">
                  <c:v>44662</c:v>
                </c:pt>
                <c:pt idx="86">
                  <c:v>44663</c:v>
                </c:pt>
                <c:pt idx="87">
                  <c:v>44664</c:v>
                </c:pt>
                <c:pt idx="88">
                  <c:v>44665</c:v>
                </c:pt>
                <c:pt idx="89">
                  <c:v>44668</c:v>
                </c:pt>
                <c:pt idx="90">
                  <c:v>44669</c:v>
                </c:pt>
                <c:pt idx="91">
                  <c:v>44670</c:v>
                </c:pt>
                <c:pt idx="92">
                  <c:v>44671</c:v>
                </c:pt>
                <c:pt idx="93">
                  <c:v>44672</c:v>
                </c:pt>
                <c:pt idx="94">
                  <c:v>44673</c:v>
                </c:pt>
                <c:pt idx="95">
                  <c:v>44675</c:v>
                </c:pt>
                <c:pt idx="96">
                  <c:v>44676</c:v>
                </c:pt>
                <c:pt idx="97">
                  <c:v>44677</c:v>
                </c:pt>
                <c:pt idx="98">
                  <c:v>44678</c:v>
                </c:pt>
                <c:pt idx="99">
                  <c:v>44679</c:v>
                </c:pt>
                <c:pt idx="100">
                  <c:v>44680</c:v>
                </c:pt>
                <c:pt idx="101">
                  <c:v>44682</c:v>
                </c:pt>
                <c:pt idx="102">
                  <c:v>44683</c:v>
                </c:pt>
                <c:pt idx="103">
                  <c:v>44684</c:v>
                </c:pt>
                <c:pt idx="104">
                  <c:v>44685</c:v>
                </c:pt>
                <c:pt idx="105">
                  <c:v>44686</c:v>
                </c:pt>
                <c:pt idx="106">
                  <c:v>44687</c:v>
                </c:pt>
                <c:pt idx="107">
                  <c:v>44689</c:v>
                </c:pt>
                <c:pt idx="108">
                  <c:v>44690</c:v>
                </c:pt>
                <c:pt idx="109">
                  <c:v>44691</c:v>
                </c:pt>
                <c:pt idx="110">
                  <c:v>44692</c:v>
                </c:pt>
                <c:pt idx="111">
                  <c:v>44693</c:v>
                </c:pt>
                <c:pt idx="112">
                  <c:v>44694</c:v>
                </c:pt>
                <c:pt idx="113">
                  <c:v>44696</c:v>
                </c:pt>
                <c:pt idx="114">
                  <c:v>44697</c:v>
                </c:pt>
                <c:pt idx="115">
                  <c:v>44698</c:v>
                </c:pt>
                <c:pt idx="116">
                  <c:v>44699</c:v>
                </c:pt>
                <c:pt idx="117">
                  <c:v>44700</c:v>
                </c:pt>
                <c:pt idx="118">
                  <c:v>44701</c:v>
                </c:pt>
                <c:pt idx="119">
                  <c:v>44703</c:v>
                </c:pt>
                <c:pt idx="120">
                  <c:v>44704</c:v>
                </c:pt>
                <c:pt idx="121">
                  <c:v>44705</c:v>
                </c:pt>
                <c:pt idx="122">
                  <c:v>44706</c:v>
                </c:pt>
                <c:pt idx="123">
                  <c:v>44707</c:v>
                </c:pt>
                <c:pt idx="124">
                  <c:v>44708</c:v>
                </c:pt>
                <c:pt idx="125">
                  <c:v>44710</c:v>
                </c:pt>
                <c:pt idx="126">
                  <c:v>44711</c:v>
                </c:pt>
                <c:pt idx="127">
                  <c:v>44712</c:v>
                </c:pt>
                <c:pt idx="128">
                  <c:v>44713</c:v>
                </c:pt>
                <c:pt idx="129">
                  <c:v>44714</c:v>
                </c:pt>
                <c:pt idx="130">
                  <c:v>44715</c:v>
                </c:pt>
                <c:pt idx="131">
                  <c:v>44717</c:v>
                </c:pt>
                <c:pt idx="132">
                  <c:v>44718</c:v>
                </c:pt>
                <c:pt idx="133">
                  <c:v>44719</c:v>
                </c:pt>
                <c:pt idx="134">
                  <c:v>44720</c:v>
                </c:pt>
                <c:pt idx="135">
                  <c:v>44721</c:v>
                </c:pt>
                <c:pt idx="136">
                  <c:v>44722</c:v>
                </c:pt>
                <c:pt idx="137">
                  <c:v>44724</c:v>
                </c:pt>
                <c:pt idx="138">
                  <c:v>44725</c:v>
                </c:pt>
                <c:pt idx="139">
                  <c:v>44726</c:v>
                </c:pt>
                <c:pt idx="140">
                  <c:v>44727</c:v>
                </c:pt>
                <c:pt idx="141">
                  <c:v>44728</c:v>
                </c:pt>
                <c:pt idx="142">
                  <c:v>44729</c:v>
                </c:pt>
                <c:pt idx="143">
                  <c:v>44731</c:v>
                </c:pt>
                <c:pt idx="144">
                  <c:v>44732</c:v>
                </c:pt>
                <c:pt idx="145">
                  <c:v>44733</c:v>
                </c:pt>
                <c:pt idx="146">
                  <c:v>44734</c:v>
                </c:pt>
                <c:pt idx="147">
                  <c:v>44735</c:v>
                </c:pt>
                <c:pt idx="148">
                  <c:v>44736</c:v>
                </c:pt>
                <c:pt idx="149">
                  <c:v>44738</c:v>
                </c:pt>
                <c:pt idx="150">
                  <c:v>44739</c:v>
                </c:pt>
                <c:pt idx="151">
                  <c:v>44740</c:v>
                </c:pt>
                <c:pt idx="152">
                  <c:v>44741</c:v>
                </c:pt>
                <c:pt idx="153">
                  <c:v>44742</c:v>
                </c:pt>
                <c:pt idx="154">
                  <c:v>44743</c:v>
                </c:pt>
                <c:pt idx="155">
                  <c:v>44745</c:v>
                </c:pt>
                <c:pt idx="156">
                  <c:v>44746</c:v>
                </c:pt>
                <c:pt idx="157">
                  <c:v>44747</c:v>
                </c:pt>
                <c:pt idx="158">
                  <c:v>44748</c:v>
                </c:pt>
                <c:pt idx="159">
                  <c:v>44749</c:v>
                </c:pt>
                <c:pt idx="160">
                  <c:v>44750</c:v>
                </c:pt>
                <c:pt idx="161">
                  <c:v>44752</c:v>
                </c:pt>
                <c:pt idx="162">
                  <c:v>44753</c:v>
                </c:pt>
                <c:pt idx="163">
                  <c:v>44754</c:v>
                </c:pt>
                <c:pt idx="164">
                  <c:v>44755</c:v>
                </c:pt>
                <c:pt idx="165">
                  <c:v>44756</c:v>
                </c:pt>
                <c:pt idx="166">
                  <c:v>44757</c:v>
                </c:pt>
                <c:pt idx="167">
                  <c:v>44759</c:v>
                </c:pt>
                <c:pt idx="168">
                  <c:v>44760</c:v>
                </c:pt>
                <c:pt idx="169">
                  <c:v>44761</c:v>
                </c:pt>
                <c:pt idx="170">
                  <c:v>44762</c:v>
                </c:pt>
                <c:pt idx="171">
                  <c:v>44763</c:v>
                </c:pt>
                <c:pt idx="172">
                  <c:v>44764</c:v>
                </c:pt>
                <c:pt idx="173">
                  <c:v>44766</c:v>
                </c:pt>
                <c:pt idx="174">
                  <c:v>44767</c:v>
                </c:pt>
                <c:pt idx="175">
                  <c:v>44768</c:v>
                </c:pt>
                <c:pt idx="176">
                  <c:v>44769</c:v>
                </c:pt>
                <c:pt idx="177">
                  <c:v>44770</c:v>
                </c:pt>
                <c:pt idx="178">
                  <c:v>44771</c:v>
                </c:pt>
                <c:pt idx="179">
                  <c:v>44773</c:v>
                </c:pt>
                <c:pt idx="180">
                  <c:v>44774</c:v>
                </c:pt>
                <c:pt idx="181">
                  <c:v>44775</c:v>
                </c:pt>
                <c:pt idx="182">
                  <c:v>44776</c:v>
                </c:pt>
                <c:pt idx="183">
                  <c:v>44777</c:v>
                </c:pt>
                <c:pt idx="184">
                  <c:v>44778</c:v>
                </c:pt>
                <c:pt idx="185">
                  <c:v>44780</c:v>
                </c:pt>
                <c:pt idx="186">
                  <c:v>44781</c:v>
                </c:pt>
                <c:pt idx="187">
                  <c:v>44782</c:v>
                </c:pt>
                <c:pt idx="188">
                  <c:v>44783</c:v>
                </c:pt>
                <c:pt idx="189">
                  <c:v>44784</c:v>
                </c:pt>
                <c:pt idx="190">
                  <c:v>44785</c:v>
                </c:pt>
                <c:pt idx="191">
                  <c:v>44787</c:v>
                </c:pt>
                <c:pt idx="192">
                  <c:v>44788</c:v>
                </c:pt>
                <c:pt idx="193">
                  <c:v>44789</c:v>
                </c:pt>
                <c:pt idx="194">
                  <c:v>44790</c:v>
                </c:pt>
                <c:pt idx="195">
                  <c:v>44791</c:v>
                </c:pt>
                <c:pt idx="196">
                  <c:v>44792</c:v>
                </c:pt>
                <c:pt idx="197">
                  <c:v>44794</c:v>
                </c:pt>
                <c:pt idx="198">
                  <c:v>44795</c:v>
                </c:pt>
                <c:pt idx="199">
                  <c:v>44796</c:v>
                </c:pt>
                <c:pt idx="200">
                  <c:v>44797</c:v>
                </c:pt>
                <c:pt idx="201">
                  <c:v>44798</c:v>
                </c:pt>
                <c:pt idx="202">
                  <c:v>44799</c:v>
                </c:pt>
                <c:pt idx="203">
                  <c:v>44801</c:v>
                </c:pt>
                <c:pt idx="204">
                  <c:v>44802</c:v>
                </c:pt>
                <c:pt idx="205">
                  <c:v>44803</c:v>
                </c:pt>
                <c:pt idx="206">
                  <c:v>44804</c:v>
                </c:pt>
                <c:pt idx="207">
                  <c:v>44805</c:v>
                </c:pt>
                <c:pt idx="208">
                  <c:v>44806</c:v>
                </c:pt>
                <c:pt idx="209">
                  <c:v>44808</c:v>
                </c:pt>
                <c:pt idx="210">
                  <c:v>44809</c:v>
                </c:pt>
                <c:pt idx="211">
                  <c:v>44810</c:v>
                </c:pt>
                <c:pt idx="212">
                  <c:v>44811</c:v>
                </c:pt>
                <c:pt idx="213">
                  <c:v>44812</c:v>
                </c:pt>
                <c:pt idx="214">
                  <c:v>44813</c:v>
                </c:pt>
                <c:pt idx="215">
                  <c:v>44815</c:v>
                </c:pt>
                <c:pt idx="216">
                  <c:v>44816</c:v>
                </c:pt>
                <c:pt idx="217">
                  <c:v>44817</c:v>
                </c:pt>
                <c:pt idx="218">
                  <c:v>44818</c:v>
                </c:pt>
                <c:pt idx="219">
                  <c:v>44819</c:v>
                </c:pt>
                <c:pt idx="220">
                  <c:v>44820</c:v>
                </c:pt>
                <c:pt idx="221">
                  <c:v>44822</c:v>
                </c:pt>
                <c:pt idx="222">
                  <c:v>44823</c:v>
                </c:pt>
                <c:pt idx="223">
                  <c:v>44824</c:v>
                </c:pt>
                <c:pt idx="224">
                  <c:v>44825</c:v>
                </c:pt>
                <c:pt idx="225">
                  <c:v>44826</c:v>
                </c:pt>
                <c:pt idx="226">
                  <c:v>44827</c:v>
                </c:pt>
                <c:pt idx="227">
                  <c:v>44829</c:v>
                </c:pt>
                <c:pt idx="228">
                  <c:v>44830</c:v>
                </c:pt>
                <c:pt idx="229">
                  <c:v>44831</c:v>
                </c:pt>
                <c:pt idx="230">
                  <c:v>44832</c:v>
                </c:pt>
                <c:pt idx="231">
                  <c:v>44833</c:v>
                </c:pt>
                <c:pt idx="232">
                  <c:v>44834</c:v>
                </c:pt>
                <c:pt idx="233">
                  <c:v>44836</c:v>
                </c:pt>
                <c:pt idx="234">
                  <c:v>44837</c:v>
                </c:pt>
                <c:pt idx="235">
                  <c:v>44838</c:v>
                </c:pt>
                <c:pt idx="236">
                  <c:v>44839</c:v>
                </c:pt>
                <c:pt idx="237">
                  <c:v>44840</c:v>
                </c:pt>
                <c:pt idx="238">
                  <c:v>44841</c:v>
                </c:pt>
                <c:pt idx="239">
                  <c:v>44843</c:v>
                </c:pt>
                <c:pt idx="240">
                  <c:v>44844</c:v>
                </c:pt>
                <c:pt idx="241">
                  <c:v>44845</c:v>
                </c:pt>
                <c:pt idx="242">
                  <c:v>44846</c:v>
                </c:pt>
                <c:pt idx="243">
                  <c:v>44847</c:v>
                </c:pt>
                <c:pt idx="244">
                  <c:v>44848</c:v>
                </c:pt>
                <c:pt idx="245">
                  <c:v>44850</c:v>
                </c:pt>
                <c:pt idx="246">
                  <c:v>44851</c:v>
                </c:pt>
                <c:pt idx="247">
                  <c:v>44852</c:v>
                </c:pt>
                <c:pt idx="248">
                  <c:v>44853</c:v>
                </c:pt>
                <c:pt idx="249">
                  <c:v>44854</c:v>
                </c:pt>
                <c:pt idx="250">
                  <c:v>44855</c:v>
                </c:pt>
                <c:pt idx="251">
                  <c:v>44857</c:v>
                </c:pt>
                <c:pt idx="252">
                  <c:v>44858</c:v>
                </c:pt>
                <c:pt idx="253">
                  <c:v>44859</c:v>
                </c:pt>
                <c:pt idx="254">
                  <c:v>44860</c:v>
                </c:pt>
                <c:pt idx="255">
                  <c:v>44861</c:v>
                </c:pt>
                <c:pt idx="256">
                  <c:v>44862</c:v>
                </c:pt>
                <c:pt idx="257">
                  <c:v>44864</c:v>
                </c:pt>
                <c:pt idx="258">
                  <c:v>44865</c:v>
                </c:pt>
                <c:pt idx="259">
                  <c:v>44866</c:v>
                </c:pt>
                <c:pt idx="260">
                  <c:v>44867</c:v>
                </c:pt>
                <c:pt idx="261">
                  <c:v>44868</c:v>
                </c:pt>
                <c:pt idx="262">
                  <c:v>44869</c:v>
                </c:pt>
                <c:pt idx="263">
                  <c:v>44871</c:v>
                </c:pt>
                <c:pt idx="264">
                  <c:v>44872</c:v>
                </c:pt>
                <c:pt idx="265">
                  <c:v>44873</c:v>
                </c:pt>
                <c:pt idx="266">
                  <c:v>44874</c:v>
                </c:pt>
                <c:pt idx="267">
                  <c:v>44875</c:v>
                </c:pt>
                <c:pt idx="268">
                  <c:v>44876</c:v>
                </c:pt>
                <c:pt idx="269">
                  <c:v>44878</c:v>
                </c:pt>
                <c:pt idx="270">
                  <c:v>44879</c:v>
                </c:pt>
                <c:pt idx="271">
                  <c:v>44880</c:v>
                </c:pt>
                <c:pt idx="272">
                  <c:v>44881</c:v>
                </c:pt>
                <c:pt idx="273">
                  <c:v>44882</c:v>
                </c:pt>
                <c:pt idx="274">
                  <c:v>44883</c:v>
                </c:pt>
                <c:pt idx="275">
                  <c:v>44885</c:v>
                </c:pt>
                <c:pt idx="276">
                  <c:v>44886</c:v>
                </c:pt>
                <c:pt idx="277">
                  <c:v>44887</c:v>
                </c:pt>
                <c:pt idx="278">
                  <c:v>44888</c:v>
                </c:pt>
                <c:pt idx="279">
                  <c:v>44889</c:v>
                </c:pt>
                <c:pt idx="280">
                  <c:v>44890</c:v>
                </c:pt>
                <c:pt idx="281">
                  <c:v>44892</c:v>
                </c:pt>
                <c:pt idx="282">
                  <c:v>44893</c:v>
                </c:pt>
                <c:pt idx="283">
                  <c:v>44894</c:v>
                </c:pt>
                <c:pt idx="284">
                  <c:v>44895</c:v>
                </c:pt>
                <c:pt idx="285">
                  <c:v>44896</c:v>
                </c:pt>
                <c:pt idx="286">
                  <c:v>44897</c:v>
                </c:pt>
                <c:pt idx="287">
                  <c:v>44899</c:v>
                </c:pt>
                <c:pt idx="288">
                  <c:v>44900</c:v>
                </c:pt>
                <c:pt idx="289">
                  <c:v>44901</c:v>
                </c:pt>
                <c:pt idx="290">
                  <c:v>44902</c:v>
                </c:pt>
                <c:pt idx="291">
                  <c:v>44903</c:v>
                </c:pt>
                <c:pt idx="292">
                  <c:v>44904</c:v>
                </c:pt>
                <c:pt idx="293">
                  <c:v>44906</c:v>
                </c:pt>
                <c:pt idx="294">
                  <c:v>44907</c:v>
                </c:pt>
                <c:pt idx="295">
                  <c:v>44908</c:v>
                </c:pt>
                <c:pt idx="296">
                  <c:v>44909</c:v>
                </c:pt>
                <c:pt idx="297">
                  <c:v>44910</c:v>
                </c:pt>
                <c:pt idx="298">
                  <c:v>44911</c:v>
                </c:pt>
                <c:pt idx="299">
                  <c:v>44913</c:v>
                </c:pt>
                <c:pt idx="300">
                  <c:v>44914</c:v>
                </c:pt>
                <c:pt idx="301">
                  <c:v>44915</c:v>
                </c:pt>
                <c:pt idx="302">
                  <c:v>44916</c:v>
                </c:pt>
                <c:pt idx="303">
                  <c:v>44917</c:v>
                </c:pt>
                <c:pt idx="304">
                  <c:v>44918</c:v>
                </c:pt>
                <c:pt idx="305">
                  <c:v>44921</c:v>
                </c:pt>
                <c:pt idx="306">
                  <c:v>44922</c:v>
                </c:pt>
                <c:pt idx="307">
                  <c:v>44923</c:v>
                </c:pt>
                <c:pt idx="308">
                  <c:v>44924</c:v>
                </c:pt>
                <c:pt idx="309">
                  <c:v>44925</c:v>
                </c:pt>
                <c:pt idx="310">
                  <c:v>44928</c:v>
                </c:pt>
                <c:pt idx="311">
                  <c:v>44929</c:v>
                </c:pt>
                <c:pt idx="312">
                  <c:v>44930</c:v>
                </c:pt>
                <c:pt idx="313">
                  <c:v>44931</c:v>
                </c:pt>
                <c:pt idx="314">
                  <c:v>44932</c:v>
                </c:pt>
                <c:pt idx="315">
                  <c:v>44934</c:v>
                </c:pt>
                <c:pt idx="316">
                  <c:v>44935</c:v>
                </c:pt>
                <c:pt idx="317">
                  <c:v>44936</c:v>
                </c:pt>
                <c:pt idx="318">
                  <c:v>44937</c:v>
                </c:pt>
                <c:pt idx="319">
                  <c:v>44938</c:v>
                </c:pt>
                <c:pt idx="320">
                  <c:v>44939</c:v>
                </c:pt>
                <c:pt idx="321">
                  <c:v>44941</c:v>
                </c:pt>
                <c:pt idx="322">
                  <c:v>44942</c:v>
                </c:pt>
                <c:pt idx="323">
                  <c:v>44943</c:v>
                </c:pt>
                <c:pt idx="324">
                  <c:v>44944</c:v>
                </c:pt>
                <c:pt idx="325">
                  <c:v>44945</c:v>
                </c:pt>
                <c:pt idx="326">
                  <c:v>44946</c:v>
                </c:pt>
                <c:pt idx="327">
                  <c:v>44948</c:v>
                </c:pt>
                <c:pt idx="328">
                  <c:v>44949</c:v>
                </c:pt>
                <c:pt idx="329">
                  <c:v>44950</c:v>
                </c:pt>
                <c:pt idx="330">
                  <c:v>44951</c:v>
                </c:pt>
                <c:pt idx="331">
                  <c:v>44952</c:v>
                </c:pt>
                <c:pt idx="332">
                  <c:v>44953</c:v>
                </c:pt>
                <c:pt idx="333">
                  <c:v>44955</c:v>
                </c:pt>
                <c:pt idx="334">
                  <c:v>44956</c:v>
                </c:pt>
                <c:pt idx="335">
                  <c:v>44957</c:v>
                </c:pt>
                <c:pt idx="336">
                  <c:v>44958</c:v>
                </c:pt>
                <c:pt idx="337">
                  <c:v>44959</c:v>
                </c:pt>
                <c:pt idx="338">
                  <c:v>44960</c:v>
                </c:pt>
                <c:pt idx="339">
                  <c:v>44962</c:v>
                </c:pt>
                <c:pt idx="340">
                  <c:v>44963</c:v>
                </c:pt>
                <c:pt idx="341">
                  <c:v>44964</c:v>
                </c:pt>
                <c:pt idx="342">
                  <c:v>44965</c:v>
                </c:pt>
                <c:pt idx="343">
                  <c:v>44966</c:v>
                </c:pt>
                <c:pt idx="344">
                  <c:v>44967</c:v>
                </c:pt>
                <c:pt idx="345">
                  <c:v>44969</c:v>
                </c:pt>
                <c:pt idx="346">
                  <c:v>44970</c:v>
                </c:pt>
                <c:pt idx="347">
                  <c:v>44971</c:v>
                </c:pt>
                <c:pt idx="348">
                  <c:v>44972</c:v>
                </c:pt>
                <c:pt idx="349">
                  <c:v>44973</c:v>
                </c:pt>
                <c:pt idx="350">
                  <c:v>44974</c:v>
                </c:pt>
                <c:pt idx="351">
                  <c:v>44976</c:v>
                </c:pt>
                <c:pt idx="352">
                  <c:v>44977</c:v>
                </c:pt>
                <c:pt idx="353">
                  <c:v>44978</c:v>
                </c:pt>
                <c:pt idx="354">
                  <c:v>44979</c:v>
                </c:pt>
                <c:pt idx="355">
                  <c:v>44980</c:v>
                </c:pt>
                <c:pt idx="356">
                  <c:v>44981</c:v>
                </c:pt>
                <c:pt idx="357">
                  <c:v>44983</c:v>
                </c:pt>
                <c:pt idx="358">
                  <c:v>44984</c:v>
                </c:pt>
                <c:pt idx="359">
                  <c:v>44985</c:v>
                </c:pt>
                <c:pt idx="360">
                  <c:v>44986</c:v>
                </c:pt>
                <c:pt idx="361">
                  <c:v>44987</c:v>
                </c:pt>
                <c:pt idx="362">
                  <c:v>44988</c:v>
                </c:pt>
                <c:pt idx="363">
                  <c:v>44990</c:v>
                </c:pt>
                <c:pt idx="364">
                  <c:v>44991</c:v>
                </c:pt>
                <c:pt idx="365">
                  <c:v>44992</c:v>
                </c:pt>
                <c:pt idx="366">
                  <c:v>44993</c:v>
                </c:pt>
                <c:pt idx="367">
                  <c:v>44994</c:v>
                </c:pt>
                <c:pt idx="368">
                  <c:v>44995</c:v>
                </c:pt>
                <c:pt idx="369">
                  <c:v>44997</c:v>
                </c:pt>
                <c:pt idx="370">
                  <c:v>44998</c:v>
                </c:pt>
                <c:pt idx="371">
                  <c:v>44999</c:v>
                </c:pt>
                <c:pt idx="372">
                  <c:v>45000</c:v>
                </c:pt>
                <c:pt idx="373">
                  <c:v>45001</c:v>
                </c:pt>
                <c:pt idx="374">
                  <c:v>45002</c:v>
                </c:pt>
                <c:pt idx="375">
                  <c:v>45005</c:v>
                </c:pt>
                <c:pt idx="376">
                  <c:v>45006</c:v>
                </c:pt>
                <c:pt idx="377">
                  <c:v>45007</c:v>
                </c:pt>
                <c:pt idx="378">
                  <c:v>45008</c:v>
                </c:pt>
                <c:pt idx="379">
                  <c:v>45009</c:v>
                </c:pt>
                <c:pt idx="380">
                  <c:v>45011</c:v>
                </c:pt>
                <c:pt idx="381">
                  <c:v>45012</c:v>
                </c:pt>
                <c:pt idx="382">
                  <c:v>45013</c:v>
                </c:pt>
                <c:pt idx="383">
                  <c:v>45014</c:v>
                </c:pt>
                <c:pt idx="384">
                  <c:v>45015</c:v>
                </c:pt>
                <c:pt idx="385">
                  <c:v>45016</c:v>
                </c:pt>
                <c:pt idx="386">
                  <c:v>45018</c:v>
                </c:pt>
                <c:pt idx="387">
                  <c:v>45019</c:v>
                </c:pt>
                <c:pt idx="388">
                  <c:v>45020</c:v>
                </c:pt>
                <c:pt idx="389">
                  <c:v>45021</c:v>
                </c:pt>
                <c:pt idx="390">
                  <c:v>45022</c:v>
                </c:pt>
                <c:pt idx="391">
                  <c:v>45025</c:v>
                </c:pt>
                <c:pt idx="392">
                  <c:v>45026</c:v>
                </c:pt>
                <c:pt idx="393">
                  <c:v>45027</c:v>
                </c:pt>
                <c:pt idx="394">
                  <c:v>45028</c:v>
                </c:pt>
                <c:pt idx="395">
                  <c:v>45029</c:v>
                </c:pt>
                <c:pt idx="396">
                  <c:v>45030</c:v>
                </c:pt>
                <c:pt idx="397">
                  <c:v>45032</c:v>
                </c:pt>
                <c:pt idx="398">
                  <c:v>45033</c:v>
                </c:pt>
                <c:pt idx="399">
                  <c:v>45034</c:v>
                </c:pt>
                <c:pt idx="400">
                  <c:v>45035</c:v>
                </c:pt>
                <c:pt idx="401">
                  <c:v>45036</c:v>
                </c:pt>
                <c:pt idx="402">
                  <c:v>45037</c:v>
                </c:pt>
                <c:pt idx="403">
                  <c:v>45039</c:v>
                </c:pt>
                <c:pt idx="404">
                  <c:v>45040</c:v>
                </c:pt>
                <c:pt idx="405">
                  <c:v>45041</c:v>
                </c:pt>
                <c:pt idx="406">
                  <c:v>45042</c:v>
                </c:pt>
                <c:pt idx="407">
                  <c:v>45043</c:v>
                </c:pt>
                <c:pt idx="408">
                  <c:v>45044</c:v>
                </c:pt>
                <c:pt idx="409">
                  <c:v>45046</c:v>
                </c:pt>
                <c:pt idx="410">
                  <c:v>45047</c:v>
                </c:pt>
                <c:pt idx="411">
                  <c:v>45048</c:v>
                </c:pt>
                <c:pt idx="412">
                  <c:v>45049</c:v>
                </c:pt>
                <c:pt idx="413">
                  <c:v>45050</c:v>
                </c:pt>
                <c:pt idx="414">
                  <c:v>45051</c:v>
                </c:pt>
                <c:pt idx="415">
                  <c:v>45052</c:v>
                </c:pt>
                <c:pt idx="416">
                  <c:v>45053</c:v>
                </c:pt>
                <c:pt idx="417">
                  <c:v>45054</c:v>
                </c:pt>
                <c:pt idx="418">
                  <c:v>45055</c:v>
                </c:pt>
                <c:pt idx="419">
                  <c:v>45056</c:v>
                </c:pt>
                <c:pt idx="420">
                  <c:v>45057</c:v>
                </c:pt>
                <c:pt idx="421">
                  <c:v>45058</c:v>
                </c:pt>
                <c:pt idx="422">
                  <c:v>45059</c:v>
                </c:pt>
                <c:pt idx="423">
                  <c:v>45060</c:v>
                </c:pt>
                <c:pt idx="424">
                  <c:v>45061</c:v>
                </c:pt>
                <c:pt idx="425">
                  <c:v>45062</c:v>
                </c:pt>
                <c:pt idx="426">
                  <c:v>45063</c:v>
                </c:pt>
                <c:pt idx="427">
                  <c:v>45064</c:v>
                </c:pt>
                <c:pt idx="428">
                  <c:v>45065</c:v>
                </c:pt>
                <c:pt idx="429">
                  <c:v>45066</c:v>
                </c:pt>
                <c:pt idx="430">
                  <c:v>45067</c:v>
                </c:pt>
                <c:pt idx="431">
                  <c:v>45068</c:v>
                </c:pt>
                <c:pt idx="432">
                  <c:v>45069</c:v>
                </c:pt>
                <c:pt idx="433">
                  <c:v>45070</c:v>
                </c:pt>
                <c:pt idx="434">
                  <c:v>45071</c:v>
                </c:pt>
                <c:pt idx="435">
                  <c:v>45072</c:v>
                </c:pt>
                <c:pt idx="436">
                  <c:v>45073</c:v>
                </c:pt>
                <c:pt idx="437">
                  <c:v>45074</c:v>
                </c:pt>
                <c:pt idx="438">
                  <c:v>45075</c:v>
                </c:pt>
                <c:pt idx="439">
                  <c:v>45076</c:v>
                </c:pt>
                <c:pt idx="440">
                  <c:v>45077</c:v>
                </c:pt>
                <c:pt idx="441">
                  <c:v>45078</c:v>
                </c:pt>
                <c:pt idx="442">
                  <c:v>45079</c:v>
                </c:pt>
                <c:pt idx="443">
                  <c:v>45080</c:v>
                </c:pt>
                <c:pt idx="444">
                  <c:v>45081</c:v>
                </c:pt>
                <c:pt idx="445">
                  <c:v>45082</c:v>
                </c:pt>
                <c:pt idx="446">
                  <c:v>45083</c:v>
                </c:pt>
                <c:pt idx="447">
                  <c:v>45084</c:v>
                </c:pt>
                <c:pt idx="448">
                  <c:v>45085</c:v>
                </c:pt>
                <c:pt idx="449">
                  <c:v>45086</c:v>
                </c:pt>
                <c:pt idx="450">
                  <c:v>45087</c:v>
                </c:pt>
                <c:pt idx="451">
                  <c:v>45088</c:v>
                </c:pt>
                <c:pt idx="452">
                  <c:v>45089</c:v>
                </c:pt>
                <c:pt idx="453">
                  <c:v>45090</c:v>
                </c:pt>
                <c:pt idx="454">
                  <c:v>45091</c:v>
                </c:pt>
                <c:pt idx="455">
                  <c:v>45092</c:v>
                </c:pt>
                <c:pt idx="456">
                  <c:v>45093</c:v>
                </c:pt>
                <c:pt idx="457">
                  <c:v>45094</c:v>
                </c:pt>
                <c:pt idx="458">
                  <c:v>45095</c:v>
                </c:pt>
                <c:pt idx="459">
                  <c:v>45096</c:v>
                </c:pt>
                <c:pt idx="460">
                  <c:v>45097</c:v>
                </c:pt>
                <c:pt idx="461">
                  <c:v>45098</c:v>
                </c:pt>
                <c:pt idx="462">
                  <c:v>45099</c:v>
                </c:pt>
                <c:pt idx="463">
                  <c:v>45100</c:v>
                </c:pt>
                <c:pt idx="464">
                  <c:v>45101</c:v>
                </c:pt>
                <c:pt idx="465">
                  <c:v>45102</c:v>
                </c:pt>
                <c:pt idx="466">
                  <c:v>45103</c:v>
                </c:pt>
                <c:pt idx="467">
                  <c:v>45104</c:v>
                </c:pt>
                <c:pt idx="468">
                  <c:v>45105</c:v>
                </c:pt>
                <c:pt idx="469">
                  <c:v>45106</c:v>
                </c:pt>
                <c:pt idx="470">
                  <c:v>45107</c:v>
                </c:pt>
                <c:pt idx="471">
                  <c:v>45108</c:v>
                </c:pt>
                <c:pt idx="472">
                  <c:v>45109</c:v>
                </c:pt>
                <c:pt idx="473">
                  <c:v>45110</c:v>
                </c:pt>
                <c:pt idx="474">
                  <c:v>45111</c:v>
                </c:pt>
                <c:pt idx="475">
                  <c:v>45112</c:v>
                </c:pt>
                <c:pt idx="476">
                  <c:v>45113</c:v>
                </c:pt>
                <c:pt idx="477">
                  <c:v>45114</c:v>
                </c:pt>
                <c:pt idx="478">
                  <c:v>45115</c:v>
                </c:pt>
                <c:pt idx="479">
                  <c:v>45116</c:v>
                </c:pt>
                <c:pt idx="480">
                  <c:v>45117</c:v>
                </c:pt>
                <c:pt idx="481">
                  <c:v>45118</c:v>
                </c:pt>
                <c:pt idx="482">
                  <c:v>45119</c:v>
                </c:pt>
                <c:pt idx="483">
                  <c:v>45120</c:v>
                </c:pt>
                <c:pt idx="484">
                  <c:v>45121</c:v>
                </c:pt>
                <c:pt idx="485">
                  <c:v>45122</c:v>
                </c:pt>
                <c:pt idx="486">
                  <c:v>45123</c:v>
                </c:pt>
                <c:pt idx="487">
                  <c:v>45124</c:v>
                </c:pt>
                <c:pt idx="488">
                  <c:v>45125</c:v>
                </c:pt>
                <c:pt idx="489">
                  <c:v>45126</c:v>
                </c:pt>
                <c:pt idx="490">
                  <c:v>45127</c:v>
                </c:pt>
                <c:pt idx="491">
                  <c:v>45128</c:v>
                </c:pt>
                <c:pt idx="492">
                  <c:v>45129</c:v>
                </c:pt>
                <c:pt idx="493">
                  <c:v>45130</c:v>
                </c:pt>
                <c:pt idx="494">
                  <c:v>45131</c:v>
                </c:pt>
                <c:pt idx="495">
                  <c:v>45132</c:v>
                </c:pt>
                <c:pt idx="496">
                  <c:v>45133</c:v>
                </c:pt>
                <c:pt idx="497">
                  <c:v>45134</c:v>
                </c:pt>
                <c:pt idx="498">
                  <c:v>45135</c:v>
                </c:pt>
                <c:pt idx="499">
                  <c:v>45136</c:v>
                </c:pt>
                <c:pt idx="500">
                  <c:v>45137</c:v>
                </c:pt>
                <c:pt idx="501">
                  <c:v>45138</c:v>
                </c:pt>
                <c:pt idx="502">
                  <c:v>45139</c:v>
                </c:pt>
                <c:pt idx="503">
                  <c:v>45140</c:v>
                </c:pt>
                <c:pt idx="504">
                  <c:v>45141</c:v>
                </c:pt>
                <c:pt idx="505">
                  <c:v>45142</c:v>
                </c:pt>
                <c:pt idx="506">
                  <c:v>45143</c:v>
                </c:pt>
                <c:pt idx="507">
                  <c:v>45144</c:v>
                </c:pt>
                <c:pt idx="508">
                  <c:v>45145</c:v>
                </c:pt>
                <c:pt idx="509">
                  <c:v>45146</c:v>
                </c:pt>
                <c:pt idx="510">
                  <c:v>45147</c:v>
                </c:pt>
                <c:pt idx="511">
                  <c:v>45148</c:v>
                </c:pt>
                <c:pt idx="512">
                  <c:v>45149</c:v>
                </c:pt>
                <c:pt idx="513">
                  <c:v>45150</c:v>
                </c:pt>
                <c:pt idx="514">
                  <c:v>45151</c:v>
                </c:pt>
                <c:pt idx="515">
                  <c:v>45152</c:v>
                </c:pt>
                <c:pt idx="516">
                  <c:v>45153</c:v>
                </c:pt>
                <c:pt idx="517">
                  <c:v>45154</c:v>
                </c:pt>
                <c:pt idx="518">
                  <c:v>45155</c:v>
                </c:pt>
                <c:pt idx="519">
                  <c:v>45156</c:v>
                </c:pt>
                <c:pt idx="520">
                  <c:v>45157</c:v>
                </c:pt>
                <c:pt idx="521">
                  <c:v>45158</c:v>
                </c:pt>
                <c:pt idx="522">
                  <c:v>45159</c:v>
                </c:pt>
                <c:pt idx="523">
                  <c:v>45160</c:v>
                </c:pt>
                <c:pt idx="524">
                  <c:v>45161</c:v>
                </c:pt>
                <c:pt idx="525">
                  <c:v>45162</c:v>
                </c:pt>
                <c:pt idx="526">
                  <c:v>45163</c:v>
                </c:pt>
                <c:pt idx="527">
                  <c:v>45164</c:v>
                </c:pt>
                <c:pt idx="528">
                  <c:v>45165</c:v>
                </c:pt>
                <c:pt idx="529">
                  <c:v>45166</c:v>
                </c:pt>
                <c:pt idx="530">
                  <c:v>45167</c:v>
                </c:pt>
                <c:pt idx="531">
                  <c:v>45168</c:v>
                </c:pt>
                <c:pt idx="532">
                  <c:v>45169</c:v>
                </c:pt>
                <c:pt idx="533">
                  <c:v>45170</c:v>
                </c:pt>
                <c:pt idx="534">
                  <c:v>45171</c:v>
                </c:pt>
                <c:pt idx="535">
                  <c:v>45172</c:v>
                </c:pt>
                <c:pt idx="536">
                  <c:v>45173</c:v>
                </c:pt>
                <c:pt idx="537">
                  <c:v>45174</c:v>
                </c:pt>
                <c:pt idx="538">
                  <c:v>45175</c:v>
                </c:pt>
                <c:pt idx="539">
                  <c:v>45176</c:v>
                </c:pt>
                <c:pt idx="540">
                  <c:v>45177</c:v>
                </c:pt>
                <c:pt idx="541">
                  <c:v>45178</c:v>
                </c:pt>
                <c:pt idx="542">
                  <c:v>45179</c:v>
                </c:pt>
                <c:pt idx="543">
                  <c:v>45180</c:v>
                </c:pt>
                <c:pt idx="544">
                  <c:v>45181</c:v>
                </c:pt>
                <c:pt idx="545">
                  <c:v>45182</c:v>
                </c:pt>
                <c:pt idx="546">
                  <c:v>45183</c:v>
                </c:pt>
                <c:pt idx="547">
                  <c:v>45184</c:v>
                </c:pt>
                <c:pt idx="548">
                  <c:v>45185</c:v>
                </c:pt>
                <c:pt idx="549">
                  <c:v>45186</c:v>
                </c:pt>
                <c:pt idx="550">
                  <c:v>45187</c:v>
                </c:pt>
                <c:pt idx="551">
                  <c:v>45188</c:v>
                </c:pt>
                <c:pt idx="552">
                  <c:v>45189</c:v>
                </c:pt>
                <c:pt idx="553">
                  <c:v>45190</c:v>
                </c:pt>
                <c:pt idx="554">
                  <c:v>45191</c:v>
                </c:pt>
                <c:pt idx="555">
                  <c:v>45192</c:v>
                </c:pt>
                <c:pt idx="556">
                  <c:v>45193</c:v>
                </c:pt>
                <c:pt idx="557">
                  <c:v>45194</c:v>
                </c:pt>
                <c:pt idx="558">
                  <c:v>45195</c:v>
                </c:pt>
                <c:pt idx="559">
                  <c:v>45196</c:v>
                </c:pt>
                <c:pt idx="560">
                  <c:v>45197</c:v>
                </c:pt>
                <c:pt idx="561">
                  <c:v>45198</c:v>
                </c:pt>
                <c:pt idx="562">
                  <c:v>45199</c:v>
                </c:pt>
                <c:pt idx="563">
                  <c:v>45200</c:v>
                </c:pt>
                <c:pt idx="564">
                  <c:v>45201</c:v>
                </c:pt>
                <c:pt idx="565">
                  <c:v>45202</c:v>
                </c:pt>
                <c:pt idx="566">
                  <c:v>45203</c:v>
                </c:pt>
                <c:pt idx="567">
                  <c:v>45204</c:v>
                </c:pt>
                <c:pt idx="568">
                  <c:v>45205</c:v>
                </c:pt>
                <c:pt idx="569">
                  <c:v>45206</c:v>
                </c:pt>
                <c:pt idx="570">
                  <c:v>45207</c:v>
                </c:pt>
                <c:pt idx="571">
                  <c:v>45208</c:v>
                </c:pt>
                <c:pt idx="572">
                  <c:v>45209</c:v>
                </c:pt>
                <c:pt idx="573">
                  <c:v>45210</c:v>
                </c:pt>
                <c:pt idx="574">
                  <c:v>45211</c:v>
                </c:pt>
                <c:pt idx="575">
                  <c:v>45212</c:v>
                </c:pt>
                <c:pt idx="576">
                  <c:v>45213</c:v>
                </c:pt>
                <c:pt idx="577">
                  <c:v>45214</c:v>
                </c:pt>
                <c:pt idx="578">
                  <c:v>45215</c:v>
                </c:pt>
                <c:pt idx="579">
                  <c:v>45216</c:v>
                </c:pt>
                <c:pt idx="580">
                  <c:v>45217</c:v>
                </c:pt>
                <c:pt idx="581">
                  <c:v>45218</c:v>
                </c:pt>
                <c:pt idx="582">
                  <c:v>45219</c:v>
                </c:pt>
                <c:pt idx="583">
                  <c:v>45220</c:v>
                </c:pt>
                <c:pt idx="584">
                  <c:v>45221</c:v>
                </c:pt>
                <c:pt idx="585">
                  <c:v>45222</c:v>
                </c:pt>
                <c:pt idx="586">
                  <c:v>45223</c:v>
                </c:pt>
                <c:pt idx="587">
                  <c:v>45224</c:v>
                </c:pt>
                <c:pt idx="588">
                  <c:v>45225</c:v>
                </c:pt>
                <c:pt idx="589">
                  <c:v>45226</c:v>
                </c:pt>
                <c:pt idx="590">
                  <c:v>45227</c:v>
                </c:pt>
                <c:pt idx="591">
                  <c:v>45228</c:v>
                </c:pt>
                <c:pt idx="592">
                  <c:v>45229</c:v>
                </c:pt>
                <c:pt idx="593">
                  <c:v>45230</c:v>
                </c:pt>
                <c:pt idx="594">
                  <c:v>45231</c:v>
                </c:pt>
                <c:pt idx="595">
                  <c:v>45232</c:v>
                </c:pt>
                <c:pt idx="596">
                  <c:v>45233</c:v>
                </c:pt>
                <c:pt idx="597">
                  <c:v>45234</c:v>
                </c:pt>
                <c:pt idx="598">
                  <c:v>45235</c:v>
                </c:pt>
                <c:pt idx="599">
                  <c:v>45236</c:v>
                </c:pt>
                <c:pt idx="600">
                  <c:v>45237</c:v>
                </c:pt>
                <c:pt idx="601">
                  <c:v>45238</c:v>
                </c:pt>
                <c:pt idx="602">
                  <c:v>45239</c:v>
                </c:pt>
                <c:pt idx="603">
                  <c:v>45240</c:v>
                </c:pt>
                <c:pt idx="604">
                  <c:v>45241</c:v>
                </c:pt>
                <c:pt idx="605">
                  <c:v>45242</c:v>
                </c:pt>
                <c:pt idx="606">
                  <c:v>45243</c:v>
                </c:pt>
                <c:pt idx="607">
                  <c:v>45244</c:v>
                </c:pt>
                <c:pt idx="608">
                  <c:v>45245</c:v>
                </c:pt>
                <c:pt idx="609">
                  <c:v>45246</c:v>
                </c:pt>
                <c:pt idx="610">
                  <c:v>45247</c:v>
                </c:pt>
                <c:pt idx="611">
                  <c:v>45248</c:v>
                </c:pt>
                <c:pt idx="612">
                  <c:v>45249</c:v>
                </c:pt>
                <c:pt idx="613">
                  <c:v>45250</c:v>
                </c:pt>
                <c:pt idx="614">
                  <c:v>45251</c:v>
                </c:pt>
                <c:pt idx="615">
                  <c:v>45252</c:v>
                </c:pt>
                <c:pt idx="616">
                  <c:v>45253</c:v>
                </c:pt>
                <c:pt idx="617">
                  <c:v>45254</c:v>
                </c:pt>
                <c:pt idx="618">
                  <c:v>45255</c:v>
                </c:pt>
                <c:pt idx="619">
                  <c:v>45256</c:v>
                </c:pt>
                <c:pt idx="620">
                  <c:v>45257</c:v>
                </c:pt>
                <c:pt idx="621">
                  <c:v>45258</c:v>
                </c:pt>
                <c:pt idx="622">
                  <c:v>45259</c:v>
                </c:pt>
                <c:pt idx="623">
                  <c:v>45260</c:v>
                </c:pt>
                <c:pt idx="624">
                  <c:v>45261</c:v>
                </c:pt>
                <c:pt idx="625">
                  <c:v>45262</c:v>
                </c:pt>
                <c:pt idx="626">
                  <c:v>45263</c:v>
                </c:pt>
                <c:pt idx="627">
                  <c:v>45264</c:v>
                </c:pt>
                <c:pt idx="628">
                  <c:v>45265</c:v>
                </c:pt>
                <c:pt idx="629">
                  <c:v>45266</c:v>
                </c:pt>
                <c:pt idx="630">
                  <c:v>45267</c:v>
                </c:pt>
                <c:pt idx="631">
                  <c:v>45268</c:v>
                </c:pt>
                <c:pt idx="632">
                  <c:v>45269</c:v>
                </c:pt>
                <c:pt idx="633">
                  <c:v>45270</c:v>
                </c:pt>
                <c:pt idx="634">
                  <c:v>45271</c:v>
                </c:pt>
                <c:pt idx="635">
                  <c:v>45272</c:v>
                </c:pt>
                <c:pt idx="636">
                  <c:v>45273</c:v>
                </c:pt>
                <c:pt idx="637">
                  <c:v>45274</c:v>
                </c:pt>
                <c:pt idx="638">
                  <c:v>45275</c:v>
                </c:pt>
                <c:pt idx="639">
                  <c:v>45276</c:v>
                </c:pt>
                <c:pt idx="640">
                  <c:v>45277</c:v>
                </c:pt>
                <c:pt idx="641">
                  <c:v>45278</c:v>
                </c:pt>
                <c:pt idx="642">
                  <c:v>45279</c:v>
                </c:pt>
                <c:pt idx="643">
                  <c:v>45280</c:v>
                </c:pt>
                <c:pt idx="644">
                  <c:v>45281</c:v>
                </c:pt>
                <c:pt idx="645">
                  <c:v>45282</c:v>
                </c:pt>
                <c:pt idx="646">
                  <c:v>45283</c:v>
                </c:pt>
                <c:pt idx="647">
                  <c:v>45284</c:v>
                </c:pt>
                <c:pt idx="648">
                  <c:v>45285</c:v>
                </c:pt>
                <c:pt idx="649">
                  <c:v>45286</c:v>
                </c:pt>
                <c:pt idx="650">
                  <c:v>45287</c:v>
                </c:pt>
                <c:pt idx="651">
                  <c:v>45288</c:v>
                </c:pt>
                <c:pt idx="652">
                  <c:v>45289</c:v>
                </c:pt>
                <c:pt idx="653">
                  <c:v>45290</c:v>
                </c:pt>
                <c:pt idx="654">
                  <c:v>45291</c:v>
                </c:pt>
                <c:pt idx="655">
                  <c:v>45292</c:v>
                </c:pt>
              </c:numCache>
            </c:numRef>
          </c:cat>
          <c:val>
            <c:numRef>
              <c:f>WTI_spot!$F$3274:$F$3929</c:f>
              <c:numCache>
                <c:formatCode>General</c:formatCode>
                <c:ptCount val="656"/>
                <c:pt idx="463" formatCode="0.0">
                  <c:v>70.7</c:v>
                </c:pt>
                <c:pt idx="464" formatCode="0.0">
                  <c:v>73.5</c:v>
                </c:pt>
                <c:pt idx="465" formatCode="0.0">
                  <c:v>75.400000000000006</c:v>
                </c:pt>
                <c:pt idx="466" formatCode="0.0">
                  <c:v>75.3</c:v>
                </c:pt>
                <c:pt idx="467" formatCode="0.0">
                  <c:v>74.900000000000006</c:v>
                </c:pt>
                <c:pt idx="468" formatCode="0.0">
                  <c:v>77.599999999999994</c:v>
                </c:pt>
                <c:pt idx="469" formatCode="0.0">
                  <c:v>77.900000000000006</c:v>
                </c:pt>
                <c:pt idx="470" formatCode="0.0">
                  <c:v>78.2</c:v>
                </c:pt>
                <c:pt idx="471" formatCode="0.0">
                  <c:v>79.599999999999994</c:v>
                </c:pt>
                <c:pt idx="472" formatCode="0.0">
                  <c:v>80.099999999999994</c:v>
                </c:pt>
                <c:pt idx="473" formatCode="0.0">
                  <c:v>82.335854922279779</c:v>
                </c:pt>
                <c:pt idx="474" formatCode="0.0">
                  <c:v>82.340932642487033</c:v>
                </c:pt>
                <c:pt idx="475" formatCode="0.0">
                  <c:v>82.346010362694287</c:v>
                </c:pt>
                <c:pt idx="476" formatCode="0.0">
                  <c:v>82.351088082901541</c:v>
                </c:pt>
                <c:pt idx="477" formatCode="0.0">
                  <c:v>82.356165803108794</c:v>
                </c:pt>
                <c:pt idx="478" formatCode="0.0">
                  <c:v>82.361243523316048</c:v>
                </c:pt>
                <c:pt idx="479" formatCode="0.0">
                  <c:v>82.366321243523302</c:v>
                </c:pt>
                <c:pt idx="480" formatCode="0.0">
                  <c:v>82.371398963730556</c:v>
                </c:pt>
                <c:pt idx="481" formatCode="0.0">
                  <c:v>82.37647668393781</c:v>
                </c:pt>
                <c:pt idx="482" formatCode="0.0">
                  <c:v>82.381554404145064</c:v>
                </c:pt>
                <c:pt idx="483" formatCode="0.0">
                  <c:v>82.386632124352317</c:v>
                </c:pt>
                <c:pt idx="484" formatCode="0.0">
                  <c:v>82.391709844559571</c:v>
                </c:pt>
                <c:pt idx="485" formatCode="0.0">
                  <c:v>82.396787564766825</c:v>
                </c:pt>
                <c:pt idx="486" formatCode="0.0">
                  <c:v>82.401865284974079</c:v>
                </c:pt>
                <c:pt idx="487" formatCode="0.0">
                  <c:v>82.406943005181333</c:v>
                </c:pt>
                <c:pt idx="488" formatCode="0.0">
                  <c:v>82.412020725388587</c:v>
                </c:pt>
                <c:pt idx="489" formatCode="0.0">
                  <c:v>82.41709844559584</c:v>
                </c:pt>
                <c:pt idx="490" formatCode="0.0">
                  <c:v>82.422176165803094</c:v>
                </c:pt>
                <c:pt idx="491" formatCode="0.0">
                  <c:v>82.427253886010348</c:v>
                </c:pt>
                <c:pt idx="492" formatCode="0.0">
                  <c:v>82.432331606217602</c:v>
                </c:pt>
                <c:pt idx="493" formatCode="0.0">
                  <c:v>82.437409326424856</c:v>
                </c:pt>
                <c:pt idx="494" formatCode="0.0">
                  <c:v>82.44248704663211</c:v>
                </c:pt>
                <c:pt idx="495" formatCode="0.0">
                  <c:v>82.447564766839363</c:v>
                </c:pt>
                <c:pt idx="496" formatCode="0.0">
                  <c:v>82.452642487046617</c:v>
                </c:pt>
                <c:pt idx="497" formatCode="0.0">
                  <c:v>82.457720207253871</c:v>
                </c:pt>
                <c:pt idx="498" formatCode="0.0">
                  <c:v>82.462797927461125</c:v>
                </c:pt>
                <c:pt idx="499" formatCode="0.0">
                  <c:v>82.467875647668379</c:v>
                </c:pt>
                <c:pt idx="500" formatCode="0.0">
                  <c:v>82.472953367875633</c:v>
                </c:pt>
                <c:pt idx="501" formatCode="0.0">
                  <c:v>82.478031088082886</c:v>
                </c:pt>
                <c:pt idx="502" formatCode="0.0">
                  <c:v>82.48310880829014</c:v>
                </c:pt>
                <c:pt idx="503" formatCode="0.0">
                  <c:v>82.488186528497394</c:v>
                </c:pt>
                <c:pt idx="504" formatCode="0.0">
                  <c:v>82.493264248704648</c:v>
                </c:pt>
                <c:pt idx="505" formatCode="0.0">
                  <c:v>82.498341968911902</c:v>
                </c:pt>
                <c:pt idx="506" formatCode="0.0">
                  <c:v>82.503419689119156</c:v>
                </c:pt>
                <c:pt idx="507" formatCode="0.0">
                  <c:v>82.508497409326409</c:v>
                </c:pt>
                <c:pt idx="508" formatCode="0.0">
                  <c:v>82.513575129533663</c:v>
                </c:pt>
                <c:pt idx="509" formatCode="0.0">
                  <c:v>82.518652849740917</c:v>
                </c:pt>
                <c:pt idx="510" formatCode="0.0">
                  <c:v>82.523730569948171</c:v>
                </c:pt>
                <c:pt idx="511" formatCode="0.0">
                  <c:v>82.528808290155439</c:v>
                </c:pt>
                <c:pt idx="512" formatCode="0.0">
                  <c:v>82.533886010362693</c:v>
                </c:pt>
                <c:pt idx="513" formatCode="0.0">
                  <c:v>82.538963730569947</c:v>
                </c:pt>
                <c:pt idx="514" formatCode="0.0">
                  <c:v>82.5440414507772</c:v>
                </c:pt>
                <c:pt idx="515" formatCode="0.0">
                  <c:v>82.549119170984454</c:v>
                </c:pt>
                <c:pt idx="516" formatCode="0.0">
                  <c:v>82.554196891191708</c:v>
                </c:pt>
                <c:pt idx="517" formatCode="0.0">
                  <c:v>82.559274611398962</c:v>
                </c:pt>
                <c:pt idx="518" formatCode="0.0">
                  <c:v>82.564352331606216</c:v>
                </c:pt>
                <c:pt idx="519" formatCode="0.0">
                  <c:v>82.56943005181347</c:v>
                </c:pt>
                <c:pt idx="520" formatCode="0.0">
                  <c:v>82.574507772020723</c:v>
                </c:pt>
                <c:pt idx="521" formatCode="0.0">
                  <c:v>82.579585492227977</c:v>
                </c:pt>
                <c:pt idx="522" formatCode="0.0">
                  <c:v>82.584663212435231</c:v>
                </c:pt>
                <c:pt idx="523" formatCode="0.0">
                  <c:v>82.589740932642485</c:v>
                </c:pt>
                <c:pt idx="524" formatCode="0.0">
                  <c:v>82.594818652849739</c:v>
                </c:pt>
                <c:pt idx="525" formatCode="0.0">
                  <c:v>82.599896373056993</c:v>
                </c:pt>
                <c:pt idx="526" formatCode="0.0">
                  <c:v>82.604974093264246</c:v>
                </c:pt>
                <c:pt idx="527" formatCode="0.0">
                  <c:v>82.6100518134715</c:v>
                </c:pt>
                <c:pt idx="528" formatCode="0.0">
                  <c:v>82.615129533678754</c:v>
                </c:pt>
                <c:pt idx="529" formatCode="0.0">
                  <c:v>82.620207253886008</c:v>
                </c:pt>
                <c:pt idx="530" formatCode="0.0">
                  <c:v>82.625284974093262</c:v>
                </c:pt>
                <c:pt idx="531" formatCode="0.0">
                  <c:v>82.630362694300516</c:v>
                </c:pt>
                <c:pt idx="532" formatCode="0.0">
                  <c:v>82.635440414507769</c:v>
                </c:pt>
                <c:pt idx="533" formatCode="0.0">
                  <c:v>82.640518134715023</c:v>
                </c:pt>
                <c:pt idx="534" formatCode="0.0">
                  <c:v>82.645595854922277</c:v>
                </c:pt>
                <c:pt idx="535" formatCode="0.0">
                  <c:v>82.650673575129531</c:v>
                </c:pt>
                <c:pt idx="536" formatCode="0.0">
                  <c:v>82.655751295336785</c:v>
                </c:pt>
                <c:pt idx="537" formatCode="0.0">
                  <c:v>82.660829015544039</c:v>
                </c:pt>
                <c:pt idx="538" formatCode="0.0">
                  <c:v>82.665906735751292</c:v>
                </c:pt>
                <c:pt idx="539" formatCode="0.0">
                  <c:v>82.670984455958546</c:v>
                </c:pt>
                <c:pt idx="540" formatCode="0.0">
                  <c:v>82.6760621761658</c:v>
                </c:pt>
                <c:pt idx="541" formatCode="0.0">
                  <c:v>82.681139896373054</c:v>
                </c:pt>
                <c:pt idx="542" formatCode="0.0">
                  <c:v>82.686217616580308</c:v>
                </c:pt>
                <c:pt idx="543" formatCode="0.0">
                  <c:v>82.691295336787562</c:v>
                </c:pt>
                <c:pt idx="544" formatCode="0.0">
                  <c:v>82.696373056994815</c:v>
                </c:pt>
                <c:pt idx="545" formatCode="0.0">
                  <c:v>82.701450777202069</c:v>
                </c:pt>
                <c:pt idx="546" formatCode="0.0">
                  <c:v>82.706528497409323</c:v>
                </c:pt>
                <c:pt idx="547" formatCode="0.0">
                  <c:v>82.711606217616577</c:v>
                </c:pt>
                <c:pt idx="548" formatCode="0.0">
                  <c:v>82.716683937823831</c:v>
                </c:pt>
                <c:pt idx="549" formatCode="0.0">
                  <c:v>82.721761658031085</c:v>
                </c:pt>
                <c:pt idx="550" formatCode="0.0">
                  <c:v>82.726839378238338</c:v>
                </c:pt>
                <c:pt idx="551" formatCode="0.0">
                  <c:v>82.731917098445592</c:v>
                </c:pt>
                <c:pt idx="552" formatCode="0.0">
                  <c:v>82.736994818652846</c:v>
                </c:pt>
                <c:pt idx="553" formatCode="0.0">
                  <c:v>82.7420725388601</c:v>
                </c:pt>
                <c:pt idx="554" formatCode="0.0">
                  <c:v>82.747150259067354</c:v>
                </c:pt>
                <c:pt idx="555" formatCode="0.0">
                  <c:v>82.752227979274608</c:v>
                </c:pt>
                <c:pt idx="556" formatCode="0.0">
                  <c:v>82.757305699481861</c:v>
                </c:pt>
                <c:pt idx="557" formatCode="0.0">
                  <c:v>82.762383419689115</c:v>
                </c:pt>
                <c:pt idx="558" formatCode="0.0">
                  <c:v>82.767461139896369</c:v>
                </c:pt>
                <c:pt idx="559" formatCode="0.0">
                  <c:v>82.772538860103623</c:v>
                </c:pt>
                <c:pt idx="560" formatCode="0.0">
                  <c:v>82.777616580310877</c:v>
                </c:pt>
                <c:pt idx="561" formatCode="0.0">
                  <c:v>82.782694300518131</c:v>
                </c:pt>
                <c:pt idx="562" formatCode="0.0">
                  <c:v>82.787772020725384</c:v>
                </c:pt>
                <c:pt idx="563" formatCode="0.0">
                  <c:v>82.792849740932638</c:v>
                </c:pt>
                <c:pt idx="564" formatCode="0.0">
                  <c:v>82.797927461139892</c:v>
                </c:pt>
                <c:pt idx="565" formatCode="0.0">
                  <c:v>82.803005181347146</c:v>
                </c:pt>
                <c:pt idx="566" formatCode="0.0">
                  <c:v>82.8080829015544</c:v>
                </c:pt>
                <c:pt idx="567" formatCode="0.0">
                  <c:v>82.813160621761654</c:v>
                </c:pt>
                <c:pt idx="568" formatCode="0.0">
                  <c:v>82.818238341968907</c:v>
                </c:pt>
                <c:pt idx="569" formatCode="0.0">
                  <c:v>82.823316062176161</c:v>
                </c:pt>
                <c:pt idx="570" formatCode="0.0">
                  <c:v>82.828393782383415</c:v>
                </c:pt>
                <c:pt idx="571" formatCode="0.0">
                  <c:v>82.833471502590669</c:v>
                </c:pt>
                <c:pt idx="572" formatCode="0.0">
                  <c:v>82.838549222797923</c:v>
                </c:pt>
                <c:pt idx="573" formatCode="0.0">
                  <c:v>82.843626943005177</c:v>
                </c:pt>
                <c:pt idx="574" formatCode="0.0">
                  <c:v>82.84870466321243</c:v>
                </c:pt>
                <c:pt idx="575" formatCode="0.0">
                  <c:v>82.853782383419684</c:v>
                </c:pt>
                <c:pt idx="576" formatCode="0.0">
                  <c:v>82.858860103626938</c:v>
                </c:pt>
                <c:pt idx="577" formatCode="0.0">
                  <c:v>82.863937823834192</c:v>
                </c:pt>
                <c:pt idx="578" formatCode="0.0">
                  <c:v>82.869015544041446</c:v>
                </c:pt>
                <c:pt idx="579" formatCode="0.0">
                  <c:v>82.8740932642487</c:v>
                </c:pt>
                <c:pt idx="580" formatCode="0.0">
                  <c:v>82.879170984455953</c:v>
                </c:pt>
                <c:pt idx="581" formatCode="0.0">
                  <c:v>82.884248704663207</c:v>
                </c:pt>
                <c:pt idx="582" formatCode="0.0">
                  <c:v>82.889326424870461</c:v>
                </c:pt>
                <c:pt idx="583" formatCode="0.0">
                  <c:v>82.894404145077715</c:v>
                </c:pt>
                <c:pt idx="584" formatCode="0.0">
                  <c:v>82.899481865284969</c:v>
                </c:pt>
                <c:pt idx="585" formatCode="0.0">
                  <c:v>82.904559585492223</c:v>
                </c:pt>
                <c:pt idx="586" formatCode="0.0">
                  <c:v>82.909637305699476</c:v>
                </c:pt>
                <c:pt idx="587" formatCode="0.0">
                  <c:v>82.91471502590673</c:v>
                </c:pt>
                <c:pt idx="588" formatCode="0.0">
                  <c:v>82.919792746113984</c:v>
                </c:pt>
                <c:pt idx="589" formatCode="0.0">
                  <c:v>82.924870466321238</c:v>
                </c:pt>
                <c:pt idx="590" formatCode="0.0">
                  <c:v>82.929948186528492</c:v>
                </c:pt>
                <c:pt idx="591" formatCode="0.0">
                  <c:v>82.935025906735746</c:v>
                </c:pt>
                <c:pt idx="592" formatCode="0.0">
                  <c:v>82.940103626942999</c:v>
                </c:pt>
                <c:pt idx="593" formatCode="0.0">
                  <c:v>82.945181347150253</c:v>
                </c:pt>
                <c:pt idx="594" formatCode="0.0">
                  <c:v>82.950259067357507</c:v>
                </c:pt>
                <c:pt idx="595" formatCode="0.0">
                  <c:v>82.955336787564761</c:v>
                </c:pt>
                <c:pt idx="596" formatCode="0.0">
                  <c:v>82.960414507772015</c:v>
                </c:pt>
                <c:pt idx="597" formatCode="0.0">
                  <c:v>82.965492227979269</c:v>
                </c:pt>
                <c:pt idx="598" formatCode="0.0">
                  <c:v>82.970569948186522</c:v>
                </c:pt>
                <c:pt idx="599" formatCode="0.0">
                  <c:v>82.975647668393776</c:v>
                </c:pt>
                <c:pt idx="600" formatCode="0.0">
                  <c:v>82.98072538860103</c:v>
                </c:pt>
                <c:pt idx="601" formatCode="0.0">
                  <c:v>82.985803108808284</c:v>
                </c:pt>
                <c:pt idx="602" formatCode="0.0">
                  <c:v>82.990880829015538</c:v>
                </c:pt>
                <c:pt idx="603" formatCode="0.0">
                  <c:v>82.995958549222792</c:v>
                </c:pt>
                <c:pt idx="604" formatCode="0.0">
                  <c:v>83.001036269430045</c:v>
                </c:pt>
                <c:pt idx="605" formatCode="0.0">
                  <c:v>83.006113989637299</c:v>
                </c:pt>
                <c:pt idx="606" formatCode="0.0">
                  <c:v>83.011191709844553</c:v>
                </c:pt>
                <c:pt idx="607" formatCode="0.0">
                  <c:v>83.016269430051821</c:v>
                </c:pt>
                <c:pt idx="608" formatCode="0.0">
                  <c:v>83.021347150259075</c:v>
                </c:pt>
                <c:pt idx="609" formatCode="0.0">
                  <c:v>83.026424870466329</c:v>
                </c:pt>
                <c:pt idx="610" formatCode="0.0">
                  <c:v>83.031502590673583</c:v>
                </c:pt>
                <c:pt idx="611" formatCode="0.0">
                  <c:v>83.036580310880836</c:v>
                </c:pt>
                <c:pt idx="612" formatCode="0.0">
                  <c:v>83.04165803108809</c:v>
                </c:pt>
                <c:pt idx="613" formatCode="0.0">
                  <c:v>83.046735751295344</c:v>
                </c:pt>
                <c:pt idx="614" formatCode="0.0">
                  <c:v>83.051813471502598</c:v>
                </c:pt>
                <c:pt idx="615" formatCode="0.0">
                  <c:v>83.056891191709852</c:v>
                </c:pt>
                <c:pt idx="616" formatCode="0.0">
                  <c:v>83.061968911917106</c:v>
                </c:pt>
                <c:pt idx="617" formatCode="0.0">
                  <c:v>83.067046632124359</c:v>
                </c:pt>
                <c:pt idx="618" formatCode="0.0">
                  <c:v>83.072124352331613</c:v>
                </c:pt>
                <c:pt idx="619" formatCode="0.0">
                  <c:v>83.077202072538867</c:v>
                </c:pt>
                <c:pt idx="620" formatCode="0.0">
                  <c:v>83.082279792746121</c:v>
                </c:pt>
                <c:pt idx="621" formatCode="0.0">
                  <c:v>83.087357512953375</c:v>
                </c:pt>
                <c:pt idx="622" formatCode="0.0">
                  <c:v>83.092435233160629</c:v>
                </c:pt>
                <c:pt idx="623" formatCode="0.0">
                  <c:v>83.097512953367882</c:v>
                </c:pt>
                <c:pt idx="624" formatCode="0.0">
                  <c:v>83.102590673575136</c:v>
                </c:pt>
                <c:pt idx="625" formatCode="0.0">
                  <c:v>83.10766839378239</c:v>
                </c:pt>
                <c:pt idx="626" formatCode="0.0">
                  <c:v>83.112746113989644</c:v>
                </c:pt>
                <c:pt idx="627" formatCode="0.0">
                  <c:v>83.117823834196898</c:v>
                </c:pt>
                <c:pt idx="628" formatCode="0.0">
                  <c:v>83.122901554404152</c:v>
                </c:pt>
                <c:pt idx="629" formatCode="0.0">
                  <c:v>83.127979274611405</c:v>
                </c:pt>
                <c:pt idx="630" formatCode="0.0">
                  <c:v>83.133056994818659</c:v>
                </c:pt>
                <c:pt idx="631" formatCode="0.0">
                  <c:v>83.138134715025913</c:v>
                </c:pt>
                <c:pt idx="632" formatCode="0.0">
                  <c:v>83.143212435233167</c:v>
                </c:pt>
                <c:pt idx="633" formatCode="0.0">
                  <c:v>83.148290155440421</c:v>
                </c:pt>
                <c:pt idx="634" formatCode="0.0">
                  <c:v>83.153367875647675</c:v>
                </c:pt>
                <c:pt idx="635" formatCode="0.0">
                  <c:v>83.158445595854928</c:v>
                </c:pt>
                <c:pt idx="636" formatCode="0.0">
                  <c:v>83.163523316062182</c:v>
                </c:pt>
                <c:pt idx="637" formatCode="0.0">
                  <c:v>83.168601036269436</c:v>
                </c:pt>
                <c:pt idx="638" formatCode="0.0">
                  <c:v>83.17367875647669</c:v>
                </c:pt>
                <c:pt idx="639" formatCode="0.0">
                  <c:v>83.178756476683944</c:v>
                </c:pt>
                <c:pt idx="640" formatCode="0.0">
                  <c:v>83.183834196891198</c:v>
                </c:pt>
                <c:pt idx="641" formatCode="0.0">
                  <c:v>83.188911917098451</c:v>
                </c:pt>
                <c:pt idx="642" formatCode="0.0">
                  <c:v>83.193989637305705</c:v>
                </c:pt>
                <c:pt idx="643" formatCode="0.0">
                  <c:v>83.199067357512959</c:v>
                </c:pt>
                <c:pt idx="644" formatCode="0.0">
                  <c:v>83.204145077720213</c:v>
                </c:pt>
                <c:pt idx="645" formatCode="0.0">
                  <c:v>83.209222797927467</c:v>
                </c:pt>
                <c:pt idx="646" formatCode="0.0">
                  <c:v>83.214300518134721</c:v>
                </c:pt>
                <c:pt idx="647" formatCode="0.0">
                  <c:v>83.219378238341974</c:v>
                </c:pt>
                <c:pt idx="648" formatCode="0.0">
                  <c:v>83.224455958549228</c:v>
                </c:pt>
                <c:pt idx="649" formatCode="0.0">
                  <c:v>83.229533678756482</c:v>
                </c:pt>
                <c:pt idx="650" formatCode="0.0">
                  <c:v>83.234611398963736</c:v>
                </c:pt>
                <c:pt idx="651" formatCode="0.0">
                  <c:v>83.23968911917099</c:v>
                </c:pt>
                <c:pt idx="652" formatCode="0.0">
                  <c:v>83.244766839378244</c:v>
                </c:pt>
                <c:pt idx="653" formatCode="0.0">
                  <c:v>83.249844559585497</c:v>
                </c:pt>
                <c:pt idx="654" formatCode="0.0">
                  <c:v>83.254922279792751</c:v>
                </c:pt>
                <c:pt idx="655" formatCode="0.0">
                  <c:v>83.26</c:v>
                </c:pt>
              </c:numCache>
            </c:numRef>
          </c:val>
          <c:smooth val="0"/>
          <c:extLst>
            <c:ext xmlns:c16="http://schemas.microsoft.com/office/drawing/2014/chart" uri="{C3380CC4-5D6E-409C-BE32-E72D297353CC}">
              <c16:uniqueId val="{00000009-4074-462C-9F4B-5F51DE4EC678}"/>
            </c:ext>
          </c:extLst>
        </c:ser>
        <c:dLbls>
          <c:showLegendKey val="0"/>
          <c:showVal val="0"/>
          <c:showCatName val="0"/>
          <c:showSerName val="0"/>
          <c:showPercent val="0"/>
          <c:showBubbleSize val="0"/>
        </c:dLbls>
        <c:smooth val="0"/>
        <c:axId val="1762066191"/>
        <c:axId val="1762066607"/>
      </c:lineChart>
      <c:dateAx>
        <c:axId val="1762066191"/>
        <c:scaling>
          <c:orientation val="minMax"/>
          <c:max val="45323"/>
        </c:scaling>
        <c:delete val="0"/>
        <c:axPos val="b"/>
        <c:numFmt formatCode="mmm\-yy"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762066607"/>
        <c:crosses val="autoZero"/>
        <c:auto val="1"/>
        <c:lblOffset val="100"/>
        <c:baseTimeUnit val="days"/>
      </c:dateAx>
      <c:valAx>
        <c:axId val="1762066607"/>
        <c:scaling>
          <c:orientation val="minMax"/>
        </c:scaling>
        <c:delete val="1"/>
        <c:axPos val="l"/>
        <c:numFmt formatCode="0.0" sourceLinked="1"/>
        <c:majorTickMark val="none"/>
        <c:minorTickMark val="none"/>
        <c:tickLblPos val="nextTo"/>
        <c:crossAx val="1762066191"/>
        <c:crosses val="autoZero"/>
        <c:crossBetween val="between"/>
        <c:majorUnit val="2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
          <c:y val="1.3089995106543896E-3"/>
          <c:w val="0.97794928335170894"/>
          <c:h val="0.79122847991458678"/>
        </c:manualLayout>
      </c:layout>
      <c:barChart>
        <c:barDir val="col"/>
        <c:grouping val="clustered"/>
        <c:varyColors val="0"/>
        <c:ser>
          <c:idx val="0"/>
          <c:order val="0"/>
          <c:tx>
            <c:strRef>
              <c:f>Hoja1!$O$6</c:f>
              <c:strCache>
                <c:ptCount val="1"/>
                <c:pt idx="0">
                  <c:v>2023f</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5">
                        <a:lumMod val="60000"/>
                        <a:lumOff val="4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Hoja1!$M$7:$M$10</c:f>
              <c:strCache>
                <c:ptCount val="4"/>
                <c:pt idx="0">
                  <c:v>Energia</c:v>
                </c:pt>
                <c:pt idx="1">
                  <c:v>Agricultura</c:v>
                </c:pt>
                <c:pt idx="2">
                  <c:v>Metales y minerales</c:v>
                </c:pt>
                <c:pt idx="3">
                  <c:v>Metales preciosos</c:v>
                </c:pt>
              </c:strCache>
            </c:strRef>
          </c:cat>
          <c:val>
            <c:numRef>
              <c:f>Hoja1!$O$7:$O$10</c:f>
              <c:numCache>
                <c:formatCode>General</c:formatCode>
                <c:ptCount val="4"/>
                <c:pt idx="0">
                  <c:v>-25.8</c:v>
                </c:pt>
                <c:pt idx="1">
                  <c:v>-7.2</c:v>
                </c:pt>
                <c:pt idx="2">
                  <c:v>-8.4</c:v>
                </c:pt>
                <c:pt idx="3">
                  <c:v>5.5</c:v>
                </c:pt>
              </c:numCache>
            </c:numRef>
          </c:val>
          <c:extLst>
            <c:ext xmlns:c16="http://schemas.microsoft.com/office/drawing/2014/chart" uri="{C3380CC4-5D6E-409C-BE32-E72D297353CC}">
              <c16:uniqueId val="{00000000-E249-4816-9408-52879ED05C6D}"/>
            </c:ext>
          </c:extLst>
        </c:ser>
        <c:ser>
          <c:idx val="1"/>
          <c:order val="1"/>
          <c:tx>
            <c:strRef>
              <c:f>Hoja1!$P$6</c:f>
              <c:strCache>
                <c:ptCount val="1"/>
                <c:pt idx="0">
                  <c:v>2024f</c:v>
                </c:pt>
              </c:strCache>
            </c:strRef>
          </c:tx>
          <c:spPr>
            <a:solidFill>
              <a:schemeClr val="accent1">
                <a:lumMod val="75000"/>
              </a:schemeClr>
            </a:solidFill>
            <a:ln>
              <a:solidFill>
                <a:schemeClr val="accent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Hoja1!$M$7:$M$10</c:f>
              <c:strCache>
                <c:ptCount val="4"/>
                <c:pt idx="0">
                  <c:v>Energia</c:v>
                </c:pt>
                <c:pt idx="1">
                  <c:v>Agricultura</c:v>
                </c:pt>
                <c:pt idx="2">
                  <c:v>Metales y minerales</c:v>
                </c:pt>
                <c:pt idx="3">
                  <c:v>Metales preciosos</c:v>
                </c:pt>
              </c:strCache>
            </c:strRef>
          </c:cat>
          <c:val>
            <c:numRef>
              <c:f>Hoja1!$P$7:$P$10</c:f>
              <c:numCache>
                <c:formatCode>General</c:formatCode>
                <c:ptCount val="4"/>
                <c:pt idx="0">
                  <c:v>0.1</c:v>
                </c:pt>
                <c:pt idx="1">
                  <c:v>-2</c:v>
                </c:pt>
                <c:pt idx="2">
                  <c:v>-3.4</c:v>
                </c:pt>
                <c:pt idx="3">
                  <c:v>-7.2</c:v>
                </c:pt>
              </c:numCache>
            </c:numRef>
          </c:val>
          <c:extLst>
            <c:ext xmlns:c16="http://schemas.microsoft.com/office/drawing/2014/chart" uri="{C3380CC4-5D6E-409C-BE32-E72D297353CC}">
              <c16:uniqueId val="{00000001-E249-4816-9408-52879ED05C6D}"/>
            </c:ext>
          </c:extLst>
        </c:ser>
        <c:dLbls>
          <c:showLegendKey val="0"/>
          <c:showVal val="0"/>
          <c:showCatName val="0"/>
          <c:showSerName val="0"/>
          <c:showPercent val="0"/>
          <c:showBubbleSize val="0"/>
        </c:dLbls>
        <c:gapWidth val="219"/>
        <c:overlap val="-27"/>
        <c:axId val="1611055280"/>
        <c:axId val="1611055696"/>
      </c:barChart>
      <c:catAx>
        <c:axId val="161105528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11055696"/>
        <c:crosses val="autoZero"/>
        <c:auto val="1"/>
        <c:lblAlgn val="ctr"/>
        <c:lblOffset val="100"/>
        <c:noMultiLvlLbl val="0"/>
      </c:catAx>
      <c:valAx>
        <c:axId val="1611055696"/>
        <c:scaling>
          <c:orientation val="minMax"/>
        </c:scaling>
        <c:delete val="1"/>
        <c:axPos val="l"/>
        <c:numFmt formatCode="General" sourceLinked="1"/>
        <c:majorTickMark val="none"/>
        <c:minorTickMark val="none"/>
        <c:tickLblPos val="nextTo"/>
        <c:crossAx val="16110552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userShapes r:id="rId5"/>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822970085470086E-2"/>
          <c:y val="0.15454768518518519"/>
          <c:w val="0.88121474358974361"/>
          <c:h val="0.73804377287666922"/>
        </c:manualLayout>
      </c:layout>
      <c:barChart>
        <c:barDir val="col"/>
        <c:grouping val="stacked"/>
        <c:varyColors val="0"/>
        <c:ser>
          <c:idx val="0"/>
          <c:order val="0"/>
          <c:tx>
            <c:strRef>
              <c:f>'G-SR'!$BC$11</c:f>
              <c:strCache>
                <c:ptCount val="1"/>
                <c:pt idx="0">
                  <c:v>Consumo privado</c:v>
                </c:pt>
              </c:strCache>
            </c:strRef>
          </c:tx>
          <c:spPr>
            <a:solidFill>
              <a:schemeClr val="bg1">
                <a:lumMod val="65000"/>
              </a:schemeClr>
            </a:solidFill>
            <a:ln>
              <a:solidFill>
                <a:srgbClr val="011A27"/>
              </a:solidFill>
            </a:ln>
            <a:effectLst/>
          </c:spPr>
          <c:invertIfNegative val="0"/>
          <c:cat>
            <c:numRef>
              <c:f>'G-SR'!$BD$10:$BG$10</c:f>
              <c:numCache>
                <c:formatCode>General</c:formatCode>
                <c:ptCount val="4"/>
                <c:pt idx="0">
                  <c:v>2019</c:v>
                </c:pt>
                <c:pt idx="1">
                  <c:v>2020</c:v>
                </c:pt>
                <c:pt idx="2">
                  <c:v>2021</c:v>
                </c:pt>
                <c:pt idx="3">
                  <c:v>2022</c:v>
                </c:pt>
              </c:numCache>
            </c:numRef>
          </c:cat>
          <c:val>
            <c:numRef>
              <c:f>'G-SR'!$BD$11:$BG$11</c:f>
              <c:numCache>
                <c:formatCode>_ * #,##0.0_ ;_ * \-#,##0.0_ ;_ * "-"??_ ;_ @_ </c:formatCode>
                <c:ptCount val="4"/>
                <c:pt idx="0">
                  <c:v>4.1510337633183108</c:v>
                </c:pt>
                <c:pt idx="1">
                  <c:v>-1.4481715166411435</c:v>
                </c:pt>
                <c:pt idx="2">
                  <c:v>7.5146151215022012</c:v>
                </c:pt>
                <c:pt idx="3">
                  <c:v>3.7794613091273335</c:v>
                </c:pt>
              </c:numCache>
            </c:numRef>
          </c:val>
          <c:extLst>
            <c:ext xmlns:c16="http://schemas.microsoft.com/office/drawing/2014/chart" uri="{C3380CC4-5D6E-409C-BE32-E72D297353CC}">
              <c16:uniqueId val="{00000000-1590-4D73-B0B3-150A23543644}"/>
            </c:ext>
          </c:extLst>
        </c:ser>
        <c:ser>
          <c:idx val="5"/>
          <c:order val="1"/>
          <c:tx>
            <c:strRef>
              <c:f>'G-SR'!$BC$12</c:f>
              <c:strCache>
                <c:ptCount val="1"/>
                <c:pt idx="0">
                  <c:v>Consumo público</c:v>
                </c:pt>
              </c:strCache>
            </c:strRef>
          </c:tx>
          <c:spPr>
            <a:solidFill>
              <a:srgbClr val="FF0000"/>
            </a:solidFill>
            <a:ln>
              <a:solidFill>
                <a:srgbClr val="011A27"/>
              </a:solidFill>
            </a:ln>
            <a:effectLst/>
          </c:spPr>
          <c:invertIfNegative val="0"/>
          <c:cat>
            <c:numRef>
              <c:f>'G-SR'!$BD$10:$BG$10</c:f>
              <c:numCache>
                <c:formatCode>General</c:formatCode>
                <c:ptCount val="4"/>
                <c:pt idx="0">
                  <c:v>2019</c:v>
                </c:pt>
                <c:pt idx="1">
                  <c:v>2020</c:v>
                </c:pt>
                <c:pt idx="2">
                  <c:v>2021</c:v>
                </c:pt>
                <c:pt idx="3">
                  <c:v>2022</c:v>
                </c:pt>
              </c:numCache>
            </c:numRef>
          </c:cat>
          <c:val>
            <c:numRef>
              <c:f>'G-SR'!$BD$12:$BG$12</c:f>
              <c:numCache>
                <c:formatCode>_ * #,##0.0_ ;_ * \-#,##0.0_ ;_ * "-"??_ ;_ @_ </c:formatCode>
                <c:ptCount val="4"/>
                <c:pt idx="0">
                  <c:v>0.238573369657123</c:v>
                </c:pt>
                <c:pt idx="1">
                  <c:v>0.10629390775345933</c:v>
                </c:pt>
                <c:pt idx="2">
                  <c:v>0.52228049286454792</c:v>
                </c:pt>
                <c:pt idx="3">
                  <c:v>0.74741712771636415</c:v>
                </c:pt>
              </c:numCache>
            </c:numRef>
          </c:val>
          <c:extLst>
            <c:ext xmlns:c16="http://schemas.microsoft.com/office/drawing/2014/chart" uri="{C3380CC4-5D6E-409C-BE32-E72D297353CC}">
              <c16:uniqueId val="{00000001-1590-4D73-B0B3-150A23543644}"/>
            </c:ext>
          </c:extLst>
        </c:ser>
        <c:ser>
          <c:idx val="1"/>
          <c:order val="2"/>
          <c:tx>
            <c:strRef>
              <c:f>'G-SR'!$BC$13</c:f>
              <c:strCache>
                <c:ptCount val="1"/>
                <c:pt idx="0">
                  <c:v>Formación bruta de capital fijo</c:v>
                </c:pt>
              </c:strCache>
            </c:strRef>
          </c:tx>
          <c:spPr>
            <a:solidFill>
              <a:schemeClr val="accent1"/>
            </a:solidFill>
            <a:ln>
              <a:solidFill>
                <a:srgbClr val="011A27"/>
              </a:solidFill>
            </a:ln>
            <a:effectLst/>
          </c:spPr>
          <c:invertIfNegative val="0"/>
          <c:cat>
            <c:numRef>
              <c:f>'G-SR'!$BD$10:$BG$10</c:f>
              <c:numCache>
                <c:formatCode>General</c:formatCode>
                <c:ptCount val="4"/>
                <c:pt idx="0">
                  <c:v>2019</c:v>
                </c:pt>
                <c:pt idx="1">
                  <c:v>2020</c:v>
                </c:pt>
                <c:pt idx="2">
                  <c:v>2021</c:v>
                </c:pt>
                <c:pt idx="3">
                  <c:v>2022</c:v>
                </c:pt>
              </c:numCache>
            </c:numRef>
          </c:cat>
          <c:val>
            <c:numRef>
              <c:f>'G-SR'!$BD$13:$BG$13</c:f>
              <c:numCache>
                <c:formatCode>_ * #,##0.0_ ;_ * \-#,##0.0_ ;_ * "-"??_ ;_ @_ </c:formatCode>
                <c:ptCount val="4"/>
                <c:pt idx="0">
                  <c:v>1.2226206995732398</c:v>
                </c:pt>
                <c:pt idx="1">
                  <c:v>-0.65465115153672671</c:v>
                </c:pt>
                <c:pt idx="2">
                  <c:v>2.804353594312269</c:v>
                </c:pt>
                <c:pt idx="3">
                  <c:v>0.54507649729676644</c:v>
                </c:pt>
              </c:numCache>
            </c:numRef>
          </c:val>
          <c:extLst>
            <c:ext xmlns:c16="http://schemas.microsoft.com/office/drawing/2014/chart" uri="{C3380CC4-5D6E-409C-BE32-E72D297353CC}">
              <c16:uniqueId val="{00000002-1590-4D73-B0B3-150A23543644}"/>
            </c:ext>
          </c:extLst>
        </c:ser>
        <c:ser>
          <c:idx val="2"/>
          <c:order val="3"/>
          <c:tx>
            <c:strRef>
              <c:f>'G-SR'!$BC$14</c:f>
              <c:strCache>
                <c:ptCount val="1"/>
                <c:pt idx="0">
                  <c:v>Exportaciones netas</c:v>
                </c:pt>
              </c:strCache>
            </c:strRef>
          </c:tx>
          <c:spPr>
            <a:solidFill>
              <a:schemeClr val="accent6">
                <a:lumMod val="60000"/>
                <a:lumOff val="40000"/>
              </a:schemeClr>
            </a:solidFill>
            <a:ln>
              <a:solidFill>
                <a:srgbClr val="011A27"/>
              </a:solidFill>
            </a:ln>
            <a:effectLst/>
          </c:spPr>
          <c:invertIfNegative val="0"/>
          <c:cat>
            <c:numRef>
              <c:f>'G-SR'!$BD$10:$BG$10</c:f>
              <c:numCache>
                <c:formatCode>General</c:formatCode>
                <c:ptCount val="4"/>
                <c:pt idx="0">
                  <c:v>2019</c:v>
                </c:pt>
                <c:pt idx="1">
                  <c:v>2020</c:v>
                </c:pt>
                <c:pt idx="2">
                  <c:v>2021</c:v>
                </c:pt>
                <c:pt idx="3">
                  <c:v>2022</c:v>
                </c:pt>
              </c:numCache>
            </c:numRef>
          </c:cat>
          <c:val>
            <c:numRef>
              <c:f>'G-SR'!$BD$14:$BG$14</c:f>
              <c:numCache>
                <c:formatCode>_ * #,##0.0_ ;_ * \-#,##0.0_ ;_ * "-"??_ ;_ @_ </c:formatCode>
                <c:ptCount val="4"/>
                <c:pt idx="0">
                  <c:v>-1.5876691039272166</c:v>
                </c:pt>
                <c:pt idx="1">
                  <c:v>0.42927546874203149</c:v>
                </c:pt>
                <c:pt idx="2">
                  <c:v>-4.392553057338608</c:v>
                </c:pt>
                <c:pt idx="3">
                  <c:v>-0.21442720186445197</c:v>
                </c:pt>
              </c:numCache>
            </c:numRef>
          </c:val>
          <c:extLst>
            <c:ext xmlns:c16="http://schemas.microsoft.com/office/drawing/2014/chart" uri="{C3380CC4-5D6E-409C-BE32-E72D297353CC}">
              <c16:uniqueId val="{00000003-1590-4D73-B0B3-150A23543644}"/>
            </c:ext>
          </c:extLst>
        </c:ser>
        <c:dLbls>
          <c:showLegendKey val="0"/>
          <c:showVal val="0"/>
          <c:showCatName val="0"/>
          <c:showSerName val="0"/>
          <c:showPercent val="0"/>
          <c:showBubbleSize val="0"/>
        </c:dLbls>
        <c:gapWidth val="150"/>
        <c:overlap val="100"/>
        <c:axId val="1971699584"/>
        <c:axId val="1971708736"/>
      </c:barChart>
      <c:lineChart>
        <c:grouping val="standard"/>
        <c:varyColors val="0"/>
        <c:ser>
          <c:idx val="4"/>
          <c:order val="4"/>
          <c:tx>
            <c:strRef>
              <c:f>'G-SR'!$BC$15</c:f>
              <c:strCache>
                <c:ptCount val="1"/>
                <c:pt idx="0">
                  <c:v>Producto Interno Bruto</c:v>
                </c:pt>
              </c:strCache>
            </c:strRef>
          </c:tx>
          <c:spPr>
            <a:ln w="28575" cap="rnd">
              <a:solidFill>
                <a:srgbClr val="011A27"/>
              </a:solidFill>
              <a:round/>
            </a:ln>
            <a:effectLst/>
          </c:spPr>
          <c:marker>
            <c:symbol val="none"/>
          </c:marker>
          <c:dLbls>
            <c:dLbl>
              <c:idx val="4"/>
              <c:layout>
                <c:manualLayout>
                  <c:x val="-3.8355123617593544E-2"/>
                  <c:y val="-0.1065718366905482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590-4D73-B0B3-150A23543644}"/>
                </c:ext>
              </c:extLst>
            </c:dLbl>
            <c:spPr>
              <a:solidFill>
                <a:schemeClr val="bg1">
                  <a:alpha val="98000"/>
                </a:schemeClr>
              </a:solidFill>
              <a:ln>
                <a:solidFill>
                  <a:srgbClr val="011A27"/>
                </a:solid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'G-SR'!$BD$10:$BG$10</c:f>
              <c:numCache>
                <c:formatCode>General</c:formatCode>
                <c:ptCount val="4"/>
                <c:pt idx="0">
                  <c:v>2019</c:v>
                </c:pt>
                <c:pt idx="1">
                  <c:v>2020</c:v>
                </c:pt>
                <c:pt idx="2">
                  <c:v>2021</c:v>
                </c:pt>
                <c:pt idx="3">
                  <c:v>2022</c:v>
                </c:pt>
              </c:numCache>
            </c:numRef>
          </c:cat>
          <c:val>
            <c:numRef>
              <c:f>'G-SR'!$BD$15:$BG$15</c:f>
              <c:numCache>
                <c:formatCode>_ * #,##0.0_ ;_ * \-#,##0.0_ ;_ * "-"??_ ;_ @_ </c:formatCode>
                <c:ptCount val="4"/>
                <c:pt idx="0">
                  <c:v>4.0178979271631166</c:v>
                </c:pt>
                <c:pt idx="1">
                  <c:v>-1.791857686209164</c:v>
                </c:pt>
                <c:pt idx="2">
                  <c:v>8.002408017800299</c:v>
                </c:pt>
                <c:pt idx="3">
                  <c:v>4.1180041818460245</c:v>
                </c:pt>
              </c:numCache>
            </c:numRef>
          </c:val>
          <c:smooth val="0"/>
          <c:extLst>
            <c:ext xmlns:c16="http://schemas.microsoft.com/office/drawing/2014/chart" uri="{C3380CC4-5D6E-409C-BE32-E72D297353CC}">
              <c16:uniqueId val="{00000005-1590-4D73-B0B3-150A23543644}"/>
            </c:ext>
          </c:extLst>
        </c:ser>
        <c:dLbls>
          <c:showLegendKey val="0"/>
          <c:showVal val="0"/>
          <c:showCatName val="0"/>
          <c:showSerName val="0"/>
          <c:showPercent val="0"/>
          <c:showBubbleSize val="0"/>
        </c:dLbls>
        <c:marker val="1"/>
        <c:smooth val="0"/>
        <c:axId val="1971699584"/>
        <c:axId val="1971708736"/>
      </c:lineChart>
      <c:catAx>
        <c:axId val="197169958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971708736"/>
        <c:crosses val="autoZero"/>
        <c:auto val="1"/>
        <c:lblAlgn val="ctr"/>
        <c:lblOffset val="100"/>
        <c:noMultiLvlLbl val="0"/>
      </c:catAx>
      <c:valAx>
        <c:axId val="197170873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a:t>En porcentaje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_ * #,##0.0_ ;_ * \-#,##0.0_ ;_ * &quot;-&quot;??_ ;_ @_ "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971699584"/>
        <c:crosses val="autoZero"/>
        <c:crossBetween val="between"/>
        <c:majorUnit val="4"/>
      </c:valAx>
      <c:spPr>
        <a:noFill/>
        <a:ln>
          <a:noFill/>
        </a:ln>
        <a:effectLst/>
      </c:spPr>
    </c:plotArea>
    <c:legend>
      <c:legendPos val="b"/>
      <c:layout>
        <c:manualLayout>
          <c:xMode val="edge"/>
          <c:yMode val="edge"/>
          <c:x val="7.6666148220272956E-2"/>
          <c:y val="2.9887523137808507E-2"/>
          <c:w val="0.92333385177972704"/>
          <c:h val="0.1213767616442686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748031496063002E-2"/>
          <c:y val="6.2510179717885334E-2"/>
          <c:w val="0.92537369897728305"/>
          <c:h val="0.72862775422698745"/>
        </c:manualLayout>
      </c:layout>
      <c:lineChart>
        <c:grouping val="standard"/>
        <c:varyColors val="0"/>
        <c:ser>
          <c:idx val="0"/>
          <c:order val="0"/>
          <c:tx>
            <c:strRef>
              <c:f>data!$C$2</c:f>
              <c:strCache>
                <c:ptCount val="1"/>
                <c:pt idx="0">
                  <c:v>Tiendas y ocio</c:v>
                </c:pt>
              </c:strCache>
            </c:strRef>
          </c:tx>
          <c:spPr>
            <a:ln w="19050" cap="rnd">
              <a:solidFill>
                <a:schemeClr val="accent1"/>
              </a:solidFill>
              <a:prstDash val="dashDot"/>
              <a:round/>
            </a:ln>
            <a:effectLst/>
          </c:spPr>
          <c:marker>
            <c:symbol val="none"/>
          </c:marker>
          <c:cat>
            <c:numRef>
              <c:f>data!$B$3:$B$37</c:f>
              <c:numCache>
                <c:formatCode>mmm\-yy</c:formatCode>
                <c:ptCount val="35"/>
                <c:pt idx="0">
                  <c:v>43862</c:v>
                </c:pt>
                <c:pt idx="1">
                  <c:v>43891</c:v>
                </c:pt>
                <c:pt idx="2">
                  <c:v>43922</c:v>
                </c:pt>
                <c:pt idx="3">
                  <c:v>43952</c:v>
                </c:pt>
                <c:pt idx="4">
                  <c:v>43983</c:v>
                </c:pt>
                <c:pt idx="5">
                  <c:v>44013</c:v>
                </c:pt>
                <c:pt idx="6">
                  <c:v>44044</c:v>
                </c:pt>
                <c:pt idx="7">
                  <c:v>44075</c:v>
                </c:pt>
                <c:pt idx="8">
                  <c:v>44105</c:v>
                </c:pt>
                <c:pt idx="9">
                  <c:v>44136</c:v>
                </c:pt>
                <c:pt idx="10">
                  <c:v>44166</c:v>
                </c:pt>
                <c:pt idx="11">
                  <c:v>44197</c:v>
                </c:pt>
                <c:pt idx="12">
                  <c:v>44228</c:v>
                </c:pt>
                <c:pt idx="13">
                  <c:v>44256</c:v>
                </c:pt>
                <c:pt idx="14">
                  <c:v>44287</c:v>
                </c:pt>
                <c:pt idx="15">
                  <c:v>44317</c:v>
                </c:pt>
                <c:pt idx="16">
                  <c:v>44348</c:v>
                </c:pt>
                <c:pt idx="17">
                  <c:v>44378</c:v>
                </c:pt>
                <c:pt idx="18">
                  <c:v>44409</c:v>
                </c:pt>
                <c:pt idx="19">
                  <c:v>44440</c:v>
                </c:pt>
                <c:pt idx="20">
                  <c:v>44470</c:v>
                </c:pt>
                <c:pt idx="21">
                  <c:v>44501</c:v>
                </c:pt>
                <c:pt idx="22">
                  <c:v>44531</c:v>
                </c:pt>
                <c:pt idx="23">
                  <c:v>44562</c:v>
                </c:pt>
                <c:pt idx="24">
                  <c:v>44593</c:v>
                </c:pt>
                <c:pt idx="25">
                  <c:v>44621</c:v>
                </c:pt>
                <c:pt idx="26">
                  <c:v>44652</c:v>
                </c:pt>
                <c:pt idx="27">
                  <c:v>44682</c:v>
                </c:pt>
                <c:pt idx="28">
                  <c:v>44713</c:v>
                </c:pt>
                <c:pt idx="29">
                  <c:v>44743</c:v>
                </c:pt>
                <c:pt idx="30">
                  <c:v>44774</c:v>
                </c:pt>
                <c:pt idx="31">
                  <c:v>44805</c:v>
                </c:pt>
                <c:pt idx="32">
                  <c:v>44835</c:v>
                </c:pt>
                <c:pt idx="33">
                  <c:v>44866</c:v>
                </c:pt>
                <c:pt idx="34">
                  <c:v>44896</c:v>
                </c:pt>
              </c:numCache>
            </c:numRef>
          </c:cat>
          <c:val>
            <c:numRef>
              <c:f>data!$C$3:$C$37</c:f>
              <c:numCache>
                <c:formatCode>_-* #,##0.0_-;\-* #,##0.0_-;_-* "-"??_-;_-@_-</c:formatCode>
                <c:ptCount val="35"/>
                <c:pt idx="0">
                  <c:v>0.33333333333333331</c:v>
                </c:pt>
                <c:pt idx="1">
                  <c:v>-30.741935483870968</c:v>
                </c:pt>
                <c:pt idx="2">
                  <c:v>-59.56666666666667</c:v>
                </c:pt>
                <c:pt idx="3">
                  <c:v>-58.387096774193552</c:v>
                </c:pt>
                <c:pt idx="4">
                  <c:v>-51.8</c:v>
                </c:pt>
                <c:pt idx="5">
                  <c:v>-50.774193548387096</c:v>
                </c:pt>
                <c:pt idx="6">
                  <c:v>-39.193548387096776</c:v>
                </c:pt>
                <c:pt idx="7">
                  <c:v>-36</c:v>
                </c:pt>
                <c:pt idx="8">
                  <c:v>-32.354838709677416</c:v>
                </c:pt>
                <c:pt idx="9">
                  <c:v>-26.166666666666668</c:v>
                </c:pt>
                <c:pt idx="10">
                  <c:v>-14.35483870967742</c:v>
                </c:pt>
                <c:pt idx="11">
                  <c:v>-24.93548387096774</c:v>
                </c:pt>
                <c:pt idx="12">
                  <c:v>-21.821428571428573</c:v>
                </c:pt>
                <c:pt idx="13">
                  <c:v>-17</c:v>
                </c:pt>
                <c:pt idx="14">
                  <c:v>-20.033333333333335</c:v>
                </c:pt>
                <c:pt idx="15">
                  <c:v>-10.096774193548388</c:v>
                </c:pt>
                <c:pt idx="16">
                  <c:v>-7.2</c:v>
                </c:pt>
                <c:pt idx="17">
                  <c:v>-4.5483870967741939</c:v>
                </c:pt>
                <c:pt idx="18">
                  <c:v>-6.387096774193548</c:v>
                </c:pt>
                <c:pt idx="19">
                  <c:v>-3.9333333333333331</c:v>
                </c:pt>
                <c:pt idx="20">
                  <c:v>4.5161290322580649</c:v>
                </c:pt>
                <c:pt idx="21">
                  <c:v>10.9</c:v>
                </c:pt>
                <c:pt idx="22">
                  <c:v>23.451612903225808</c:v>
                </c:pt>
                <c:pt idx="23">
                  <c:v>7.5483870967741939</c:v>
                </c:pt>
                <c:pt idx="24">
                  <c:v>11.75</c:v>
                </c:pt>
                <c:pt idx="25">
                  <c:v>11.161290322580646</c:v>
                </c:pt>
                <c:pt idx="26">
                  <c:v>13.266666666666667</c:v>
                </c:pt>
                <c:pt idx="27">
                  <c:v>15.64516129032258</c:v>
                </c:pt>
                <c:pt idx="28">
                  <c:v>15.766666666666667</c:v>
                </c:pt>
                <c:pt idx="29">
                  <c:v>20.870967741935484</c:v>
                </c:pt>
                <c:pt idx="30">
                  <c:v>23.29032258064516</c:v>
                </c:pt>
                <c:pt idx="31">
                  <c:v>24</c:v>
                </c:pt>
                <c:pt idx="32">
                  <c:v>24.466666666666665</c:v>
                </c:pt>
              </c:numCache>
            </c:numRef>
          </c:val>
          <c:smooth val="0"/>
          <c:extLst>
            <c:ext xmlns:c16="http://schemas.microsoft.com/office/drawing/2014/chart" uri="{C3380CC4-5D6E-409C-BE32-E72D297353CC}">
              <c16:uniqueId val="{00000000-4C59-490A-9285-AF5931FCAE9E}"/>
            </c:ext>
          </c:extLst>
        </c:ser>
        <c:ser>
          <c:idx val="1"/>
          <c:order val="1"/>
          <c:tx>
            <c:strRef>
              <c:f>data!$D$2</c:f>
              <c:strCache>
                <c:ptCount val="1"/>
                <c:pt idx="0">
                  <c:v>Supermercados y farmacias</c:v>
                </c:pt>
              </c:strCache>
            </c:strRef>
          </c:tx>
          <c:spPr>
            <a:ln w="15875" cap="rnd">
              <a:solidFill>
                <a:schemeClr val="bg1">
                  <a:lumMod val="50000"/>
                </a:schemeClr>
              </a:solidFill>
              <a:round/>
            </a:ln>
            <a:effectLst/>
          </c:spPr>
          <c:marker>
            <c:symbol val="x"/>
            <c:size val="4"/>
            <c:spPr>
              <a:noFill/>
              <a:ln w="9525">
                <a:solidFill>
                  <a:schemeClr val="bg1">
                    <a:lumMod val="50000"/>
                  </a:schemeClr>
                </a:solidFill>
              </a:ln>
              <a:effectLst/>
            </c:spPr>
          </c:marker>
          <c:cat>
            <c:numRef>
              <c:f>data!$B$3:$B$37</c:f>
              <c:numCache>
                <c:formatCode>mmm\-yy</c:formatCode>
                <c:ptCount val="35"/>
                <c:pt idx="0">
                  <c:v>43862</c:v>
                </c:pt>
                <c:pt idx="1">
                  <c:v>43891</c:v>
                </c:pt>
                <c:pt idx="2">
                  <c:v>43922</c:v>
                </c:pt>
                <c:pt idx="3">
                  <c:v>43952</c:v>
                </c:pt>
                <c:pt idx="4">
                  <c:v>43983</c:v>
                </c:pt>
                <c:pt idx="5">
                  <c:v>44013</c:v>
                </c:pt>
                <c:pt idx="6">
                  <c:v>44044</c:v>
                </c:pt>
                <c:pt idx="7">
                  <c:v>44075</c:v>
                </c:pt>
                <c:pt idx="8">
                  <c:v>44105</c:v>
                </c:pt>
                <c:pt idx="9">
                  <c:v>44136</c:v>
                </c:pt>
                <c:pt idx="10">
                  <c:v>44166</c:v>
                </c:pt>
                <c:pt idx="11">
                  <c:v>44197</c:v>
                </c:pt>
                <c:pt idx="12">
                  <c:v>44228</c:v>
                </c:pt>
                <c:pt idx="13">
                  <c:v>44256</c:v>
                </c:pt>
                <c:pt idx="14">
                  <c:v>44287</c:v>
                </c:pt>
                <c:pt idx="15">
                  <c:v>44317</c:v>
                </c:pt>
                <c:pt idx="16">
                  <c:v>44348</c:v>
                </c:pt>
                <c:pt idx="17">
                  <c:v>44378</c:v>
                </c:pt>
                <c:pt idx="18">
                  <c:v>44409</c:v>
                </c:pt>
                <c:pt idx="19">
                  <c:v>44440</c:v>
                </c:pt>
                <c:pt idx="20">
                  <c:v>44470</c:v>
                </c:pt>
                <c:pt idx="21">
                  <c:v>44501</c:v>
                </c:pt>
                <c:pt idx="22">
                  <c:v>44531</c:v>
                </c:pt>
                <c:pt idx="23">
                  <c:v>44562</c:v>
                </c:pt>
                <c:pt idx="24">
                  <c:v>44593</c:v>
                </c:pt>
                <c:pt idx="25">
                  <c:v>44621</c:v>
                </c:pt>
                <c:pt idx="26">
                  <c:v>44652</c:v>
                </c:pt>
                <c:pt idx="27">
                  <c:v>44682</c:v>
                </c:pt>
                <c:pt idx="28">
                  <c:v>44713</c:v>
                </c:pt>
                <c:pt idx="29">
                  <c:v>44743</c:v>
                </c:pt>
                <c:pt idx="30">
                  <c:v>44774</c:v>
                </c:pt>
                <c:pt idx="31">
                  <c:v>44805</c:v>
                </c:pt>
                <c:pt idx="32">
                  <c:v>44835</c:v>
                </c:pt>
                <c:pt idx="33">
                  <c:v>44866</c:v>
                </c:pt>
                <c:pt idx="34">
                  <c:v>44896</c:v>
                </c:pt>
              </c:numCache>
            </c:numRef>
          </c:cat>
          <c:val>
            <c:numRef>
              <c:f>data!$D$3:$D$37</c:f>
              <c:numCache>
                <c:formatCode>_-* #,##0.0_-;\-* #,##0.0_-;_-* "-"??_-;_-@_-</c:formatCode>
                <c:ptCount val="35"/>
                <c:pt idx="0">
                  <c:v>-0.73333333333333328</c:v>
                </c:pt>
                <c:pt idx="1">
                  <c:v>-15.548387096774194</c:v>
                </c:pt>
                <c:pt idx="2">
                  <c:v>-39.700000000000003</c:v>
                </c:pt>
                <c:pt idx="3">
                  <c:v>-43.29032258064516</c:v>
                </c:pt>
                <c:pt idx="4">
                  <c:v>-35.833333333333336</c:v>
                </c:pt>
                <c:pt idx="5">
                  <c:v>-35.903225806451616</c:v>
                </c:pt>
                <c:pt idx="6">
                  <c:v>-26.838709677419356</c:v>
                </c:pt>
                <c:pt idx="7">
                  <c:v>-22.7</c:v>
                </c:pt>
                <c:pt idx="8">
                  <c:v>-16.032258064516128</c:v>
                </c:pt>
                <c:pt idx="9">
                  <c:v>-11.733333333333333</c:v>
                </c:pt>
                <c:pt idx="10">
                  <c:v>6</c:v>
                </c:pt>
                <c:pt idx="11">
                  <c:v>-11.774193548387096</c:v>
                </c:pt>
                <c:pt idx="12">
                  <c:v>-5.7142857142857144</c:v>
                </c:pt>
                <c:pt idx="13">
                  <c:v>1.6129032258064515</c:v>
                </c:pt>
                <c:pt idx="14">
                  <c:v>-0.4</c:v>
                </c:pt>
                <c:pt idx="15">
                  <c:v>10.096774193548388</c:v>
                </c:pt>
                <c:pt idx="16">
                  <c:v>11.7</c:v>
                </c:pt>
                <c:pt idx="17">
                  <c:v>16.258064516129032</c:v>
                </c:pt>
                <c:pt idx="18">
                  <c:v>14.838709677419354</c:v>
                </c:pt>
                <c:pt idx="19">
                  <c:v>17.566666666666666</c:v>
                </c:pt>
                <c:pt idx="20">
                  <c:v>24.35483870967742</c:v>
                </c:pt>
                <c:pt idx="21">
                  <c:v>29.333333333333332</c:v>
                </c:pt>
                <c:pt idx="22">
                  <c:v>47.064516129032256</c:v>
                </c:pt>
                <c:pt idx="23">
                  <c:v>26.967741935483872</c:v>
                </c:pt>
                <c:pt idx="24">
                  <c:v>31</c:v>
                </c:pt>
                <c:pt idx="25">
                  <c:v>27.161290322580644</c:v>
                </c:pt>
                <c:pt idx="26">
                  <c:v>29.466666666666665</c:v>
                </c:pt>
                <c:pt idx="27">
                  <c:v>30.06451612903226</c:v>
                </c:pt>
                <c:pt idx="28">
                  <c:v>31.266666666666666</c:v>
                </c:pt>
                <c:pt idx="29">
                  <c:v>36.516129032258064</c:v>
                </c:pt>
                <c:pt idx="30">
                  <c:v>37.483870967741936</c:v>
                </c:pt>
                <c:pt idx="31">
                  <c:v>38.166666666666664</c:v>
                </c:pt>
                <c:pt idx="32">
                  <c:v>36.799999999999997</c:v>
                </c:pt>
              </c:numCache>
            </c:numRef>
          </c:val>
          <c:smooth val="0"/>
          <c:extLst>
            <c:ext xmlns:c16="http://schemas.microsoft.com/office/drawing/2014/chart" uri="{C3380CC4-5D6E-409C-BE32-E72D297353CC}">
              <c16:uniqueId val="{00000001-4C59-490A-9285-AF5931FCAE9E}"/>
            </c:ext>
          </c:extLst>
        </c:ser>
        <c:ser>
          <c:idx val="2"/>
          <c:order val="2"/>
          <c:tx>
            <c:strRef>
              <c:f>data!$E$2</c:f>
              <c:strCache>
                <c:ptCount val="1"/>
                <c:pt idx="0">
                  <c:v>Parques</c:v>
                </c:pt>
              </c:strCache>
            </c:strRef>
          </c:tx>
          <c:spPr>
            <a:ln w="22225" cap="rnd">
              <a:solidFill>
                <a:schemeClr val="tx1"/>
              </a:solidFill>
              <a:prstDash val="dashDot"/>
              <a:round/>
            </a:ln>
            <a:effectLst/>
          </c:spPr>
          <c:marker>
            <c:symbol val="none"/>
          </c:marker>
          <c:cat>
            <c:numRef>
              <c:f>data!$B$3:$B$37</c:f>
              <c:numCache>
                <c:formatCode>mmm\-yy</c:formatCode>
                <c:ptCount val="35"/>
                <c:pt idx="0">
                  <c:v>43862</c:v>
                </c:pt>
                <c:pt idx="1">
                  <c:v>43891</c:v>
                </c:pt>
                <c:pt idx="2">
                  <c:v>43922</c:v>
                </c:pt>
                <c:pt idx="3">
                  <c:v>43952</c:v>
                </c:pt>
                <c:pt idx="4">
                  <c:v>43983</c:v>
                </c:pt>
                <c:pt idx="5">
                  <c:v>44013</c:v>
                </c:pt>
                <c:pt idx="6">
                  <c:v>44044</c:v>
                </c:pt>
                <c:pt idx="7">
                  <c:v>44075</c:v>
                </c:pt>
                <c:pt idx="8">
                  <c:v>44105</c:v>
                </c:pt>
                <c:pt idx="9">
                  <c:v>44136</c:v>
                </c:pt>
                <c:pt idx="10">
                  <c:v>44166</c:v>
                </c:pt>
                <c:pt idx="11">
                  <c:v>44197</c:v>
                </c:pt>
                <c:pt idx="12">
                  <c:v>44228</c:v>
                </c:pt>
                <c:pt idx="13">
                  <c:v>44256</c:v>
                </c:pt>
                <c:pt idx="14">
                  <c:v>44287</c:v>
                </c:pt>
                <c:pt idx="15">
                  <c:v>44317</c:v>
                </c:pt>
                <c:pt idx="16">
                  <c:v>44348</c:v>
                </c:pt>
                <c:pt idx="17">
                  <c:v>44378</c:v>
                </c:pt>
                <c:pt idx="18">
                  <c:v>44409</c:v>
                </c:pt>
                <c:pt idx="19">
                  <c:v>44440</c:v>
                </c:pt>
                <c:pt idx="20">
                  <c:v>44470</c:v>
                </c:pt>
                <c:pt idx="21">
                  <c:v>44501</c:v>
                </c:pt>
                <c:pt idx="22">
                  <c:v>44531</c:v>
                </c:pt>
                <c:pt idx="23">
                  <c:v>44562</c:v>
                </c:pt>
                <c:pt idx="24">
                  <c:v>44593</c:v>
                </c:pt>
                <c:pt idx="25">
                  <c:v>44621</c:v>
                </c:pt>
                <c:pt idx="26">
                  <c:v>44652</c:v>
                </c:pt>
                <c:pt idx="27">
                  <c:v>44682</c:v>
                </c:pt>
                <c:pt idx="28">
                  <c:v>44713</c:v>
                </c:pt>
                <c:pt idx="29">
                  <c:v>44743</c:v>
                </c:pt>
                <c:pt idx="30">
                  <c:v>44774</c:v>
                </c:pt>
                <c:pt idx="31">
                  <c:v>44805</c:v>
                </c:pt>
                <c:pt idx="32">
                  <c:v>44835</c:v>
                </c:pt>
                <c:pt idx="33">
                  <c:v>44866</c:v>
                </c:pt>
                <c:pt idx="34">
                  <c:v>44896</c:v>
                </c:pt>
              </c:numCache>
            </c:numRef>
          </c:cat>
          <c:val>
            <c:numRef>
              <c:f>data!$E$3:$E$37</c:f>
              <c:numCache>
                <c:formatCode>_-* #,##0.0_-;\-* #,##0.0_-;_-* "-"??_-;_-@_-</c:formatCode>
                <c:ptCount val="35"/>
                <c:pt idx="0">
                  <c:v>0.8666666666666667</c:v>
                </c:pt>
                <c:pt idx="1">
                  <c:v>-23.193548387096776</c:v>
                </c:pt>
                <c:pt idx="2">
                  <c:v>-49.033333333333331</c:v>
                </c:pt>
                <c:pt idx="3">
                  <c:v>-50</c:v>
                </c:pt>
                <c:pt idx="4">
                  <c:v>-45.1</c:v>
                </c:pt>
                <c:pt idx="5">
                  <c:v>-45.483870967741936</c:v>
                </c:pt>
                <c:pt idx="6">
                  <c:v>-36.774193548387096</c:v>
                </c:pt>
                <c:pt idx="7">
                  <c:v>-33.799999999999997</c:v>
                </c:pt>
                <c:pt idx="8">
                  <c:v>-32.064516129032256</c:v>
                </c:pt>
                <c:pt idx="9">
                  <c:v>-30.866666666666667</c:v>
                </c:pt>
                <c:pt idx="10">
                  <c:v>-15.67741935483871</c:v>
                </c:pt>
                <c:pt idx="11">
                  <c:v>-26.096774193548388</c:v>
                </c:pt>
                <c:pt idx="12">
                  <c:v>-25.785714285714285</c:v>
                </c:pt>
                <c:pt idx="13">
                  <c:v>-21.258064516129032</c:v>
                </c:pt>
                <c:pt idx="14">
                  <c:v>-23.766666666666666</c:v>
                </c:pt>
                <c:pt idx="15">
                  <c:v>-17.225806451612904</c:v>
                </c:pt>
                <c:pt idx="16">
                  <c:v>-11.7</c:v>
                </c:pt>
                <c:pt idx="17">
                  <c:v>-8.2903225806451619</c:v>
                </c:pt>
                <c:pt idx="18">
                  <c:v>-10.064516129032258</c:v>
                </c:pt>
                <c:pt idx="19">
                  <c:v>-9.9</c:v>
                </c:pt>
                <c:pt idx="20">
                  <c:v>-1.6774193548387097</c:v>
                </c:pt>
                <c:pt idx="21">
                  <c:v>3.9666666666666668</c:v>
                </c:pt>
                <c:pt idx="22">
                  <c:v>17.741935483870968</c:v>
                </c:pt>
                <c:pt idx="23">
                  <c:v>5.064516129032258</c:v>
                </c:pt>
                <c:pt idx="24">
                  <c:v>7.4642857142857144</c:v>
                </c:pt>
                <c:pt idx="25">
                  <c:v>15.064516129032258</c:v>
                </c:pt>
                <c:pt idx="26">
                  <c:v>24.333333333333332</c:v>
                </c:pt>
                <c:pt idx="27">
                  <c:v>17</c:v>
                </c:pt>
                <c:pt idx="28">
                  <c:v>16.466666666666665</c:v>
                </c:pt>
                <c:pt idx="29">
                  <c:v>20.903225806451612</c:v>
                </c:pt>
                <c:pt idx="30">
                  <c:v>25</c:v>
                </c:pt>
                <c:pt idx="31">
                  <c:v>23.566666666666666</c:v>
                </c:pt>
                <c:pt idx="32">
                  <c:v>19.333333333333332</c:v>
                </c:pt>
              </c:numCache>
            </c:numRef>
          </c:val>
          <c:smooth val="0"/>
          <c:extLst>
            <c:ext xmlns:c16="http://schemas.microsoft.com/office/drawing/2014/chart" uri="{C3380CC4-5D6E-409C-BE32-E72D297353CC}">
              <c16:uniqueId val="{00000002-4C59-490A-9285-AF5931FCAE9E}"/>
            </c:ext>
          </c:extLst>
        </c:ser>
        <c:ser>
          <c:idx val="3"/>
          <c:order val="3"/>
          <c:tx>
            <c:strRef>
              <c:f>data!$F$2</c:f>
              <c:strCache>
                <c:ptCount val="1"/>
                <c:pt idx="0">
                  <c:v>Estaciones de transporte</c:v>
                </c:pt>
              </c:strCache>
            </c:strRef>
          </c:tx>
          <c:spPr>
            <a:ln w="19050" cap="rnd">
              <a:solidFill>
                <a:schemeClr val="accent5"/>
              </a:solidFill>
              <a:prstDash val="solid"/>
              <a:round/>
            </a:ln>
            <a:effectLst/>
          </c:spPr>
          <c:marker>
            <c:symbol val="none"/>
          </c:marker>
          <c:cat>
            <c:numRef>
              <c:f>data!$B$3:$B$37</c:f>
              <c:numCache>
                <c:formatCode>mmm\-yy</c:formatCode>
                <c:ptCount val="35"/>
                <c:pt idx="0">
                  <c:v>43862</c:v>
                </c:pt>
                <c:pt idx="1">
                  <c:v>43891</c:v>
                </c:pt>
                <c:pt idx="2">
                  <c:v>43922</c:v>
                </c:pt>
                <c:pt idx="3">
                  <c:v>43952</c:v>
                </c:pt>
                <c:pt idx="4">
                  <c:v>43983</c:v>
                </c:pt>
                <c:pt idx="5">
                  <c:v>44013</c:v>
                </c:pt>
                <c:pt idx="6">
                  <c:v>44044</c:v>
                </c:pt>
                <c:pt idx="7">
                  <c:v>44075</c:v>
                </c:pt>
                <c:pt idx="8">
                  <c:v>44105</c:v>
                </c:pt>
                <c:pt idx="9">
                  <c:v>44136</c:v>
                </c:pt>
                <c:pt idx="10">
                  <c:v>44166</c:v>
                </c:pt>
                <c:pt idx="11">
                  <c:v>44197</c:v>
                </c:pt>
                <c:pt idx="12">
                  <c:v>44228</c:v>
                </c:pt>
                <c:pt idx="13">
                  <c:v>44256</c:v>
                </c:pt>
                <c:pt idx="14">
                  <c:v>44287</c:v>
                </c:pt>
                <c:pt idx="15">
                  <c:v>44317</c:v>
                </c:pt>
                <c:pt idx="16">
                  <c:v>44348</c:v>
                </c:pt>
                <c:pt idx="17">
                  <c:v>44378</c:v>
                </c:pt>
                <c:pt idx="18">
                  <c:v>44409</c:v>
                </c:pt>
                <c:pt idx="19">
                  <c:v>44440</c:v>
                </c:pt>
                <c:pt idx="20">
                  <c:v>44470</c:v>
                </c:pt>
                <c:pt idx="21">
                  <c:v>44501</c:v>
                </c:pt>
                <c:pt idx="22">
                  <c:v>44531</c:v>
                </c:pt>
                <c:pt idx="23">
                  <c:v>44562</c:v>
                </c:pt>
                <c:pt idx="24">
                  <c:v>44593</c:v>
                </c:pt>
                <c:pt idx="25">
                  <c:v>44621</c:v>
                </c:pt>
                <c:pt idx="26">
                  <c:v>44652</c:v>
                </c:pt>
                <c:pt idx="27">
                  <c:v>44682</c:v>
                </c:pt>
                <c:pt idx="28">
                  <c:v>44713</c:v>
                </c:pt>
                <c:pt idx="29">
                  <c:v>44743</c:v>
                </c:pt>
                <c:pt idx="30">
                  <c:v>44774</c:v>
                </c:pt>
                <c:pt idx="31">
                  <c:v>44805</c:v>
                </c:pt>
                <c:pt idx="32">
                  <c:v>44835</c:v>
                </c:pt>
                <c:pt idx="33">
                  <c:v>44866</c:v>
                </c:pt>
                <c:pt idx="34">
                  <c:v>44896</c:v>
                </c:pt>
              </c:numCache>
            </c:numRef>
          </c:cat>
          <c:val>
            <c:numRef>
              <c:f>data!$F$3:$F$37</c:f>
              <c:numCache>
                <c:formatCode>_-* #,##0.0_-;\-* #,##0.0_-;_-* "-"??_-;_-@_-</c:formatCode>
                <c:ptCount val="35"/>
                <c:pt idx="0">
                  <c:v>-0.66666666666666663</c:v>
                </c:pt>
                <c:pt idx="1">
                  <c:v>-36.064516129032256</c:v>
                </c:pt>
                <c:pt idx="2">
                  <c:v>-69.5</c:v>
                </c:pt>
                <c:pt idx="3">
                  <c:v>-68.806451612903231</c:v>
                </c:pt>
                <c:pt idx="4">
                  <c:v>-65.266666666666666</c:v>
                </c:pt>
                <c:pt idx="5">
                  <c:v>-65.225806451612897</c:v>
                </c:pt>
                <c:pt idx="6">
                  <c:v>-56.838709677419352</c:v>
                </c:pt>
                <c:pt idx="7">
                  <c:v>-49.866666666666667</c:v>
                </c:pt>
                <c:pt idx="8">
                  <c:v>-41.548387096774192</c:v>
                </c:pt>
                <c:pt idx="9">
                  <c:v>-36.4</c:v>
                </c:pt>
                <c:pt idx="10">
                  <c:v>-23.870967741935484</c:v>
                </c:pt>
                <c:pt idx="11">
                  <c:v>-32.70967741935484</c:v>
                </c:pt>
                <c:pt idx="12">
                  <c:v>-32.071428571428569</c:v>
                </c:pt>
                <c:pt idx="13">
                  <c:v>-27.870967741935484</c:v>
                </c:pt>
                <c:pt idx="14">
                  <c:v>-31.566666666666666</c:v>
                </c:pt>
                <c:pt idx="15">
                  <c:v>-22.70967741935484</c:v>
                </c:pt>
                <c:pt idx="16">
                  <c:v>-20.966666666666665</c:v>
                </c:pt>
                <c:pt idx="17">
                  <c:v>-16.225806451612904</c:v>
                </c:pt>
                <c:pt idx="18">
                  <c:v>-18.06451612903226</c:v>
                </c:pt>
                <c:pt idx="19">
                  <c:v>-17.766666666666666</c:v>
                </c:pt>
                <c:pt idx="20">
                  <c:v>-9.7096774193548381</c:v>
                </c:pt>
                <c:pt idx="21">
                  <c:v>-3.6666666666666665</c:v>
                </c:pt>
                <c:pt idx="22">
                  <c:v>7.129032258064516</c:v>
                </c:pt>
                <c:pt idx="23">
                  <c:v>-5.4838709677419351</c:v>
                </c:pt>
                <c:pt idx="24">
                  <c:v>-2.5714285714285716</c:v>
                </c:pt>
                <c:pt idx="25">
                  <c:v>-2.5806451612903225</c:v>
                </c:pt>
                <c:pt idx="26">
                  <c:v>-2.2666666666666666</c:v>
                </c:pt>
                <c:pt idx="27">
                  <c:v>-0.87096774193548387</c:v>
                </c:pt>
                <c:pt idx="28">
                  <c:v>0.8</c:v>
                </c:pt>
                <c:pt idx="29">
                  <c:v>4.580645161290323</c:v>
                </c:pt>
                <c:pt idx="30">
                  <c:v>5.354838709677419</c:v>
                </c:pt>
                <c:pt idx="31">
                  <c:v>-1.9666666666666666</c:v>
                </c:pt>
                <c:pt idx="32">
                  <c:v>-1.8</c:v>
                </c:pt>
              </c:numCache>
            </c:numRef>
          </c:val>
          <c:smooth val="0"/>
          <c:extLst>
            <c:ext xmlns:c16="http://schemas.microsoft.com/office/drawing/2014/chart" uri="{C3380CC4-5D6E-409C-BE32-E72D297353CC}">
              <c16:uniqueId val="{00000003-4C59-490A-9285-AF5931FCAE9E}"/>
            </c:ext>
          </c:extLst>
        </c:ser>
        <c:ser>
          <c:idx val="4"/>
          <c:order val="4"/>
          <c:tx>
            <c:strRef>
              <c:f>data!$G$2</c:f>
              <c:strCache>
                <c:ptCount val="1"/>
                <c:pt idx="0">
                  <c:v>Lugares de transporte </c:v>
                </c:pt>
              </c:strCache>
            </c:strRef>
          </c:tx>
          <c:spPr>
            <a:ln w="22225" cap="rnd">
              <a:solidFill>
                <a:schemeClr val="accent6">
                  <a:lumMod val="75000"/>
                </a:schemeClr>
              </a:solidFill>
              <a:prstDash val="lgDashDotDot"/>
              <a:round/>
            </a:ln>
            <a:effectLst/>
          </c:spPr>
          <c:marker>
            <c:symbol val="none"/>
          </c:marker>
          <c:cat>
            <c:numRef>
              <c:f>data!$B$3:$B$37</c:f>
              <c:numCache>
                <c:formatCode>mmm\-yy</c:formatCode>
                <c:ptCount val="35"/>
                <c:pt idx="0">
                  <c:v>43862</c:v>
                </c:pt>
                <c:pt idx="1">
                  <c:v>43891</c:v>
                </c:pt>
                <c:pt idx="2">
                  <c:v>43922</c:v>
                </c:pt>
                <c:pt idx="3">
                  <c:v>43952</c:v>
                </c:pt>
                <c:pt idx="4">
                  <c:v>43983</c:v>
                </c:pt>
                <c:pt idx="5">
                  <c:v>44013</c:v>
                </c:pt>
                <c:pt idx="6">
                  <c:v>44044</c:v>
                </c:pt>
                <c:pt idx="7">
                  <c:v>44075</c:v>
                </c:pt>
                <c:pt idx="8">
                  <c:v>44105</c:v>
                </c:pt>
                <c:pt idx="9">
                  <c:v>44136</c:v>
                </c:pt>
                <c:pt idx="10">
                  <c:v>44166</c:v>
                </c:pt>
                <c:pt idx="11">
                  <c:v>44197</c:v>
                </c:pt>
                <c:pt idx="12">
                  <c:v>44228</c:v>
                </c:pt>
                <c:pt idx="13">
                  <c:v>44256</c:v>
                </c:pt>
                <c:pt idx="14">
                  <c:v>44287</c:v>
                </c:pt>
                <c:pt idx="15">
                  <c:v>44317</c:v>
                </c:pt>
                <c:pt idx="16">
                  <c:v>44348</c:v>
                </c:pt>
                <c:pt idx="17">
                  <c:v>44378</c:v>
                </c:pt>
                <c:pt idx="18">
                  <c:v>44409</c:v>
                </c:pt>
                <c:pt idx="19">
                  <c:v>44440</c:v>
                </c:pt>
                <c:pt idx="20">
                  <c:v>44470</c:v>
                </c:pt>
                <c:pt idx="21">
                  <c:v>44501</c:v>
                </c:pt>
                <c:pt idx="22">
                  <c:v>44531</c:v>
                </c:pt>
                <c:pt idx="23">
                  <c:v>44562</c:v>
                </c:pt>
                <c:pt idx="24">
                  <c:v>44593</c:v>
                </c:pt>
                <c:pt idx="25">
                  <c:v>44621</c:v>
                </c:pt>
                <c:pt idx="26">
                  <c:v>44652</c:v>
                </c:pt>
                <c:pt idx="27">
                  <c:v>44682</c:v>
                </c:pt>
                <c:pt idx="28">
                  <c:v>44713</c:v>
                </c:pt>
                <c:pt idx="29">
                  <c:v>44743</c:v>
                </c:pt>
                <c:pt idx="30">
                  <c:v>44774</c:v>
                </c:pt>
                <c:pt idx="31">
                  <c:v>44805</c:v>
                </c:pt>
                <c:pt idx="32">
                  <c:v>44835</c:v>
                </c:pt>
                <c:pt idx="33">
                  <c:v>44866</c:v>
                </c:pt>
                <c:pt idx="34">
                  <c:v>44896</c:v>
                </c:pt>
              </c:numCache>
            </c:numRef>
          </c:cat>
          <c:val>
            <c:numRef>
              <c:f>data!$G$3:$G$37</c:f>
              <c:numCache>
                <c:formatCode>_-* #,##0.0_-;\-* #,##0.0_-;_-* "-"??_-;_-@_-</c:formatCode>
                <c:ptCount val="35"/>
                <c:pt idx="0">
                  <c:v>3.1333333333333333</c:v>
                </c:pt>
                <c:pt idx="1">
                  <c:v>-22.741935483870968</c:v>
                </c:pt>
                <c:pt idx="2">
                  <c:v>-47.1</c:v>
                </c:pt>
                <c:pt idx="3">
                  <c:v>-45.677419354838712</c:v>
                </c:pt>
                <c:pt idx="4">
                  <c:v>-38.700000000000003</c:v>
                </c:pt>
                <c:pt idx="5">
                  <c:v>-43</c:v>
                </c:pt>
                <c:pt idx="6">
                  <c:v>-32.774193548387096</c:v>
                </c:pt>
                <c:pt idx="7">
                  <c:v>-32.466666666666669</c:v>
                </c:pt>
                <c:pt idx="8">
                  <c:v>-28.516129032258064</c:v>
                </c:pt>
                <c:pt idx="9">
                  <c:v>-23.6</c:v>
                </c:pt>
                <c:pt idx="10">
                  <c:v>-23.967741935483872</c:v>
                </c:pt>
                <c:pt idx="11">
                  <c:v>-24.29032258064516</c:v>
                </c:pt>
                <c:pt idx="12">
                  <c:v>-21</c:v>
                </c:pt>
                <c:pt idx="13">
                  <c:v>-19.838709677419356</c:v>
                </c:pt>
                <c:pt idx="14">
                  <c:v>-23.266666666666666</c:v>
                </c:pt>
                <c:pt idx="15">
                  <c:v>-14.290322580645162</c:v>
                </c:pt>
                <c:pt idx="16">
                  <c:v>-15.9</c:v>
                </c:pt>
                <c:pt idx="17">
                  <c:v>-14.193548387096774</c:v>
                </c:pt>
                <c:pt idx="18">
                  <c:v>-13.258064516129032</c:v>
                </c:pt>
                <c:pt idx="19">
                  <c:v>-13.066666666666666</c:v>
                </c:pt>
                <c:pt idx="20">
                  <c:v>-7.290322580645161</c:v>
                </c:pt>
                <c:pt idx="21">
                  <c:v>-5.4</c:v>
                </c:pt>
                <c:pt idx="22">
                  <c:v>-5.354838709677419</c:v>
                </c:pt>
                <c:pt idx="23">
                  <c:v>0.5161290322580645</c:v>
                </c:pt>
                <c:pt idx="24">
                  <c:v>8.0357142857142865</c:v>
                </c:pt>
                <c:pt idx="25">
                  <c:v>15.03225806451613</c:v>
                </c:pt>
                <c:pt idx="26">
                  <c:v>7.4</c:v>
                </c:pt>
                <c:pt idx="27">
                  <c:v>18.419354838709676</c:v>
                </c:pt>
                <c:pt idx="28">
                  <c:v>17.899999999999999</c:v>
                </c:pt>
                <c:pt idx="29">
                  <c:v>18.129032258064516</c:v>
                </c:pt>
                <c:pt idx="30">
                  <c:v>23.516129032258064</c:v>
                </c:pt>
                <c:pt idx="31">
                  <c:v>22.6</c:v>
                </c:pt>
                <c:pt idx="32">
                  <c:v>24.8</c:v>
                </c:pt>
              </c:numCache>
            </c:numRef>
          </c:val>
          <c:smooth val="0"/>
          <c:extLst>
            <c:ext xmlns:c16="http://schemas.microsoft.com/office/drawing/2014/chart" uri="{C3380CC4-5D6E-409C-BE32-E72D297353CC}">
              <c16:uniqueId val="{00000004-4C59-490A-9285-AF5931FCAE9E}"/>
            </c:ext>
          </c:extLst>
        </c:ser>
        <c:ser>
          <c:idx val="5"/>
          <c:order val="5"/>
          <c:tx>
            <c:strRef>
              <c:f>data!$H$2</c:f>
              <c:strCache>
                <c:ptCount val="1"/>
                <c:pt idx="0">
                  <c:v>Zonas residenciales</c:v>
                </c:pt>
              </c:strCache>
            </c:strRef>
          </c:tx>
          <c:spPr>
            <a:ln w="19050" cap="rnd">
              <a:solidFill>
                <a:srgbClr val="C00000"/>
              </a:solidFill>
              <a:prstDash val="sysDot"/>
              <a:round/>
            </a:ln>
            <a:effectLst/>
          </c:spPr>
          <c:marker>
            <c:symbol val="none"/>
          </c:marker>
          <c:cat>
            <c:numRef>
              <c:f>data!$B$3:$B$37</c:f>
              <c:numCache>
                <c:formatCode>mmm\-yy</c:formatCode>
                <c:ptCount val="35"/>
                <c:pt idx="0">
                  <c:v>43862</c:v>
                </c:pt>
                <c:pt idx="1">
                  <c:v>43891</c:v>
                </c:pt>
                <c:pt idx="2">
                  <c:v>43922</c:v>
                </c:pt>
                <c:pt idx="3">
                  <c:v>43952</c:v>
                </c:pt>
                <c:pt idx="4">
                  <c:v>43983</c:v>
                </c:pt>
                <c:pt idx="5">
                  <c:v>44013</c:v>
                </c:pt>
                <c:pt idx="6">
                  <c:v>44044</c:v>
                </c:pt>
                <c:pt idx="7">
                  <c:v>44075</c:v>
                </c:pt>
                <c:pt idx="8">
                  <c:v>44105</c:v>
                </c:pt>
                <c:pt idx="9">
                  <c:v>44136</c:v>
                </c:pt>
                <c:pt idx="10">
                  <c:v>44166</c:v>
                </c:pt>
                <c:pt idx="11">
                  <c:v>44197</c:v>
                </c:pt>
                <c:pt idx="12">
                  <c:v>44228</c:v>
                </c:pt>
                <c:pt idx="13">
                  <c:v>44256</c:v>
                </c:pt>
                <c:pt idx="14">
                  <c:v>44287</c:v>
                </c:pt>
                <c:pt idx="15">
                  <c:v>44317</c:v>
                </c:pt>
                <c:pt idx="16">
                  <c:v>44348</c:v>
                </c:pt>
                <c:pt idx="17">
                  <c:v>44378</c:v>
                </c:pt>
                <c:pt idx="18">
                  <c:v>44409</c:v>
                </c:pt>
                <c:pt idx="19">
                  <c:v>44440</c:v>
                </c:pt>
                <c:pt idx="20">
                  <c:v>44470</c:v>
                </c:pt>
                <c:pt idx="21">
                  <c:v>44501</c:v>
                </c:pt>
                <c:pt idx="22">
                  <c:v>44531</c:v>
                </c:pt>
                <c:pt idx="23">
                  <c:v>44562</c:v>
                </c:pt>
                <c:pt idx="24">
                  <c:v>44593</c:v>
                </c:pt>
                <c:pt idx="25">
                  <c:v>44621</c:v>
                </c:pt>
                <c:pt idx="26">
                  <c:v>44652</c:v>
                </c:pt>
                <c:pt idx="27">
                  <c:v>44682</c:v>
                </c:pt>
                <c:pt idx="28">
                  <c:v>44713</c:v>
                </c:pt>
                <c:pt idx="29">
                  <c:v>44743</c:v>
                </c:pt>
                <c:pt idx="30">
                  <c:v>44774</c:v>
                </c:pt>
                <c:pt idx="31">
                  <c:v>44805</c:v>
                </c:pt>
                <c:pt idx="32">
                  <c:v>44835</c:v>
                </c:pt>
                <c:pt idx="33">
                  <c:v>44866</c:v>
                </c:pt>
                <c:pt idx="34">
                  <c:v>44896</c:v>
                </c:pt>
              </c:numCache>
            </c:numRef>
          </c:cat>
          <c:val>
            <c:numRef>
              <c:f>data!$H$3:$H$37</c:f>
              <c:numCache>
                <c:formatCode>_-* #,##0.0_-;\-* #,##0.0_-;_-* "-"??_-;_-@_-</c:formatCode>
                <c:ptCount val="35"/>
                <c:pt idx="0">
                  <c:v>-0.6</c:v>
                </c:pt>
                <c:pt idx="1">
                  <c:v>12.612903225806452</c:v>
                </c:pt>
                <c:pt idx="2">
                  <c:v>25.566666666666666</c:v>
                </c:pt>
                <c:pt idx="3">
                  <c:v>24.741935483870968</c:v>
                </c:pt>
                <c:pt idx="4">
                  <c:v>22.6</c:v>
                </c:pt>
                <c:pt idx="5">
                  <c:v>23.06451612903226</c:v>
                </c:pt>
                <c:pt idx="6">
                  <c:v>17.548387096774192</c:v>
                </c:pt>
                <c:pt idx="7">
                  <c:v>15.933333333333334</c:v>
                </c:pt>
                <c:pt idx="8">
                  <c:v>13.451612903225806</c:v>
                </c:pt>
                <c:pt idx="9">
                  <c:v>11.6</c:v>
                </c:pt>
                <c:pt idx="10">
                  <c:v>9.2903225806451619</c:v>
                </c:pt>
                <c:pt idx="11">
                  <c:v>9.935483870967742</c:v>
                </c:pt>
                <c:pt idx="12">
                  <c:v>5.9642857142857144</c:v>
                </c:pt>
                <c:pt idx="13">
                  <c:v>4.903225806451613</c:v>
                </c:pt>
                <c:pt idx="14">
                  <c:v>7.5333333333333332</c:v>
                </c:pt>
                <c:pt idx="15">
                  <c:v>5.354838709677419</c:v>
                </c:pt>
                <c:pt idx="16">
                  <c:v>4.4333333333333336</c:v>
                </c:pt>
                <c:pt idx="17">
                  <c:v>5.129032258064516</c:v>
                </c:pt>
                <c:pt idx="18">
                  <c:v>6.4838709677419351</c:v>
                </c:pt>
                <c:pt idx="19">
                  <c:v>6.6</c:v>
                </c:pt>
                <c:pt idx="20">
                  <c:v>3.7419354838709675</c:v>
                </c:pt>
                <c:pt idx="21">
                  <c:v>2.9333333333333331</c:v>
                </c:pt>
                <c:pt idx="22">
                  <c:v>1.967741935483871</c:v>
                </c:pt>
                <c:pt idx="23">
                  <c:v>7.612903225806452</c:v>
                </c:pt>
                <c:pt idx="24">
                  <c:v>7.7142857142857144</c:v>
                </c:pt>
                <c:pt idx="25">
                  <c:v>9.7096774193548381</c:v>
                </c:pt>
                <c:pt idx="26">
                  <c:v>9.9333333333333336</c:v>
                </c:pt>
                <c:pt idx="27">
                  <c:v>9.4193548387096779</c:v>
                </c:pt>
                <c:pt idx="28">
                  <c:v>10.333333333333334</c:v>
                </c:pt>
                <c:pt idx="29">
                  <c:v>10.709677419354838</c:v>
                </c:pt>
                <c:pt idx="30">
                  <c:v>10.806451612903226</c:v>
                </c:pt>
                <c:pt idx="31">
                  <c:v>9.0333333333333332</c:v>
                </c:pt>
                <c:pt idx="32">
                  <c:v>9.1333333333333329</c:v>
                </c:pt>
              </c:numCache>
            </c:numRef>
          </c:val>
          <c:smooth val="0"/>
          <c:extLst>
            <c:ext xmlns:c16="http://schemas.microsoft.com/office/drawing/2014/chart" uri="{C3380CC4-5D6E-409C-BE32-E72D297353CC}">
              <c16:uniqueId val="{00000005-4C59-490A-9285-AF5931FCAE9E}"/>
            </c:ext>
          </c:extLst>
        </c:ser>
        <c:ser>
          <c:idx val="6"/>
          <c:order val="6"/>
          <c:tx>
            <c:strRef>
              <c:f>data!$I$2</c:f>
              <c:strCache>
                <c:ptCount val="1"/>
                <c:pt idx="0">
                  <c:v>índice de Rigor</c:v>
                </c:pt>
              </c:strCache>
            </c:strRef>
          </c:tx>
          <c:spPr>
            <a:ln w="19050" cap="rnd">
              <a:solidFill>
                <a:schemeClr val="accent1">
                  <a:lumMod val="60000"/>
                </a:schemeClr>
              </a:solidFill>
              <a:round/>
            </a:ln>
            <a:effectLst/>
          </c:spPr>
          <c:marker>
            <c:symbol val="none"/>
          </c:marker>
          <c:cat>
            <c:numRef>
              <c:f>data!$B$3:$B$37</c:f>
              <c:numCache>
                <c:formatCode>mmm\-yy</c:formatCode>
                <c:ptCount val="35"/>
                <c:pt idx="0">
                  <c:v>43862</c:v>
                </c:pt>
                <c:pt idx="1">
                  <c:v>43891</c:v>
                </c:pt>
                <c:pt idx="2">
                  <c:v>43922</c:v>
                </c:pt>
                <c:pt idx="3">
                  <c:v>43952</c:v>
                </c:pt>
                <c:pt idx="4">
                  <c:v>43983</c:v>
                </c:pt>
                <c:pt idx="5">
                  <c:v>44013</c:v>
                </c:pt>
                <c:pt idx="6">
                  <c:v>44044</c:v>
                </c:pt>
                <c:pt idx="7">
                  <c:v>44075</c:v>
                </c:pt>
                <c:pt idx="8">
                  <c:v>44105</c:v>
                </c:pt>
                <c:pt idx="9">
                  <c:v>44136</c:v>
                </c:pt>
                <c:pt idx="10">
                  <c:v>44166</c:v>
                </c:pt>
                <c:pt idx="11">
                  <c:v>44197</c:v>
                </c:pt>
                <c:pt idx="12">
                  <c:v>44228</c:v>
                </c:pt>
                <c:pt idx="13">
                  <c:v>44256</c:v>
                </c:pt>
                <c:pt idx="14">
                  <c:v>44287</c:v>
                </c:pt>
                <c:pt idx="15">
                  <c:v>44317</c:v>
                </c:pt>
                <c:pt idx="16">
                  <c:v>44348</c:v>
                </c:pt>
                <c:pt idx="17">
                  <c:v>44378</c:v>
                </c:pt>
                <c:pt idx="18">
                  <c:v>44409</c:v>
                </c:pt>
                <c:pt idx="19">
                  <c:v>44440</c:v>
                </c:pt>
                <c:pt idx="20">
                  <c:v>44470</c:v>
                </c:pt>
                <c:pt idx="21">
                  <c:v>44501</c:v>
                </c:pt>
                <c:pt idx="22">
                  <c:v>44531</c:v>
                </c:pt>
                <c:pt idx="23">
                  <c:v>44562</c:v>
                </c:pt>
                <c:pt idx="24">
                  <c:v>44593</c:v>
                </c:pt>
                <c:pt idx="25">
                  <c:v>44621</c:v>
                </c:pt>
                <c:pt idx="26">
                  <c:v>44652</c:v>
                </c:pt>
                <c:pt idx="27">
                  <c:v>44682</c:v>
                </c:pt>
                <c:pt idx="28">
                  <c:v>44713</c:v>
                </c:pt>
                <c:pt idx="29">
                  <c:v>44743</c:v>
                </c:pt>
                <c:pt idx="30">
                  <c:v>44774</c:v>
                </c:pt>
                <c:pt idx="31">
                  <c:v>44805</c:v>
                </c:pt>
                <c:pt idx="32">
                  <c:v>44835</c:v>
                </c:pt>
                <c:pt idx="33">
                  <c:v>44866</c:v>
                </c:pt>
                <c:pt idx="34">
                  <c:v>44896</c:v>
                </c:pt>
              </c:numCache>
            </c:numRef>
          </c:cat>
          <c:val>
            <c:numRef>
              <c:f>data!$I$3:$I$37</c:f>
              <c:numCache>
                <c:formatCode>_-* #,##0.0_-;\-* #,##0.0_-;_-* "-"??_-;_-@_-</c:formatCode>
                <c:ptCount val="35"/>
                <c:pt idx="0">
                  <c:v>11.110000000000008</c:v>
                </c:pt>
                <c:pt idx="1">
                  <c:v>57.049032258064514</c:v>
                </c:pt>
                <c:pt idx="2">
                  <c:v>94.724666666666707</c:v>
                </c:pt>
                <c:pt idx="3">
                  <c:v>96.30000000000004</c:v>
                </c:pt>
                <c:pt idx="4">
                  <c:v>96.300000000000026</c:v>
                </c:pt>
                <c:pt idx="5">
                  <c:v>94.806451612903231</c:v>
                </c:pt>
                <c:pt idx="6">
                  <c:v>87.039999999999978</c:v>
                </c:pt>
                <c:pt idx="7">
                  <c:v>78.61166666666665</c:v>
                </c:pt>
                <c:pt idx="8">
                  <c:v>49.539999999999978</c:v>
                </c:pt>
                <c:pt idx="9">
                  <c:v>49.539999999999978</c:v>
                </c:pt>
                <c:pt idx="10">
                  <c:v>50.344193548387068</c:v>
                </c:pt>
                <c:pt idx="11">
                  <c:v>54.747419354838719</c:v>
                </c:pt>
                <c:pt idx="12">
                  <c:v>52.77999999999998</c:v>
                </c:pt>
                <c:pt idx="13">
                  <c:v>52.959032258064511</c:v>
                </c:pt>
                <c:pt idx="14">
                  <c:v>49.813333333333297</c:v>
                </c:pt>
                <c:pt idx="15">
                  <c:v>51.849999999999973</c:v>
                </c:pt>
                <c:pt idx="16">
                  <c:v>51.84999999999998</c:v>
                </c:pt>
                <c:pt idx="17">
                  <c:v>52.419999999999995</c:v>
                </c:pt>
                <c:pt idx="18">
                  <c:v>56.243225806451612</c:v>
                </c:pt>
                <c:pt idx="19">
                  <c:v>66.200000000000031</c:v>
                </c:pt>
                <c:pt idx="20">
                  <c:v>50.434193548387093</c:v>
                </c:pt>
                <c:pt idx="21">
                  <c:v>47.129999999999995</c:v>
                </c:pt>
                <c:pt idx="22">
                  <c:v>56.793870967741896</c:v>
                </c:pt>
                <c:pt idx="23">
                  <c:v>52.503548387096778</c:v>
                </c:pt>
                <c:pt idx="24">
                  <c:v>58.685000000000009</c:v>
                </c:pt>
                <c:pt idx="25">
                  <c:v>48.136451612903194</c:v>
                </c:pt>
                <c:pt idx="26">
                  <c:v>40.736666666666643</c:v>
                </c:pt>
                <c:pt idx="27">
                  <c:v>45.32774193548385</c:v>
                </c:pt>
                <c:pt idx="28">
                  <c:v>43.059999999999967</c:v>
                </c:pt>
                <c:pt idx="29">
                  <c:v>41.025483870967726</c:v>
                </c:pt>
                <c:pt idx="30">
                  <c:v>37.646129032258088</c:v>
                </c:pt>
                <c:pt idx="31">
                  <c:v>36.570000000000022</c:v>
                </c:pt>
                <c:pt idx="32">
                  <c:v>36.570000000000014</c:v>
                </c:pt>
                <c:pt idx="33">
                  <c:v>36.570000000000022</c:v>
                </c:pt>
                <c:pt idx="34">
                  <c:v>36.570000000000014</c:v>
                </c:pt>
              </c:numCache>
            </c:numRef>
          </c:val>
          <c:smooth val="0"/>
          <c:extLst>
            <c:ext xmlns:c16="http://schemas.microsoft.com/office/drawing/2014/chart" uri="{C3380CC4-5D6E-409C-BE32-E72D297353CC}">
              <c16:uniqueId val="{00000006-4C59-490A-9285-AF5931FCAE9E}"/>
            </c:ext>
          </c:extLst>
        </c:ser>
        <c:dLbls>
          <c:showLegendKey val="0"/>
          <c:showVal val="0"/>
          <c:showCatName val="0"/>
          <c:showSerName val="0"/>
          <c:showPercent val="0"/>
          <c:showBubbleSize val="0"/>
        </c:dLbls>
        <c:smooth val="0"/>
        <c:axId val="692257152"/>
        <c:axId val="692267136"/>
      </c:lineChart>
      <c:dateAx>
        <c:axId val="692257152"/>
        <c:scaling>
          <c:orientation val="minMax"/>
        </c:scaling>
        <c:delete val="0"/>
        <c:axPos val="b"/>
        <c:numFmt formatCode="mmm\-yy" sourceLinked="1"/>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692267136"/>
        <c:crosses val="autoZero"/>
        <c:auto val="1"/>
        <c:lblOffset val="100"/>
        <c:baseTimeUnit val="months"/>
      </c:dateAx>
      <c:valAx>
        <c:axId val="692267136"/>
        <c:scaling>
          <c:orientation val="minMax"/>
          <c:max val="170"/>
          <c:min val="-100"/>
        </c:scaling>
        <c:delete val="0"/>
        <c:axPos val="l"/>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692257152"/>
        <c:crosses val="autoZero"/>
        <c:crossBetween val="between"/>
      </c:valAx>
      <c:spPr>
        <a:noFill/>
        <a:ln>
          <a:noFill/>
        </a:ln>
        <a:effectLst/>
      </c:spPr>
    </c:plotArea>
    <c:legend>
      <c:legendPos val="b"/>
      <c:layout>
        <c:manualLayout>
          <c:xMode val="edge"/>
          <c:yMode val="edge"/>
          <c:x val="0.1186286410986969"/>
          <c:y val="4.5990399295518708E-2"/>
          <c:w val="0.88137135890130314"/>
          <c:h val="0.14233749999999998"/>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52518723490636"/>
          <c:y val="4.5723004118751555E-2"/>
          <c:w val="0.87387664398123921"/>
          <c:h val="0.85208935769238781"/>
        </c:manualLayout>
      </c:layout>
      <c:barChart>
        <c:barDir val="col"/>
        <c:grouping val="clustered"/>
        <c:varyColors val="0"/>
        <c:ser>
          <c:idx val="3"/>
          <c:order val="4"/>
          <c:tx>
            <c:strRef>
              <c:f>EI_2!$A$8</c:f>
              <c:strCache>
                <c:ptCount val="1"/>
                <c:pt idx="0">
                  <c:v>Latinoamerica y el Caribe</c:v>
                </c:pt>
              </c:strCache>
            </c:strRef>
          </c:tx>
          <c:spPr>
            <a:solidFill>
              <a:schemeClr val="bg1">
                <a:lumMod val="65000"/>
              </a:schemeClr>
            </a:solidFill>
          </c:spPr>
          <c:invertIfNegative val="0"/>
          <c:cat>
            <c:numRef>
              <c:f>EI_2!$B$3:$D$3</c:f>
              <c:numCache>
                <c:formatCode>General</c:formatCode>
                <c:ptCount val="3"/>
                <c:pt idx="0">
                  <c:v>2020</c:v>
                </c:pt>
                <c:pt idx="1">
                  <c:v>2021</c:v>
                </c:pt>
                <c:pt idx="2">
                  <c:v>2022</c:v>
                </c:pt>
              </c:numCache>
            </c:numRef>
          </c:cat>
          <c:val>
            <c:numRef>
              <c:f>EI_2!$B$8:$D$8</c:f>
              <c:numCache>
                <c:formatCode>_ * #,##0.0_ ;_ * \-#,##0.0_ ;_ * "-"??_ ;_ @_ </c:formatCode>
                <c:ptCount val="3"/>
                <c:pt idx="0">
                  <c:v>6.3319999999999999</c:v>
                </c:pt>
                <c:pt idx="1">
                  <c:v>11.555</c:v>
                </c:pt>
                <c:pt idx="2">
                  <c:v>14.652999999999999</c:v>
                </c:pt>
              </c:numCache>
            </c:numRef>
          </c:val>
          <c:extLst>
            <c:ext xmlns:c16="http://schemas.microsoft.com/office/drawing/2014/chart" uri="{C3380CC4-5D6E-409C-BE32-E72D297353CC}">
              <c16:uniqueId val="{00000000-AAC9-4651-AF0C-BF59DC36DE1E}"/>
            </c:ext>
          </c:extLst>
        </c:ser>
        <c:dLbls>
          <c:showLegendKey val="0"/>
          <c:showVal val="0"/>
          <c:showCatName val="0"/>
          <c:showSerName val="0"/>
          <c:showPercent val="0"/>
          <c:showBubbleSize val="0"/>
        </c:dLbls>
        <c:gapWidth val="150"/>
        <c:axId val="970118592"/>
        <c:axId val="970121504"/>
      </c:barChart>
      <c:lineChart>
        <c:grouping val="standard"/>
        <c:varyColors val="0"/>
        <c:ser>
          <c:idx val="0"/>
          <c:order val="0"/>
          <c:tx>
            <c:strRef>
              <c:f>EI_2!$A$4</c:f>
              <c:strCache>
                <c:ptCount val="1"/>
                <c:pt idx="0">
                  <c:v>Mundo</c:v>
                </c:pt>
              </c:strCache>
            </c:strRef>
          </c:tx>
          <c:spPr>
            <a:ln w="28575" cap="rnd">
              <a:solidFill>
                <a:schemeClr val="tx1"/>
              </a:solidFill>
              <a:prstDash val="solid"/>
              <a:round/>
            </a:ln>
            <a:effectLst/>
          </c:spPr>
          <c:marker>
            <c:symbol val="none"/>
          </c:marker>
          <c:cat>
            <c:numRef>
              <c:f>EI_2!$B$3:$D$3</c:f>
              <c:numCache>
                <c:formatCode>General</c:formatCode>
                <c:ptCount val="3"/>
                <c:pt idx="0">
                  <c:v>2020</c:v>
                </c:pt>
                <c:pt idx="1">
                  <c:v>2021</c:v>
                </c:pt>
                <c:pt idx="2">
                  <c:v>2022</c:v>
                </c:pt>
              </c:numCache>
            </c:numRef>
          </c:cat>
          <c:val>
            <c:numRef>
              <c:f>EI_2!$B$4:$D$4</c:f>
              <c:numCache>
                <c:formatCode>_ * #,##0.0_ ;_ * \-#,##0.0_ ;_ * "-"??_ ;_ @_ </c:formatCode>
                <c:ptCount val="3"/>
                <c:pt idx="0">
                  <c:v>2.899</c:v>
                </c:pt>
                <c:pt idx="1">
                  <c:v>6.3269999999999991</c:v>
                </c:pt>
                <c:pt idx="2">
                  <c:v>8.9060000000000006</c:v>
                </c:pt>
              </c:numCache>
            </c:numRef>
          </c:val>
          <c:smooth val="0"/>
          <c:extLst>
            <c:ext xmlns:c16="http://schemas.microsoft.com/office/drawing/2014/chart" uri="{C3380CC4-5D6E-409C-BE32-E72D297353CC}">
              <c16:uniqueId val="{00000001-AAC9-4651-AF0C-BF59DC36DE1E}"/>
            </c:ext>
          </c:extLst>
        </c:ser>
        <c:ser>
          <c:idx val="1"/>
          <c:order val="1"/>
          <c:tx>
            <c:strRef>
              <c:f>EI_2!$A$5</c:f>
              <c:strCache>
                <c:ptCount val="1"/>
                <c:pt idx="0">
                  <c:v>Economias avanzadas</c:v>
                </c:pt>
              </c:strCache>
            </c:strRef>
          </c:tx>
          <c:spPr>
            <a:ln w="28575" cap="rnd">
              <a:solidFill>
                <a:schemeClr val="accent1"/>
              </a:solidFill>
              <a:prstDash val="sysDot"/>
              <a:round/>
            </a:ln>
            <a:effectLst/>
          </c:spPr>
          <c:marker>
            <c:symbol val="none"/>
          </c:marker>
          <c:cat>
            <c:numRef>
              <c:f>EI_2!$B$3:$D$3</c:f>
              <c:numCache>
                <c:formatCode>General</c:formatCode>
                <c:ptCount val="3"/>
                <c:pt idx="0">
                  <c:v>2020</c:v>
                </c:pt>
                <c:pt idx="1">
                  <c:v>2021</c:v>
                </c:pt>
                <c:pt idx="2">
                  <c:v>2022</c:v>
                </c:pt>
              </c:numCache>
            </c:numRef>
          </c:cat>
          <c:val>
            <c:numRef>
              <c:f>EI_2!$B$5:$D$5</c:f>
              <c:numCache>
                <c:formatCode>_ * #,##0.0_ ;_ * \-#,##0.0_ ;_ * "-"??_ ;_ @_ </c:formatCode>
                <c:ptCount val="3"/>
                <c:pt idx="0">
                  <c:v>0.53900000000000003</c:v>
                </c:pt>
                <c:pt idx="1">
                  <c:v>5.2850000000000001</c:v>
                </c:pt>
                <c:pt idx="2">
                  <c:v>7.2949999999999999</c:v>
                </c:pt>
              </c:numCache>
            </c:numRef>
          </c:val>
          <c:smooth val="0"/>
          <c:extLst>
            <c:ext xmlns:c16="http://schemas.microsoft.com/office/drawing/2014/chart" uri="{C3380CC4-5D6E-409C-BE32-E72D297353CC}">
              <c16:uniqueId val="{00000002-AAC9-4651-AF0C-BF59DC36DE1E}"/>
            </c:ext>
          </c:extLst>
        </c:ser>
        <c:ser>
          <c:idx val="4"/>
          <c:order val="2"/>
          <c:tx>
            <c:strRef>
              <c:f>EI_2!$A$6</c:f>
              <c:strCache>
                <c:ptCount val="1"/>
                <c:pt idx="0">
                  <c:v>Zona del Euro</c:v>
                </c:pt>
              </c:strCache>
            </c:strRef>
          </c:tx>
          <c:spPr>
            <a:ln w="25400">
              <a:solidFill>
                <a:schemeClr val="accent1">
                  <a:lumMod val="50000"/>
                </a:schemeClr>
              </a:solidFill>
              <a:prstDash val="dash"/>
            </a:ln>
            <a:effectLst/>
          </c:spPr>
          <c:marker>
            <c:symbol val="none"/>
          </c:marker>
          <c:cat>
            <c:numRef>
              <c:f>EI_2!$B$3:$D$3</c:f>
              <c:numCache>
                <c:formatCode>General</c:formatCode>
                <c:ptCount val="3"/>
                <c:pt idx="0">
                  <c:v>2020</c:v>
                </c:pt>
                <c:pt idx="1">
                  <c:v>2021</c:v>
                </c:pt>
                <c:pt idx="2">
                  <c:v>2022</c:v>
                </c:pt>
              </c:numCache>
            </c:numRef>
          </c:cat>
          <c:val>
            <c:numRef>
              <c:f>EI_2!$B$6:$D$6</c:f>
              <c:numCache>
                <c:formatCode>_ * #,##0.0_ ;_ * \-#,##0.0_ ;_ * "-"??_ ;_ @_ </c:formatCode>
                <c:ptCount val="3"/>
                <c:pt idx="0">
                  <c:v>-0.26600000000000001</c:v>
                </c:pt>
                <c:pt idx="1">
                  <c:v>4.9640000000000004</c:v>
                </c:pt>
                <c:pt idx="2">
                  <c:v>9.1959999999999997</c:v>
                </c:pt>
              </c:numCache>
            </c:numRef>
          </c:val>
          <c:smooth val="0"/>
          <c:extLst>
            <c:ext xmlns:c16="http://schemas.microsoft.com/office/drawing/2014/chart" uri="{C3380CC4-5D6E-409C-BE32-E72D297353CC}">
              <c16:uniqueId val="{00000003-AAC9-4651-AF0C-BF59DC36DE1E}"/>
            </c:ext>
          </c:extLst>
        </c:ser>
        <c:ser>
          <c:idx val="2"/>
          <c:order val="3"/>
          <c:tx>
            <c:strRef>
              <c:f>EI_2!$A$7</c:f>
              <c:strCache>
                <c:ptCount val="1"/>
                <c:pt idx="0">
                  <c:v>Economias emergentes y en desarrollo</c:v>
                </c:pt>
              </c:strCache>
            </c:strRef>
          </c:tx>
          <c:spPr>
            <a:ln>
              <a:solidFill>
                <a:schemeClr val="accent5">
                  <a:lumMod val="75000"/>
                </a:schemeClr>
              </a:solidFill>
            </a:ln>
          </c:spPr>
          <c:marker>
            <c:symbol val="none"/>
          </c:marker>
          <c:cat>
            <c:numRef>
              <c:f>EI_2!$B$3:$D$3</c:f>
              <c:numCache>
                <c:formatCode>General</c:formatCode>
                <c:ptCount val="3"/>
                <c:pt idx="0">
                  <c:v>2020</c:v>
                </c:pt>
                <c:pt idx="1">
                  <c:v>2021</c:v>
                </c:pt>
                <c:pt idx="2">
                  <c:v>2022</c:v>
                </c:pt>
              </c:numCache>
            </c:numRef>
          </c:cat>
          <c:val>
            <c:numRef>
              <c:f>EI_2!$B$7:$D$7</c:f>
              <c:numCache>
                <c:formatCode>_ * #,##0.0_ ;_ * \-#,##0.0_ ;_ * "-"??_ ;_ @_ </c:formatCode>
                <c:ptCount val="3"/>
                <c:pt idx="0">
                  <c:v>1.0029999999999999</c:v>
                </c:pt>
                <c:pt idx="1">
                  <c:v>2.4409999999999998</c:v>
                </c:pt>
                <c:pt idx="2">
                  <c:v>5.7729999999999997</c:v>
                </c:pt>
              </c:numCache>
            </c:numRef>
          </c:val>
          <c:smooth val="0"/>
          <c:extLst>
            <c:ext xmlns:c16="http://schemas.microsoft.com/office/drawing/2014/chart" uri="{C3380CC4-5D6E-409C-BE32-E72D297353CC}">
              <c16:uniqueId val="{00000004-AAC9-4651-AF0C-BF59DC36DE1E}"/>
            </c:ext>
          </c:extLst>
        </c:ser>
        <c:dLbls>
          <c:showLegendKey val="0"/>
          <c:showVal val="0"/>
          <c:showCatName val="0"/>
          <c:showSerName val="0"/>
          <c:showPercent val="0"/>
          <c:showBubbleSize val="0"/>
        </c:dLbls>
        <c:marker val="1"/>
        <c:smooth val="0"/>
        <c:axId val="970118592"/>
        <c:axId val="970121504"/>
      </c:lineChart>
      <c:catAx>
        <c:axId val="97011859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70121504"/>
        <c:crosses val="autoZero"/>
        <c:auto val="1"/>
        <c:lblAlgn val="ctr"/>
        <c:lblOffset val="100"/>
        <c:noMultiLvlLbl val="0"/>
      </c:catAx>
      <c:valAx>
        <c:axId val="970121504"/>
        <c:scaling>
          <c:orientation val="minMax"/>
        </c:scaling>
        <c:delete val="0"/>
        <c:axPos val="l"/>
        <c:title>
          <c:tx>
            <c:rich>
              <a:bodyPr/>
              <a:lstStyle/>
              <a:p>
                <a:pPr>
                  <a:defRPr b="0">
                    <a:solidFill>
                      <a:schemeClr val="tx1">
                        <a:lumMod val="65000"/>
                        <a:lumOff val="35000"/>
                      </a:schemeClr>
                    </a:solidFill>
                    <a:latin typeface="Times New Roman" panose="02020603050405020304" pitchFamily="18" charset="0"/>
                    <a:cs typeface="Times New Roman" panose="02020603050405020304" pitchFamily="18" charset="0"/>
                  </a:defRPr>
                </a:pPr>
                <a:r>
                  <a:rPr lang="es-GT" b="0">
                    <a:solidFill>
                      <a:schemeClr val="tx1">
                        <a:lumMod val="65000"/>
                        <a:lumOff val="35000"/>
                      </a:schemeClr>
                    </a:solidFill>
                    <a:latin typeface="Times New Roman" panose="02020603050405020304" pitchFamily="18" charset="0"/>
                    <a:cs typeface="Times New Roman" panose="02020603050405020304" pitchFamily="18" charset="0"/>
                  </a:rPr>
                  <a:t>Porcentaje</a:t>
                </a:r>
              </a:p>
            </c:rich>
          </c:tx>
          <c:layout>
            <c:manualLayout>
              <c:xMode val="edge"/>
              <c:yMode val="edge"/>
              <c:x val="1.0914646524001332E-3"/>
              <c:y val="0.34471658405239775"/>
            </c:manualLayout>
          </c:layout>
          <c:overlay val="0"/>
        </c:title>
        <c:numFmt formatCode="_ * #,##0.0_ ;_ * \-#,##0.0_ ;_ * &quot;-&quot;??_ ;_ @_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70118592"/>
        <c:crosses val="autoZero"/>
        <c:crossBetween val="between"/>
      </c:valAx>
    </c:plotArea>
    <c:legend>
      <c:legendPos val="r"/>
      <c:layout>
        <c:manualLayout>
          <c:xMode val="edge"/>
          <c:yMode val="edge"/>
          <c:x val="0.11875767903503243"/>
          <c:y val="2.0100618854574969E-3"/>
          <c:w val="0.8551446817179349"/>
          <c:h val="0.13623227999175785"/>
        </c:manualLayout>
      </c:layout>
      <c:overlay val="1"/>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c:chart>
  <c:spPr>
    <a:solidFill>
      <a:schemeClr val="bg1"/>
    </a:solidFill>
    <a:ln w="9525" cap="flat" cmpd="sng" algn="ctr">
      <a:noFill/>
      <a:round/>
    </a:ln>
    <a:effectLst/>
  </c:spPr>
  <c:txPr>
    <a:bodyPr/>
    <a:lstStyle/>
    <a:p>
      <a:pPr>
        <a:defRPr/>
      </a:pPr>
      <a:endParaRPr lang="es-GT"/>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8506944444444443E-2"/>
          <c:y val="5.5436507936507937E-2"/>
          <c:w val="0.59611111111111115"/>
          <c:h val="0.93726596862161304"/>
        </c:manualLayout>
      </c:layout>
      <c:barChart>
        <c:barDir val="col"/>
        <c:grouping val="stacked"/>
        <c:varyColors val="0"/>
        <c:ser>
          <c:idx val="1"/>
          <c:order val="1"/>
          <c:tx>
            <c:strRef>
              <c:f>'G-SR'!$AW$103</c:f>
              <c:strCache>
                <c:ptCount val="1"/>
                <c:pt idx="0">
                  <c:v>Alimentos                                             </c:v>
                </c:pt>
              </c:strCache>
            </c:strRef>
          </c:tx>
          <c:spPr>
            <a:solidFill>
              <a:schemeClr val="bg1">
                <a:lumMod val="50000"/>
              </a:schemeClr>
            </a:solidFill>
            <a:ln>
              <a:noFill/>
            </a:ln>
            <a:effectLst/>
          </c:spPr>
          <c:invertIfNegative val="0"/>
          <c:cat>
            <c:numRef>
              <c:f>'G-SR'!$AY$101:$BB$101</c:f>
              <c:numCache>
                <c:formatCode>General</c:formatCode>
                <c:ptCount val="4"/>
                <c:pt idx="0">
                  <c:v>2019</c:v>
                </c:pt>
                <c:pt idx="1">
                  <c:v>2020</c:v>
                </c:pt>
                <c:pt idx="2">
                  <c:v>2021</c:v>
                </c:pt>
                <c:pt idx="3">
                  <c:v>2022</c:v>
                </c:pt>
              </c:numCache>
            </c:numRef>
          </c:cat>
          <c:val>
            <c:numRef>
              <c:f>'G-SR'!$AY$103:$BB$103</c:f>
              <c:numCache>
                <c:formatCode>0.0</c:formatCode>
                <c:ptCount val="4"/>
                <c:pt idx="0">
                  <c:v>2.4339402492597713</c:v>
                </c:pt>
                <c:pt idx="1">
                  <c:v>3.6352889949634157</c:v>
                </c:pt>
                <c:pt idx="2">
                  <c:v>1.3403305513748682</c:v>
                </c:pt>
                <c:pt idx="3">
                  <c:v>5.1060347502550965</c:v>
                </c:pt>
              </c:numCache>
            </c:numRef>
          </c:val>
          <c:extLst>
            <c:ext xmlns:c16="http://schemas.microsoft.com/office/drawing/2014/chart" uri="{C3380CC4-5D6E-409C-BE32-E72D297353CC}">
              <c16:uniqueId val="{00000000-DA7E-417C-A1AF-6CD4B9BF95E4}"/>
            </c:ext>
          </c:extLst>
        </c:ser>
        <c:ser>
          <c:idx val="2"/>
          <c:order val="2"/>
          <c:tx>
            <c:strRef>
              <c:f>'G-SR'!$AW$104</c:f>
              <c:strCache>
                <c:ptCount val="1"/>
                <c:pt idx="0">
                  <c:v>Bebidas                                                          </c:v>
                </c:pt>
              </c:strCache>
            </c:strRef>
          </c:tx>
          <c:spPr>
            <a:solidFill>
              <a:schemeClr val="accent3"/>
            </a:solidFill>
            <a:ln>
              <a:noFill/>
            </a:ln>
            <a:effectLst/>
          </c:spPr>
          <c:invertIfNegative val="0"/>
          <c:cat>
            <c:numRef>
              <c:f>'G-SR'!$AY$101:$BB$101</c:f>
              <c:numCache>
                <c:formatCode>General</c:formatCode>
                <c:ptCount val="4"/>
                <c:pt idx="0">
                  <c:v>2019</c:v>
                </c:pt>
                <c:pt idx="1">
                  <c:v>2020</c:v>
                </c:pt>
                <c:pt idx="2">
                  <c:v>2021</c:v>
                </c:pt>
                <c:pt idx="3">
                  <c:v>2022</c:v>
                </c:pt>
              </c:numCache>
            </c:numRef>
          </c:cat>
          <c:val>
            <c:numRef>
              <c:f>'G-SR'!$AY$104:$BB$104</c:f>
              <c:numCache>
                <c:formatCode>0.0</c:formatCode>
                <c:ptCount val="4"/>
                <c:pt idx="0">
                  <c:v>1.3872055151659772E-3</c:v>
                </c:pt>
                <c:pt idx="1">
                  <c:v>2.6637486496023568E-3</c:v>
                </c:pt>
                <c:pt idx="2">
                  <c:v>4.1361622697828867E-3</c:v>
                </c:pt>
                <c:pt idx="3">
                  <c:v>1.6178153039062587E-2</c:v>
                </c:pt>
              </c:numCache>
            </c:numRef>
          </c:val>
          <c:extLst>
            <c:ext xmlns:c16="http://schemas.microsoft.com/office/drawing/2014/chart" uri="{C3380CC4-5D6E-409C-BE32-E72D297353CC}">
              <c16:uniqueId val="{00000001-DA7E-417C-A1AF-6CD4B9BF95E4}"/>
            </c:ext>
          </c:extLst>
        </c:ser>
        <c:ser>
          <c:idx val="3"/>
          <c:order val="3"/>
          <c:tx>
            <c:strRef>
              <c:f>'G-SR'!$AW$105</c:f>
              <c:strCache>
                <c:ptCount val="1"/>
                <c:pt idx="0">
                  <c:v>Prendas de vestir y                                                            </c:v>
                </c:pt>
              </c:strCache>
            </c:strRef>
          </c:tx>
          <c:spPr>
            <a:solidFill>
              <a:schemeClr val="bg1">
                <a:lumMod val="75000"/>
              </a:schemeClr>
            </a:solidFill>
            <a:ln>
              <a:noFill/>
            </a:ln>
            <a:effectLst/>
          </c:spPr>
          <c:invertIfNegative val="0"/>
          <c:cat>
            <c:numRef>
              <c:f>'G-SR'!$AY$101:$BB$101</c:f>
              <c:numCache>
                <c:formatCode>General</c:formatCode>
                <c:ptCount val="4"/>
                <c:pt idx="0">
                  <c:v>2019</c:v>
                </c:pt>
                <c:pt idx="1">
                  <c:v>2020</c:v>
                </c:pt>
                <c:pt idx="2">
                  <c:v>2021</c:v>
                </c:pt>
                <c:pt idx="3">
                  <c:v>2022</c:v>
                </c:pt>
              </c:numCache>
            </c:numRef>
          </c:cat>
          <c:val>
            <c:numRef>
              <c:f>'G-SR'!$AY$105:$BB$105</c:f>
              <c:numCache>
                <c:formatCode>0.0</c:formatCode>
                <c:ptCount val="4"/>
                <c:pt idx="0">
                  <c:v>-3.6182274800141613E-2</c:v>
                </c:pt>
                <c:pt idx="1">
                  <c:v>-1.0967845374655814E-2</c:v>
                </c:pt>
                <c:pt idx="2">
                  <c:v>2.1921725286935707E-2</c:v>
                </c:pt>
                <c:pt idx="3">
                  <c:v>0.21317544884624229</c:v>
                </c:pt>
              </c:numCache>
            </c:numRef>
          </c:val>
          <c:extLst>
            <c:ext xmlns:c16="http://schemas.microsoft.com/office/drawing/2014/chart" uri="{C3380CC4-5D6E-409C-BE32-E72D297353CC}">
              <c16:uniqueId val="{00000002-DA7E-417C-A1AF-6CD4B9BF95E4}"/>
            </c:ext>
          </c:extLst>
        </c:ser>
        <c:ser>
          <c:idx val="4"/>
          <c:order val="4"/>
          <c:tx>
            <c:strRef>
              <c:f>'G-SR'!$AW$106</c:f>
              <c:strCache>
                <c:ptCount val="1"/>
                <c:pt idx="0">
                  <c:v>Vivienda</c:v>
                </c:pt>
              </c:strCache>
            </c:strRef>
          </c:tx>
          <c:spPr>
            <a:solidFill>
              <a:srgbClr val="002060"/>
            </a:solidFill>
            <a:ln>
              <a:noFill/>
            </a:ln>
            <a:effectLst/>
          </c:spPr>
          <c:invertIfNegative val="0"/>
          <c:cat>
            <c:numRef>
              <c:f>'G-SR'!$AY$101:$BB$101</c:f>
              <c:numCache>
                <c:formatCode>General</c:formatCode>
                <c:ptCount val="4"/>
                <c:pt idx="0">
                  <c:v>2019</c:v>
                </c:pt>
                <c:pt idx="1">
                  <c:v>2020</c:v>
                </c:pt>
                <c:pt idx="2">
                  <c:v>2021</c:v>
                </c:pt>
                <c:pt idx="3">
                  <c:v>2022</c:v>
                </c:pt>
              </c:numCache>
            </c:numRef>
          </c:cat>
          <c:val>
            <c:numRef>
              <c:f>'G-SR'!$AY$106:$BB$106</c:f>
              <c:numCache>
                <c:formatCode>0.0</c:formatCode>
                <c:ptCount val="4"/>
                <c:pt idx="0">
                  <c:v>0.12878034489659418</c:v>
                </c:pt>
                <c:pt idx="1">
                  <c:v>7.4727730636700504E-2</c:v>
                </c:pt>
                <c:pt idx="2">
                  <c:v>0.43619999548930966</c:v>
                </c:pt>
                <c:pt idx="3">
                  <c:v>0.52119805914013573</c:v>
                </c:pt>
              </c:numCache>
            </c:numRef>
          </c:val>
          <c:extLst>
            <c:ext xmlns:c16="http://schemas.microsoft.com/office/drawing/2014/chart" uri="{C3380CC4-5D6E-409C-BE32-E72D297353CC}">
              <c16:uniqueId val="{00000003-DA7E-417C-A1AF-6CD4B9BF95E4}"/>
            </c:ext>
          </c:extLst>
        </c:ser>
        <c:ser>
          <c:idx val="5"/>
          <c:order val="5"/>
          <c:tx>
            <c:strRef>
              <c:f>'G-SR'!$AW$107</c:f>
              <c:strCache>
                <c:ptCount val="1"/>
                <c:pt idx="0">
                  <c:v>Muebles</c:v>
                </c:pt>
              </c:strCache>
            </c:strRef>
          </c:tx>
          <c:spPr>
            <a:solidFill>
              <a:schemeClr val="accent5">
                <a:lumMod val="75000"/>
              </a:schemeClr>
            </a:solidFill>
            <a:ln>
              <a:noFill/>
            </a:ln>
            <a:effectLst/>
          </c:spPr>
          <c:invertIfNegative val="0"/>
          <c:cat>
            <c:numRef>
              <c:f>'G-SR'!$AY$101:$BB$101</c:f>
              <c:numCache>
                <c:formatCode>General</c:formatCode>
                <c:ptCount val="4"/>
                <c:pt idx="0">
                  <c:v>2019</c:v>
                </c:pt>
                <c:pt idx="1">
                  <c:v>2020</c:v>
                </c:pt>
                <c:pt idx="2">
                  <c:v>2021</c:v>
                </c:pt>
                <c:pt idx="3">
                  <c:v>2022</c:v>
                </c:pt>
              </c:numCache>
            </c:numRef>
          </c:cat>
          <c:val>
            <c:numRef>
              <c:f>'G-SR'!$AY$107:$BB$107</c:f>
              <c:numCache>
                <c:formatCode>0.0</c:formatCode>
                <c:ptCount val="4"/>
                <c:pt idx="0">
                  <c:v>-4.3518247042170005E-3</c:v>
                </c:pt>
                <c:pt idx="1">
                  <c:v>4.7061393095971189E-2</c:v>
                </c:pt>
                <c:pt idx="2">
                  <c:v>0.15439031916528864</c:v>
                </c:pt>
                <c:pt idx="3">
                  <c:v>0.37360157574583797</c:v>
                </c:pt>
              </c:numCache>
            </c:numRef>
          </c:val>
          <c:extLst>
            <c:ext xmlns:c16="http://schemas.microsoft.com/office/drawing/2014/chart" uri="{C3380CC4-5D6E-409C-BE32-E72D297353CC}">
              <c16:uniqueId val="{00000004-DA7E-417C-A1AF-6CD4B9BF95E4}"/>
            </c:ext>
          </c:extLst>
        </c:ser>
        <c:ser>
          <c:idx val="6"/>
          <c:order val="6"/>
          <c:tx>
            <c:strRef>
              <c:f>'G-SR'!$AW$108</c:f>
              <c:strCache>
                <c:ptCount val="1"/>
                <c:pt idx="0">
                  <c:v>Salud                                                                                               </c:v>
                </c:pt>
              </c:strCache>
            </c:strRef>
          </c:tx>
          <c:spPr>
            <a:solidFill>
              <a:schemeClr val="accent5"/>
            </a:solidFill>
            <a:ln>
              <a:noFill/>
            </a:ln>
            <a:effectLst/>
          </c:spPr>
          <c:invertIfNegative val="0"/>
          <c:cat>
            <c:numRef>
              <c:f>'G-SR'!$AY$101:$BB$101</c:f>
              <c:numCache>
                <c:formatCode>General</c:formatCode>
                <c:ptCount val="4"/>
                <c:pt idx="0">
                  <c:v>2019</c:v>
                </c:pt>
                <c:pt idx="1">
                  <c:v>2020</c:v>
                </c:pt>
                <c:pt idx="2">
                  <c:v>2021</c:v>
                </c:pt>
                <c:pt idx="3">
                  <c:v>2022</c:v>
                </c:pt>
              </c:numCache>
            </c:numRef>
          </c:cat>
          <c:val>
            <c:numRef>
              <c:f>'G-SR'!$AY$108:$BB$108</c:f>
              <c:numCache>
                <c:formatCode>0.0</c:formatCode>
                <c:ptCount val="4"/>
                <c:pt idx="0">
                  <c:v>8.3447718825312558E-2</c:v>
                </c:pt>
                <c:pt idx="1">
                  <c:v>8.1895272319058271E-2</c:v>
                </c:pt>
                <c:pt idx="2">
                  <c:v>5.6532637036517057E-2</c:v>
                </c:pt>
                <c:pt idx="3">
                  <c:v>0.12651307021368985</c:v>
                </c:pt>
              </c:numCache>
            </c:numRef>
          </c:val>
          <c:extLst>
            <c:ext xmlns:c16="http://schemas.microsoft.com/office/drawing/2014/chart" uri="{C3380CC4-5D6E-409C-BE32-E72D297353CC}">
              <c16:uniqueId val="{00000005-DA7E-417C-A1AF-6CD4B9BF95E4}"/>
            </c:ext>
          </c:extLst>
        </c:ser>
        <c:ser>
          <c:idx val="7"/>
          <c:order val="7"/>
          <c:tx>
            <c:strRef>
              <c:f>'G-SR'!$AW$109</c:f>
              <c:strCache>
                <c:ptCount val="1"/>
                <c:pt idx="0">
                  <c:v>Transporte                                                                                          </c:v>
                </c:pt>
              </c:strCache>
            </c:strRef>
          </c:tx>
          <c:spPr>
            <a:solidFill>
              <a:schemeClr val="accent5">
                <a:lumMod val="40000"/>
                <a:lumOff val="60000"/>
              </a:schemeClr>
            </a:solidFill>
            <a:ln>
              <a:noFill/>
            </a:ln>
            <a:effectLst/>
          </c:spPr>
          <c:invertIfNegative val="0"/>
          <c:cat>
            <c:numRef>
              <c:f>'G-SR'!$AY$101:$BB$101</c:f>
              <c:numCache>
                <c:formatCode>General</c:formatCode>
                <c:ptCount val="4"/>
                <c:pt idx="0">
                  <c:v>2019</c:v>
                </c:pt>
                <c:pt idx="1">
                  <c:v>2020</c:v>
                </c:pt>
                <c:pt idx="2">
                  <c:v>2021</c:v>
                </c:pt>
                <c:pt idx="3">
                  <c:v>2022</c:v>
                </c:pt>
              </c:numCache>
            </c:numRef>
          </c:cat>
          <c:val>
            <c:numRef>
              <c:f>'G-SR'!$AY$109:$BB$109</c:f>
              <c:numCache>
                <c:formatCode>0.0</c:formatCode>
                <c:ptCount val="4"/>
                <c:pt idx="0">
                  <c:v>0.44113489780242804</c:v>
                </c:pt>
                <c:pt idx="1">
                  <c:v>0.82089682548955512</c:v>
                </c:pt>
                <c:pt idx="2">
                  <c:v>0.64134336708869655</c:v>
                </c:pt>
                <c:pt idx="3">
                  <c:v>1.5338473683558187</c:v>
                </c:pt>
              </c:numCache>
            </c:numRef>
          </c:val>
          <c:extLst>
            <c:ext xmlns:c16="http://schemas.microsoft.com/office/drawing/2014/chart" uri="{C3380CC4-5D6E-409C-BE32-E72D297353CC}">
              <c16:uniqueId val="{00000006-DA7E-417C-A1AF-6CD4B9BF95E4}"/>
            </c:ext>
          </c:extLst>
        </c:ser>
        <c:ser>
          <c:idx val="8"/>
          <c:order val="8"/>
          <c:tx>
            <c:strRef>
              <c:f>'G-SR'!$AW$110</c:f>
              <c:strCache>
                <c:ptCount val="1"/>
                <c:pt idx="0">
                  <c:v>Comunicaciones                                                                                      </c:v>
                </c:pt>
              </c:strCache>
            </c:strRef>
          </c:tx>
          <c:spPr>
            <a:solidFill>
              <a:schemeClr val="accent3">
                <a:lumMod val="60000"/>
              </a:schemeClr>
            </a:solidFill>
            <a:ln>
              <a:noFill/>
            </a:ln>
            <a:effectLst/>
          </c:spPr>
          <c:invertIfNegative val="0"/>
          <c:cat>
            <c:numRef>
              <c:f>'G-SR'!$AY$101:$BB$101</c:f>
              <c:numCache>
                <c:formatCode>General</c:formatCode>
                <c:ptCount val="4"/>
                <c:pt idx="0">
                  <c:v>2019</c:v>
                </c:pt>
                <c:pt idx="1">
                  <c:v>2020</c:v>
                </c:pt>
                <c:pt idx="2">
                  <c:v>2021</c:v>
                </c:pt>
                <c:pt idx="3">
                  <c:v>2022</c:v>
                </c:pt>
              </c:numCache>
            </c:numRef>
          </c:cat>
          <c:val>
            <c:numRef>
              <c:f>'G-SR'!$AY$110:$BB$110</c:f>
              <c:numCache>
                <c:formatCode>0.0</c:formatCode>
                <c:ptCount val="4"/>
                <c:pt idx="0">
                  <c:v>0.24469379769221475</c:v>
                </c:pt>
                <c:pt idx="1">
                  <c:v>7.4043423778859238E-2</c:v>
                </c:pt>
                <c:pt idx="2">
                  <c:v>1.7658204059798878E-2</c:v>
                </c:pt>
                <c:pt idx="3">
                  <c:v>-1.3437327079794635E-2</c:v>
                </c:pt>
              </c:numCache>
            </c:numRef>
          </c:val>
          <c:extLst>
            <c:ext xmlns:c16="http://schemas.microsoft.com/office/drawing/2014/chart" uri="{C3380CC4-5D6E-409C-BE32-E72D297353CC}">
              <c16:uniqueId val="{00000007-DA7E-417C-A1AF-6CD4B9BF95E4}"/>
            </c:ext>
          </c:extLst>
        </c:ser>
        <c:ser>
          <c:idx val="9"/>
          <c:order val="9"/>
          <c:tx>
            <c:strRef>
              <c:f>'G-SR'!$AW$111</c:f>
              <c:strCache>
                <c:ptCount val="1"/>
                <c:pt idx="0">
                  <c:v>Recreación                                                     </c:v>
                </c:pt>
              </c:strCache>
            </c:strRef>
          </c:tx>
          <c:spPr>
            <a:solidFill>
              <a:schemeClr val="accent6">
                <a:lumMod val="75000"/>
              </a:schemeClr>
            </a:solidFill>
            <a:ln>
              <a:noFill/>
            </a:ln>
            <a:effectLst/>
          </c:spPr>
          <c:invertIfNegative val="0"/>
          <c:cat>
            <c:numRef>
              <c:f>'G-SR'!$AY$101:$BB$101</c:f>
              <c:numCache>
                <c:formatCode>General</c:formatCode>
                <c:ptCount val="4"/>
                <c:pt idx="0">
                  <c:v>2019</c:v>
                </c:pt>
                <c:pt idx="1">
                  <c:v>2020</c:v>
                </c:pt>
                <c:pt idx="2">
                  <c:v>2021</c:v>
                </c:pt>
                <c:pt idx="3">
                  <c:v>2022</c:v>
                </c:pt>
              </c:numCache>
            </c:numRef>
          </c:cat>
          <c:val>
            <c:numRef>
              <c:f>'G-SR'!$AY$111:$BB$111</c:f>
              <c:numCache>
                <c:formatCode>0.0</c:formatCode>
                <c:ptCount val="4"/>
                <c:pt idx="0">
                  <c:v>-2.7049446539483778E-2</c:v>
                </c:pt>
                <c:pt idx="1">
                  <c:v>-3.6465589150725848E-2</c:v>
                </c:pt>
                <c:pt idx="2">
                  <c:v>8.5830431249658237E-2</c:v>
                </c:pt>
                <c:pt idx="3">
                  <c:v>0.26486780776194063</c:v>
                </c:pt>
              </c:numCache>
            </c:numRef>
          </c:val>
          <c:extLst>
            <c:ext xmlns:c16="http://schemas.microsoft.com/office/drawing/2014/chart" uri="{C3380CC4-5D6E-409C-BE32-E72D297353CC}">
              <c16:uniqueId val="{00000008-DA7E-417C-A1AF-6CD4B9BF95E4}"/>
            </c:ext>
          </c:extLst>
        </c:ser>
        <c:ser>
          <c:idx val="10"/>
          <c:order val="10"/>
          <c:tx>
            <c:strRef>
              <c:f>'G-SR'!$AW$112</c:f>
              <c:strCache>
                <c:ptCount val="1"/>
                <c:pt idx="0">
                  <c:v>Educación                                                                                           </c:v>
                </c:pt>
              </c:strCache>
            </c:strRef>
          </c:tx>
          <c:spPr>
            <a:solidFill>
              <a:schemeClr val="accent5">
                <a:lumMod val="60000"/>
              </a:schemeClr>
            </a:solidFill>
            <a:ln>
              <a:noFill/>
            </a:ln>
            <a:effectLst/>
          </c:spPr>
          <c:invertIfNegative val="0"/>
          <c:cat>
            <c:numRef>
              <c:f>'G-SR'!$AY$101:$BB$101</c:f>
              <c:numCache>
                <c:formatCode>General</c:formatCode>
                <c:ptCount val="4"/>
                <c:pt idx="0">
                  <c:v>2019</c:v>
                </c:pt>
                <c:pt idx="1">
                  <c:v>2020</c:v>
                </c:pt>
                <c:pt idx="2">
                  <c:v>2021</c:v>
                </c:pt>
                <c:pt idx="3">
                  <c:v>2022</c:v>
                </c:pt>
              </c:numCache>
            </c:numRef>
          </c:cat>
          <c:val>
            <c:numRef>
              <c:f>'G-SR'!$AY$112:$BB$112</c:f>
              <c:numCache>
                <c:formatCode>0.0</c:formatCode>
                <c:ptCount val="4"/>
                <c:pt idx="0">
                  <c:v>5.6943221139880273E-3</c:v>
                </c:pt>
                <c:pt idx="1">
                  <c:v>4.4581288507896701E-3</c:v>
                </c:pt>
                <c:pt idx="2">
                  <c:v>-5.2534308495447877E-3</c:v>
                </c:pt>
                <c:pt idx="3">
                  <c:v>4.854340802298354E-3</c:v>
                </c:pt>
              </c:numCache>
            </c:numRef>
          </c:val>
          <c:extLst>
            <c:ext xmlns:c16="http://schemas.microsoft.com/office/drawing/2014/chart" uri="{C3380CC4-5D6E-409C-BE32-E72D297353CC}">
              <c16:uniqueId val="{00000009-DA7E-417C-A1AF-6CD4B9BF95E4}"/>
            </c:ext>
          </c:extLst>
        </c:ser>
        <c:ser>
          <c:idx val="11"/>
          <c:order val="11"/>
          <c:tx>
            <c:strRef>
              <c:f>'G-SR'!$AW$113</c:f>
              <c:strCache>
                <c:ptCount val="1"/>
                <c:pt idx="0">
                  <c:v>Restaurantes y hoteles                                                                              </c:v>
                </c:pt>
              </c:strCache>
            </c:strRef>
          </c:tx>
          <c:spPr>
            <a:solidFill>
              <a:schemeClr val="accent6"/>
            </a:solidFill>
            <a:ln>
              <a:noFill/>
            </a:ln>
            <a:effectLst/>
          </c:spPr>
          <c:invertIfNegative val="0"/>
          <c:cat>
            <c:numRef>
              <c:f>'G-SR'!$AY$101:$BB$101</c:f>
              <c:numCache>
                <c:formatCode>General</c:formatCode>
                <c:ptCount val="4"/>
                <c:pt idx="0">
                  <c:v>2019</c:v>
                </c:pt>
                <c:pt idx="1">
                  <c:v>2020</c:v>
                </c:pt>
                <c:pt idx="2">
                  <c:v>2021</c:v>
                </c:pt>
                <c:pt idx="3">
                  <c:v>2022</c:v>
                </c:pt>
              </c:numCache>
            </c:numRef>
          </c:cat>
          <c:val>
            <c:numRef>
              <c:f>'G-SR'!$AY$113:$BB$113</c:f>
              <c:numCache>
                <c:formatCode>0.0</c:formatCode>
                <c:ptCount val="4"/>
                <c:pt idx="0">
                  <c:v>8.0142396308870892E-2</c:v>
                </c:pt>
                <c:pt idx="1">
                  <c:v>9.7698429161351519E-2</c:v>
                </c:pt>
                <c:pt idx="2">
                  <c:v>0.2286462962515205</c:v>
                </c:pt>
                <c:pt idx="3">
                  <c:v>0.75654823076416067</c:v>
                </c:pt>
              </c:numCache>
            </c:numRef>
          </c:val>
          <c:extLst>
            <c:ext xmlns:c16="http://schemas.microsoft.com/office/drawing/2014/chart" uri="{C3380CC4-5D6E-409C-BE32-E72D297353CC}">
              <c16:uniqueId val="{0000000A-DA7E-417C-A1AF-6CD4B9BF95E4}"/>
            </c:ext>
          </c:extLst>
        </c:ser>
        <c:ser>
          <c:idx val="12"/>
          <c:order val="12"/>
          <c:tx>
            <c:strRef>
              <c:f>'G-SR'!$AW$114</c:f>
              <c:strCache>
                <c:ptCount val="1"/>
                <c:pt idx="0">
                  <c:v>Bienes y servicios                                                                       </c:v>
                </c:pt>
              </c:strCache>
            </c:strRef>
          </c:tx>
          <c:spPr>
            <a:solidFill>
              <a:schemeClr val="accent4"/>
            </a:solidFill>
            <a:ln>
              <a:noFill/>
            </a:ln>
            <a:effectLst/>
          </c:spPr>
          <c:invertIfNegative val="0"/>
          <c:cat>
            <c:numRef>
              <c:f>'G-SR'!$AY$101:$BB$101</c:f>
              <c:numCache>
                <c:formatCode>General</c:formatCode>
                <c:ptCount val="4"/>
                <c:pt idx="0">
                  <c:v>2019</c:v>
                </c:pt>
                <c:pt idx="1">
                  <c:v>2020</c:v>
                </c:pt>
                <c:pt idx="2">
                  <c:v>2021</c:v>
                </c:pt>
                <c:pt idx="3">
                  <c:v>2022</c:v>
                </c:pt>
              </c:numCache>
            </c:numRef>
          </c:cat>
          <c:val>
            <c:numRef>
              <c:f>'G-SR'!$AY$114:$BB$114</c:f>
              <c:numCache>
                <c:formatCode>0.0</c:formatCode>
                <c:ptCount val="4"/>
                <c:pt idx="0">
                  <c:v>4.8005931591697172E-2</c:v>
                </c:pt>
                <c:pt idx="1">
                  <c:v>3.7343907073568647E-2</c:v>
                </c:pt>
                <c:pt idx="2">
                  <c:v>8.617099250575315E-2</c:v>
                </c:pt>
                <c:pt idx="3">
                  <c:v>0.32741805488480857</c:v>
                </c:pt>
              </c:numCache>
            </c:numRef>
          </c:val>
          <c:extLst>
            <c:ext xmlns:c16="http://schemas.microsoft.com/office/drawing/2014/chart" uri="{C3380CC4-5D6E-409C-BE32-E72D297353CC}">
              <c16:uniqueId val="{0000000B-DA7E-417C-A1AF-6CD4B9BF95E4}"/>
            </c:ext>
          </c:extLst>
        </c:ser>
        <c:dLbls>
          <c:showLegendKey val="0"/>
          <c:showVal val="0"/>
          <c:showCatName val="0"/>
          <c:showSerName val="0"/>
          <c:showPercent val="0"/>
          <c:showBubbleSize val="0"/>
        </c:dLbls>
        <c:gapWidth val="50"/>
        <c:overlap val="100"/>
        <c:axId val="819902895"/>
        <c:axId val="819886671"/>
      </c:barChart>
      <c:lineChart>
        <c:grouping val="standard"/>
        <c:varyColors val="0"/>
        <c:ser>
          <c:idx val="0"/>
          <c:order val="0"/>
          <c:tx>
            <c:strRef>
              <c:f>'G-SR'!$AW$102</c:f>
              <c:strCache>
                <c:ptCount val="1"/>
                <c:pt idx="0">
                  <c:v>IPC</c:v>
                </c:pt>
              </c:strCache>
            </c:strRef>
          </c:tx>
          <c:spPr>
            <a:ln w="28575" cap="rnd">
              <a:solidFill>
                <a:srgbClr val="C00000"/>
              </a:solidFill>
              <a:round/>
            </a:ln>
            <a:effectLst/>
          </c:spPr>
          <c:marker>
            <c:symbol val="none"/>
          </c:marker>
          <c:dLbls>
            <c:dLbl>
              <c:idx val="1"/>
              <c:layout>
                <c:manualLayout>
                  <c:x val="-5.9724884116440731E-2"/>
                  <c:y val="-6.38827833991249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A7E-417C-A1AF-6CD4B9BF95E4}"/>
                </c:ext>
              </c:extLst>
            </c:dLbl>
            <c:dLbl>
              <c:idx val="2"/>
              <c:layout>
                <c:manualLayout>
                  <c:x val="-7.0043552965131373E-2"/>
                  <c:y val="-0.1327891758272592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A7E-417C-A1AF-6CD4B9BF95E4}"/>
                </c:ext>
              </c:extLst>
            </c:dLbl>
            <c:dLbl>
              <c:idx val="4"/>
              <c:layout>
                <c:manualLayout>
                  <c:x val="-5.8484027777777781E-2"/>
                  <c:y val="-9.31964285714285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A7E-417C-A1AF-6CD4B9BF95E4}"/>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'G-SR'!$AY$101:$BB$101</c:f>
              <c:numCache>
                <c:formatCode>General</c:formatCode>
                <c:ptCount val="4"/>
                <c:pt idx="0">
                  <c:v>2019</c:v>
                </c:pt>
                <c:pt idx="1">
                  <c:v>2020</c:v>
                </c:pt>
                <c:pt idx="2">
                  <c:v>2021</c:v>
                </c:pt>
                <c:pt idx="3">
                  <c:v>2022</c:v>
                </c:pt>
              </c:numCache>
            </c:numRef>
          </c:cat>
          <c:val>
            <c:numRef>
              <c:f>'G-SR'!$AY$102:$BB$102</c:f>
              <c:numCache>
                <c:formatCode>0.0</c:formatCode>
                <c:ptCount val="4"/>
                <c:pt idx="0">
                  <c:v>3.3996433179622003</c:v>
                </c:pt>
                <c:pt idx="1">
                  <c:v>4.8286444194934912</c:v>
                </c:pt>
                <c:pt idx="2">
                  <c:v>3.067907250928585</c:v>
                </c:pt>
                <c:pt idx="3">
                  <c:v>9.2307995327292964</c:v>
                </c:pt>
              </c:numCache>
            </c:numRef>
          </c:val>
          <c:smooth val="0"/>
          <c:extLst>
            <c:ext xmlns:c16="http://schemas.microsoft.com/office/drawing/2014/chart" uri="{C3380CC4-5D6E-409C-BE32-E72D297353CC}">
              <c16:uniqueId val="{0000000F-DA7E-417C-A1AF-6CD4B9BF95E4}"/>
            </c:ext>
          </c:extLst>
        </c:ser>
        <c:dLbls>
          <c:showLegendKey val="0"/>
          <c:showVal val="0"/>
          <c:showCatName val="0"/>
          <c:showSerName val="0"/>
          <c:showPercent val="0"/>
          <c:showBubbleSize val="0"/>
        </c:dLbls>
        <c:marker val="1"/>
        <c:smooth val="0"/>
        <c:axId val="819902895"/>
        <c:axId val="819886671"/>
      </c:lineChart>
      <c:catAx>
        <c:axId val="8199028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819886671"/>
        <c:crosses val="autoZero"/>
        <c:auto val="1"/>
        <c:lblAlgn val="ctr"/>
        <c:lblOffset val="100"/>
        <c:noMultiLvlLbl val="0"/>
      </c:catAx>
      <c:valAx>
        <c:axId val="819886671"/>
        <c:scaling>
          <c:orientation val="minMax"/>
        </c:scaling>
        <c:delete val="1"/>
        <c:axPos val="l"/>
        <c:numFmt formatCode="0.0" sourceLinked="1"/>
        <c:majorTickMark val="none"/>
        <c:minorTickMark val="none"/>
        <c:tickLblPos val="nextTo"/>
        <c:crossAx val="819902895"/>
        <c:crosses val="autoZero"/>
        <c:crossBetween val="between"/>
      </c:valAx>
      <c:spPr>
        <a:noFill/>
        <a:ln>
          <a:noFill/>
        </a:ln>
        <a:effectLst/>
      </c:spPr>
    </c:plotArea>
    <c:legend>
      <c:legendPos val="r"/>
      <c:layout>
        <c:manualLayout>
          <c:xMode val="edge"/>
          <c:yMode val="edge"/>
          <c:x val="0.64946317251116537"/>
          <c:y val="4.8138859762878211E-2"/>
          <c:w val="0.33943782252677207"/>
          <c:h val="0.93590123866646346"/>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91421338309673"/>
          <c:y val="0.17160558587293501"/>
          <c:w val="0.86570494746637505"/>
          <c:h val="0.74123799241334332"/>
        </c:manualLayout>
      </c:layout>
      <c:barChart>
        <c:barDir val="col"/>
        <c:grouping val="clustered"/>
        <c:varyColors val="0"/>
        <c:ser>
          <c:idx val="4"/>
          <c:order val="4"/>
          <c:tx>
            <c:strRef>
              <c:f>'G-SR'!$AW$81</c:f>
              <c:strCache>
                <c:ptCount val="1"/>
                <c:pt idx="0">
                  <c:v>Producto Interno Bruto</c:v>
                </c:pt>
              </c:strCache>
            </c:strRef>
          </c:tx>
          <c:spPr>
            <a:solidFill>
              <a:schemeClr val="bg1">
                <a:lumMod val="65000"/>
              </a:schemeClr>
            </a:solidFill>
            <a:ln>
              <a:noFill/>
            </a:ln>
            <a:effectLst/>
          </c:spPr>
          <c:invertIfNegative val="0"/>
          <c:cat>
            <c:numRef>
              <c:f>'G-SR'!$AX$76:$BB$76</c:f>
              <c:numCache>
                <c:formatCode>General</c:formatCode>
                <c:ptCount val="5"/>
                <c:pt idx="0">
                  <c:v>2018</c:v>
                </c:pt>
                <c:pt idx="1">
                  <c:v>2019</c:v>
                </c:pt>
                <c:pt idx="2">
                  <c:v>2020</c:v>
                </c:pt>
                <c:pt idx="3">
                  <c:v>2021</c:v>
                </c:pt>
                <c:pt idx="4">
                  <c:v>2022</c:v>
                </c:pt>
              </c:numCache>
            </c:numRef>
          </c:cat>
          <c:val>
            <c:numRef>
              <c:f>'G-SR'!$AX$81:$BB$81</c:f>
              <c:numCache>
                <c:formatCode>_ * #,##0.0_ ;_ * \-#,##0.0_ ;_ * "-"??_ ;_ @_ </c:formatCode>
                <c:ptCount val="5"/>
                <c:pt idx="0">
                  <c:v>1.2716120551937706</c:v>
                </c:pt>
                <c:pt idx="1">
                  <c:v>3.5657828710647266</c:v>
                </c:pt>
                <c:pt idx="2">
                  <c:v>2.8732602039495418</c:v>
                </c:pt>
                <c:pt idx="3">
                  <c:v>2.6935024704003609</c:v>
                </c:pt>
                <c:pt idx="4">
                  <c:v>6.2243034716996704</c:v>
                </c:pt>
              </c:numCache>
            </c:numRef>
          </c:val>
          <c:extLst>
            <c:ext xmlns:c16="http://schemas.microsoft.com/office/drawing/2014/chart" uri="{C3380CC4-5D6E-409C-BE32-E72D297353CC}">
              <c16:uniqueId val="{00000000-C06A-49D6-93F7-7ADB0BF9259C}"/>
            </c:ext>
          </c:extLst>
        </c:ser>
        <c:dLbls>
          <c:showLegendKey val="0"/>
          <c:showVal val="0"/>
          <c:showCatName val="0"/>
          <c:showSerName val="0"/>
          <c:showPercent val="0"/>
          <c:showBubbleSize val="0"/>
        </c:dLbls>
        <c:gapWidth val="150"/>
        <c:axId val="1922798624"/>
        <c:axId val="1922799456"/>
      </c:barChart>
      <c:lineChart>
        <c:grouping val="standard"/>
        <c:varyColors val="0"/>
        <c:ser>
          <c:idx val="0"/>
          <c:order val="0"/>
          <c:tx>
            <c:strRef>
              <c:f>'G-SR'!$AW$77</c:f>
              <c:strCache>
                <c:ptCount val="1"/>
                <c:pt idx="0">
                  <c:v>Consumo final</c:v>
                </c:pt>
              </c:strCache>
            </c:strRef>
          </c:tx>
          <c:spPr>
            <a:ln w="28575" cap="rnd">
              <a:solidFill>
                <a:srgbClr val="B80D48"/>
              </a:solidFill>
              <a:prstDash val="lgDashDot"/>
              <a:round/>
            </a:ln>
            <a:effectLst/>
          </c:spPr>
          <c:marker>
            <c:symbol val="none"/>
          </c:marker>
          <c:cat>
            <c:numRef>
              <c:f>'G-SR'!$AX$76:$BB$76</c:f>
              <c:numCache>
                <c:formatCode>General</c:formatCode>
                <c:ptCount val="5"/>
                <c:pt idx="0">
                  <c:v>2018</c:v>
                </c:pt>
                <c:pt idx="1">
                  <c:v>2019</c:v>
                </c:pt>
                <c:pt idx="2">
                  <c:v>2020</c:v>
                </c:pt>
                <c:pt idx="3">
                  <c:v>2021</c:v>
                </c:pt>
                <c:pt idx="4">
                  <c:v>2022</c:v>
                </c:pt>
              </c:numCache>
            </c:numRef>
          </c:cat>
          <c:val>
            <c:numRef>
              <c:f>'G-SR'!$AX$77:$BB$77</c:f>
              <c:numCache>
                <c:formatCode>_ * #,##0.0_ ;_ * \-#,##0.0_ ;_ * "-"??_ ;_ @_ </c:formatCode>
                <c:ptCount val="5"/>
                <c:pt idx="0">
                  <c:v>2.1703857940644582</c:v>
                </c:pt>
                <c:pt idx="1">
                  <c:v>2.1712974424479938</c:v>
                </c:pt>
                <c:pt idx="2">
                  <c:v>1.3048500451484415</c:v>
                </c:pt>
                <c:pt idx="3">
                  <c:v>5.0992683662056493</c:v>
                </c:pt>
                <c:pt idx="4">
                  <c:v>8.7666492839645827</c:v>
                </c:pt>
              </c:numCache>
            </c:numRef>
          </c:val>
          <c:smooth val="0"/>
          <c:extLst>
            <c:ext xmlns:c16="http://schemas.microsoft.com/office/drawing/2014/chart" uri="{C3380CC4-5D6E-409C-BE32-E72D297353CC}">
              <c16:uniqueId val="{00000001-C06A-49D6-93F7-7ADB0BF9259C}"/>
            </c:ext>
          </c:extLst>
        </c:ser>
        <c:ser>
          <c:idx val="1"/>
          <c:order val="1"/>
          <c:tx>
            <c:strRef>
              <c:f>'G-SR'!$AW$78</c:f>
              <c:strCache>
                <c:ptCount val="1"/>
                <c:pt idx="0">
                  <c:v>Formación bruta de capital fijo</c:v>
                </c:pt>
              </c:strCache>
            </c:strRef>
          </c:tx>
          <c:spPr>
            <a:ln w="28575" cap="rnd">
              <a:solidFill>
                <a:srgbClr val="011A27"/>
              </a:solidFill>
              <a:prstDash val="sysDot"/>
              <a:round/>
            </a:ln>
            <a:effectLst/>
          </c:spPr>
          <c:marker>
            <c:symbol val="none"/>
          </c:marker>
          <c:cat>
            <c:numRef>
              <c:f>'G-SR'!$AX$76:$BB$76</c:f>
              <c:numCache>
                <c:formatCode>General</c:formatCode>
                <c:ptCount val="5"/>
                <c:pt idx="0">
                  <c:v>2018</c:v>
                </c:pt>
                <c:pt idx="1">
                  <c:v>2019</c:v>
                </c:pt>
                <c:pt idx="2">
                  <c:v>2020</c:v>
                </c:pt>
                <c:pt idx="3">
                  <c:v>2021</c:v>
                </c:pt>
                <c:pt idx="4">
                  <c:v>2022</c:v>
                </c:pt>
              </c:numCache>
            </c:numRef>
          </c:cat>
          <c:val>
            <c:numRef>
              <c:f>'G-SR'!$AX$78:$BB$78</c:f>
              <c:numCache>
                <c:formatCode>_ * #,##0.0_ ;_ * \-#,##0.0_ ;_ * "-"??_ ;_ @_ </c:formatCode>
                <c:ptCount val="5"/>
                <c:pt idx="0">
                  <c:v>0.87752006917847325</c:v>
                </c:pt>
                <c:pt idx="1">
                  <c:v>3.9714472235168614</c:v>
                </c:pt>
                <c:pt idx="2">
                  <c:v>0.81270966005131129</c:v>
                </c:pt>
                <c:pt idx="3">
                  <c:v>9.4538148130874049</c:v>
                </c:pt>
                <c:pt idx="4">
                  <c:v>10.579370089496791</c:v>
                </c:pt>
              </c:numCache>
            </c:numRef>
          </c:val>
          <c:smooth val="0"/>
          <c:extLst>
            <c:ext xmlns:c16="http://schemas.microsoft.com/office/drawing/2014/chart" uri="{C3380CC4-5D6E-409C-BE32-E72D297353CC}">
              <c16:uniqueId val="{00000002-C06A-49D6-93F7-7ADB0BF9259C}"/>
            </c:ext>
          </c:extLst>
        </c:ser>
        <c:ser>
          <c:idx val="2"/>
          <c:order val="2"/>
          <c:tx>
            <c:strRef>
              <c:f>'G-SR'!$AW$79</c:f>
              <c:strCache>
                <c:ptCount val="1"/>
                <c:pt idx="0">
                  <c:v>Exportaciones</c:v>
                </c:pt>
              </c:strCache>
            </c:strRef>
          </c:tx>
          <c:spPr>
            <a:ln w="28575" cap="rnd">
              <a:solidFill>
                <a:srgbClr val="F0810F"/>
              </a:solidFill>
              <a:prstDash val="dash"/>
              <a:round/>
            </a:ln>
            <a:effectLst/>
          </c:spPr>
          <c:marker>
            <c:symbol val="none"/>
          </c:marker>
          <c:cat>
            <c:numRef>
              <c:f>'G-SR'!$AX$76:$BB$76</c:f>
              <c:numCache>
                <c:formatCode>General</c:formatCode>
                <c:ptCount val="5"/>
                <c:pt idx="0">
                  <c:v>2018</c:v>
                </c:pt>
                <c:pt idx="1">
                  <c:v>2019</c:v>
                </c:pt>
                <c:pt idx="2">
                  <c:v>2020</c:v>
                </c:pt>
                <c:pt idx="3">
                  <c:v>2021</c:v>
                </c:pt>
                <c:pt idx="4">
                  <c:v>2022</c:v>
                </c:pt>
              </c:numCache>
            </c:numRef>
          </c:cat>
          <c:val>
            <c:numRef>
              <c:f>'G-SR'!$AX$79:$BB$79</c:f>
              <c:numCache>
                <c:formatCode>_ * #,##0.0_ ;_ * \-#,##0.0_ ;_ * "-"??_ ;_ @_ </c:formatCode>
                <c:ptCount val="5"/>
                <c:pt idx="0">
                  <c:v>3.2596772677478754</c:v>
                </c:pt>
                <c:pt idx="1">
                  <c:v>4.1809366368623841</c:v>
                </c:pt>
                <c:pt idx="2">
                  <c:v>1.3894817987940087</c:v>
                </c:pt>
                <c:pt idx="3">
                  <c:v>9.0092219446934649</c:v>
                </c:pt>
                <c:pt idx="4">
                  <c:v>11.002970947284837</c:v>
                </c:pt>
              </c:numCache>
            </c:numRef>
          </c:val>
          <c:smooth val="0"/>
          <c:extLst>
            <c:ext xmlns:c16="http://schemas.microsoft.com/office/drawing/2014/chart" uri="{C3380CC4-5D6E-409C-BE32-E72D297353CC}">
              <c16:uniqueId val="{00000003-C06A-49D6-93F7-7ADB0BF9259C}"/>
            </c:ext>
          </c:extLst>
        </c:ser>
        <c:ser>
          <c:idx val="3"/>
          <c:order val="3"/>
          <c:tx>
            <c:strRef>
              <c:f>'G-SR'!$AW$80</c:f>
              <c:strCache>
                <c:ptCount val="1"/>
                <c:pt idx="0">
                  <c:v>Importaciones</c:v>
                </c:pt>
              </c:strCache>
            </c:strRef>
          </c:tx>
          <c:spPr>
            <a:ln w="28575" cap="rnd">
              <a:solidFill>
                <a:srgbClr val="011A27"/>
              </a:solidFill>
              <a:prstDash val="solid"/>
              <a:round/>
            </a:ln>
            <a:effectLst/>
          </c:spPr>
          <c:marker>
            <c:symbol val="none"/>
          </c:marker>
          <c:cat>
            <c:numRef>
              <c:f>'G-SR'!$AX$76:$BB$76</c:f>
              <c:numCache>
                <c:formatCode>General</c:formatCode>
                <c:ptCount val="5"/>
                <c:pt idx="0">
                  <c:v>2018</c:v>
                </c:pt>
                <c:pt idx="1">
                  <c:v>2019</c:v>
                </c:pt>
                <c:pt idx="2">
                  <c:v>2020</c:v>
                </c:pt>
                <c:pt idx="3">
                  <c:v>2021</c:v>
                </c:pt>
                <c:pt idx="4">
                  <c:v>2022</c:v>
                </c:pt>
              </c:numCache>
            </c:numRef>
          </c:cat>
          <c:val>
            <c:numRef>
              <c:f>'G-SR'!$AX$80:$BB$80</c:f>
              <c:numCache>
                <c:formatCode>_ * #,##0.0_ ;_ * \-#,##0.0_ ;_ * "-"??_ ;_ @_ </c:formatCode>
                <c:ptCount val="5"/>
                <c:pt idx="0">
                  <c:v>5.3984916081478644</c:v>
                </c:pt>
                <c:pt idx="1">
                  <c:v>-0.60279141173816697</c:v>
                </c:pt>
                <c:pt idx="2">
                  <c:v>-4.7322022195611453</c:v>
                </c:pt>
                <c:pt idx="3">
                  <c:v>18.953984620969351</c:v>
                </c:pt>
                <c:pt idx="4">
                  <c:v>18.899136859635647</c:v>
                </c:pt>
              </c:numCache>
            </c:numRef>
          </c:val>
          <c:smooth val="0"/>
          <c:extLst>
            <c:ext xmlns:c16="http://schemas.microsoft.com/office/drawing/2014/chart" uri="{C3380CC4-5D6E-409C-BE32-E72D297353CC}">
              <c16:uniqueId val="{00000004-C06A-49D6-93F7-7ADB0BF9259C}"/>
            </c:ext>
          </c:extLst>
        </c:ser>
        <c:dLbls>
          <c:showLegendKey val="0"/>
          <c:showVal val="0"/>
          <c:showCatName val="0"/>
          <c:showSerName val="0"/>
          <c:showPercent val="0"/>
          <c:showBubbleSize val="0"/>
        </c:dLbls>
        <c:marker val="1"/>
        <c:smooth val="0"/>
        <c:axId val="1922798624"/>
        <c:axId val="1922799456"/>
      </c:lineChart>
      <c:catAx>
        <c:axId val="192279862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922799456"/>
        <c:crosses val="autoZero"/>
        <c:auto val="1"/>
        <c:lblAlgn val="ctr"/>
        <c:lblOffset val="100"/>
        <c:noMultiLvlLbl val="0"/>
      </c:catAx>
      <c:valAx>
        <c:axId val="1922799456"/>
        <c:scaling>
          <c:orientation val="minMax"/>
          <c:min val="-6"/>
        </c:scaling>
        <c:delete val="0"/>
        <c:axPos val="l"/>
        <c:numFmt formatCode="_ * #,##0.0_ ;_ * \-#,##0.0_ ;_ * &quot;-&quot;??_ ;_ @_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922798624"/>
        <c:crosses val="autoZero"/>
        <c:crossBetween val="between"/>
      </c:valAx>
      <c:spPr>
        <a:noFill/>
        <a:ln>
          <a:noFill/>
        </a:ln>
        <a:effectLst/>
      </c:spPr>
    </c:plotArea>
    <c:legend>
      <c:legendPos val="b"/>
      <c:layout>
        <c:manualLayout>
          <c:xMode val="edge"/>
          <c:yMode val="edge"/>
          <c:x val="0.10214989916612327"/>
          <c:y val="1.1180092592592587E-2"/>
          <c:w val="0.73925194362515423"/>
          <c:h val="0.2162972222222222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34604170616793"/>
          <c:y val="6.0913422274778396E-2"/>
          <c:w val="0.8538434569826886"/>
          <c:h val="0.82205417322834651"/>
        </c:manualLayout>
      </c:layout>
      <c:barChart>
        <c:barDir val="col"/>
        <c:grouping val="clustered"/>
        <c:varyColors val="0"/>
        <c:ser>
          <c:idx val="0"/>
          <c:order val="0"/>
          <c:tx>
            <c:strRef>
              <c:f>data!$N$2</c:f>
              <c:strCache>
                <c:ptCount val="1"/>
                <c:pt idx="0">
                  <c:v>OIT</c:v>
                </c:pt>
              </c:strCache>
            </c:strRef>
          </c:tx>
          <c:spPr>
            <a:solidFill>
              <a:srgbClr val="002060"/>
            </a:solidFill>
            <a:ln>
              <a:noFill/>
            </a:ln>
            <a:effectLst/>
          </c:spPr>
          <c:invertIfNegative val="0"/>
          <c:cat>
            <c:numRef>
              <c:f>data!$K$17:$K$24</c:f>
              <c:numCache>
                <c:formatCode>0</c:formatCode>
                <c:ptCount val="8"/>
                <c:pt idx="0">
                  <c:v>2015</c:v>
                </c:pt>
                <c:pt idx="1">
                  <c:v>2016</c:v>
                </c:pt>
                <c:pt idx="2">
                  <c:v>2017</c:v>
                </c:pt>
                <c:pt idx="3">
                  <c:v>2018</c:v>
                </c:pt>
                <c:pt idx="4">
                  <c:v>2019</c:v>
                </c:pt>
                <c:pt idx="5">
                  <c:v>2020</c:v>
                </c:pt>
                <c:pt idx="6">
                  <c:v>2021</c:v>
                </c:pt>
                <c:pt idx="7">
                  <c:v>2022</c:v>
                </c:pt>
              </c:numCache>
            </c:numRef>
          </c:cat>
          <c:val>
            <c:numRef>
              <c:f>data!$N$17:$N$24</c:f>
              <c:numCache>
                <c:formatCode>_-* #,##0.0_-;\-* #,##0.0_-;_-* "-"??_-;_-@_-</c:formatCode>
                <c:ptCount val="8"/>
                <c:pt idx="0">
                  <c:v>2.5099999904632599</c:v>
                </c:pt>
                <c:pt idx="1">
                  <c:v>2.5799999237060498</c:v>
                </c:pt>
                <c:pt idx="2">
                  <c:v>2.46000003814697</c:v>
                </c:pt>
                <c:pt idx="3">
                  <c:v>2.2799999713897701</c:v>
                </c:pt>
                <c:pt idx="4">
                  <c:v>2.1900000572204599</c:v>
                </c:pt>
                <c:pt idx="5">
                  <c:v>3.3589999675750701</c:v>
                </c:pt>
                <c:pt idx="6">
                  <c:v>2.9419999122619598</c:v>
                </c:pt>
              </c:numCache>
            </c:numRef>
          </c:val>
          <c:extLst>
            <c:ext xmlns:c16="http://schemas.microsoft.com/office/drawing/2014/chart" uri="{C3380CC4-5D6E-409C-BE32-E72D297353CC}">
              <c16:uniqueId val="{00000000-BBD7-4F80-8575-121E64157DE8}"/>
            </c:ext>
          </c:extLst>
        </c:ser>
        <c:dLbls>
          <c:showLegendKey val="0"/>
          <c:showVal val="0"/>
          <c:showCatName val="0"/>
          <c:showSerName val="0"/>
          <c:showPercent val="0"/>
          <c:showBubbleSize val="0"/>
        </c:dLbls>
        <c:gapWidth val="150"/>
        <c:axId val="1198148447"/>
        <c:axId val="1198159679"/>
      </c:barChart>
      <c:lineChart>
        <c:grouping val="standard"/>
        <c:varyColors val="0"/>
        <c:ser>
          <c:idx val="1"/>
          <c:order val="1"/>
          <c:tx>
            <c:strRef>
              <c:f>data!$O$2</c:f>
              <c:strCache>
                <c:ptCount val="1"/>
                <c:pt idx="0">
                  <c:v>INE</c:v>
                </c:pt>
              </c:strCache>
            </c:strRef>
          </c:tx>
          <c:spPr>
            <a:ln w="28575" cap="rnd">
              <a:noFill/>
              <a:round/>
            </a:ln>
            <a:effectLst/>
          </c:spPr>
          <c:marker>
            <c:symbol val="diamond"/>
            <c:size val="10"/>
            <c:spPr>
              <a:solidFill>
                <a:schemeClr val="accent2"/>
              </a:solidFill>
              <a:ln w="9525">
                <a:noFill/>
              </a:ln>
              <a:effectLst/>
            </c:spPr>
          </c:marker>
          <c:dLbls>
            <c:dLbl>
              <c:idx val="9"/>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BD7-4F80-8575-121E64157DE8}"/>
                </c:ext>
              </c:extLst>
            </c:dLbl>
            <c:dLbl>
              <c:idx val="1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BD7-4F80-8575-121E64157DE8}"/>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2"/>
                    </a:solidFill>
                    <a:latin typeface="+mn-lt"/>
                    <a:ea typeface="+mn-ea"/>
                    <a:cs typeface="+mn-cs"/>
                  </a:defRPr>
                </a:pPr>
                <a:endParaRPr lang="es-GT"/>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[1]IMAE!$K$123:$K$134</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cat>
          <c:val>
            <c:numRef>
              <c:f>data!$O$17:$O$24</c:f>
              <c:numCache>
                <c:formatCode>_-* #,##0.0_-;\-* #,##0.0_-;_-* "-"??_-;_-@_-</c:formatCode>
                <c:ptCount val="8"/>
                <c:pt idx="0">
                  <c:v>2.7</c:v>
                </c:pt>
                <c:pt idx="1">
                  <c:v>2.4</c:v>
                </c:pt>
                <c:pt idx="2">
                  <c:v>2.1</c:v>
                </c:pt>
                <c:pt idx="3">
                  <c:v>2</c:v>
                </c:pt>
                <c:pt idx="4">
                  <c:v>2</c:v>
                </c:pt>
                <c:pt idx="6">
                  <c:v>2.2000000000000002</c:v>
                </c:pt>
                <c:pt idx="7">
                  <c:v>3</c:v>
                </c:pt>
              </c:numCache>
            </c:numRef>
          </c:val>
          <c:smooth val="0"/>
          <c:extLst>
            <c:ext xmlns:c16="http://schemas.microsoft.com/office/drawing/2014/chart" uri="{C3380CC4-5D6E-409C-BE32-E72D297353CC}">
              <c16:uniqueId val="{00000003-BBD7-4F80-8575-121E64157DE8}"/>
            </c:ext>
          </c:extLst>
        </c:ser>
        <c:dLbls>
          <c:showLegendKey val="0"/>
          <c:showVal val="0"/>
          <c:showCatName val="0"/>
          <c:showSerName val="0"/>
          <c:showPercent val="0"/>
          <c:showBubbleSize val="0"/>
        </c:dLbls>
        <c:marker val="1"/>
        <c:smooth val="0"/>
        <c:axId val="1198148447"/>
        <c:axId val="1198159679"/>
      </c:lineChart>
      <c:catAx>
        <c:axId val="1198148447"/>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198159679"/>
        <c:crosses val="autoZero"/>
        <c:auto val="1"/>
        <c:lblAlgn val="ctr"/>
        <c:lblOffset val="100"/>
        <c:noMultiLvlLbl val="0"/>
      </c:catAx>
      <c:valAx>
        <c:axId val="1198159679"/>
        <c:scaling>
          <c:orientation val="minMax"/>
        </c:scaling>
        <c:delete val="0"/>
        <c:axPos val="l"/>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700">
                    <a:latin typeface="Times New Roman" panose="02020603050405020304" pitchFamily="18" charset="0"/>
                    <a:cs typeface="Times New Roman" panose="02020603050405020304" pitchFamily="18" charset="0"/>
                  </a:rPr>
                  <a:t>En</a:t>
                </a:r>
                <a:r>
                  <a:rPr lang="es-GT" sz="700" baseline="0">
                    <a:latin typeface="Times New Roman" panose="02020603050405020304" pitchFamily="18" charset="0"/>
                    <a:cs typeface="Times New Roman" panose="02020603050405020304" pitchFamily="18" charset="0"/>
                  </a:rPr>
                  <a:t> porcentaje</a:t>
                </a:r>
                <a:endParaRPr lang="es-GT" sz="700">
                  <a:latin typeface="Times New Roman" panose="02020603050405020304" pitchFamily="18" charset="0"/>
                  <a:cs typeface="Times New Roman" panose="02020603050405020304" pitchFamily="18" charset="0"/>
                </a:endParaRPr>
              </a:p>
            </c:rich>
          </c:tx>
          <c:layout>
            <c:manualLayout>
              <c:xMode val="edge"/>
              <c:yMode val="edge"/>
              <c:x val="2.2860045720091444E-3"/>
              <c:y val="0.24314015748031495"/>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198148447"/>
        <c:crosses val="autoZero"/>
        <c:crossBetween val="between"/>
      </c:valAx>
      <c:spPr>
        <a:noFill/>
        <a:ln>
          <a:noFill/>
        </a:ln>
        <a:effectLst/>
      </c:spPr>
    </c:plotArea>
    <c:legend>
      <c:legendPos val="b"/>
      <c:layout>
        <c:manualLayout>
          <c:xMode val="edge"/>
          <c:yMode val="edge"/>
          <c:x val="0.35491061686348729"/>
          <c:y val="7.4590236220472436E-2"/>
          <c:w val="0.19022424180858538"/>
          <c:h val="7.7409730099774601E-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17459356263404"/>
          <c:y val="0.11594629629629628"/>
          <c:w val="0.85420869133241839"/>
          <c:h val="0.7585722222222222"/>
        </c:manualLayout>
      </c:layout>
      <c:barChart>
        <c:barDir val="col"/>
        <c:grouping val="clustered"/>
        <c:varyColors val="0"/>
        <c:ser>
          <c:idx val="0"/>
          <c:order val="0"/>
          <c:spPr>
            <a:solidFill>
              <a:srgbClr val="002060"/>
            </a:solidFill>
            <a:ln>
              <a:noFill/>
            </a:ln>
            <a:effectLst/>
          </c:spPr>
          <c:invertIfNegative val="0"/>
          <c:dPt>
            <c:idx val="5"/>
            <c:invertIfNegative val="0"/>
            <c:bubble3D val="0"/>
            <c:spPr>
              <a:solidFill>
                <a:srgbClr val="C00000"/>
              </a:solidFill>
              <a:ln>
                <a:noFill/>
              </a:ln>
              <a:effectLst/>
            </c:spPr>
            <c:extLst>
              <c:ext xmlns:c16="http://schemas.microsoft.com/office/drawing/2014/chart" uri="{C3380CC4-5D6E-409C-BE32-E72D297353CC}">
                <c16:uniqueId val="{00000001-BC03-4894-A3B8-F1350A281B13}"/>
              </c:ext>
            </c:extLst>
          </c:dPt>
          <c:dPt>
            <c:idx val="6"/>
            <c:invertIfNegative val="0"/>
            <c:bubble3D val="0"/>
            <c:spPr>
              <a:solidFill>
                <a:srgbClr val="002060"/>
              </a:solidFill>
              <a:ln>
                <a:noFill/>
              </a:ln>
              <a:effectLst/>
            </c:spPr>
            <c:extLst>
              <c:ext xmlns:c16="http://schemas.microsoft.com/office/drawing/2014/chart" uri="{C3380CC4-5D6E-409C-BE32-E72D297353CC}">
                <c16:uniqueId val="{00000003-BC03-4894-A3B8-F1350A281B13}"/>
              </c:ext>
            </c:extLst>
          </c:dPt>
          <c:dLbls>
            <c:dLbl>
              <c:idx val="5"/>
              <c:layout>
                <c:manualLayout>
                  <c:x val="5.0656228413539027E-2"/>
                  <c:y val="3.2000000000000001E-2"/>
                </c:manualLayout>
              </c:layout>
              <c:spPr>
                <a:noFill/>
                <a:ln>
                  <a:noFill/>
                </a:ln>
                <a:effectLst/>
              </c:spPr>
              <c:txPr>
                <a:bodyPr rot="0" spcFirstLastPara="1" vertOverflow="ellipsis" vert="horz" wrap="square" anchor="ctr" anchorCtr="1"/>
                <a:lstStyle/>
                <a:p>
                  <a:pPr>
                    <a:defRPr sz="800" b="1"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C03-4894-A3B8-F1350A281B13}"/>
                </c:ext>
              </c:extLst>
            </c:dLbl>
            <c:spPr>
              <a:noFill/>
              <a:ln>
                <a:noFill/>
              </a:ln>
              <a:effectLst/>
            </c:spPr>
            <c:txPr>
              <a:bodyPr rot="0" spcFirstLastPara="1" vertOverflow="ellipsis" vert="horz" wrap="square" anchor="ctr" anchorCtr="1"/>
              <a:lstStyle/>
              <a:p>
                <a:pPr>
                  <a:defRPr sz="8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data!$K$17:$K$24</c:f>
              <c:numCache>
                <c:formatCode>0</c:formatCode>
                <c:ptCount val="8"/>
                <c:pt idx="0">
                  <c:v>2015</c:v>
                </c:pt>
                <c:pt idx="1">
                  <c:v>2016</c:v>
                </c:pt>
                <c:pt idx="2">
                  <c:v>2017</c:v>
                </c:pt>
                <c:pt idx="3">
                  <c:v>2018</c:v>
                </c:pt>
                <c:pt idx="4">
                  <c:v>2019</c:v>
                </c:pt>
                <c:pt idx="5">
                  <c:v>2020</c:v>
                </c:pt>
                <c:pt idx="6">
                  <c:v>2021</c:v>
                </c:pt>
                <c:pt idx="7">
                  <c:v>2022</c:v>
                </c:pt>
              </c:numCache>
            </c:numRef>
          </c:cat>
          <c:val>
            <c:numRef>
              <c:f>data!$M$17:$M$24</c:f>
              <c:numCache>
                <c:formatCode>_-* #,##0.0_-;\-* #,##0.0_-;_-* "-"??_-;_-@_-</c:formatCode>
                <c:ptCount val="8"/>
                <c:pt idx="0">
                  <c:v>30.167000000000144</c:v>
                </c:pt>
                <c:pt idx="1">
                  <c:v>32.571999999999889</c:v>
                </c:pt>
                <c:pt idx="2">
                  <c:v>13.016000000000076</c:v>
                </c:pt>
                <c:pt idx="3">
                  <c:v>12.519999999999982</c:v>
                </c:pt>
                <c:pt idx="4">
                  <c:v>25.283999999999878</c:v>
                </c:pt>
                <c:pt idx="5">
                  <c:v>-60.938999999999851</c:v>
                </c:pt>
                <c:pt idx="6">
                  <c:v>98.365999999999985</c:v>
                </c:pt>
                <c:pt idx="7">
                  <c:v>86.974999999999909</c:v>
                </c:pt>
              </c:numCache>
            </c:numRef>
          </c:val>
          <c:extLst>
            <c:ext xmlns:c16="http://schemas.microsoft.com/office/drawing/2014/chart" uri="{C3380CC4-5D6E-409C-BE32-E72D297353CC}">
              <c16:uniqueId val="{00000004-BC03-4894-A3B8-F1350A281B13}"/>
            </c:ext>
          </c:extLst>
        </c:ser>
        <c:dLbls>
          <c:showLegendKey val="0"/>
          <c:showVal val="0"/>
          <c:showCatName val="0"/>
          <c:showSerName val="0"/>
          <c:showPercent val="0"/>
          <c:showBubbleSize val="0"/>
        </c:dLbls>
        <c:gapWidth val="219"/>
        <c:overlap val="-27"/>
        <c:axId val="700409808"/>
        <c:axId val="700403568"/>
      </c:barChart>
      <c:catAx>
        <c:axId val="700409808"/>
        <c:scaling>
          <c:orientation val="minMax"/>
        </c:scaling>
        <c:delete val="0"/>
        <c:axPos val="b"/>
        <c:numFmt formatCode="0"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700403568"/>
        <c:crosses val="autoZero"/>
        <c:auto val="1"/>
        <c:lblAlgn val="ctr"/>
        <c:lblOffset val="100"/>
        <c:noMultiLvlLbl val="0"/>
      </c:catAx>
      <c:valAx>
        <c:axId val="700403568"/>
        <c:scaling>
          <c:orientation val="minMax"/>
        </c:scaling>
        <c:delete val="0"/>
        <c:axPos val="l"/>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700">
                    <a:latin typeface="Times New Roman" panose="02020603050405020304" pitchFamily="18" charset="0"/>
                    <a:cs typeface="Times New Roman" panose="02020603050405020304" pitchFamily="18" charset="0"/>
                  </a:rPr>
                  <a:t>Miles de afiliados</a:t>
                </a:r>
              </a:p>
            </c:rich>
          </c:tx>
          <c:layout>
            <c:manualLayout>
              <c:xMode val="edge"/>
              <c:yMode val="edge"/>
              <c:x val="6.8822850056475841E-4"/>
              <c:y val="0.24189228346456693"/>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7004098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pPr>
      <a:endParaRPr lang="es-GT"/>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95451388888889"/>
          <c:y val="5.5436507936507937E-2"/>
          <c:w val="0.82953854166666663"/>
          <c:h val="0.65219047619047632"/>
        </c:manualLayout>
      </c:layout>
      <c:lineChart>
        <c:grouping val="standard"/>
        <c:varyColors val="0"/>
        <c:ser>
          <c:idx val="0"/>
          <c:order val="0"/>
          <c:tx>
            <c:strRef>
              <c:f>'G-SM'!$Q$2</c:f>
              <c:strCache>
                <c:ptCount val="1"/>
                <c:pt idx="0">
                  <c:v>CPL</c:v>
                </c:pt>
              </c:strCache>
            </c:strRef>
          </c:tx>
          <c:spPr>
            <a:ln w="28575" cap="rnd">
              <a:solidFill>
                <a:schemeClr val="accent5"/>
              </a:solidFill>
              <a:round/>
            </a:ln>
            <a:effectLst/>
          </c:spPr>
          <c:marker>
            <c:symbol val="none"/>
          </c:marker>
          <c:dPt>
            <c:idx val="23"/>
            <c:marker>
              <c:symbol val="none"/>
            </c:marker>
            <c:bubble3D val="0"/>
            <c:extLst>
              <c:ext xmlns:c16="http://schemas.microsoft.com/office/drawing/2014/chart" uri="{C3380CC4-5D6E-409C-BE32-E72D297353CC}">
                <c16:uniqueId val="{00000000-36B5-4E11-9046-58ABDFC64F4E}"/>
              </c:ext>
            </c:extLst>
          </c:dPt>
          <c:cat>
            <c:numRef>
              <c:f>'G-SM'!$N$39:$N$62</c:f>
              <c:numCache>
                <c:formatCode>mmm\-yy</c:formatCode>
                <c:ptCount val="24"/>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pt idx="22">
                  <c:v>44866</c:v>
                </c:pt>
                <c:pt idx="23">
                  <c:v>44896</c:v>
                </c:pt>
              </c:numCache>
            </c:numRef>
          </c:cat>
          <c:val>
            <c:numRef>
              <c:f>'G-SM'!$Q$39:$Q$62</c:f>
              <c:numCache>
                <c:formatCode>_-* #,##0.0_-;\-* #,##0.0_-;_-* "-"??_-;_-@_-</c:formatCode>
                <c:ptCount val="24"/>
                <c:pt idx="0">
                  <c:v>19.741908597210426</c:v>
                </c:pt>
                <c:pt idx="1">
                  <c:v>19.275990671347117</c:v>
                </c:pt>
                <c:pt idx="2">
                  <c:v>19.830530785216112</c:v>
                </c:pt>
                <c:pt idx="3">
                  <c:v>19.262854627806291</c:v>
                </c:pt>
                <c:pt idx="4">
                  <c:v>19.095359817955075</c:v>
                </c:pt>
                <c:pt idx="5">
                  <c:v>19.286576781572034</c:v>
                </c:pt>
                <c:pt idx="6">
                  <c:v>19.298854054408672</c:v>
                </c:pt>
                <c:pt idx="7">
                  <c:v>19.366546744494595</c:v>
                </c:pt>
                <c:pt idx="8">
                  <c:v>19.484851066111506</c:v>
                </c:pt>
                <c:pt idx="9">
                  <c:v>19.579894238210493</c:v>
                </c:pt>
                <c:pt idx="10">
                  <c:v>19.801508278567013</c:v>
                </c:pt>
                <c:pt idx="11">
                  <c:v>20.738696007916538</c:v>
                </c:pt>
                <c:pt idx="12">
                  <c:v>20.002072590219626</c:v>
                </c:pt>
                <c:pt idx="13">
                  <c:v>20.147579191893467</c:v>
                </c:pt>
                <c:pt idx="14">
                  <c:v>20.270471128368754</c:v>
                </c:pt>
                <c:pt idx="15">
                  <c:v>20.082161727714247</c:v>
                </c:pt>
                <c:pt idx="16">
                  <c:v>20.110147968720703</c:v>
                </c:pt>
                <c:pt idx="17">
                  <c:v>20.150301002423785</c:v>
                </c:pt>
                <c:pt idx="18">
                  <c:v>20.084198648382003</c:v>
                </c:pt>
                <c:pt idx="19">
                  <c:v>20.081131769034442</c:v>
                </c:pt>
                <c:pt idx="20">
                  <c:v>20.082827984026032</c:v>
                </c:pt>
                <c:pt idx="21">
                  <c:v>20.093911511360645</c:v>
                </c:pt>
                <c:pt idx="22">
                  <c:v>20.426646838450459</c:v>
                </c:pt>
                <c:pt idx="23">
                  <c:v>21.060350365506288</c:v>
                </c:pt>
              </c:numCache>
            </c:numRef>
          </c:val>
          <c:smooth val="1"/>
          <c:extLst>
            <c:ext xmlns:c16="http://schemas.microsoft.com/office/drawing/2014/chart" uri="{C3380CC4-5D6E-409C-BE32-E72D297353CC}">
              <c16:uniqueId val="{00000001-36B5-4E11-9046-58ABDFC64F4E}"/>
            </c:ext>
          </c:extLst>
        </c:ser>
        <c:ser>
          <c:idx val="1"/>
          <c:order val="1"/>
          <c:tx>
            <c:strRef>
              <c:f>'G-SM'!$R$2</c:f>
              <c:strCache>
                <c:ptCount val="1"/>
                <c:pt idx="0">
                  <c:v>Promedio 2019</c:v>
                </c:pt>
              </c:strCache>
            </c:strRef>
          </c:tx>
          <c:spPr>
            <a:ln w="28575" cap="rnd">
              <a:solidFill>
                <a:srgbClr val="002060"/>
              </a:solidFill>
              <a:round/>
            </a:ln>
            <a:effectLst/>
          </c:spPr>
          <c:marker>
            <c:symbol val="none"/>
          </c:marker>
          <c:dLbls>
            <c:dLbl>
              <c:idx val="5"/>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6B5-4E11-9046-58ABDFC64F4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s-GT"/>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'G-SM'!$N$39:$N$62</c:f>
              <c:numCache>
                <c:formatCode>mmm\-yy</c:formatCode>
                <c:ptCount val="24"/>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pt idx="22">
                  <c:v>44866</c:v>
                </c:pt>
                <c:pt idx="23">
                  <c:v>44896</c:v>
                </c:pt>
              </c:numCache>
            </c:numRef>
          </c:cat>
          <c:val>
            <c:numRef>
              <c:f>'G-SM'!$S$39:$S$50</c:f>
              <c:numCache>
                <c:formatCode>_(* #,##0.00_);_(* \(#,##0.00\);_(* "-"??_);_(@_)</c:formatCode>
                <c:ptCount val="12"/>
                <c:pt idx="0">
                  <c:v>19.563630972567989</c:v>
                </c:pt>
                <c:pt idx="1">
                  <c:v>19.563630972567989</c:v>
                </c:pt>
                <c:pt idx="2">
                  <c:v>19.563630972567989</c:v>
                </c:pt>
                <c:pt idx="3">
                  <c:v>19.563630972567989</c:v>
                </c:pt>
                <c:pt idx="4">
                  <c:v>19.563630972567989</c:v>
                </c:pt>
                <c:pt idx="5">
                  <c:v>19.563630972567989</c:v>
                </c:pt>
                <c:pt idx="6">
                  <c:v>19.563630972567989</c:v>
                </c:pt>
                <c:pt idx="7">
                  <c:v>19.563630972567989</c:v>
                </c:pt>
                <c:pt idx="8">
                  <c:v>19.563630972567989</c:v>
                </c:pt>
                <c:pt idx="9">
                  <c:v>19.563630972567989</c:v>
                </c:pt>
                <c:pt idx="10">
                  <c:v>19.563630972567989</c:v>
                </c:pt>
                <c:pt idx="11">
                  <c:v>19.563630972567989</c:v>
                </c:pt>
              </c:numCache>
            </c:numRef>
          </c:val>
          <c:smooth val="0"/>
          <c:extLst>
            <c:ext xmlns:c16="http://schemas.microsoft.com/office/drawing/2014/chart" uri="{C3380CC4-5D6E-409C-BE32-E72D297353CC}">
              <c16:uniqueId val="{00000003-36B5-4E11-9046-58ABDFC64F4E}"/>
            </c:ext>
          </c:extLst>
        </c:ser>
        <c:ser>
          <c:idx val="2"/>
          <c:order val="2"/>
          <c:tx>
            <c:strRef>
              <c:f>'G-SM'!$S$2</c:f>
              <c:strCache>
                <c:ptCount val="1"/>
                <c:pt idx="0">
                  <c:v>Promedio 2020</c:v>
                </c:pt>
              </c:strCache>
            </c:strRef>
          </c:tx>
          <c:spPr>
            <a:ln w="28575" cap="rnd">
              <a:solidFill>
                <a:srgbClr val="C00000"/>
              </a:solidFill>
              <a:round/>
            </a:ln>
            <a:effectLst/>
          </c:spPr>
          <c:marker>
            <c:symbol val="none"/>
          </c:marker>
          <c:dLbls>
            <c:dLbl>
              <c:idx val="17"/>
              <c:layout>
                <c:manualLayout>
                  <c:x val="-6.8350694444444443E-2"/>
                  <c:y val="-7.202546296296298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es-GT"/>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6B5-4E11-9046-58ABDFC64F4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6"/>
                    </a:solidFill>
                    <a:latin typeface="Times New Roman" panose="02020603050405020304" pitchFamily="18" charset="0"/>
                    <a:ea typeface="+mn-ea"/>
                    <a:cs typeface="Times New Roman" panose="02020603050405020304" pitchFamily="18" charset="0"/>
                  </a:defRPr>
                </a:pPr>
                <a:endParaRPr lang="es-GT"/>
              </a:p>
            </c:txPr>
            <c:dLblPos val="b"/>
            <c:showLegendKey val="0"/>
            <c:showVal val="0"/>
            <c:showCatName val="0"/>
            <c:showSerName val="0"/>
            <c:showPercent val="0"/>
            <c:showBubbleSize val="0"/>
            <c:extLst>
              <c:ext xmlns:c15="http://schemas.microsoft.com/office/drawing/2012/chart" uri="{CE6537A1-D6FC-4f65-9D91-7224C49458BB}">
                <c15:showLeaderLines val="0"/>
              </c:ext>
            </c:extLst>
          </c:dLbls>
          <c:cat>
            <c:numRef>
              <c:f>'G-SM'!$N$39:$N$62</c:f>
              <c:numCache>
                <c:formatCode>mmm\-yy</c:formatCode>
                <c:ptCount val="24"/>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pt idx="22">
                  <c:v>44866</c:v>
                </c:pt>
                <c:pt idx="23">
                  <c:v>44896</c:v>
                </c:pt>
              </c:numCache>
            </c:numRef>
          </c:cat>
          <c:val>
            <c:numRef>
              <c:f>'G-SM'!$R$39:$R$62</c:f>
              <c:numCache>
                <c:formatCode>General</c:formatCode>
                <c:ptCount val="24"/>
                <c:pt idx="12" formatCode="_-* #,##0.0_-;\-* #,##0.0_-;_-* &quot;-&quot;??_-;_-@_-">
                  <c:v>20.215983393841704</c:v>
                </c:pt>
                <c:pt idx="13" formatCode="_-* #,##0.0_-;\-* #,##0.0_-;_-* &quot;-&quot;??_-;_-@_-">
                  <c:v>20.215983393841704</c:v>
                </c:pt>
                <c:pt idx="14" formatCode="_-* #,##0.0_-;\-* #,##0.0_-;_-* &quot;-&quot;??_-;_-@_-">
                  <c:v>20.215983393841704</c:v>
                </c:pt>
                <c:pt idx="15" formatCode="_-* #,##0.0_-;\-* #,##0.0_-;_-* &quot;-&quot;??_-;_-@_-">
                  <c:v>20.215983393841704</c:v>
                </c:pt>
                <c:pt idx="16" formatCode="_-* #,##0.0_-;\-* #,##0.0_-;_-* &quot;-&quot;??_-;_-@_-">
                  <c:v>20.215983393841704</c:v>
                </c:pt>
                <c:pt idx="17" formatCode="_-* #,##0.0_-;\-* #,##0.0_-;_-* &quot;-&quot;??_-;_-@_-">
                  <c:v>20.215983393841704</c:v>
                </c:pt>
                <c:pt idx="18" formatCode="_-* #,##0.0_-;\-* #,##0.0_-;_-* &quot;-&quot;??_-;_-@_-">
                  <c:v>20.215983393841704</c:v>
                </c:pt>
                <c:pt idx="19" formatCode="_-* #,##0.0_-;\-* #,##0.0_-;_-* &quot;-&quot;??_-;_-@_-">
                  <c:v>20.215983393841704</c:v>
                </c:pt>
                <c:pt idx="20" formatCode="_-* #,##0.0_-;\-* #,##0.0_-;_-* &quot;-&quot;??_-;_-@_-">
                  <c:v>20.215983393841704</c:v>
                </c:pt>
                <c:pt idx="21" formatCode="_-* #,##0.0_-;\-* #,##0.0_-;_-* &quot;-&quot;??_-;_-@_-">
                  <c:v>20.215983393841704</c:v>
                </c:pt>
                <c:pt idx="22" formatCode="_-* #,##0.0_-;\-* #,##0.0_-;_-* &quot;-&quot;??_-;_-@_-">
                  <c:v>20.215983393841704</c:v>
                </c:pt>
                <c:pt idx="23" formatCode="_-* #,##0.0_-;\-* #,##0.0_-;_-* &quot;-&quot;??_-;_-@_-">
                  <c:v>20.215983393841704</c:v>
                </c:pt>
              </c:numCache>
            </c:numRef>
          </c:val>
          <c:smooth val="0"/>
          <c:extLst>
            <c:ext xmlns:c16="http://schemas.microsoft.com/office/drawing/2014/chart" uri="{C3380CC4-5D6E-409C-BE32-E72D297353CC}">
              <c16:uniqueId val="{00000005-36B5-4E11-9046-58ABDFC64F4E}"/>
            </c:ext>
          </c:extLst>
        </c:ser>
        <c:dLbls>
          <c:showLegendKey val="0"/>
          <c:showVal val="0"/>
          <c:showCatName val="0"/>
          <c:showSerName val="0"/>
          <c:showPercent val="0"/>
          <c:showBubbleSize val="0"/>
        </c:dLbls>
        <c:smooth val="0"/>
        <c:axId val="1398580511"/>
        <c:axId val="1398585919"/>
      </c:lineChart>
      <c:dateAx>
        <c:axId val="1398580511"/>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398585919"/>
        <c:crosses val="autoZero"/>
        <c:auto val="1"/>
        <c:lblOffset val="100"/>
        <c:baseTimeUnit val="months"/>
        <c:majorUnit val="2"/>
        <c:majorTimeUnit val="months"/>
      </c:dateAx>
      <c:valAx>
        <c:axId val="1398585919"/>
        <c:scaling>
          <c:orientation val="minMax"/>
        </c:scaling>
        <c:delete val="0"/>
        <c:axPos val="l"/>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398580511"/>
        <c:crosses val="autoZero"/>
        <c:crossBetween val="between"/>
        <c:majorUnit val="1"/>
      </c:valAx>
      <c:spPr>
        <a:noFill/>
        <a:ln>
          <a:noFill/>
        </a:ln>
        <a:effectLst/>
      </c:spPr>
    </c:plotArea>
    <c:legend>
      <c:legendPos val="b"/>
      <c:layout>
        <c:manualLayout>
          <c:xMode val="edge"/>
          <c:yMode val="edge"/>
          <c:x val="2.1720476781637139E-2"/>
          <c:y val="0.91773400143163919"/>
          <c:w val="0.96096979166666663"/>
          <c:h val="8.1119047619047632E-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0555555555555555E-2"/>
          <c:y val="0"/>
          <c:w val="0.9694442845010004"/>
          <c:h val="0.7412968660374406"/>
        </c:manualLayout>
      </c:layout>
      <c:barChart>
        <c:barDir val="col"/>
        <c:grouping val="stacked"/>
        <c:varyColors val="0"/>
        <c:ser>
          <c:idx val="0"/>
          <c:order val="0"/>
          <c:tx>
            <c:strRef>
              <c:f>'G-SM'!$C$64</c:f>
              <c:strCache>
                <c:ptCount val="1"/>
                <c:pt idx="0">
                  <c:v>Númerario en circulación</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'G-SM'!$A$67:$A$69</c:f>
              <c:numCache>
                <c:formatCode>General</c:formatCode>
                <c:ptCount val="3"/>
                <c:pt idx="0">
                  <c:v>2020</c:v>
                </c:pt>
                <c:pt idx="1">
                  <c:v>2021</c:v>
                </c:pt>
                <c:pt idx="2">
                  <c:v>2022</c:v>
                </c:pt>
              </c:numCache>
            </c:numRef>
          </c:cat>
          <c:val>
            <c:numRef>
              <c:f>'G-SM'!$C$67:$C$69</c:f>
              <c:numCache>
                <c:formatCode>_ * #,##0.0_ ;_ * \-#,##0.0_ ;_ * "-"??_ ;_ @_ </c:formatCode>
                <c:ptCount val="3"/>
                <c:pt idx="0">
                  <c:v>4.3881755700838845</c:v>
                </c:pt>
                <c:pt idx="1">
                  <c:v>2.1687278030305768</c:v>
                </c:pt>
                <c:pt idx="2">
                  <c:v>2.154265180707525</c:v>
                </c:pt>
              </c:numCache>
            </c:numRef>
          </c:val>
          <c:extLst>
            <c:ext xmlns:c16="http://schemas.microsoft.com/office/drawing/2014/chart" uri="{C3380CC4-5D6E-409C-BE32-E72D297353CC}">
              <c16:uniqueId val="{00000000-CBD6-4ECA-B6D8-391830BB2536}"/>
            </c:ext>
          </c:extLst>
        </c:ser>
        <c:ser>
          <c:idx val="1"/>
          <c:order val="1"/>
          <c:tx>
            <c:strRef>
              <c:f>'G-SM'!$D$64</c:f>
              <c:strCache>
                <c:ptCount val="1"/>
                <c:pt idx="0">
                  <c:v>Depósitos monetarios en MN</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'G-SM'!$A$67:$A$69</c:f>
              <c:numCache>
                <c:formatCode>General</c:formatCode>
                <c:ptCount val="3"/>
                <c:pt idx="0">
                  <c:v>2020</c:v>
                </c:pt>
                <c:pt idx="1">
                  <c:v>2021</c:v>
                </c:pt>
                <c:pt idx="2">
                  <c:v>2022</c:v>
                </c:pt>
              </c:numCache>
            </c:numRef>
          </c:cat>
          <c:val>
            <c:numRef>
              <c:f>'G-SM'!$D$67:$D$69</c:f>
              <c:numCache>
                <c:formatCode>_ * #,##0.0_ ;_ * \-#,##0.0_ ;_ * "-"??_ ;_ @_ </c:formatCode>
                <c:ptCount val="3"/>
                <c:pt idx="0">
                  <c:v>5.2306297791074039</c:v>
                </c:pt>
                <c:pt idx="1">
                  <c:v>2.4786842585773869</c:v>
                </c:pt>
                <c:pt idx="2">
                  <c:v>2.6540659700206199</c:v>
                </c:pt>
              </c:numCache>
            </c:numRef>
          </c:val>
          <c:extLst>
            <c:ext xmlns:c16="http://schemas.microsoft.com/office/drawing/2014/chart" uri="{C3380CC4-5D6E-409C-BE32-E72D297353CC}">
              <c16:uniqueId val="{00000001-CBD6-4ECA-B6D8-391830BB2536}"/>
            </c:ext>
          </c:extLst>
        </c:ser>
        <c:ser>
          <c:idx val="2"/>
          <c:order val="2"/>
          <c:tx>
            <c:strRef>
              <c:f>'G-SM'!$E$64</c:f>
              <c:strCache>
                <c:ptCount val="1"/>
                <c:pt idx="0">
                  <c:v>Depóstos monetarios en ME</c:v>
                </c:pt>
              </c:strCache>
            </c:strRef>
          </c:tx>
          <c:spPr>
            <a:solidFill>
              <a:schemeClr val="accent5">
                <a:lumMod val="40000"/>
                <a:lumOff val="60000"/>
              </a:schemeClr>
            </a:solidFill>
            <a:ln>
              <a:noFill/>
            </a:ln>
            <a:effectLst/>
          </c:spPr>
          <c:invertIfNegative val="0"/>
          <c:dLbls>
            <c:dLbl>
              <c:idx val="0"/>
              <c:layout>
                <c:manualLayout>
                  <c:x val="0"/>
                  <c:y val="-3.776378837698482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BD6-4ECA-B6D8-391830BB2536}"/>
                </c:ext>
              </c:extLst>
            </c:dLbl>
            <c:dLbl>
              <c:idx val="1"/>
              <c:layout>
                <c:manualLayout>
                  <c:x val="4.5696641667506369E-3"/>
                  <c:y val="-7.352557751473179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BD6-4ECA-B6D8-391830BB2536}"/>
                </c:ext>
              </c:extLst>
            </c:dLbl>
            <c:dLbl>
              <c:idx val="2"/>
              <c:layout>
                <c:manualLayout>
                  <c:x val="4.5697474800721226E-3"/>
                  <c:y val="-1.679816534661744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BD6-4ECA-B6D8-391830BB253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'G-SM'!$A$67:$A$69</c:f>
              <c:numCache>
                <c:formatCode>General</c:formatCode>
                <c:ptCount val="3"/>
                <c:pt idx="0">
                  <c:v>2020</c:v>
                </c:pt>
                <c:pt idx="1">
                  <c:v>2021</c:v>
                </c:pt>
                <c:pt idx="2">
                  <c:v>2022</c:v>
                </c:pt>
              </c:numCache>
            </c:numRef>
          </c:cat>
          <c:val>
            <c:numRef>
              <c:f>'G-SM'!$E$67:$E$69</c:f>
              <c:numCache>
                <c:formatCode>_ * #,##0.0_ ;_ * \-#,##0.0_ ;_ * "-"??_ ;_ @_ </c:formatCode>
                <c:ptCount val="3"/>
                <c:pt idx="0">
                  <c:v>2.2931103343370149</c:v>
                </c:pt>
                <c:pt idx="1">
                  <c:v>0.61350398018793861</c:v>
                </c:pt>
                <c:pt idx="2">
                  <c:v>3.9977562728343373E-2</c:v>
                </c:pt>
              </c:numCache>
            </c:numRef>
          </c:val>
          <c:extLst>
            <c:ext xmlns:c16="http://schemas.microsoft.com/office/drawing/2014/chart" uri="{C3380CC4-5D6E-409C-BE32-E72D297353CC}">
              <c16:uniqueId val="{00000005-CBD6-4ECA-B6D8-391830BB2536}"/>
            </c:ext>
          </c:extLst>
        </c:ser>
        <c:ser>
          <c:idx val="3"/>
          <c:order val="3"/>
          <c:tx>
            <c:strRef>
              <c:f>'G-SM'!$F$64</c:f>
              <c:strCache>
                <c:ptCount val="1"/>
                <c:pt idx="0">
                  <c:v>Cuasidinero en MN</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'G-SM'!$A$67:$A$69</c:f>
              <c:numCache>
                <c:formatCode>General</c:formatCode>
                <c:ptCount val="3"/>
                <c:pt idx="0">
                  <c:v>2020</c:v>
                </c:pt>
                <c:pt idx="1">
                  <c:v>2021</c:v>
                </c:pt>
                <c:pt idx="2">
                  <c:v>2022</c:v>
                </c:pt>
              </c:numCache>
            </c:numRef>
          </c:cat>
          <c:val>
            <c:numRef>
              <c:f>'G-SM'!$F$67:$F$69</c:f>
              <c:numCache>
                <c:formatCode>_ * #,##0.0_ ;_ * \-#,##0.0_ ;_ * "-"??_ ;_ @_ </c:formatCode>
                <c:ptCount val="3"/>
                <c:pt idx="0">
                  <c:v>5.7573744796337261</c:v>
                </c:pt>
                <c:pt idx="1">
                  <c:v>3.6123999511470175</c:v>
                </c:pt>
                <c:pt idx="2">
                  <c:v>4.3700947246139163</c:v>
                </c:pt>
              </c:numCache>
            </c:numRef>
          </c:val>
          <c:extLst>
            <c:ext xmlns:c16="http://schemas.microsoft.com/office/drawing/2014/chart" uri="{C3380CC4-5D6E-409C-BE32-E72D297353CC}">
              <c16:uniqueId val="{00000006-CBD6-4ECA-B6D8-391830BB2536}"/>
            </c:ext>
          </c:extLst>
        </c:ser>
        <c:ser>
          <c:idx val="4"/>
          <c:order val="4"/>
          <c:tx>
            <c:strRef>
              <c:f>'G-SM'!$G$64</c:f>
              <c:strCache>
                <c:ptCount val="1"/>
                <c:pt idx="0">
                  <c:v>Cuasidinero en ME</c:v>
                </c:pt>
              </c:strCache>
            </c:strRef>
          </c:tx>
          <c:spPr>
            <a:solidFill>
              <a:schemeClr val="bg1">
                <a:lumMod val="85000"/>
              </a:schemeClr>
            </a:solidFill>
            <a:ln>
              <a:noFill/>
            </a:ln>
            <a:effectLst/>
          </c:spPr>
          <c:invertIfNegative val="0"/>
          <c:dLbls>
            <c:dLbl>
              <c:idx val="0"/>
              <c:layout>
                <c:manualLayout>
                  <c:x val="0"/>
                  <c:y val="-2.578082878340306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BD6-4ECA-B6D8-391830BB2536}"/>
                </c:ext>
              </c:extLst>
            </c:dLbl>
            <c:dLbl>
              <c:idx val="2"/>
              <c:layout>
                <c:manualLayout>
                  <c:x val="0"/>
                  <c:y val="2.2895198463017746E-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BD6-4ECA-B6D8-391830BB253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'G-SM'!$A$67:$A$69</c:f>
              <c:numCache>
                <c:formatCode>General</c:formatCode>
                <c:ptCount val="3"/>
                <c:pt idx="0">
                  <c:v>2020</c:v>
                </c:pt>
                <c:pt idx="1">
                  <c:v>2021</c:v>
                </c:pt>
                <c:pt idx="2">
                  <c:v>2022</c:v>
                </c:pt>
              </c:numCache>
            </c:numRef>
          </c:cat>
          <c:val>
            <c:numRef>
              <c:f>'G-SM'!$G$67:$G$69</c:f>
              <c:numCache>
                <c:formatCode>_ * #,##0.0_ ;_ * \-#,##0.0_ ;_ * "-"??_ ;_ @_ </c:formatCode>
                <c:ptCount val="3"/>
                <c:pt idx="0">
                  <c:v>1.0316359013169167</c:v>
                </c:pt>
                <c:pt idx="1">
                  <c:v>2.7409667328116707</c:v>
                </c:pt>
                <c:pt idx="2">
                  <c:v>1.8998822070323131</c:v>
                </c:pt>
              </c:numCache>
            </c:numRef>
          </c:val>
          <c:extLst>
            <c:ext xmlns:c16="http://schemas.microsoft.com/office/drawing/2014/chart" uri="{C3380CC4-5D6E-409C-BE32-E72D297353CC}">
              <c16:uniqueId val="{00000009-CBD6-4ECA-B6D8-391830BB2536}"/>
            </c:ext>
          </c:extLst>
        </c:ser>
        <c:dLbls>
          <c:showLegendKey val="0"/>
          <c:showVal val="0"/>
          <c:showCatName val="0"/>
          <c:showSerName val="0"/>
          <c:showPercent val="0"/>
          <c:showBubbleSize val="0"/>
        </c:dLbls>
        <c:gapWidth val="80"/>
        <c:overlap val="100"/>
        <c:axId val="2033749807"/>
        <c:axId val="2033733999"/>
      </c:barChart>
      <c:lineChart>
        <c:grouping val="standard"/>
        <c:varyColors val="0"/>
        <c:ser>
          <c:idx val="5"/>
          <c:order val="5"/>
          <c:tx>
            <c:strRef>
              <c:f>'G-SM'!$B$64</c:f>
              <c:strCache>
                <c:ptCount val="1"/>
                <c:pt idx="0">
                  <c:v>Medios de pago</c:v>
                </c:pt>
              </c:strCache>
            </c:strRef>
          </c:tx>
          <c:spPr>
            <a:ln w="28575" cap="rnd">
              <a:noFill/>
              <a:round/>
            </a:ln>
            <a:effectLst/>
          </c:spPr>
          <c:marker>
            <c:symbol val="none"/>
          </c:marker>
          <c:dLbls>
            <c:dLbl>
              <c:idx val="0"/>
              <c:layout>
                <c:manualLayout>
                  <c:x val="-7.8410389950585552E-2"/>
                  <c:y val="-6.59408293909041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BD6-4ECA-B6D8-391830BB2536}"/>
                </c:ext>
              </c:extLst>
            </c:dLbl>
            <c:dLbl>
              <c:idx val="1"/>
              <c:layout>
                <c:manualLayout>
                  <c:x val="-8.4903749243922688E-2"/>
                  <c:y val="-6.36513095446019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BD6-4ECA-B6D8-391830BB2536}"/>
                </c:ext>
              </c:extLst>
            </c:dLbl>
            <c:dLbl>
              <c:idx val="2"/>
              <c:layout>
                <c:manualLayout>
                  <c:x val="-8.4860210704939321E-2"/>
                  <c:y val="-4.871475544283034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BD6-4ECA-B6D8-391830BB253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'G-SM'!$B$67:$B$69</c:f>
              <c:numCache>
                <c:formatCode>_ * #,##0.0_ ;_ * \-#,##0.0_ ;_ * "-"??_ ;_ @_ </c:formatCode>
                <c:ptCount val="3"/>
                <c:pt idx="0">
                  <c:v>18.700890180242922</c:v>
                </c:pt>
                <c:pt idx="1">
                  <c:v>11.614282725754578</c:v>
                </c:pt>
                <c:pt idx="2">
                  <c:v>11.11831273017232</c:v>
                </c:pt>
              </c:numCache>
            </c:numRef>
          </c:val>
          <c:smooth val="0"/>
          <c:extLst>
            <c:ext xmlns:c16="http://schemas.microsoft.com/office/drawing/2014/chart" uri="{C3380CC4-5D6E-409C-BE32-E72D297353CC}">
              <c16:uniqueId val="{0000000D-CBD6-4ECA-B6D8-391830BB2536}"/>
            </c:ext>
          </c:extLst>
        </c:ser>
        <c:dLbls>
          <c:showLegendKey val="0"/>
          <c:showVal val="0"/>
          <c:showCatName val="0"/>
          <c:showSerName val="0"/>
          <c:showPercent val="0"/>
          <c:showBubbleSize val="0"/>
        </c:dLbls>
        <c:marker val="1"/>
        <c:smooth val="0"/>
        <c:axId val="2033749807"/>
        <c:axId val="2033733999"/>
      </c:lineChart>
      <c:catAx>
        <c:axId val="2033749807"/>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033733999"/>
        <c:crosses val="autoZero"/>
        <c:auto val="1"/>
        <c:lblAlgn val="ctr"/>
        <c:lblOffset val="100"/>
        <c:noMultiLvlLbl val="0"/>
      </c:catAx>
      <c:valAx>
        <c:axId val="2033733999"/>
        <c:scaling>
          <c:orientation val="minMax"/>
          <c:max val="22"/>
          <c:min val="-2"/>
        </c:scaling>
        <c:delete val="1"/>
        <c:axPos val="l"/>
        <c:numFmt formatCode="_ * #,##0.0_ ;_ * \-#,##0.0_ ;_ * &quot;-&quot;??_ ;_ @_ " sourceLinked="1"/>
        <c:majorTickMark val="out"/>
        <c:minorTickMark val="none"/>
        <c:tickLblPos val="nextTo"/>
        <c:crossAx val="2033749807"/>
        <c:crosses val="autoZero"/>
        <c:crossBetween val="between"/>
      </c:valAx>
      <c:spPr>
        <a:noFill/>
        <a:ln>
          <a:noFill/>
        </a:ln>
        <a:effectLst/>
      </c:spPr>
    </c:plotArea>
    <c:legend>
      <c:legendPos val="b"/>
      <c:layout>
        <c:manualLayout>
          <c:xMode val="edge"/>
          <c:yMode val="edge"/>
          <c:x val="0"/>
          <c:y val="0.85924284298899711"/>
          <c:w val="1"/>
          <c:h val="0.13946923301254008"/>
        </c:manualLayout>
      </c:layout>
      <c:overlay val="0"/>
      <c:spPr>
        <a:noFill/>
        <a:ln>
          <a:noFill/>
        </a:ln>
        <a:effectLst/>
      </c:spPr>
      <c:txPr>
        <a:bodyPr rot="0" spcFirstLastPara="1" vertOverflow="ellipsis" vert="horz" wrap="square" anchor="ctr" anchorCtr="1"/>
        <a:lstStyle/>
        <a:p>
          <a:pPr>
            <a:defRPr sz="5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900752849232457"/>
          <c:y val="5.6277363206125815E-2"/>
          <c:w val="0.85480428947738696"/>
          <c:h val="0.70312398527251674"/>
        </c:manualLayout>
      </c:layout>
      <c:barChart>
        <c:barDir val="col"/>
        <c:grouping val="clustered"/>
        <c:varyColors val="0"/>
        <c:ser>
          <c:idx val="0"/>
          <c:order val="0"/>
          <c:tx>
            <c:strRef>
              <c:f>'G-SM'!$BQ$2</c:f>
              <c:strCache>
                <c:ptCount val="1"/>
                <c:pt idx="0">
                  <c:v>MN</c:v>
                </c:pt>
              </c:strCache>
            </c:strRef>
          </c:tx>
          <c:spPr>
            <a:solidFill>
              <a:srgbClr val="002060"/>
            </a:solidFill>
            <a:ln>
              <a:noFill/>
            </a:ln>
            <a:effectLst/>
          </c:spPr>
          <c:invertIfNegative val="0"/>
          <c:cat>
            <c:numRef>
              <c:f>'G-SM'!$N$39:$N$62</c:f>
              <c:numCache>
                <c:formatCode>mmm\-yy</c:formatCode>
                <c:ptCount val="24"/>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pt idx="22">
                  <c:v>44866</c:v>
                </c:pt>
                <c:pt idx="23">
                  <c:v>44896</c:v>
                </c:pt>
              </c:numCache>
            </c:numRef>
          </c:cat>
          <c:val>
            <c:numRef>
              <c:f>'G-SM'!$BQ$39:$BQ$62</c:f>
              <c:numCache>
                <c:formatCode>_ * #,##0.0_ ;_ * \-#,##0.0_ ;_ * "-"??_ ;_ @_ </c:formatCode>
                <c:ptCount val="24"/>
                <c:pt idx="0">
                  <c:v>7.5394243982061404</c:v>
                </c:pt>
                <c:pt idx="1">
                  <c:v>8.675681000683678</c:v>
                </c:pt>
                <c:pt idx="2">
                  <c:v>7.6917653178164569</c:v>
                </c:pt>
                <c:pt idx="3">
                  <c:v>7.9269162802006132</c:v>
                </c:pt>
                <c:pt idx="4">
                  <c:v>8.192445280809558</c:v>
                </c:pt>
                <c:pt idx="5">
                  <c:v>8.9079062501682635</c:v>
                </c:pt>
                <c:pt idx="6">
                  <c:v>10.89190362214676</c:v>
                </c:pt>
                <c:pt idx="7">
                  <c:v>11.646252413574377</c:v>
                </c:pt>
                <c:pt idx="8">
                  <c:v>12.1603042109939</c:v>
                </c:pt>
                <c:pt idx="9">
                  <c:v>11.777279387268047</c:v>
                </c:pt>
                <c:pt idx="10">
                  <c:v>13.114088923135526</c:v>
                </c:pt>
                <c:pt idx="11">
                  <c:v>14.475773016357429</c:v>
                </c:pt>
                <c:pt idx="12">
                  <c:v>15.458958627923792</c:v>
                </c:pt>
                <c:pt idx="13">
                  <c:v>14.841484763281487</c:v>
                </c:pt>
                <c:pt idx="14">
                  <c:v>15.299759562561466</c:v>
                </c:pt>
                <c:pt idx="15">
                  <c:v>15.760517914364236</c:v>
                </c:pt>
                <c:pt idx="16">
                  <c:v>15.936837073879051</c:v>
                </c:pt>
                <c:pt idx="17">
                  <c:v>16.683500666314988</c:v>
                </c:pt>
                <c:pt idx="18">
                  <c:v>16.485222632326657</c:v>
                </c:pt>
                <c:pt idx="19">
                  <c:v>17.570019902408941</c:v>
                </c:pt>
                <c:pt idx="20">
                  <c:v>19.657813983182002</c:v>
                </c:pt>
                <c:pt idx="21">
                  <c:v>20.623702336250215</c:v>
                </c:pt>
                <c:pt idx="22">
                  <c:v>20.749896456200222</c:v>
                </c:pt>
                <c:pt idx="23">
                  <c:v>19.687418138195145</c:v>
                </c:pt>
              </c:numCache>
            </c:numRef>
          </c:val>
          <c:extLst>
            <c:ext xmlns:c16="http://schemas.microsoft.com/office/drawing/2014/chart" uri="{C3380CC4-5D6E-409C-BE32-E72D297353CC}">
              <c16:uniqueId val="{00000000-584C-47B3-B4D4-55DEFE188BBE}"/>
            </c:ext>
          </c:extLst>
        </c:ser>
        <c:ser>
          <c:idx val="1"/>
          <c:order val="1"/>
          <c:tx>
            <c:strRef>
              <c:f>'G-SM'!$BR$2</c:f>
              <c:strCache>
                <c:ptCount val="1"/>
                <c:pt idx="0">
                  <c:v>ME</c:v>
                </c:pt>
              </c:strCache>
            </c:strRef>
          </c:tx>
          <c:spPr>
            <a:solidFill>
              <a:schemeClr val="accent1"/>
            </a:solidFill>
            <a:ln>
              <a:noFill/>
            </a:ln>
            <a:effectLst/>
          </c:spPr>
          <c:invertIfNegative val="0"/>
          <c:cat>
            <c:numRef>
              <c:f>'G-SM'!$N$39:$N$62</c:f>
              <c:numCache>
                <c:formatCode>mmm\-yy</c:formatCode>
                <c:ptCount val="24"/>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pt idx="22">
                  <c:v>44866</c:v>
                </c:pt>
                <c:pt idx="23">
                  <c:v>44896</c:v>
                </c:pt>
              </c:numCache>
            </c:numRef>
          </c:cat>
          <c:val>
            <c:numRef>
              <c:f>'G-SM'!$BR$39:$BR$62</c:f>
              <c:numCache>
                <c:formatCode>_ * #,##0.0_ ;_ * \-#,##0.0_ ;_ * "-"??_ ;_ @_ </c:formatCode>
                <c:ptCount val="24"/>
                <c:pt idx="0">
                  <c:v>3.9176500801550329</c:v>
                </c:pt>
                <c:pt idx="1">
                  <c:v>2.4217228342935826</c:v>
                </c:pt>
                <c:pt idx="2">
                  <c:v>-0.54113554688084431</c:v>
                </c:pt>
                <c:pt idx="3">
                  <c:v>-1.3084628954634581</c:v>
                </c:pt>
                <c:pt idx="4">
                  <c:v>0.20500880774447783</c:v>
                </c:pt>
                <c:pt idx="5">
                  <c:v>1.4210401227465974</c:v>
                </c:pt>
                <c:pt idx="6">
                  <c:v>5.1302016750795154</c:v>
                </c:pt>
                <c:pt idx="7">
                  <c:v>5.8659294898789405</c:v>
                </c:pt>
                <c:pt idx="8">
                  <c:v>6.3079876688068026</c:v>
                </c:pt>
                <c:pt idx="9">
                  <c:v>8.835220504573261</c:v>
                </c:pt>
                <c:pt idx="10">
                  <c:v>11.25260910433823</c:v>
                </c:pt>
                <c:pt idx="11">
                  <c:v>10.616918522138285</c:v>
                </c:pt>
                <c:pt idx="12">
                  <c:v>10.436903320248803</c:v>
                </c:pt>
                <c:pt idx="13">
                  <c:v>12.671794394770352</c:v>
                </c:pt>
                <c:pt idx="14">
                  <c:v>13.349088801459263</c:v>
                </c:pt>
                <c:pt idx="15">
                  <c:v>13.613986519363985</c:v>
                </c:pt>
                <c:pt idx="16">
                  <c:v>13.995335586676871</c:v>
                </c:pt>
                <c:pt idx="17">
                  <c:v>16.368974563992488</c:v>
                </c:pt>
                <c:pt idx="18">
                  <c:v>14.123622723427198</c:v>
                </c:pt>
                <c:pt idx="19">
                  <c:v>14.055451286732801</c:v>
                </c:pt>
                <c:pt idx="20">
                  <c:v>15.824213246645513</c:v>
                </c:pt>
                <c:pt idx="21">
                  <c:v>11.51524034317799</c:v>
                </c:pt>
                <c:pt idx="22">
                  <c:v>9.2524688213252215</c:v>
                </c:pt>
                <c:pt idx="23">
                  <c:v>9.6593514374591738</c:v>
                </c:pt>
              </c:numCache>
            </c:numRef>
          </c:val>
          <c:extLst>
            <c:ext xmlns:c16="http://schemas.microsoft.com/office/drawing/2014/chart" uri="{C3380CC4-5D6E-409C-BE32-E72D297353CC}">
              <c16:uniqueId val="{00000001-584C-47B3-B4D4-55DEFE188BBE}"/>
            </c:ext>
          </c:extLst>
        </c:ser>
        <c:dLbls>
          <c:showLegendKey val="0"/>
          <c:showVal val="0"/>
          <c:showCatName val="0"/>
          <c:showSerName val="0"/>
          <c:showPercent val="0"/>
          <c:showBubbleSize val="0"/>
        </c:dLbls>
        <c:gapWidth val="100"/>
        <c:overlap val="30"/>
        <c:axId val="136621599"/>
        <c:axId val="136622015"/>
      </c:barChart>
      <c:lineChart>
        <c:grouping val="standard"/>
        <c:varyColors val="0"/>
        <c:ser>
          <c:idx val="2"/>
          <c:order val="2"/>
          <c:tx>
            <c:strRef>
              <c:f>'G-SM'!$BS$2</c:f>
              <c:strCache>
                <c:ptCount val="1"/>
                <c:pt idx="0">
                  <c:v>Total</c:v>
                </c:pt>
              </c:strCache>
            </c:strRef>
          </c:tx>
          <c:spPr>
            <a:ln w="22225" cap="rnd">
              <a:solidFill>
                <a:srgbClr val="C00000"/>
              </a:solidFill>
              <a:round/>
            </a:ln>
            <a:effectLst/>
          </c:spPr>
          <c:marker>
            <c:symbol val="none"/>
          </c:marker>
          <c:dPt>
            <c:idx val="23"/>
            <c:marker>
              <c:symbol val="circle"/>
              <c:size val="7"/>
              <c:spPr>
                <a:noFill/>
                <a:ln w="9525">
                  <a:noFill/>
                </a:ln>
                <a:effectLst/>
              </c:spPr>
            </c:marker>
            <c:bubble3D val="0"/>
            <c:extLst>
              <c:ext xmlns:c16="http://schemas.microsoft.com/office/drawing/2014/chart" uri="{C3380CC4-5D6E-409C-BE32-E72D297353CC}">
                <c16:uniqueId val="{00000002-584C-47B3-B4D4-55DEFE188BBE}"/>
              </c:ext>
            </c:extLst>
          </c:dPt>
          <c:val>
            <c:numRef>
              <c:f>'G-SM'!$BS$39:$BS$62</c:f>
              <c:numCache>
                <c:formatCode>_ * #,##0.0_ ;_ * \-#,##0.0_ ;_ * "-"??_ ;_ @_ </c:formatCode>
                <c:ptCount val="24"/>
                <c:pt idx="0">
                  <c:v>6.2254380139878052</c:v>
                </c:pt>
                <c:pt idx="1">
                  <c:v>6.4009190452556597</c:v>
                </c:pt>
                <c:pt idx="2">
                  <c:v>4.6627906647662698</c:v>
                </c:pt>
                <c:pt idx="3">
                  <c:v>4.5122900740974803</c:v>
                </c:pt>
                <c:pt idx="4">
                  <c:v>5.2699422631726556</c:v>
                </c:pt>
                <c:pt idx="5">
                  <c:v>6.1570492012089639</c:v>
                </c:pt>
                <c:pt idx="6">
                  <c:v>8.7892456389785814</c:v>
                </c:pt>
                <c:pt idx="7">
                  <c:v>9.5403903415853808</c:v>
                </c:pt>
                <c:pt idx="8">
                  <c:v>10.038748727307878</c:v>
                </c:pt>
                <c:pt idx="9">
                  <c:v>10.73052934192933</c:v>
                </c:pt>
                <c:pt idx="10">
                  <c:v>12.457164724530179</c:v>
                </c:pt>
                <c:pt idx="11">
                  <c:v>13.106355431086003</c:v>
                </c:pt>
                <c:pt idx="12">
                  <c:v>13.676531603075848</c:v>
                </c:pt>
                <c:pt idx="13">
                  <c:v>14.081813946440768</c:v>
                </c:pt>
                <c:pt idx="14">
                  <c:v>14.617769708656425</c:v>
                </c:pt>
                <c:pt idx="15">
                  <c:v>15.011075562464349</c:v>
                </c:pt>
                <c:pt idx="16">
                  <c:v>15.260644612691522</c:v>
                </c:pt>
                <c:pt idx="17">
                  <c:v>16.573091820488983</c:v>
                </c:pt>
                <c:pt idx="18">
                  <c:v>15.652374715938787</c:v>
                </c:pt>
                <c:pt idx="19">
                  <c:v>16.332558167049683</c:v>
                </c:pt>
                <c:pt idx="20">
                  <c:v>18.315192105616738</c:v>
                </c:pt>
                <c:pt idx="21">
                  <c:v>17.438487251530255</c:v>
                </c:pt>
                <c:pt idx="22">
                  <c:v>16.735865776191396</c:v>
                </c:pt>
                <c:pt idx="23">
                  <c:v>16.207017344207998</c:v>
                </c:pt>
              </c:numCache>
            </c:numRef>
          </c:val>
          <c:smooth val="1"/>
          <c:extLst>
            <c:ext xmlns:c16="http://schemas.microsoft.com/office/drawing/2014/chart" uri="{C3380CC4-5D6E-409C-BE32-E72D297353CC}">
              <c16:uniqueId val="{00000003-584C-47B3-B4D4-55DEFE188BBE}"/>
            </c:ext>
          </c:extLst>
        </c:ser>
        <c:dLbls>
          <c:showLegendKey val="0"/>
          <c:showVal val="0"/>
          <c:showCatName val="0"/>
          <c:showSerName val="0"/>
          <c:showPercent val="0"/>
          <c:showBubbleSize val="0"/>
        </c:dLbls>
        <c:marker val="1"/>
        <c:smooth val="0"/>
        <c:axId val="136621599"/>
        <c:axId val="136622015"/>
      </c:lineChart>
      <c:dateAx>
        <c:axId val="136621599"/>
        <c:scaling>
          <c:orientation val="minMax"/>
        </c:scaling>
        <c:delete val="0"/>
        <c:axPos val="b"/>
        <c:numFmt formatCode="mmm\-yy"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36622015"/>
        <c:crosses val="autoZero"/>
        <c:auto val="1"/>
        <c:lblOffset val="100"/>
        <c:baseTimeUnit val="months"/>
        <c:majorUnit val="1"/>
        <c:majorTimeUnit val="months"/>
      </c:dateAx>
      <c:valAx>
        <c:axId val="136622015"/>
        <c:scaling>
          <c:orientation val="minMax"/>
          <c:min val="-2"/>
        </c:scaling>
        <c:delete val="0"/>
        <c:axPos val="l"/>
        <c:numFmt formatCode="_ * #,##0.0_ ;_ * \-#,##0.0_ ;_ * &quot;-&quot;??_ ;_ @_ "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36621599"/>
        <c:crosses val="autoZero"/>
        <c:crossBetween val="between"/>
      </c:valAx>
      <c:spPr>
        <a:noFill/>
        <a:ln>
          <a:noFill/>
        </a:ln>
        <a:effectLst/>
      </c:spPr>
    </c:plotArea>
    <c:legend>
      <c:legendPos val="b"/>
      <c:layout>
        <c:manualLayout>
          <c:xMode val="edge"/>
          <c:yMode val="edge"/>
          <c:x val="0.20008980346670441"/>
          <c:y val="0.91419615621983707"/>
          <c:w val="0.59982039306659118"/>
          <c:h val="7.5571595924503743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592544361688677"/>
          <c:y val="5.9813492063492062E-2"/>
          <c:w val="0.79075136500833809"/>
          <c:h val="0.77442167748815904"/>
        </c:manualLayout>
      </c:layout>
      <c:lineChart>
        <c:grouping val="standard"/>
        <c:varyColors val="0"/>
        <c:ser>
          <c:idx val="0"/>
          <c:order val="0"/>
          <c:tx>
            <c:strRef>
              <c:f>'Gráficos SM'!$AB$2</c:f>
              <c:strCache>
                <c:ptCount val="1"/>
                <c:pt idx="0">
                  <c:v>Tasa líder</c:v>
                </c:pt>
              </c:strCache>
            </c:strRef>
          </c:tx>
          <c:spPr>
            <a:ln w="28575" cap="rnd">
              <a:solidFill>
                <a:srgbClr val="002060"/>
              </a:solidFill>
              <a:round/>
            </a:ln>
            <a:effectLst/>
          </c:spPr>
          <c:marker>
            <c:symbol val="none"/>
          </c:marker>
          <c:dLbls>
            <c:dLbl>
              <c:idx val="0"/>
              <c:layout>
                <c:manualLayout>
                  <c:x val="-3.9584004322033017E-2"/>
                  <c:y val="-4.115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059-47B2-AD81-D2964269FC96}"/>
                </c:ext>
              </c:extLst>
            </c:dLbl>
            <c:dLbl>
              <c:idx val="15"/>
              <c:layout>
                <c:manualLayout>
                  <c:x val="-6.5973340536721783E-2"/>
                  <c:y val="-6.46759259259259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059-47B2-AD81-D2964269FC96}"/>
                </c:ext>
              </c:extLst>
            </c:dLbl>
            <c:dLbl>
              <c:idx val="35"/>
              <c:layout>
                <c:manualLayout>
                  <c:x val="-5.7180558610072575E-2"/>
                  <c:y val="-5.291449712567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059-47B2-AD81-D2964269FC9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'Gráficos SM'!$AA$15:$AA$50</c:f>
              <c:numCache>
                <c:formatCode>mmm\-yy</c:formatCode>
                <c:ptCount val="36"/>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pt idx="17">
                  <c:v>44348</c:v>
                </c:pt>
                <c:pt idx="18">
                  <c:v>44378</c:v>
                </c:pt>
                <c:pt idx="19">
                  <c:v>44409</c:v>
                </c:pt>
                <c:pt idx="20">
                  <c:v>44440</c:v>
                </c:pt>
                <c:pt idx="21">
                  <c:v>44470</c:v>
                </c:pt>
                <c:pt idx="22">
                  <c:v>44501</c:v>
                </c:pt>
                <c:pt idx="23">
                  <c:v>44531</c:v>
                </c:pt>
                <c:pt idx="24">
                  <c:v>44562</c:v>
                </c:pt>
                <c:pt idx="25">
                  <c:v>44593</c:v>
                </c:pt>
                <c:pt idx="26">
                  <c:v>44621</c:v>
                </c:pt>
                <c:pt idx="27">
                  <c:v>44652</c:v>
                </c:pt>
                <c:pt idx="28">
                  <c:v>44682</c:v>
                </c:pt>
                <c:pt idx="29">
                  <c:v>44713</c:v>
                </c:pt>
                <c:pt idx="30">
                  <c:v>44743</c:v>
                </c:pt>
                <c:pt idx="31">
                  <c:v>44774</c:v>
                </c:pt>
                <c:pt idx="32">
                  <c:v>44805</c:v>
                </c:pt>
                <c:pt idx="33">
                  <c:v>44835</c:v>
                </c:pt>
                <c:pt idx="34">
                  <c:v>44866</c:v>
                </c:pt>
                <c:pt idx="35">
                  <c:v>44896</c:v>
                </c:pt>
              </c:numCache>
            </c:numRef>
          </c:cat>
          <c:val>
            <c:numRef>
              <c:f>'Gráficos SM'!$AB$15:$AB$50</c:f>
              <c:numCache>
                <c:formatCode>_(* #,##0.00_);_(* \(#,##0.00\);_(* "-"??_);_(@_)</c:formatCode>
                <c:ptCount val="36"/>
                <c:pt idx="0">
                  <c:v>2.75</c:v>
                </c:pt>
                <c:pt idx="1">
                  <c:v>2.75</c:v>
                </c:pt>
                <c:pt idx="2">
                  <c:v>2</c:v>
                </c:pt>
                <c:pt idx="3">
                  <c:v>2</c:v>
                </c:pt>
                <c:pt idx="4">
                  <c:v>2</c:v>
                </c:pt>
                <c:pt idx="5">
                  <c:v>1.75</c:v>
                </c:pt>
                <c:pt idx="6">
                  <c:v>1.75</c:v>
                </c:pt>
                <c:pt idx="7">
                  <c:v>1.75</c:v>
                </c:pt>
                <c:pt idx="8">
                  <c:v>1.75</c:v>
                </c:pt>
                <c:pt idx="9">
                  <c:v>1.75</c:v>
                </c:pt>
                <c:pt idx="10">
                  <c:v>1.75</c:v>
                </c:pt>
                <c:pt idx="11">
                  <c:v>1.75</c:v>
                </c:pt>
                <c:pt idx="12">
                  <c:v>1.75</c:v>
                </c:pt>
                <c:pt idx="13">
                  <c:v>1.75</c:v>
                </c:pt>
                <c:pt idx="14">
                  <c:v>1.75</c:v>
                </c:pt>
                <c:pt idx="15">
                  <c:v>1.75</c:v>
                </c:pt>
                <c:pt idx="16">
                  <c:v>1.75</c:v>
                </c:pt>
                <c:pt idx="17">
                  <c:v>1.75</c:v>
                </c:pt>
                <c:pt idx="18">
                  <c:v>1.75</c:v>
                </c:pt>
                <c:pt idx="19">
                  <c:v>1.75</c:v>
                </c:pt>
                <c:pt idx="20">
                  <c:v>1.75</c:v>
                </c:pt>
                <c:pt idx="21">
                  <c:v>1.75</c:v>
                </c:pt>
                <c:pt idx="22">
                  <c:v>1.75</c:v>
                </c:pt>
                <c:pt idx="23">
                  <c:v>1.75</c:v>
                </c:pt>
                <c:pt idx="24">
                  <c:v>1.75</c:v>
                </c:pt>
                <c:pt idx="25">
                  <c:v>1.75</c:v>
                </c:pt>
                <c:pt idx="26">
                  <c:v>1.75</c:v>
                </c:pt>
                <c:pt idx="27">
                  <c:v>1.75</c:v>
                </c:pt>
                <c:pt idx="28">
                  <c:v>2</c:v>
                </c:pt>
                <c:pt idx="29">
                  <c:v>2.25</c:v>
                </c:pt>
                <c:pt idx="30">
                  <c:v>2.25</c:v>
                </c:pt>
                <c:pt idx="31">
                  <c:v>2.75</c:v>
                </c:pt>
                <c:pt idx="32">
                  <c:v>3</c:v>
                </c:pt>
                <c:pt idx="33">
                  <c:v>3</c:v>
                </c:pt>
                <c:pt idx="34">
                  <c:v>3.75</c:v>
                </c:pt>
                <c:pt idx="35">
                  <c:v>3.75</c:v>
                </c:pt>
              </c:numCache>
            </c:numRef>
          </c:val>
          <c:smooth val="0"/>
          <c:extLst>
            <c:ext xmlns:c16="http://schemas.microsoft.com/office/drawing/2014/chart" uri="{C3380CC4-5D6E-409C-BE32-E72D297353CC}">
              <c16:uniqueId val="{00000003-C059-47B2-AD81-D2964269FC96}"/>
            </c:ext>
          </c:extLst>
        </c:ser>
        <c:dLbls>
          <c:showLegendKey val="0"/>
          <c:showVal val="0"/>
          <c:showCatName val="0"/>
          <c:showSerName val="0"/>
          <c:showPercent val="0"/>
          <c:showBubbleSize val="0"/>
        </c:dLbls>
        <c:smooth val="0"/>
        <c:axId val="817510143"/>
        <c:axId val="817513887"/>
      </c:lineChart>
      <c:dateAx>
        <c:axId val="817510143"/>
        <c:scaling>
          <c:orientation val="minMax"/>
        </c:scaling>
        <c:delete val="0"/>
        <c:axPos val="b"/>
        <c:numFmt formatCode="mmm\-yy" sourceLinked="1"/>
        <c:majorTickMark val="out"/>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817513887"/>
        <c:crosses val="autoZero"/>
        <c:auto val="1"/>
        <c:lblOffset val="100"/>
        <c:baseTimeUnit val="months"/>
        <c:majorUnit val="5"/>
        <c:majorTimeUnit val="months"/>
      </c:dateAx>
      <c:valAx>
        <c:axId val="817513887"/>
        <c:scaling>
          <c:orientation val="minMax"/>
          <c:max val="4"/>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800">
                    <a:latin typeface="Times New Roman" panose="02020603050405020304" pitchFamily="18" charset="0"/>
                    <a:cs typeface="Times New Roman" panose="02020603050405020304" pitchFamily="18" charset="0"/>
                  </a:rPr>
                  <a:t>Porcentaje</a:t>
                </a:r>
              </a:p>
            </c:rich>
          </c:tx>
          <c:layout>
            <c:manualLayout>
              <c:xMode val="edge"/>
              <c:yMode val="edge"/>
              <c:x val="5.7869773096045005E-3"/>
              <c:y val="0.3122279460830108"/>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817510143"/>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669964651093198"/>
          <c:y val="0.1686796210909319"/>
          <c:w val="0.71609628368900435"/>
          <c:h val="0.6592770772560459"/>
        </c:manualLayout>
      </c:layout>
      <c:lineChart>
        <c:grouping val="standard"/>
        <c:varyColors val="0"/>
        <c:ser>
          <c:idx val="0"/>
          <c:order val="0"/>
          <c:tx>
            <c:strRef>
              <c:f>'Gráficos SM'!$AC$2</c:f>
              <c:strCache>
                <c:ptCount val="1"/>
                <c:pt idx="0">
                  <c:v>Tasa activa</c:v>
                </c:pt>
              </c:strCache>
            </c:strRef>
          </c:tx>
          <c:marker>
            <c:symbol val="none"/>
          </c:marker>
          <c:cat>
            <c:numRef>
              <c:f>'Gráficos SM'!$AA$3:$AA$50</c:f>
              <c:numCache>
                <c:formatCode>mmm\-yy</c:formatCode>
                <c:ptCount val="48"/>
                <c:pt idx="0">
                  <c:v>43466</c:v>
                </c:pt>
                <c:pt idx="1">
                  <c:v>43497</c:v>
                </c:pt>
                <c:pt idx="2">
                  <c:v>43525</c:v>
                </c:pt>
                <c:pt idx="3">
                  <c:v>43556</c:v>
                </c:pt>
                <c:pt idx="4">
                  <c:v>43586</c:v>
                </c:pt>
                <c:pt idx="5">
                  <c:v>43617</c:v>
                </c:pt>
                <c:pt idx="6">
                  <c:v>43647</c:v>
                </c:pt>
                <c:pt idx="7">
                  <c:v>43678</c:v>
                </c:pt>
                <c:pt idx="8">
                  <c:v>43709</c:v>
                </c:pt>
                <c:pt idx="9">
                  <c:v>43739</c:v>
                </c:pt>
                <c:pt idx="10">
                  <c:v>43770</c:v>
                </c:pt>
                <c:pt idx="11">
                  <c:v>43800</c:v>
                </c:pt>
                <c:pt idx="12">
                  <c:v>43831</c:v>
                </c:pt>
                <c:pt idx="13">
                  <c:v>43862</c:v>
                </c:pt>
                <c:pt idx="14">
                  <c:v>43891</c:v>
                </c:pt>
                <c:pt idx="15">
                  <c:v>43922</c:v>
                </c:pt>
                <c:pt idx="16">
                  <c:v>43952</c:v>
                </c:pt>
                <c:pt idx="17">
                  <c:v>43983</c:v>
                </c:pt>
                <c:pt idx="18">
                  <c:v>44013</c:v>
                </c:pt>
                <c:pt idx="19">
                  <c:v>44044</c:v>
                </c:pt>
                <c:pt idx="20">
                  <c:v>44075</c:v>
                </c:pt>
                <c:pt idx="21">
                  <c:v>44105</c:v>
                </c:pt>
                <c:pt idx="22">
                  <c:v>44136</c:v>
                </c:pt>
                <c:pt idx="23">
                  <c:v>44166</c:v>
                </c:pt>
                <c:pt idx="24">
                  <c:v>44197</c:v>
                </c:pt>
                <c:pt idx="25">
                  <c:v>44228</c:v>
                </c:pt>
                <c:pt idx="26">
                  <c:v>44256</c:v>
                </c:pt>
                <c:pt idx="27">
                  <c:v>44287</c:v>
                </c:pt>
                <c:pt idx="28">
                  <c:v>44317</c:v>
                </c:pt>
                <c:pt idx="29">
                  <c:v>44348</c:v>
                </c:pt>
                <c:pt idx="30">
                  <c:v>44378</c:v>
                </c:pt>
                <c:pt idx="31">
                  <c:v>44409</c:v>
                </c:pt>
                <c:pt idx="32">
                  <c:v>44440</c:v>
                </c:pt>
                <c:pt idx="33">
                  <c:v>44470</c:v>
                </c:pt>
                <c:pt idx="34">
                  <c:v>44501</c:v>
                </c:pt>
                <c:pt idx="35">
                  <c:v>44531</c:v>
                </c:pt>
                <c:pt idx="36">
                  <c:v>44562</c:v>
                </c:pt>
                <c:pt idx="37">
                  <c:v>44593</c:v>
                </c:pt>
                <c:pt idx="38">
                  <c:v>44621</c:v>
                </c:pt>
                <c:pt idx="39">
                  <c:v>44652</c:v>
                </c:pt>
                <c:pt idx="40">
                  <c:v>44682</c:v>
                </c:pt>
                <c:pt idx="41">
                  <c:v>44713</c:v>
                </c:pt>
                <c:pt idx="42">
                  <c:v>44743</c:v>
                </c:pt>
                <c:pt idx="43">
                  <c:v>44774</c:v>
                </c:pt>
                <c:pt idx="44">
                  <c:v>44805</c:v>
                </c:pt>
                <c:pt idx="45">
                  <c:v>44835</c:v>
                </c:pt>
                <c:pt idx="46">
                  <c:v>44866</c:v>
                </c:pt>
                <c:pt idx="47">
                  <c:v>44896</c:v>
                </c:pt>
              </c:numCache>
            </c:numRef>
          </c:cat>
          <c:val>
            <c:numRef>
              <c:f>'Gráficos SM'!$AC$3:$AC$50</c:f>
              <c:numCache>
                <c:formatCode>_(* #,##0.00_);_(* \(#,##0.00\);_(* "-"??_);_(@_)</c:formatCode>
                <c:ptCount val="48"/>
                <c:pt idx="0">
                  <c:v>12.740000000000002</c:v>
                </c:pt>
                <c:pt idx="1">
                  <c:v>12.770000000000001</c:v>
                </c:pt>
                <c:pt idx="2">
                  <c:v>12.790000000000001</c:v>
                </c:pt>
                <c:pt idx="3">
                  <c:v>12.75</c:v>
                </c:pt>
                <c:pt idx="4">
                  <c:v>12.740000000000002</c:v>
                </c:pt>
                <c:pt idx="5">
                  <c:v>12.75</c:v>
                </c:pt>
                <c:pt idx="6">
                  <c:v>12.770000000000001</c:v>
                </c:pt>
                <c:pt idx="7">
                  <c:v>12.790000000000001</c:v>
                </c:pt>
                <c:pt idx="8">
                  <c:v>12.78</c:v>
                </c:pt>
                <c:pt idx="9">
                  <c:v>12.7</c:v>
                </c:pt>
                <c:pt idx="10">
                  <c:v>12.67</c:v>
                </c:pt>
                <c:pt idx="11">
                  <c:v>12.64</c:v>
                </c:pt>
                <c:pt idx="12">
                  <c:v>12.65</c:v>
                </c:pt>
                <c:pt idx="13">
                  <c:v>12.68</c:v>
                </c:pt>
                <c:pt idx="14">
                  <c:v>12.64</c:v>
                </c:pt>
                <c:pt idx="15">
                  <c:v>12.620000000000001</c:v>
                </c:pt>
                <c:pt idx="16">
                  <c:v>12.659999999999998</c:v>
                </c:pt>
                <c:pt idx="17">
                  <c:v>12.65</c:v>
                </c:pt>
                <c:pt idx="18">
                  <c:v>12.46</c:v>
                </c:pt>
                <c:pt idx="19">
                  <c:v>12.479999999999999</c:v>
                </c:pt>
                <c:pt idx="20">
                  <c:v>12.479999999999999</c:v>
                </c:pt>
                <c:pt idx="21">
                  <c:v>12.33</c:v>
                </c:pt>
                <c:pt idx="22">
                  <c:v>12.32</c:v>
                </c:pt>
                <c:pt idx="23">
                  <c:v>12.33</c:v>
                </c:pt>
                <c:pt idx="24">
                  <c:v>12.34</c:v>
                </c:pt>
                <c:pt idx="25">
                  <c:v>12.32</c:v>
                </c:pt>
                <c:pt idx="26">
                  <c:v>12.32</c:v>
                </c:pt>
                <c:pt idx="27">
                  <c:v>12.280000000000001</c:v>
                </c:pt>
                <c:pt idx="28">
                  <c:v>12.25</c:v>
                </c:pt>
                <c:pt idx="29">
                  <c:v>12.24</c:v>
                </c:pt>
                <c:pt idx="30">
                  <c:v>12.139999999999999</c:v>
                </c:pt>
                <c:pt idx="31">
                  <c:v>12.139999999999999</c:v>
                </c:pt>
                <c:pt idx="32">
                  <c:v>12.16</c:v>
                </c:pt>
                <c:pt idx="33">
                  <c:v>12.13</c:v>
                </c:pt>
                <c:pt idx="34">
                  <c:v>12.02</c:v>
                </c:pt>
                <c:pt idx="35">
                  <c:v>11.92</c:v>
                </c:pt>
                <c:pt idx="36">
                  <c:v>11.92</c:v>
                </c:pt>
                <c:pt idx="37">
                  <c:v>11.92</c:v>
                </c:pt>
                <c:pt idx="38">
                  <c:v>11.95</c:v>
                </c:pt>
                <c:pt idx="39">
                  <c:v>11.93</c:v>
                </c:pt>
                <c:pt idx="40">
                  <c:v>11.940000000000001</c:v>
                </c:pt>
                <c:pt idx="41">
                  <c:v>11.98</c:v>
                </c:pt>
                <c:pt idx="42">
                  <c:v>11.98</c:v>
                </c:pt>
                <c:pt idx="43">
                  <c:v>12.02</c:v>
                </c:pt>
                <c:pt idx="44">
                  <c:v>11.940000000000001</c:v>
                </c:pt>
                <c:pt idx="45">
                  <c:v>11.84</c:v>
                </c:pt>
                <c:pt idx="46">
                  <c:v>11.83</c:v>
                </c:pt>
                <c:pt idx="47">
                  <c:v>11.83</c:v>
                </c:pt>
              </c:numCache>
            </c:numRef>
          </c:val>
          <c:smooth val="0"/>
          <c:extLst>
            <c:ext xmlns:c16="http://schemas.microsoft.com/office/drawing/2014/chart" uri="{C3380CC4-5D6E-409C-BE32-E72D297353CC}">
              <c16:uniqueId val="{00000000-E416-4A9C-9166-7CB724707F34}"/>
            </c:ext>
          </c:extLst>
        </c:ser>
        <c:dLbls>
          <c:showLegendKey val="0"/>
          <c:showVal val="0"/>
          <c:showCatName val="0"/>
          <c:showSerName val="0"/>
          <c:showPercent val="0"/>
          <c:showBubbleSize val="0"/>
        </c:dLbls>
        <c:marker val="1"/>
        <c:smooth val="0"/>
        <c:axId val="817510143"/>
        <c:axId val="817513887"/>
      </c:lineChart>
      <c:lineChart>
        <c:grouping val="standard"/>
        <c:varyColors val="0"/>
        <c:ser>
          <c:idx val="2"/>
          <c:order val="1"/>
          <c:tx>
            <c:strRef>
              <c:f>'Gráficos SM'!$AD$2</c:f>
              <c:strCache>
                <c:ptCount val="1"/>
                <c:pt idx="0">
                  <c:v>Tasa pasiva</c:v>
                </c:pt>
              </c:strCache>
            </c:strRef>
          </c:tx>
          <c:spPr>
            <a:ln>
              <a:solidFill>
                <a:srgbClr val="C00000"/>
              </a:solidFill>
            </a:ln>
          </c:spPr>
          <c:marker>
            <c:symbol val="none"/>
          </c:marker>
          <c:cat>
            <c:numRef>
              <c:f>'Gráficos SM'!$AA$3:$AA$50</c:f>
              <c:numCache>
                <c:formatCode>mmm\-yy</c:formatCode>
                <c:ptCount val="48"/>
                <c:pt idx="0">
                  <c:v>43466</c:v>
                </c:pt>
                <c:pt idx="1">
                  <c:v>43497</c:v>
                </c:pt>
                <c:pt idx="2">
                  <c:v>43525</c:v>
                </c:pt>
                <c:pt idx="3">
                  <c:v>43556</c:v>
                </c:pt>
                <c:pt idx="4">
                  <c:v>43586</c:v>
                </c:pt>
                <c:pt idx="5">
                  <c:v>43617</c:v>
                </c:pt>
                <c:pt idx="6">
                  <c:v>43647</c:v>
                </c:pt>
                <c:pt idx="7">
                  <c:v>43678</c:v>
                </c:pt>
                <c:pt idx="8">
                  <c:v>43709</c:v>
                </c:pt>
                <c:pt idx="9">
                  <c:v>43739</c:v>
                </c:pt>
                <c:pt idx="10">
                  <c:v>43770</c:v>
                </c:pt>
                <c:pt idx="11">
                  <c:v>43800</c:v>
                </c:pt>
                <c:pt idx="12">
                  <c:v>43831</c:v>
                </c:pt>
                <c:pt idx="13">
                  <c:v>43862</c:v>
                </c:pt>
                <c:pt idx="14">
                  <c:v>43891</c:v>
                </c:pt>
                <c:pt idx="15">
                  <c:v>43922</c:v>
                </c:pt>
                <c:pt idx="16">
                  <c:v>43952</c:v>
                </c:pt>
                <c:pt idx="17">
                  <c:v>43983</c:v>
                </c:pt>
                <c:pt idx="18">
                  <c:v>44013</c:v>
                </c:pt>
                <c:pt idx="19">
                  <c:v>44044</c:v>
                </c:pt>
                <c:pt idx="20">
                  <c:v>44075</c:v>
                </c:pt>
                <c:pt idx="21">
                  <c:v>44105</c:v>
                </c:pt>
                <c:pt idx="22">
                  <c:v>44136</c:v>
                </c:pt>
                <c:pt idx="23">
                  <c:v>44166</c:v>
                </c:pt>
                <c:pt idx="24">
                  <c:v>44197</c:v>
                </c:pt>
                <c:pt idx="25">
                  <c:v>44228</c:v>
                </c:pt>
                <c:pt idx="26">
                  <c:v>44256</c:v>
                </c:pt>
                <c:pt idx="27">
                  <c:v>44287</c:v>
                </c:pt>
                <c:pt idx="28">
                  <c:v>44317</c:v>
                </c:pt>
                <c:pt idx="29">
                  <c:v>44348</c:v>
                </c:pt>
                <c:pt idx="30">
                  <c:v>44378</c:v>
                </c:pt>
                <c:pt idx="31">
                  <c:v>44409</c:v>
                </c:pt>
                <c:pt idx="32">
                  <c:v>44440</c:v>
                </c:pt>
                <c:pt idx="33">
                  <c:v>44470</c:v>
                </c:pt>
                <c:pt idx="34">
                  <c:v>44501</c:v>
                </c:pt>
                <c:pt idx="35">
                  <c:v>44531</c:v>
                </c:pt>
                <c:pt idx="36">
                  <c:v>44562</c:v>
                </c:pt>
                <c:pt idx="37">
                  <c:v>44593</c:v>
                </c:pt>
                <c:pt idx="38">
                  <c:v>44621</c:v>
                </c:pt>
                <c:pt idx="39">
                  <c:v>44652</c:v>
                </c:pt>
                <c:pt idx="40">
                  <c:v>44682</c:v>
                </c:pt>
                <c:pt idx="41">
                  <c:v>44713</c:v>
                </c:pt>
                <c:pt idx="42">
                  <c:v>44743</c:v>
                </c:pt>
                <c:pt idx="43">
                  <c:v>44774</c:v>
                </c:pt>
                <c:pt idx="44">
                  <c:v>44805</c:v>
                </c:pt>
                <c:pt idx="45">
                  <c:v>44835</c:v>
                </c:pt>
                <c:pt idx="46">
                  <c:v>44866</c:v>
                </c:pt>
                <c:pt idx="47">
                  <c:v>44896</c:v>
                </c:pt>
              </c:numCache>
            </c:numRef>
          </c:cat>
          <c:val>
            <c:numRef>
              <c:f>'Gráficos SM'!$AD$3:$AD$50</c:f>
              <c:numCache>
                <c:formatCode>_(* #,##0.00_);_(* \(#,##0.00\);_(* "-"??_);_(@_)</c:formatCode>
                <c:ptCount val="48"/>
                <c:pt idx="0">
                  <c:v>5.0500000000000007</c:v>
                </c:pt>
                <c:pt idx="1">
                  <c:v>5.0299999999999994</c:v>
                </c:pt>
                <c:pt idx="2">
                  <c:v>5.0200000000000005</c:v>
                </c:pt>
                <c:pt idx="3">
                  <c:v>5.01</c:v>
                </c:pt>
                <c:pt idx="4">
                  <c:v>5.0999999999999996</c:v>
                </c:pt>
                <c:pt idx="5">
                  <c:v>5.08</c:v>
                </c:pt>
                <c:pt idx="6">
                  <c:v>5.0299999999999994</c:v>
                </c:pt>
                <c:pt idx="7">
                  <c:v>5</c:v>
                </c:pt>
                <c:pt idx="8">
                  <c:v>4.99</c:v>
                </c:pt>
                <c:pt idx="9">
                  <c:v>4.96</c:v>
                </c:pt>
                <c:pt idx="10">
                  <c:v>4.95</c:v>
                </c:pt>
                <c:pt idx="11">
                  <c:v>4.91</c:v>
                </c:pt>
                <c:pt idx="12">
                  <c:v>4.87</c:v>
                </c:pt>
                <c:pt idx="13">
                  <c:v>4.84</c:v>
                </c:pt>
                <c:pt idx="14">
                  <c:v>4.82</c:v>
                </c:pt>
                <c:pt idx="15">
                  <c:v>4.74</c:v>
                </c:pt>
                <c:pt idx="16">
                  <c:v>4.7300000000000004</c:v>
                </c:pt>
                <c:pt idx="17">
                  <c:v>4.68</c:v>
                </c:pt>
                <c:pt idx="18">
                  <c:v>4.5999999999999996</c:v>
                </c:pt>
                <c:pt idx="19">
                  <c:v>4.5600000000000005</c:v>
                </c:pt>
                <c:pt idx="20">
                  <c:v>4.51</c:v>
                </c:pt>
                <c:pt idx="21">
                  <c:v>4.46</c:v>
                </c:pt>
                <c:pt idx="22">
                  <c:v>4.42</c:v>
                </c:pt>
                <c:pt idx="23">
                  <c:v>4.3499999999999996</c:v>
                </c:pt>
                <c:pt idx="24">
                  <c:v>4.32</c:v>
                </c:pt>
                <c:pt idx="25">
                  <c:v>4.29</c:v>
                </c:pt>
                <c:pt idx="26">
                  <c:v>4.25</c:v>
                </c:pt>
                <c:pt idx="27">
                  <c:v>4.22</c:v>
                </c:pt>
                <c:pt idx="28">
                  <c:v>4.1900000000000004</c:v>
                </c:pt>
                <c:pt idx="29">
                  <c:v>4.1500000000000004</c:v>
                </c:pt>
                <c:pt idx="30">
                  <c:v>4.09</c:v>
                </c:pt>
                <c:pt idx="31">
                  <c:v>4.07</c:v>
                </c:pt>
                <c:pt idx="32">
                  <c:v>4.04</c:v>
                </c:pt>
                <c:pt idx="33">
                  <c:v>4.03</c:v>
                </c:pt>
                <c:pt idx="34">
                  <c:v>4.0199999999999996</c:v>
                </c:pt>
                <c:pt idx="35">
                  <c:v>3.9899999999999998</c:v>
                </c:pt>
                <c:pt idx="36">
                  <c:v>3.95</c:v>
                </c:pt>
                <c:pt idx="37">
                  <c:v>3.95</c:v>
                </c:pt>
                <c:pt idx="38">
                  <c:v>3.91</c:v>
                </c:pt>
                <c:pt idx="39">
                  <c:v>3.9</c:v>
                </c:pt>
                <c:pt idx="40">
                  <c:v>3.8899999999999997</c:v>
                </c:pt>
                <c:pt idx="41">
                  <c:v>3.88</c:v>
                </c:pt>
                <c:pt idx="42">
                  <c:v>3.8699999999999997</c:v>
                </c:pt>
                <c:pt idx="43">
                  <c:v>3.88</c:v>
                </c:pt>
                <c:pt idx="44">
                  <c:v>3.88</c:v>
                </c:pt>
                <c:pt idx="45">
                  <c:v>3.9</c:v>
                </c:pt>
                <c:pt idx="46">
                  <c:v>3.93</c:v>
                </c:pt>
                <c:pt idx="47">
                  <c:v>3.95</c:v>
                </c:pt>
              </c:numCache>
            </c:numRef>
          </c:val>
          <c:smooth val="0"/>
          <c:extLst>
            <c:ext xmlns:c16="http://schemas.microsoft.com/office/drawing/2014/chart" uri="{C3380CC4-5D6E-409C-BE32-E72D297353CC}">
              <c16:uniqueId val="{00000001-E416-4A9C-9166-7CB724707F34}"/>
            </c:ext>
          </c:extLst>
        </c:ser>
        <c:dLbls>
          <c:showLegendKey val="0"/>
          <c:showVal val="0"/>
          <c:showCatName val="0"/>
          <c:showSerName val="0"/>
          <c:showPercent val="0"/>
          <c:showBubbleSize val="0"/>
        </c:dLbls>
        <c:marker val="1"/>
        <c:smooth val="0"/>
        <c:axId val="282848832"/>
        <c:axId val="282862144"/>
      </c:lineChart>
      <c:dateAx>
        <c:axId val="817510143"/>
        <c:scaling>
          <c:orientation val="minMax"/>
        </c:scaling>
        <c:delete val="0"/>
        <c:axPos val="b"/>
        <c:numFmt formatCode="mmm\-yy" sourceLinked="1"/>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817513887"/>
        <c:crosses val="autoZero"/>
        <c:auto val="1"/>
        <c:lblOffset val="100"/>
        <c:baseTimeUnit val="months"/>
      </c:dateAx>
      <c:valAx>
        <c:axId val="817513887"/>
        <c:scaling>
          <c:orientation val="minMax"/>
          <c:max val="13"/>
          <c:min val="11"/>
        </c:scaling>
        <c:delete val="0"/>
        <c:axPos val="l"/>
        <c:title>
          <c:tx>
            <c:rich>
              <a:bodyPr/>
              <a:lstStyle/>
              <a:p>
                <a:pPr>
                  <a:defRPr sz="800" b="0">
                    <a:latin typeface="Times New Roman" panose="02020603050405020304" pitchFamily="18" charset="0"/>
                    <a:cs typeface="Times New Roman" panose="02020603050405020304" pitchFamily="18" charset="0"/>
                  </a:defRPr>
                </a:pPr>
                <a:r>
                  <a:rPr lang="es-GT" sz="800" b="0">
                    <a:latin typeface="Times New Roman" panose="02020603050405020304" pitchFamily="18" charset="0"/>
                    <a:cs typeface="Times New Roman" panose="02020603050405020304" pitchFamily="18" charset="0"/>
                  </a:rPr>
                  <a:t>Tasa activa</a:t>
                </a:r>
              </a:p>
            </c:rich>
          </c:tx>
          <c:layout>
            <c:manualLayout>
              <c:xMode val="edge"/>
              <c:yMode val="edge"/>
              <c:x val="2.6853179977256638E-3"/>
              <c:y val="0.34724899873604703"/>
            </c:manualLayout>
          </c:layout>
          <c:overlay val="0"/>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817510143"/>
        <c:crosses val="autoZero"/>
        <c:crossBetween val="between"/>
      </c:valAx>
      <c:valAx>
        <c:axId val="282862144"/>
        <c:scaling>
          <c:orientation val="minMax"/>
          <c:max val="10"/>
        </c:scaling>
        <c:delete val="0"/>
        <c:axPos val="r"/>
        <c:title>
          <c:tx>
            <c:rich>
              <a:bodyPr/>
              <a:lstStyle/>
              <a:p>
                <a:pPr>
                  <a:defRPr sz="800" b="0">
                    <a:latin typeface="Times New Roman" panose="02020603050405020304" pitchFamily="18" charset="0"/>
                    <a:cs typeface="Times New Roman" panose="02020603050405020304" pitchFamily="18" charset="0"/>
                  </a:defRPr>
                </a:pPr>
                <a:r>
                  <a:rPr lang="en-US" sz="800" b="0">
                    <a:latin typeface="Times New Roman" panose="02020603050405020304" pitchFamily="18" charset="0"/>
                    <a:cs typeface="Times New Roman" panose="02020603050405020304" pitchFamily="18" charset="0"/>
                  </a:rPr>
                  <a:t>Tasa pasiva </a:t>
                </a:r>
              </a:p>
            </c:rich>
          </c:tx>
          <c:layout>
            <c:manualLayout>
              <c:xMode val="edge"/>
              <c:yMode val="edge"/>
              <c:x val="0.94081732657527073"/>
              <c:y val="0.32439536945299058"/>
            </c:manualLayout>
          </c:layout>
          <c:overlay val="0"/>
        </c:title>
        <c:numFmt formatCode="#,##0" sourceLinked="0"/>
        <c:majorTickMark val="none"/>
        <c:minorTickMark val="none"/>
        <c:tickLblPos val="nextTo"/>
        <c:spPr>
          <a:ln>
            <a:noFill/>
          </a:ln>
        </c:spPr>
        <c:txPr>
          <a:bodyPr/>
          <a:lstStyle/>
          <a:p>
            <a:pPr>
              <a:defRPr sz="800">
                <a:latin typeface="Times New Roman" panose="02020603050405020304" pitchFamily="18" charset="0"/>
                <a:cs typeface="Times New Roman" panose="02020603050405020304" pitchFamily="18" charset="0"/>
              </a:defRPr>
            </a:pPr>
            <a:endParaRPr lang="es-GT"/>
          </a:p>
        </c:txPr>
        <c:crossAx val="282848832"/>
        <c:crosses val="max"/>
        <c:crossBetween val="between"/>
      </c:valAx>
      <c:dateAx>
        <c:axId val="282848832"/>
        <c:scaling>
          <c:orientation val="minMax"/>
        </c:scaling>
        <c:delete val="1"/>
        <c:axPos val="b"/>
        <c:numFmt formatCode="mmm\-yy" sourceLinked="1"/>
        <c:majorTickMark val="out"/>
        <c:minorTickMark val="none"/>
        <c:tickLblPos val="nextTo"/>
        <c:crossAx val="282862144"/>
        <c:crosses val="autoZero"/>
        <c:auto val="1"/>
        <c:lblOffset val="100"/>
        <c:baseTimeUnit val="months"/>
      </c:dateAx>
    </c:plotArea>
    <c:legend>
      <c:legendPos val="t"/>
      <c:layout>
        <c:manualLayout>
          <c:xMode val="edge"/>
          <c:yMode val="edge"/>
          <c:x val="9.3240624999999994E-2"/>
          <c:y val="3.7921296296296292E-3"/>
          <c:w val="0.798483892445642"/>
          <c:h val="0.1327443769320968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c:chart>
  <c:spPr>
    <a:solidFill>
      <a:schemeClr val="bg1"/>
    </a:solidFill>
    <a:ln w="9525" cap="flat" cmpd="sng" algn="ctr">
      <a:noFill/>
      <a:round/>
    </a:ln>
    <a:effectLst/>
  </c:spPr>
  <c:txPr>
    <a:bodyPr/>
    <a:lstStyle/>
    <a:p>
      <a:pPr>
        <a:defRPr/>
      </a:pPr>
      <a:endParaRPr lang="es-GT"/>
    </a:p>
  </c:txPr>
  <c:externalData r:id="rId1">
    <c:autoUpdate val="0"/>
  </c:externalData>
  <c:userShapes r:id="rId2"/>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85147752265706"/>
          <c:y val="0.11288826971301198"/>
          <c:w val="0.86449366045603993"/>
          <c:h val="0.77732672419181936"/>
        </c:manualLayout>
      </c:layout>
      <c:barChart>
        <c:barDir val="col"/>
        <c:grouping val="stacked"/>
        <c:varyColors val="0"/>
        <c:ser>
          <c:idx val="1"/>
          <c:order val="1"/>
          <c:tx>
            <c:strRef>
              <c:f>'G-SE'!$AJ$7</c:f>
              <c:strCache>
                <c:ptCount val="1"/>
                <c:pt idx="0">
                  <c:v>Bienes y servicios</c:v>
                </c:pt>
              </c:strCache>
            </c:strRef>
          </c:tx>
          <c:spPr>
            <a:solidFill>
              <a:schemeClr val="bg1">
                <a:lumMod val="65000"/>
              </a:schemeClr>
            </a:solidFill>
            <a:ln>
              <a:solidFill>
                <a:schemeClr val="tx1"/>
              </a:solidFill>
            </a:ln>
            <a:effectLst/>
          </c:spPr>
          <c:invertIfNegative val="0"/>
          <c:cat>
            <c:numRef>
              <c:f>'G-SE'!$AK$5:$AO$5</c:f>
              <c:numCache>
                <c:formatCode>0</c:formatCode>
                <c:ptCount val="5"/>
                <c:pt idx="0">
                  <c:v>2018</c:v>
                </c:pt>
                <c:pt idx="1">
                  <c:v>2019</c:v>
                </c:pt>
                <c:pt idx="2">
                  <c:v>2020</c:v>
                </c:pt>
                <c:pt idx="3">
                  <c:v>2021</c:v>
                </c:pt>
                <c:pt idx="4">
                  <c:v>2022</c:v>
                </c:pt>
              </c:numCache>
            </c:numRef>
          </c:cat>
          <c:val>
            <c:numRef>
              <c:f>'G-SE'!$AK$7:$AO$7</c:f>
              <c:numCache>
                <c:formatCode>_ * #,##0.0_ ;_ * \-#,##0.0_ ;_ * "-"??_ ;_ @_ </c:formatCode>
                <c:ptCount val="5"/>
                <c:pt idx="0">
                  <c:v>-10.664478463920153</c:v>
                </c:pt>
                <c:pt idx="1">
                  <c:v>-10.276423848498018</c:v>
                </c:pt>
                <c:pt idx="2">
                  <c:v>-8.4342277454813424</c:v>
                </c:pt>
                <c:pt idx="3">
                  <c:v>-14.059832237755426</c:v>
                </c:pt>
                <c:pt idx="4">
                  <c:v>-16.621129321484275</c:v>
                </c:pt>
              </c:numCache>
            </c:numRef>
          </c:val>
          <c:extLst>
            <c:ext xmlns:c16="http://schemas.microsoft.com/office/drawing/2014/chart" uri="{C3380CC4-5D6E-409C-BE32-E72D297353CC}">
              <c16:uniqueId val="{00000000-977E-4ECE-BAD3-986CC4B23178}"/>
            </c:ext>
          </c:extLst>
        </c:ser>
        <c:ser>
          <c:idx val="2"/>
          <c:order val="2"/>
          <c:tx>
            <c:strRef>
              <c:f>'G-SE'!$AJ$8</c:f>
              <c:strCache>
                <c:ptCount val="1"/>
                <c:pt idx="0">
                  <c:v>Ingreso Primario</c:v>
                </c:pt>
              </c:strCache>
            </c:strRef>
          </c:tx>
          <c:spPr>
            <a:solidFill>
              <a:srgbClr val="C00000"/>
            </a:solidFill>
            <a:ln>
              <a:solidFill>
                <a:schemeClr val="tx1"/>
              </a:solidFill>
            </a:ln>
            <a:effectLst/>
          </c:spPr>
          <c:invertIfNegative val="0"/>
          <c:cat>
            <c:numRef>
              <c:f>'G-SE'!$AK$5:$AO$5</c:f>
              <c:numCache>
                <c:formatCode>0</c:formatCode>
                <c:ptCount val="5"/>
                <c:pt idx="0">
                  <c:v>2018</c:v>
                </c:pt>
                <c:pt idx="1">
                  <c:v>2019</c:v>
                </c:pt>
                <c:pt idx="2">
                  <c:v>2020</c:v>
                </c:pt>
                <c:pt idx="3">
                  <c:v>2021</c:v>
                </c:pt>
                <c:pt idx="4">
                  <c:v>2022</c:v>
                </c:pt>
              </c:numCache>
            </c:numRef>
          </c:cat>
          <c:val>
            <c:numRef>
              <c:f>'G-SE'!$AK$8:$AO$8</c:f>
              <c:numCache>
                <c:formatCode>_ * #,##0.0_ ;_ * \-#,##0.0_ ;_ * "-"??_ ;_ @_ </c:formatCode>
                <c:ptCount val="5"/>
                <c:pt idx="0">
                  <c:v>-2.0488752747256589</c:v>
                </c:pt>
                <c:pt idx="1">
                  <c:v>-1.8197442823658181</c:v>
                </c:pt>
                <c:pt idx="2">
                  <c:v>-1.8110327699974584</c:v>
                </c:pt>
                <c:pt idx="3">
                  <c:v>-2.4710295394773598</c:v>
                </c:pt>
                <c:pt idx="4">
                  <c:v>-1.9501753788931016</c:v>
                </c:pt>
              </c:numCache>
            </c:numRef>
          </c:val>
          <c:extLst>
            <c:ext xmlns:c16="http://schemas.microsoft.com/office/drawing/2014/chart" uri="{C3380CC4-5D6E-409C-BE32-E72D297353CC}">
              <c16:uniqueId val="{00000001-977E-4ECE-BAD3-986CC4B23178}"/>
            </c:ext>
          </c:extLst>
        </c:ser>
        <c:ser>
          <c:idx val="3"/>
          <c:order val="3"/>
          <c:tx>
            <c:strRef>
              <c:f>'G-SE'!$AJ$9</c:f>
              <c:strCache>
                <c:ptCount val="1"/>
                <c:pt idx="0">
                  <c:v>Ingreso Secundario</c:v>
                </c:pt>
              </c:strCache>
            </c:strRef>
          </c:tx>
          <c:spPr>
            <a:solidFill>
              <a:schemeClr val="accent1"/>
            </a:solidFill>
            <a:ln>
              <a:solidFill>
                <a:schemeClr val="tx1"/>
              </a:solidFill>
            </a:ln>
            <a:effectLst/>
          </c:spPr>
          <c:invertIfNegative val="0"/>
          <c:cat>
            <c:numRef>
              <c:f>'G-SE'!$AK$5:$AO$5</c:f>
              <c:numCache>
                <c:formatCode>0</c:formatCode>
                <c:ptCount val="5"/>
                <c:pt idx="0">
                  <c:v>2018</c:v>
                </c:pt>
                <c:pt idx="1">
                  <c:v>2019</c:v>
                </c:pt>
                <c:pt idx="2">
                  <c:v>2020</c:v>
                </c:pt>
                <c:pt idx="3">
                  <c:v>2021</c:v>
                </c:pt>
                <c:pt idx="4">
                  <c:v>2022</c:v>
                </c:pt>
              </c:numCache>
            </c:numRef>
          </c:cat>
          <c:val>
            <c:numRef>
              <c:f>'G-SE'!$AK$9:$AO$9</c:f>
              <c:numCache>
                <c:formatCode>_ * #,##0.0_ ;_ * \-#,##0.0_ ;_ * "-"??_ ;_ @_ </c:formatCode>
                <c:ptCount val="5"/>
                <c:pt idx="0">
                  <c:v>13.599299471423237</c:v>
                </c:pt>
                <c:pt idx="1">
                  <c:v>14.456934348386486</c:v>
                </c:pt>
                <c:pt idx="2">
                  <c:v>15.287389478187</c:v>
                </c:pt>
                <c:pt idx="3">
                  <c:v>18.72951128635961</c:v>
                </c:pt>
                <c:pt idx="4">
                  <c:v>19.960248383641304</c:v>
                </c:pt>
              </c:numCache>
            </c:numRef>
          </c:val>
          <c:extLst>
            <c:ext xmlns:c16="http://schemas.microsoft.com/office/drawing/2014/chart" uri="{C3380CC4-5D6E-409C-BE32-E72D297353CC}">
              <c16:uniqueId val="{00000002-977E-4ECE-BAD3-986CC4B23178}"/>
            </c:ext>
          </c:extLst>
        </c:ser>
        <c:dLbls>
          <c:showLegendKey val="0"/>
          <c:showVal val="0"/>
          <c:showCatName val="0"/>
          <c:showSerName val="0"/>
          <c:showPercent val="0"/>
          <c:showBubbleSize val="0"/>
        </c:dLbls>
        <c:gapWidth val="219"/>
        <c:overlap val="100"/>
        <c:axId val="2025930512"/>
        <c:axId val="2025943408"/>
      </c:barChart>
      <c:lineChart>
        <c:grouping val="standard"/>
        <c:varyColors val="0"/>
        <c:ser>
          <c:idx val="0"/>
          <c:order val="0"/>
          <c:tx>
            <c:strRef>
              <c:f>'G-SE'!$AJ$6</c:f>
              <c:strCache>
                <c:ptCount val="1"/>
                <c:pt idx="0">
                  <c:v>Cuenta corriente</c:v>
                </c:pt>
              </c:strCache>
            </c:strRef>
          </c:tx>
          <c:spPr>
            <a:ln w="28575" cap="rnd">
              <a:solidFill>
                <a:schemeClr val="tx1"/>
              </a:solidFill>
              <a:round/>
            </a:ln>
            <a:effectLst/>
          </c:spPr>
          <c:marker>
            <c:symbol val="diamond"/>
            <c:size val="5"/>
            <c:spPr>
              <a:solidFill>
                <a:schemeClr val="tx1"/>
              </a:solidFill>
              <a:ln w="9525">
                <a:solidFill>
                  <a:schemeClr val="tx1"/>
                </a:solidFill>
              </a:ln>
              <a:effectLst/>
            </c:spPr>
          </c:marker>
          <c:dLbls>
            <c:spPr>
              <a:solidFill>
                <a:schemeClr val="bg1"/>
              </a:solidFill>
              <a:ln>
                <a:solidFill>
                  <a:schemeClr val="tx1"/>
                </a:solid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'G-SE'!$AK$5:$AO$5</c:f>
              <c:numCache>
                <c:formatCode>0</c:formatCode>
                <c:ptCount val="5"/>
                <c:pt idx="0">
                  <c:v>2018</c:v>
                </c:pt>
                <c:pt idx="1">
                  <c:v>2019</c:v>
                </c:pt>
                <c:pt idx="2">
                  <c:v>2020</c:v>
                </c:pt>
                <c:pt idx="3">
                  <c:v>2021</c:v>
                </c:pt>
                <c:pt idx="4">
                  <c:v>2022</c:v>
                </c:pt>
              </c:numCache>
            </c:numRef>
          </c:cat>
          <c:val>
            <c:numRef>
              <c:f>'G-SE'!$AK$6:$AO$6</c:f>
              <c:numCache>
                <c:formatCode>_ * #,##0.0_ ;_ * \-#,##0.0_ ;_ * "-"??_ ;_ @_ </c:formatCode>
                <c:ptCount val="5"/>
                <c:pt idx="0">
                  <c:v>0.88594573277742239</c:v>
                </c:pt>
                <c:pt idx="1">
                  <c:v>2.3607662175226483</c:v>
                </c:pt>
                <c:pt idx="2">
                  <c:v>5.0421289627081958</c:v>
                </c:pt>
                <c:pt idx="3">
                  <c:v>2.1986495091268212</c:v>
                </c:pt>
                <c:pt idx="4">
                  <c:v>1.3889436832639284</c:v>
                </c:pt>
              </c:numCache>
            </c:numRef>
          </c:val>
          <c:smooth val="0"/>
          <c:extLst>
            <c:ext xmlns:c16="http://schemas.microsoft.com/office/drawing/2014/chart" uri="{C3380CC4-5D6E-409C-BE32-E72D297353CC}">
              <c16:uniqueId val="{00000003-977E-4ECE-BAD3-986CC4B23178}"/>
            </c:ext>
          </c:extLst>
        </c:ser>
        <c:dLbls>
          <c:showLegendKey val="0"/>
          <c:showVal val="0"/>
          <c:showCatName val="0"/>
          <c:showSerName val="0"/>
          <c:showPercent val="0"/>
          <c:showBubbleSize val="0"/>
        </c:dLbls>
        <c:marker val="1"/>
        <c:smooth val="0"/>
        <c:axId val="2025930512"/>
        <c:axId val="2025943408"/>
      </c:lineChart>
      <c:catAx>
        <c:axId val="2025930512"/>
        <c:scaling>
          <c:orientation val="minMax"/>
        </c:scaling>
        <c:delete val="0"/>
        <c:axPos val="b"/>
        <c:numFmt formatCode="0"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025943408"/>
        <c:crosses val="autoZero"/>
        <c:auto val="1"/>
        <c:lblAlgn val="ctr"/>
        <c:lblOffset val="100"/>
        <c:noMultiLvlLbl val="0"/>
      </c:catAx>
      <c:valAx>
        <c:axId val="2025943408"/>
        <c:scaling>
          <c:orientation val="minMax"/>
        </c:scaling>
        <c:delete val="0"/>
        <c:axPos val="l"/>
        <c:numFmt formatCode="_ * #,##0.0_ ;_ * \-#,##0.0_ ;_ * &quot;-&quot;??_ ;_ @_ "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025930512"/>
        <c:crosses val="autoZero"/>
        <c:crossBetween val="between"/>
      </c:valAx>
      <c:spPr>
        <a:noFill/>
        <a:ln>
          <a:noFill/>
        </a:ln>
        <a:effectLst/>
      </c:spPr>
    </c:plotArea>
    <c:legend>
      <c:legendPos val="b"/>
      <c:layout>
        <c:manualLayout>
          <c:xMode val="edge"/>
          <c:yMode val="edge"/>
          <c:x val="0.14457074894304145"/>
          <c:y val="5.0443709237903631E-2"/>
          <c:w val="0.82605144588458979"/>
          <c:h val="0.1294232590229367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52559055118111"/>
          <c:y val="0.17171296296296296"/>
          <c:w val="0.85991885389326339"/>
          <c:h val="0.67523877223680373"/>
        </c:manualLayout>
      </c:layout>
      <c:barChart>
        <c:barDir val="col"/>
        <c:grouping val="clustered"/>
        <c:varyColors val="0"/>
        <c:ser>
          <c:idx val="0"/>
          <c:order val="0"/>
          <c:tx>
            <c:strRef>
              <c:f>EI_4!$B$4</c:f>
              <c:strCache>
                <c:ptCount val="1"/>
                <c:pt idx="0">
                  <c:v>2021</c:v>
                </c:pt>
              </c:strCache>
            </c:strRef>
          </c:tx>
          <c:spPr>
            <a:solidFill>
              <a:schemeClr val="tx2">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EI_3!$B$5:$D$5</c:f>
              <c:strCache>
                <c:ptCount val="3"/>
                <c:pt idx="0">
                  <c:v> Economías  Avanzadas </c:v>
                </c:pt>
                <c:pt idx="1">
                  <c:v> Economías emergentes y en desarrollo </c:v>
                </c:pt>
                <c:pt idx="2">
                  <c:v> Latinoamerica y el Caribe </c:v>
                </c:pt>
              </c:strCache>
            </c:strRef>
          </c:cat>
          <c:val>
            <c:numRef>
              <c:f>EI_3!$B$6:$D$6</c:f>
              <c:numCache>
                <c:formatCode>_-* #,##0.0_-;\-* #,##0.0_-;_-* "-"??_-;_-@_-</c:formatCode>
                <c:ptCount val="3"/>
                <c:pt idx="0">
                  <c:v>7.5129999999999999</c:v>
                </c:pt>
                <c:pt idx="1">
                  <c:v>5.202</c:v>
                </c:pt>
                <c:pt idx="2">
                  <c:v>4.4580000000000002</c:v>
                </c:pt>
              </c:numCache>
            </c:numRef>
          </c:val>
          <c:extLst>
            <c:ext xmlns:c16="http://schemas.microsoft.com/office/drawing/2014/chart" uri="{C3380CC4-5D6E-409C-BE32-E72D297353CC}">
              <c16:uniqueId val="{00000000-5DB2-4CA8-BD80-7052411D05DA}"/>
            </c:ext>
          </c:extLst>
        </c:ser>
        <c:ser>
          <c:idx val="1"/>
          <c:order val="1"/>
          <c:tx>
            <c:strRef>
              <c:f>EI_4!$B$5</c:f>
              <c:strCache>
                <c:ptCount val="1"/>
                <c:pt idx="0">
                  <c:v>2022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EI_3!$B$5:$D$5</c:f>
              <c:strCache>
                <c:ptCount val="3"/>
                <c:pt idx="0">
                  <c:v> Economías  Avanzadas </c:v>
                </c:pt>
                <c:pt idx="1">
                  <c:v> Economías emergentes y en desarrollo </c:v>
                </c:pt>
                <c:pt idx="2">
                  <c:v> Latinoamerica y el Caribe </c:v>
                </c:pt>
              </c:strCache>
            </c:strRef>
          </c:cat>
          <c:val>
            <c:numRef>
              <c:f>EI_3!$B$7:$D$7</c:f>
              <c:numCache>
                <c:formatCode>_-* #,##0.0_-;\-* #,##0.0_-;_-* "-"??_-;_-@_-</c:formatCode>
                <c:ptCount val="3"/>
                <c:pt idx="0">
                  <c:v>4.2750000000000004</c:v>
                </c:pt>
                <c:pt idx="1">
                  <c:v>5.226</c:v>
                </c:pt>
                <c:pt idx="2">
                  <c:v>3.8690000000000002</c:v>
                </c:pt>
              </c:numCache>
            </c:numRef>
          </c:val>
          <c:extLst>
            <c:ext xmlns:c16="http://schemas.microsoft.com/office/drawing/2014/chart" uri="{C3380CC4-5D6E-409C-BE32-E72D297353CC}">
              <c16:uniqueId val="{00000001-5DB2-4CA8-BD80-7052411D05DA}"/>
            </c:ext>
          </c:extLst>
        </c:ser>
        <c:dLbls>
          <c:showLegendKey val="0"/>
          <c:showVal val="0"/>
          <c:showCatName val="0"/>
          <c:showSerName val="0"/>
          <c:showPercent val="0"/>
          <c:showBubbleSize val="0"/>
        </c:dLbls>
        <c:gapWidth val="219"/>
        <c:overlap val="-27"/>
        <c:axId val="1443980351"/>
        <c:axId val="1443987423"/>
      </c:barChart>
      <c:catAx>
        <c:axId val="14439803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443987423"/>
        <c:crosses val="autoZero"/>
        <c:auto val="1"/>
        <c:lblAlgn val="ctr"/>
        <c:lblOffset val="100"/>
        <c:noMultiLvlLbl val="0"/>
      </c:catAx>
      <c:valAx>
        <c:axId val="1443987423"/>
        <c:scaling>
          <c:orientation val="minMax"/>
        </c:scaling>
        <c:delete val="1"/>
        <c:axPos val="l"/>
        <c:numFmt formatCode="_-* #,##0.0_-;\-* #,##0.0_-;_-* &quot;-&quot;??_-;_-@_-" sourceLinked="1"/>
        <c:majorTickMark val="none"/>
        <c:minorTickMark val="none"/>
        <c:tickLblPos val="nextTo"/>
        <c:crossAx val="1443980351"/>
        <c:crosses val="autoZero"/>
        <c:crossBetween val="between"/>
      </c:valAx>
    </c:plotArea>
    <c:legend>
      <c:legendPos val="b"/>
      <c:layout>
        <c:manualLayout>
          <c:xMode val="edge"/>
          <c:yMode val="edge"/>
          <c:x val="0.33749513888888888"/>
          <c:y val="6.3680092592592594E-2"/>
          <c:w val="0.28541666666666671"/>
          <c:h val="9.328240740740741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c:chart>
  <c:spPr>
    <a:solidFill>
      <a:schemeClr val="bg1"/>
    </a:solidFill>
    <a:ln w="9525" cap="flat" cmpd="sng" algn="ctr">
      <a:noFill/>
      <a:round/>
    </a:ln>
    <a:effectLst/>
  </c:spPr>
  <c:txPr>
    <a:bodyPr/>
    <a:lstStyle/>
    <a:p>
      <a:pPr>
        <a:defRPr>
          <a:latin typeface="Rime"/>
        </a:defRPr>
      </a:pPr>
      <a:endParaRPr lang="es-GT"/>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35680624572849"/>
          <c:y val="5.2247502816203981E-2"/>
          <c:w val="0.82231030097052993"/>
          <c:h val="0.83756599192463799"/>
        </c:manualLayout>
      </c:layout>
      <c:barChart>
        <c:barDir val="col"/>
        <c:grouping val="clustered"/>
        <c:varyColors val="0"/>
        <c:ser>
          <c:idx val="0"/>
          <c:order val="0"/>
          <c:tx>
            <c:strRef>
              <c:f>'G-SE'!$AJ$154</c:f>
              <c:strCache>
                <c:ptCount val="1"/>
                <c:pt idx="0">
                  <c:v>Terminos de intercambio</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'G-SE'!$AM$153:$AT$153</c:f>
              <c:numCache>
                <c:formatCode>General</c:formatCode>
                <c:ptCount val="8"/>
                <c:pt idx="0">
                  <c:v>2015</c:v>
                </c:pt>
                <c:pt idx="1">
                  <c:v>2016</c:v>
                </c:pt>
                <c:pt idx="2">
                  <c:v>2017</c:v>
                </c:pt>
                <c:pt idx="3">
                  <c:v>2018</c:v>
                </c:pt>
                <c:pt idx="4">
                  <c:v>2019</c:v>
                </c:pt>
                <c:pt idx="5">
                  <c:v>2020</c:v>
                </c:pt>
                <c:pt idx="6">
                  <c:v>2021</c:v>
                </c:pt>
                <c:pt idx="7">
                  <c:v>2022</c:v>
                </c:pt>
              </c:numCache>
            </c:numRef>
          </c:cat>
          <c:val>
            <c:numRef>
              <c:f>'G-SE'!$AM$154:$AT$154</c:f>
              <c:numCache>
                <c:formatCode>_ * #,##0.0_ ;_ * \-#,##0.0_ ;_ * "-"??_ ;_ @_ </c:formatCode>
                <c:ptCount val="8"/>
                <c:pt idx="0">
                  <c:v>98.670012819277488</c:v>
                </c:pt>
                <c:pt idx="1">
                  <c:v>98.827685685767236</c:v>
                </c:pt>
                <c:pt idx="2">
                  <c:v>99.6124532140486</c:v>
                </c:pt>
                <c:pt idx="3">
                  <c:v>98.21005235279074</c:v>
                </c:pt>
                <c:pt idx="4">
                  <c:v>103.64323926315345</c:v>
                </c:pt>
                <c:pt idx="5">
                  <c:v>110.53043977028724</c:v>
                </c:pt>
                <c:pt idx="6">
                  <c:v>101.28990028333891</c:v>
                </c:pt>
                <c:pt idx="7">
                  <c:v>94.563174766172992</c:v>
                </c:pt>
              </c:numCache>
            </c:numRef>
          </c:val>
          <c:extLst>
            <c:ext xmlns:c16="http://schemas.microsoft.com/office/drawing/2014/chart" uri="{C3380CC4-5D6E-409C-BE32-E72D297353CC}">
              <c16:uniqueId val="{00000000-E227-4997-AFA8-CFFBC013A3D2}"/>
            </c:ext>
          </c:extLst>
        </c:ser>
        <c:dLbls>
          <c:showLegendKey val="0"/>
          <c:showVal val="0"/>
          <c:showCatName val="0"/>
          <c:showSerName val="0"/>
          <c:showPercent val="0"/>
          <c:showBubbleSize val="0"/>
        </c:dLbls>
        <c:gapWidth val="100"/>
        <c:axId val="1689018527"/>
        <c:axId val="1689018943"/>
      </c:barChart>
      <c:catAx>
        <c:axId val="16890185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89018943"/>
        <c:crosses val="autoZero"/>
        <c:auto val="1"/>
        <c:lblAlgn val="ctr"/>
        <c:lblOffset val="100"/>
        <c:noMultiLvlLbl val="0"/>
      </c:catAx>
      <c:valAx>
        <c:axId val="1689018943"/>
        <c:scaling>
          <c:orientation val="minMax"/>
        </c:scaling>
        <c:delete val="0"/>
        <c:axPos val="l"/>
        <c:numFmt formatCode="_ * #,##0.0_ ;_ * \-#,##0.0_ ;_ * &quot;-&quot;??_ ;_ @_ "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8901852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508333333333332"/>
          <c:y val="5.147685185185185E-2"/>
          <c:w val="0.74431701388888893"/>
          <c:h val="0.78211481481481471"/>
        </c:manualLayout>
      </c:layout>
      <c:bubbleChart>
        <c:varyColors val="0"/>
        <c:ser>
          <c:idx val="0"/>
          <c:order val="0"/>
          <c:tx>
            <c:strRef>
              <c:f>'G-SE'!$AN$121</c:f>
              <c:strCache>
                <c:ptCount val="1"/>
                <c:pt idx="0">
                  <c:v>Volumen</c:v>
                </c:pt>
              </c:strCache>
            </c:strRef>
          </c:tx>
          <c:spPr>
            <a:solidFill>
              <a:schemeClr val="accent5">
                <a:lumMod val="20000"/>
                <a:lumOff val="80000"/>
              </a:schemeClr>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4EAC-4E3D-BD3B-4CFA0E5EBE8E}"/>
              </c:ext>
            </c:extLst>
          </c:dPt>
          <c:dPt>
            <c:idx val="1"/>
            <c:invertIfNegative val="0"/>
            <c:bubble3D val="0"/>
            <c:spPr>
              <a:solidFill>
                <a:schemeClr val="accent6">
                  <a:lumMod val="20000"/>
                  <a:lumOff val="80000"/>
                </a:schemeClr>
              </a:solidFill>
              <a:ln>
                <a:noFill/>
              </a:ln>
              <a:effectLst/>
            </c:spPr>
            <c:extLst>
              <c:ext xmlns:c16="http://schemas.microsoft.com/office/drawing/2014/chart" uri="{C3380CC4-5D6E-409C-BE32-E72D297353CC}">
                <c16:uniqueId val="{00000003-4EAC-4E3D-BD3B-4CFA0E5EBE8E}"/>
              </c:ext>
            </c:extLst>
          </c:dPt>
          <c:dPt>
            <c:idx val="2"/>
            <c:invertIfNegative val="0"/>
            <c:bubble3D val="0"/>
            <c:spPr>
              <a:solidFill>
                <a:schemeClr val="accent4">
                  <a:lumMod val="75000"/>
                </a:schemeClr>
              </a:solidFill>
              <a:ln>
                <a:noFill/>
              </a:ln>
              <a:effectLst/>
            </c:spPr>
            <c:extLst>
              <c:ext xmlns:c16="http://schemas.microsoft.com/office/drawing/2014/chart" uri="{C3380CC4-5D6E-409C-BE32-E72D297353CC}">
                <c16:uniqueId val="{00000005-4EAC-4E3D-BD3B-4CFA0E5EBE8E}"/>
              </c:ext>
            </c:extLst>
          </c:dPt>
          <c:dPt>
            <c:idx val="3"/>
            <c:invertIfNegative val="0"/>
            <c:bubble3D val="0"/>
            <c:spPr>
              <a:solidFill>
                <a:srgbClr val="B80D48"/>
              </a:solidFill>
              <a:ln>
                <a:noFill/>
              </a:ln>
              <a:effectLst/>
            </c:spPr>
            <c:extLst>
              <c:ext xmlns:c16="http://schemas.microsoft.com/office/drawing/2014/chart" uri="{C3380CC4-5D6E-409C-BE32-E72D297353CC}">
                <c16:uniqueId val="{00000007-4EAC-4E3D-BD3B-4CFA0E5EBE8E}"/>
              </c:ext>
            </c:extLst>
          </c:dPt>
          <c:dPt>
            <c:idx val="4"/>
            <c:invertIfNegative val="0"/>
            <c:bubble3D val="0"/>
            <c:spPr>
              <a:solidFill>
                <a:srgbClr val="E6DF44"/>
              </a:solidFill>
              <a:ln>
                <a:noFill/>
              </a:ln>
              <a:effectLst/>
            </c:spPr>
            <c:extLst>
              <c:ext xmlns:c16="http://schemas.microsoft.com/office/drawing/2014/chart" uri="{C3380CC4-5D6E-409C-BE32-E72D297353CC}">
                <c16:uniqueId val="{00000009-4EAC-4E3D-BD3B-4CFA0E5EBE8E}"/>
              </c:ext>
            </c:extLst>
          </c:dPt>
          <c:dPt>
            <c:idx val="5"/>
            <c:invertIfNegative val="0"/>
            <c:bubble3D val="0"/>
            <c:spPr>
              <a:solidFill>
                <a:schemeClr val="accent5">
                  <a:lumMod val="60000"/>
                  <a:lumOff val="40000"/>
                </a:schemeClr>
              </a:solidFill>
              <a:ln>
                <a:noFill/>
              </a:ln>
              <a:effectLst/>
            </c:spPr>
            <c:extLst>
              <c:ext xmlns:c16="http://schemas.microsoft.com/office/drawing/2014/chart" uri="{C3380CC4-5D6E-409C-BE32-E72D297353CC}">
                <c16:uniqueId val="{0000000B-4EAC-4E3D-BD3B-4CFA0E5EBE8E}"/>
              </c:ext>
            </c:extLst>
          </c:dPt>
          <c:dPt>
            <c:idx val="6"/>
            <c:invertIfNegative val="0"/>
            <c:bubble3D val="0"/>
            <c:spPr>
              <a:solidFill>
                <a:srgbClr val="2B6A6C"/>
              </a:solidFill>
              <a:ln>
                <a:noFill/>
              </a:ln>
              <a:effectLst/>
            </c:spPr>
            <c:extLst>
              <c:ext xmlns:c16="http://schemas.microsoft.com/office/drawing/2014/chart" uri="{C3380CC4-5D6E-409C-BE32-E72D297353CC}">
                <c16:uniqueId val="{0000000D-4EAC-4E3D-BD3B-4CFA0E5EBE8E}"/>
              </c:ext>
            </c:extLst>
          </c:dPt>
          <c:dPt>
            <c:idx val="7"/>
            <c:invertIfNegative val="0"/>
            <c:bubble3D val="0"/>
            <c:spPr>
              <a:solidFill>
                <a:srgbClr val="F0810F"/>
              </a:solidFill>
              <a:ln>
                <a:noFill/>
              </a:ln>
              <a:effectLst/>
            </c:spPr>
            <c:extLst>
              <c:ext xmlns:c16="http://schemas.microsoft.com/office/drawing/2014/chart" uri="{C3380CC4-5D6E-409C-BE32-E72D297353CC}">
                <c16:uniqueId val="{0000000F-4EAC-4E3D-BD3B-4CFA0E5EBE8E}"/>
              </c:ext>
            </c:extLst>
          </c:dPt>
          <c:dPt>
            <c:idx val="8"/>
            <c:invertIfNegative val="0"/>
            <c:bubble3D val="0"/>
            <c:spPr>
              <a:solidFill>
                <a:srgbClr val="3C1048"/>
              </a:solidFill>
              <a:ln>
                <a:noFill/>
              </a:ln>
              <a:effectLst/>
            </c:spPr>
            <c:extLst>
              <c:ext xmlns:c16="http://schemas.microsoft.com/office/drawing/2014/chart" uri="{C3380CC4-5D6E-409C-BE32-E72D297353CC}">
                <c16:uniqueId val="{00000011-4EAC-4E3D-BD3B-4CFA0E5EBE8E}"/>
              </c:ext>
            </c:extLst>
          </c:dPt>
          <c:dPt>
            <c:idx val="9"/>
            <c:invertIfNegative val="0"/>
            <c:bubble3D val="0"/>
            <c:spPr>
              <a:solidFill>
                <a:schemeClr val="accent4"/>
              </a:solidFill>
              <a:ln>
                <a:noFill/>
              </a:ln>
              <a:effectLst/>
            </c:spPr>
            <c:extLst>
              <c:ext xmlns:c16="http://schemas.microsoft.com/office/drawing/2014/chart" uri="{C3380CC4-5D6E-409C-BE32-E72D297353CC}">
                <c16:uniqueId val="{00000013-4EAC-4E3D-BD3B-4CFA0E5EBE8E}"/>
              </c:ext>
            </c:extLst>
          </c:dPt>
          <c:dLbls>
            <c:dLbl>
              <c:idx val="0"/>
              <c:layout>
                <c:manualLayout>
                  <c:x val="-7.7631434165097461E-3"/>
                  <c:y val="3.0205503861202958E-3"/>
                </c:manualLayout>
              </c:layout>
              <c:tx>
                <c:rich>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8C26EE63-8055-4F4C-8319-9D544B725C78}" type="CELLRANGE">
                      <a:rPr lang="en-US"/>
                      <a:pPr>
                        <a:defRPr sz="700">
                          <a:latin typeface="Times New Roman" panose="02020603050405020304" pitchFamily="18" charset="0"/>
                          <a:cs typeface="Times New Roman" panose="02020603050405020304" pitchFamily="18" charset="0"/>
                        </a:defRPr>
                      </a:pPr>
                      <a:t>[CELLRANGE]</a:t>
                    </a:fld>
                    <a:endParaRPr lang="es-GT"/>
                  </a:p>
                </c:rich>
              </c:tx>
              <c:spPr>
                <a:solidFill>
                  <a:schemeClr val="bg1"/>
                </a:solidFill>
                <a:ln>
                  <a:solidFill>
                    <a:schemeClr val="accent1"/>
                  </a:solid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4EAC-4E3D-BD3B-4CFA0E5EBE8E}"/>
                </c:ext>
              </c:extLst>
            </c:dLbl>
            <c:dLbl>
              <c:idx val="1"/>
              <c:layout>
                <c:manualLayout>
                  <c:x val="-3.2958454700031349E-3"/>
                  <c:y val="-3.2627816443024905E-2"/>
                </c:manualLayout>
              </c:layout>
              <c:tx>
                <c:rich>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93C07C0E-1BE3-42B9-989A-72D4B2EBB030}" type="CELLRANGE">
                      <a:rPr lang="en-US"/>
                      <a:pPr>
                        <a:defRPr sz="700">
                          <a:latin typeface="Times New Roman" panose="02020603050405020304" pitchFamily="18" charset="0"/>
                          <a:cs typeface="Times New Roman" panose="02020603050405020304" pitchFamily="18" charset="0"/>
                        </a:defRPr>
                      </a:pPr>
                      <a:t>[CELLRANGE]</a:t>
                    </a:fld>
                    <a:endParaRPr lang="es-GT"/>
                  </a:p>
                </c:rich>
              </c:tx>
              <c:spPr>
                <a:solidFill>
                  <a:schemeClr val="bg1"/>
                </a:solidFill>
                <a:ln>
                  <a:solidFill>
                    <a:schemeClr val="accent6">
                      <a:lumMod val="40000"/>
                      <a:lumOff val="60000"/>
                    </a:schemeClr>
                  </a:solid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4EAC-4E3D-BD3B-4CFA0E5EBE8E}"/>
                </c:ext>
              </c:extLst>
            </c:dLbl>
            <c:dLbl>
              <c:idx val="2"/>
              <c:layout>
                <c:manualLayout>
                  <c:x val="-3.0329304270377666E-2"/>
                  <c:y val="-9.4233097671680532E-2"/>
                </c:manualLayout>
              </c:layout>
              <c:tx>
                <c:rich>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12A8213C-1475-4DC8-9A74-542B63E08985}" type="CELLRANGE">
                      <a:rPr lang="en-US"/>
                      <a:pPr>
                        <a:defRPr sz="700">
                          <a:latin typeface="Times New Roman" panose="02020603050405020304" pitchFamily="18" charset="0"/>
                          <a:cs typeface="Times New Roman" panose="02020603050405020304" pitchFamily="18" charset="0"/>
                        </a:defRPr>
                      </a:pPr>
                      <a:t>[CELLRANGE]</a:t>
                    </a:fld>
                    <a:endParaRPr lang="es-GT"/>
                  </a:p>
                </c:rich>
              </c:tx>
              <c:spPr>
                <a:solidFill>
                  <a:schemeClr val="bg1"/>
                </a:solidFill>
                <a:ln>
                  <a:solidFill>
                    <a:schemeClr val="accent4">
                      <a:lumMod val="75000"/>
                    </a:schemeClr>
                  </a:solid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4EAC-4E3D-BD3B-4CFA0E5EBE8E}"/>
                </c:ext>
              </c:extLst>
            </c:dLbl>
            <c:dLbl>
              <c:idx val="3"/>
              <c:layout>
                <c:manualLayout>
                  <c:x val="-0.22572465277777778"/>
                  <c:y val="5.2916666666666612E-2"/>
                </c:manualLayout>
              </c:layout>
              <c:tx>
                <c:rich>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A849A31A-01B3-41CE-B52F-8711A6BBC69C}" type="CELLRANGE">
                      <a:rPr lang="en-US"/>
                      <a:pPr>
                        <a:defRPr sz="700">
                          <a:latin typeface="Times New Roman" panose="02020603050405020304" pitchFamily="18" charset="0"/>
                          <a:cs typeface="Times New Roman" panose="02020603050405020304" pitchFamily="18" charset="0"/>
                        </a:defRPr>
                      </a:pPr>
                      <a:t>[CELLRANGE]</a:t>
                    </a:fld>
                    <a:endParaRPr lang="es-GT"/>
                  </a:p>
                </c:rich>
              </c:tx>
              <c:spPr>
                <a:solidFill>
                  <a:schemeClr val="bg1"/>
                </a:solidFill>
                <a:ln>
                  <a:solidFill>
                    <a:srgbClr val="B80D48"/>
                  </a:solid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4EAC-4E3D-BD3B-4CFA0E5EBE8E}"/>
                </c:ext>
              </c:extLst>
            </c:dLbl>
            <c:dLbl>
              <c:idx val="4"/>
              <c:layout>
                <c:manualLayout>
                  <c:x val="-0.31803385416666669"/>
                  <c:y val="7.8596296296296303E-2"/>
                </c:manualLayout>
              </c:layout>
              <c:tx>
                <c:rich>
                  <a:bodyPr rot="0" spcFirstLastPara="1" vertOverflow="ellipsis" vert="horz" wrap="square" lIns="38100" tIns="19050" rIns="38100" bIns="19050" anchor="ctr" anchorCtr="1">
                    <a:no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85C100E5-797F-494A-9D8C-4BCE1B51858D}" type="CELLRANGE">
                      <a:rPr lang="en-US"/>
                      <a:pPr>
                        <a:defRPr sz="700">
                          <a:latin typeface="Times New Roman" panose="02020603050405020304" pitchFamily="18" charset="0"/>
                          <a:cs typeface="Times New Roman" panose="02020603050405020304" pitchFamily="18" charset="0"/>
                        </a:defRPr>
                      </a:pPr>
                      <a:t>[CELLRANGE]</a:t>
                    </a:fld>
                    <a:endParaRPr lang="es-GT"/>
                  </a:p>
                </c:rich>
              </c:tx>
              <c:spPr>
                <a:solidFill>
                  <a:schemeClr val="bg1"/>
                </a:solidFill>
                <a:ln>
                  <a:solidFill>
                    <a:srgbClr val="E6DF44"/>
                  </a:solid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r"/>
              <c:showLegendKey val="0"/>
              <c:showVal val="0"/>
              <c:showCatName val="0"/>
              <c:showSerName val="0"/>
              <c:showPercent val="0"/>
              <c:showBubbleSize val="0"/>
              <c:extLst>
                <c:ext xmlns:c15="http://schemas.microsoft.com/office/drawing/2012/chart" uri="{CE6537A1-D6FC-4f65-9D91-7224C49458BB}">
                  <c15:layout>
                    <c:manualLayout>
                      <c:w val="0.25036215277777774"/>
                      <c:h val="5.3445833333333331E-2"/>
                    </c:manualLayout>
                  </c15:layout>
                  <c15:dlblFieldTable/>
                  <c15:showDataLabelsRange val="1"/>
                </c:ext>
                <c:ext xmlns:c16="http://schemas.microsoft.com/office/drawing/2014/chart" uri="{C3380CC4-5D6E-409C-BE32-E72D297353CC}">
                  <c16:uniqueId val="{00000009-4EAC-4E3D-BD3B-4CFA0E5EBE8E}"/>
                </c:ext>
              </c:extLst>
            </c:dLbl>
            <c:dLbl>
              <c:idx val="5"/>
              <c:layout>
                <c:manualLayout>
                  <c:x val="-0.28288505939177716"/>
                  <c:y val="-0.17315913591840235"/>
                </c:manualLayout>
              </c:layout>
              <c:tx>
                <c:rich>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4B885F05-B34C-4038-A56A-8115062C654A}" type="CELLRANGE">
                      <a:rPr lang="en-US"/>
                      <a:pPr>
                        <a:defRPr sz="700">
                          <a:latin typeface="Times New Roman" panose="02020603050405020304" pitchFamily="18" charset="0"/>
                          <a:cs typeface="Times New Roman" panose="02020603050405020304" pitchFamily="18" charset="0"/>
                        </a:defRPr>
                      </a:pPr>
                      <a:t>[CELLRANGE]</a:t>
                    </a:fld>
                    <a:endParaRPr lang="es-GT"/>
                  </a:p>
                </c:rich>
              </c:tx>
              <c:spPr>
                <a:solidFill>
                  <a:schemeClr val="bg1"/>
                </a:solidFill>
                <a:ln>
                  <a:solidFill>
                    <a:schemeClr val="accent5">
                      <a:lumMod val="40000"/>
                      <a:lumOff val="60000"/>
                    </a:schemeClr>
                  </a:solid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B-4EAC-4E3D-BD3B-4CFA0E5EBE8E}"/>
                </c:ext>
              </c:extLst>
            </c:dLbl>
            <c:dLbl>
              <c:idx val="6"/>
              <c:layout>
                <c:manualLayout>
                  <c:x val="-0.10800777766111011"/>
                  <c:y val="7.1767160497442056E-2"/>
                </c:manualLayout>
              </c:layout>
              <c:tx>
                <c:rich>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2BD3D945-F16B-4910-A1A8-2E303B2B1A64}" type="CELLRANGE">
                      <a:rPr lang="en-US"/>
                      <a:pPr>
                        <a:defRPr sz="700">
                          <a:latin typeface="Times New Roman" panose="02020603050405020304" pitchFamily="18" charset="0"/>
                          <a:cs typeface="Times New Roman" panose="02020603050405020304" pitchFamily="18" charset="0"/>
                        </a:defRPr>
                      </a:pPr>
                      <a:t>[CELLRANGE]</a:t>
                    </a:fld>
                    <a:endParaRPr lang="es-GT"/>
                  </a:p>
                </c:rich>
              </c:tx>
              <c:spPr>
                <a:solidFill>
                  <a:schemeClr val="bg1"/>
                </a:solidFill>
                <a:ln>
                  <a:solidFill>
                    <a:srgbClr val="2B6A6C"/>
                  </a:solid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D-4EAC-4E3D-BD3B-4CFA0E5EBE8E}"/>
                </c:ext>
              </c:extLst>
            </c:dLbl>
            <c:dLbl>
              <c:idx val="7"/>
              <c:layout>
                <c:manualLayout>
                  <c:x val="-1.1595113873917663E-2"/>
                  <c:y val="-5.6034812450870032E-3"/>
                </c:manualLayout>
              </c:layout>
              <c:tx>
                <c:rich>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B90409CD-3682-45F2-82FA-B7BF5A09D8CF}" type="CELLRANGE">
                      <a:rPr lang="en-US"/>
                      <a:pPr>
                        <a:defRPr sz="700">
                          <a:latin typeface="Times New Roman" panose="02020603050405020304" pitchFamily="18" charset="0"/>
                          <a:cs typeface="Times New Roman" panose="02020603050405020304" pitchFamily="18" charset="0"/>
                        </a:defRPr>
                      </a:pPr>
                      <a:t>[CELLRANGE]</a:t>
                    </a:fld>
                    <a:endParaRPr lang="es-GT"/>
                  </a:p>
                </c:rich>
              </c:tx>
              <c:spPr>
                <a:solidFill>
                  <a:schemeClr val="bg1"/>
                </a:solidFill>
                <a:ln>
                  <a:solidFill>
                    <a:srgbClr val="F0810F"/>
                  </a:solid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F-4EAC-4E3D-BD3B-4CFA0E5EBE8E}"/>
                </c:ext>
              </c:extLst>
            </c:dLbl>
            <c:dLbl>
              <c:idx val="8"/>
              <c:layout>
                <c:manualLayout>
                  <c:x val="-0.39931338340755634"/>
                  <c:y val="4.8926901778498226E-2"/>
                </c:manualLayout>
              </c:layout>
              <c:tx>
                <c:rich>
                  <a:bodyPr rot="0" spcFirstLastPara="1" vertOverflow="ellipsis" vert="horz" wrap="square" lIns="38100" tIns="19050" rIns="38100" bIns="19050" anchor="ctr" anchorCtr="1">
                    <a:no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9F37BBD8-815B-4FE9-B679-E511F6275932}" type="CELLRANGE">
                      <a:rPr lang="en-US"/>
                      <a:pPr>
                        <a:defRPr sz="700">
                          <a:latin typeface="Times New Roman" panose="02020603050405020304" pitchFamily="18" charset="0"/>
                          <a:cs typeface="Times New Roman" panose="02020603050405020304" pitchFamily="18" charset="0"/>
                        </a:defRPr>
                      </a:pPr>
                      <a:t>[CELLRANGE]</a:t>
                    </a:fld>
                    <a:endParaRPr lang="es-GT"/>
                  </a:p>
                </c:rich>
              </c:tx>
              <c:spPr>
                <a:solidFill>
                  <a:schemeClr val="bg1"/>
                </a:solidFill>
                <a:ln>
                  <a:solidFill>
                    <a:srgbClr val="011A27"/>
                  </a:solid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r"/>
              <c:showLegendKey val="0"/>
              <c:showVal val="0"/>
              <c:showCatName val="0"/>
              <c:showSerName val="0"/>
              <c:showPercent val="0"/>
              <c:showBubbleSize val="0"/>
              <c:extLst>
                <c:ext xmlns:c15="http://schemas.microsoft.com/office/drawing/2012/chart" uri="{CE6537A1-D6FC-4f65-9D91-7224C49458BB}">
                  <c15:layout>
                    <c:manualLayout>
                      <c:w val="0.27990729166666667"/>
                      <c:h val="0.11847453703703703"/>
                    </c:manualLayout>
                  </c15:layout>
                  <c15:dlblFieldTable/>
                  <c15:showDataLabelsRange val="1"/>
                </c:ext>
                <c:ext xmlns:c16="http://schemas.microsoft.com/office/drawing/2014/chart" uri="{C3380CC4-5D6E-409C-BE32-E72D297353CC}">
                  <c16:uniqueId val="{00000011-4EAC-4E3D-BD3B-4CFA0E5EBE8E}"/>
                </c:ext>
              </c:extLst>
            </c:dLbl>
            <c:dLbl>
              <c:idx val="9"/>
              <c:layout>
                <c:manualLayout>
                  <c:x val="-0.26955819290896199"/>
                  <c:y val="-1.3256143839946503E-2"/>
                </c:manualLayout>
              </c:layout>
              <c:tx>
                <c:rich>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EA5B8529-8118-4F24-8BF2-D9AEE8ABF11C}" type="CELLRANGE">
                      <a:rPr lang="en-US">
                        <a:latin typeface="Times New Roman" panose="02020603050405020304" pitchFamily="18" charset="0"/>
                        <a:cs typeface="Times New Roman" panose="02020603050405020304" pitchFamily="18" charset="0"/>
                      </a:rPr>
                      <a:pPr>
                        <a:defRPr sz="700">
                          <a:latin typeface="Times New Roman" panose="02020603050405020304" pitchFamily="18" charset="0"/>
                          <a:cs typeface="Times New Roman" panose="02020603050405020304" pitchFamily="18" charset="0"/>
                        </a:defRPr>
                      </a:pPr>
                      <a:t>[CELLRANGE]</a:t>
                    </a:fld>
                    <a:endParaRPr lang="es-GT"/>
                  </a:p>
                </c:rich>
              </c:tx>
              <c:spPr>
                <a:solidFill>
                  <a:schemeClr val="bg1"/>
                </a:solidFill>
                <a:ln>
                  <a:solidFill>
                    <a:schemeClr val="accent4"/>
                  </a:solid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3-4EAC-4E3D-BD3B-4CFA0E5EBE8E}"/>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xVal>
            <c:numRef>
              <c:f>'G-SE'!$AM$137:$AM$145</c:f>
              <c:numCache>
                <c:formatCode>_ * #,##0.0_ ;_ * \-#,##0.0_ ;_ * "-"??_ ;_ @_ </c:formatCode>
                <c:ptCount val="9"/>
                <c:pt idx="0">
                  <c:v>19.047889912363523</c:v>
                </c:pt>
                <c:pt idx="1">
                  <c:v>40.234246736229309</c:v>
                </c:pt>
                <c:pt idx="2">
                  <c:v>22.227585863533641</c:v>
                </c:pt>
                <c:pt idx="3">
                  <c:v>6.292760396264363</c:v>
                </c:pt>
                <c:pt idx="4">
                  <c:v>26.870781710388592</c:v>
                </c:pt>
                <c:pt idx="5">
                  <c:v>11.777051937389915</c:v>
                </c:pt>
                <c:pt idx="6">
                  <c:v>-51.039966205510638</c:v>
                </c:pt>
                <c:pt idx="7">
                  <c:v>20.877170294769698</c:v>
                </c:pt>
                <c:pt idx="8">
                  <c:v>15.137494001198725</c:v>
                </c:pt>
              </c:numCache>
            </c:numRef>
          </c:xVal>
          <c:yVal>
            <c:numRef>
              <c:f>'G-SE'!$AN$137:$AN$145</c:f>
              <c:numCache>
                <c:formatCode>_ * #,##0.0_ ;_ * \-#,##0.0_ ;_ * "-"??_ ;_ @_ </c:formatCode>
                <c:ptCount val="9"/>
                <c:pt idx="0">
                  <c:v>-1.9133868750199401</c:v>
                </c:pt>
                <c:pt idx="1">
                  <c:v>-14.306537190147139</c:v>
                </c:pt>
                <c:pt idx="2">
                  <c:v>6.3959837079699655</c:v>
                </c:pt>
                <c:pt idx="3">
                  <c:v>5.0472724438412442</c:v>
                </c:pt>
                <c:pt idx="4">
                  <c:v>-12.62527045309062</c:v>
                </c:pt>
                <c:pt idx="5">
                  <c:v>4.4383405670627152</c:v>
                </c:pt>
                <c:pt idx="6">
                  <c:v>60.84299141516081</c:v>
                </c:pt>
                <c:pt idx="7">
                  <c:v>28.390558200625392</c:v>
                </c:pt>
                <c:pt idx="8">
                  <c:v>-3.858156103562338</c:v>
                </c:pt>
              </c:numCache>
            </c:numRef>
          </c:yVal>
          <c:bubbleSize>
            <c:numRef>
              <c:f>'G-SE'!$AL$137:$AL$145</c:f>
              <c:numCache>
                <c:formatCode>_(* #,##0.00_);_(* \(#,##0.00\);_(* "-"??_);_(@_)</c:formatCode>
                <c:ptCount val="9"/>
                <c:pt idx="0">
                  <c:v>11.793509689408003</c:v>
                </c:pt>
                <c:pt idx="1">
                  <c:v>7.1065626887942326</c:v>
                </c:pt>
                <c:pt idx="2">
                  <c:v>7.5726981412360352</c:v>
                </c:pt>
                <c:pt idx="3">
                  <c:v>6.0066742371401807</c:v>
                </c:pt>
                <c:pt idx="4">
                  <c:v>4.2206608122214044</c:v>
                </c:pt>
                <c:pt idx="5">
                  <c:v>4.0228399884341011</c:v>
                </c:pt>
                <c:pt idx="6">
                  <c:v>2.6121185320486835</c:v>
                </c:pt>
                <c:pt idx="7">
                  <c:v>5.0345269993616517</c:v>
                </c:pt>
                <c:pt idx="8">
                  <c:v>2.5816176406221891</c:v>
                </c:pt>
              </c:numCache>
            </c:numRef>
          </c:bubbleSize>
          <c:bubble3D val="0"/>
          <c:extLst>
            <c:ext xmlns:c15="http://schemas.microsoft.com/office/drawing/2012/chart" uri="{02D57815-91ED-43cb-92C2-25804820EDAC}">
              <c15:datalabelsRange>
                <c15:f>'G-SE'!$AJ$137:$AJ$145</c15:f>
                <c15:dlblRangeCache>
                  <c:ptCount val="9"/>
                  <c:pt idx="0">
                    <c:v>Artículos de vestuario</c:v>
                  </c:pt>
                  <c:pt idx="1">
                    <c:v>Café</c:v>
                  </c:pt>
                  <c:pt idx="2">
                    <c:v>Grasas y aceites comestibles</c:v>
                  </c:pt>
                  <c:pt idx="3">
                    <c:v>Banano</c:v>
                  </c:pt>
                  <c:pt idx="4">
                    <c:v>Hierro y acero</c:v>
                  </c:pt>
                  <c:pt idx="5">
                    <c:v>Materiales plásticos y sus manufacturas</c:v>
                  </c:pt>
                  <c:pt idx="6">
                    <c:v>Cardamomo</c:v>
                  </c:pt>
                  <c:pt idx="7">
                    <c:v>Azúcar</c:v>
                  </c:pt>
                  <c:pt idx="8">
                    <c:v>Manufacturas de papel y cartón</c:v>
                  </c:pt>
                </c15:dlblRangeCache>
              </c15:datalabelsRange>
            </c:ext>
            <c:ext xmlns:c16="http://schemas.microsoft.com/office/drawing/2014/chart" uri="{C3380CC4-5D6E-409C-BE32-E72D297353CC}">
              <c16:uniqueId val="{00000014-4EAC-4E3D-BD3B-4CFA0E5EBE8E}"/>
            </c:ext>
          </c:extLst>
        </c:ser>
        <c:dLbls>
          <c:showLegendKey val="0"/>
          <c:showVal val="0"/>
          <c:showCatName val="0"/>
          <c:showSerName val="0"/>
          <c:showPercent val="0"/>
          <c:showBubbleSize val="0"/>
        </c:dLbls>
        <c:bubbleScale val="60"/>
        <c:showNegBubbles val="0"/>
        <c:axId val="290690879"/>
        <c:axId val="290687551"/>
      </c:bubbleChart>
      <c:valAx>
        <c:axId val="290690879"/>
        <c:scaling>
          <c:orientation val="minMax"/>
          <c:max val="75"/>
          <c:min val="-30"/>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800">
                    <a:latin typeface="Times New Roman" panose="02020603050405020304" pitchFamily="18" charset="0"/>
                    <a:cs typeface="Times New Roman" panose="02020603050405020304" pitchFamily="18" charset="0"/>
                  </a:rPr>
                  <a:t>Variación</a:t>
                </a:r>
                <a:r>
                  <a:rPr lang="es-GT" sz="800" baseline="0">
                    <a:latin typeface="Times New Roman" panose="02020603050405020304" pitchFamily="18" charset="0"/>
                    <a:cs typeface="Times New Roman" panose="02020603050405020304" pitchFamily="18" charset="0"/>
                  </a:rPr>
                  <a:t> porcentual p</a:t>
                </a:r>
                <a:r>
                  <a:rPr lang="es-GT" sz="800">
                    <a:latin typeface="Times New Roman" panose="02020603050405020304" pitchFamily="18" charset="0"/>
                    <a:cs typeface="Times New Roman" panose="02020603050405020304" pitchFamily="18" charset="0"/>
                  </a:rPr>
                  <a:t>recio medio</a:t>
                </a:r>
              </a:p>
            </c:rich>
          </c:tx>
          <c:layout>
            <c:manualLayout>
              <c:xMode val="edge"/>
              <c:yMode val="edge"/>
              <c:x val="0.18201111111111112"/>
              <c:y val="0.9197203703703704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_ * #,##0.0_ ;_ * \-#,##0.0_ ;_ * &quot;-&quot;??_ ;_ @_ "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90687551"/>
        <c:crosses val="autoZero"/>
        <c:crossBetween val="midCat"/>
      </c:valAx>
      <c:valAx>
        <c:axId val="290687551"/>
        <c:scaling>
          <c:orientation val="minMax"/>
          <c:max val="35"/>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800">
                    <a:latin typeface="Times New Roman" panose="02020603050405020304" pitchFamily="18" charset="0"/>
                    <a:cs typeface="Times New Roman" panose="02020603050405020304" pitchFamily="18" charset="0"/>
                  </a:rPr>
                  <a:t>Variación porcentual volumen en kg</a:t>
                </a:r>
              </a:p>
            </c:rich>
          </c:tx>
          <c:layout>
            <c:manualLayout>
              <c:xMode val="edge"/>
              <c:yMode val="edge"/>
              <c:x val="2.2048611111111113E-2"/>
              <c:y val="0.12546064814814814"/>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_ * #,##0.0_ ;_ * \-#,##0.0_ ;_ * &quot;-&quot;??_ ;_ @_ "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90690879"/>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866969696969696"/>
          <c:y val="6.8123495939388587E-2"/>
          <c:w val="0.75998510101010097"/>
          <c:h val="0.77134803281552633"/>
        </c:manualLayout>
      </c:layout>
      <c:bubbleChart>
        <c:varyColors val="0"/>
        <c:ser>
          <c:idx val="0"/>
          <c:order val="0"/>
          <c:tx>
            <c:strRef>
              <c:f>'G-SE'!$AN$121</c:f>
              <c:strCache>
                <c:ptCount val="1"/>
                <c:pt idx="0">
                  <c:v>Volumen</c:v>
                </c:pt>
              </c:strCache>
            </c:strRef>
          </c:tx>
          <c:spPr>
            <a:solidFill>
              <a:schemeClr val="accent5">
                <a:lumMod val="20000"/>
                <a:lumOff val="80000"/>
              </a:schemeClr>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E392-490A-AB99-222A3E305659}"/>
              </c:ext>
            </c:extLst>
          </c:dPt>
          <c:dPt>
            <c:idx val="1"/>
            <c:invertIfNegative val="0"/>
            <c:bubble3D val="0"/>
            <c:spPr>
              <a:solidFill>
                <a:schemeClr val="accent6">
                  <a:lumMod val="20000"/>
                  <a:lumOff val="80000"/>
                </a:schemeClr>
              </a:solidFill>
              <a:ln>
                <a:noFill/>
              </a:ln>
              <a:effectLst/>
            </c:spPr>
            <c:extLst>
              <c:ext xmlns:c16="http://schemas.microsoft.com/office/drawing/2014/chart" uri="{C3380CC4-5D6E-409C-BE32-E72D297353CC}">
                <c16:uniqueId val="{00000003-E392-490A-AB99-222A3E305659}"/>
              </c:ext>
            </c:extLst>
          </c:dPt>
          <c:dPt>
            <c:idx val="2"/>
            <c:invertIfNegative val="0"/>
            <c:bubble3D val="0"/>
            <c:spPr>
              <a:solidFill>
                <a:schemeClr val="accent4">
                  <a:lumMod val="75000"/>
                </a:schemeClr>
              </a:solidFill>
              <a:ln>
                <a:noFill/>
              </a:ln>
              <a:effectLst/>
            </c:spPr>
            <c:extLst>
              <c:ext xmlns:c16="http://schemas.microsoft.com/office/drawing/2014/chart" uri="{C3380CC4-5D6E-409C-BE32-E72D297353CC}">
                <c16:uniqueId val="{00000005-E392-490A-AB99-222A3E305659}"/>
              </c:ext>
            </c:extLst>
          </c:dPt>
          <c:dPt>
            <c:idx val="3"/>
            <c:invertIfNegative val="0"/>
            <c:bubble3D val="0"/>
            <c:spPr>
              <a:solidFill>
                <a:srgbClr val="B80D48"/>
              </a:solidFill>
              <a:ln>
                <a:noFill/>
              </a:ln>
              <a:effectLst/>
            </c:spPr>
            <c:extLst>
              <c:ext xmlns:c16="http://schemas.microsoft.com/office/drawing/2014/chart" uri="{C3380CC4-5D6E-409C-BE32-E72D297353CC}">
                <c16:uniqueId val="{00000007-E392-490A-AB99-222A3E305659}"/>
              </c:ext>
            </c:extLst>
          </c:dPt>
          <c:dPt>
            <c:idx val="4"/>
            <c:invertIfNegative val="0"/>
            <c:bubble3D val="0"/>
            <c:spPr>
              <a:solidFill>
                <a:srgbClr val="E6DF44"/>
              </a:solidFill>
              <a:ln>
                <a:noFill/>
              </a:ln>
              <a:effectLst/>
            </c:spPr>
            <c:extLst>
              <c:ext xmlns:c16="http://schemas.microsoft.com/office/drawing/2014/chart" uri="{C3380CC4-5D6E-409C-BE32-E72D297353CC}">
                <c16:uniqueId val="{00000009-E392-490A-AB99-222A3E305659}"/>
              </c:ext>
            </c:extLst>
          </c:dPt>
          <c:dPt>
            <c:idx val="5"/>
            <c:invertIfNegative val="0"/>
            <c:bubble3D val="0"/>
            <c:spPr>
              <a:solidFill>
                <a:schemeClr val="accent5">
                  <a:lumMod val="60000"/>
                  <a:lumOff val="40000"/>
                </a:schemeClr>
              </a:solidFill>
              <a:ln>
                <a:noFill/>
              </a:ln>
              <a:effectLst/>
            </c:spPr>
            <c:extLst>
              <c:ext xmlns:c16="http://schemas.microsoft.com/office/drawing/2014/chart" uri="{C3380CC4-5D6E-409C-BE32-E72D297353CC}">
                <c16:uniqueId val="{0000000B-E392-490A-AB99-222A3E305659}"/>
              </c:ext>
            </c:extLst>
          </c:dPt>
          <c:dPt>
            <c:idx val="6"/>
            <c:invertIfNegative val="0"/>
            <c:bubble3D val="0"/>
            <c:spPr>
              <a:solidFill>
                <a:srgbClr val="2B6A6C"/>
              </a:solidFill>
              <a:ln>
                <a:noFill/>
              </a:ln>
              <a:effectLst/>
            </c:spPr>
            <c:extLst>
              <c:ext xmlns:c16="http://schemas.microsoft.com/office/drawing/2014/chart" uri="{C3380CC4-5D6E-409C-BE32-E72D297353CC}">
                <c16:uniqueId val="{0000000D-E392-490A-AB99-222A3E305659}"/>
              </c:ext>
            </c:extLst>
          </c:dPt>
          <c:dPt>
            <c:idx val="7"/>
            <c:invertIfNegative val="0"/>
            <c:bubble3D val="0"/>
            <c:spPr>
              <a:solidFill>
                <a:srgbClr val="F0810F"/>
              </a:solidFill>
              <a:ln>
                <a:noFill/>
              </a:ln>
              <a:effectLst/>
            </c:spPr>
            <c:extLst>
              <c:ext xmlns:c16="http://schemas.microsoft.com/office/drawing/2014/chart" uri="{C3380CC4-5D6E-409C-BE32-E72D297353CC}">
                <c16:uniqueId val="{0000000F-E392-490A-AB99-222A3E305659}"/>
              </c:ext>
            </c:extLst>
          </c:dPt>
          <c:dPt>
            <c:idx val="8"/>
            <c:invertIfNegative val="0"/>
            <c:bubble3D val="0"/>
            <c:spPr>
              <a:solidFill>
                <a:srgbClr val="3C1048"/>
              </a:solidFill>
              <a:ln>
                <a:noFill/>
              </a:ln>
              <a:effectLst/>
            </c:spPr>
            <c:extLst>
              <c:ext xmlns:c16="http://schemas.microsoft.com/office/drawing/2014/chart" uri="{C3380CC4-5D6E-409C-BE32-E72D297353CC}">
                <c16:uniqueId val="{00000011-E392-490A-AB99-222A3E305659}"/>
              </c:ext>
            </c:extLst>
          </c:dPt>
          <c:dPt>
            <c:idx val="9"/>
            <c:invertIfNegative val="0"/>
            <c:bubble3D val="0"/>
            <c:spPr>
              <a:solidFill>
                <a:schemeClr val="accent4"/>
              </a:solidFill>
              <a:ln>
                <a:noFill/>
              </a:ln>
              <a:effectLst/>
            </c:spPr>
            <c:extLst>
              <c:ext xmlns:c16="http://schemas.microsoft.com/office/drawing/2014/chart" uri="{C3380CC4-5D6E-409C-BE32-E72D297353CC}">
                <c16:uniqueId val="{00000013-E392-490A-AB99-222A3E305659}"/>
              </c:ext>
            </c:extLst>
          </c:dPt>
          <c:dLbls>
            <c:dLbl>
              <c:idx val="0"/>
              <c:layout>
                <c:manualLayout>
                  <c:x val="-7.811003486085813E-2"/>
                  <c:y val="0.13924572006109234"/>
                </c:manualLayout>
              </c:layout>
              <c:tx>
                <c:rich>
                  <a:bodyPr rot="0" spcFirstLastPara="1" vertOverflow="ellipsis" vert="horz" wrap="square" lIns="38100" tIns="19050" rIns="38100" bIns="19050" anchor="ctr" anchorCtr="1">
                    <a:noAutofit/>
                  </a:bodyPr>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82480881-99CC-431D-BA48-B935E1CAE6D8}" type="CELLRANGE">
                      <a:rPr lang="en-US"/>
                      <a:pPr>
                        <a:defRPr sz="600">
                          <a:latin typeface="Times New Roman" panose="02020603050405020304" pitchFamily="18" charset="0"/>
                          <a:cs typeface="Times New Roman" panose="02020603050405020304" pitchFamily="18" charset="0"/>
                        </a:defRPr>
                      </a:pPr>
                      <a:t>[CELLRANGE]</a:t>
                    </a:fld>
                    <a:endParaRPr lang="es-GT"/>
                  </a:p>
                </c:rich>
              </c:tx>
              <c:spPr>
                <a:solidFill>
                  <a:schemeClr val="bg1"/>
                </a:solidFill>
                <a:ln>
                  <a:solidFill>
                    <a:schemeClr val="accent1"/>
                  </a:solidFill>
                </a:ln>
                <a:effectLst/>
              </c:spPr>
              <c:txPr>
                <a:bodyPr rot="0" spcFirstLastPara="1" vertOverflow="ellipsis" vert="horz" wrap="square" lIns="38100" tIns="19050" rIns="38100" bIns="19050" anchor="ctr" anchorCtr="1">
                  <a:noAutofit/>
                </a:bodyPr>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layout>
                    <c:manualLayout>
                      <c:w val="0.27500650517743197"/>
                      <c:h val="0.10557307879445961"/>
                    </c:manualLayout>
                  </c15:layout>
                  <c15:dlblFieldTable/>
                  <c15:showDataLabelsRange val="1"/>
                </c:ext>
                <c:ext xmlns:c16="http://schemas.microsoft.com/office/drawing/2014/chart" uri="{C3380CC4-5D6E-409C-BE32-E72D297353CC}">
                  <c16:uniqueId val="{00000001-E392-490A-AB99-222A3E305659}"/>
                </c:ext>
              </c:extLst>
            </c:dLbl>
            <c:dLbl>
              <c:idx val="1"/>
              <c:layout>
                <c:manualLayout>
                  <c:x val="-0.16994479942023741"/>
                  <c:y val="-0.19270778326772986"/>
                </c:manualLayout>
              </c:layout>
              <c:tx>
                <c:rich>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8068377C-68E7-4822-9BF7-12FB7635AC67}" type="CELLRANGE">
                      <a:rPr lang="en-US"/>
                      <a:pPr>
                        <a:defRPr sz="600">
                          <a:latin typeface="Times New Roman" panose="02020603050405020304" pitchFamily="18" charset="0"/>
                          <a:cs typeface="Times New Roman" panose="02020603050405020304" pitchFamily="18" charset="0"/>
                        </a:defRPr>
                      </a:pPr>
                      <a:t>[CELLRANGE]</a:t>
                    </a:fld>
                    <a:endParaRPr lang="es-GT"/>
                  </a:p>
                </c:rich>
              </c:tx>
              <c:spPr>
                <a:solidFill>
                  <a:schemeClr val="bg1"/>
                </a:solidFill>
                <a:ln>
                  <a:solidFill>
                    <a:schemeClr val="accent6">
                      <a:lumMod val="40000"/>
                      <a:lumOff val="60000"/>
                    </a:schemeClr>
                  </a:solid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E392-490A-AB99-222A3E305659}"/>
                </c:ext>
              </c:extLst>
            </c:dLbl>
            <c:dLbl>
              <c:idx val="2"/>
              <c:layout>
                <c:manualLayout>
                  <c:x val="-0.28368296452118508"/>
                  <c:y val="-3.4666145263941212E-2"/>
                </c:manualLayout>
              </c:layout>
              <c:tx>
                <c:rich>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06E8E2F5-37F3-484F-AEE5-575D30B0D14F}" type="CELLRANGE">
                      <a:rPr lang="en-US"/>
                      <a:pPr>
                        <a:defRPr sz="600">
                          <a:latin typeface="Times New Roman" panose="02020603050405020304" pitchFamily="18" charset="0"/>
                          <a:cs typeface="Times New Roman" panose="02020603050405020304" pitchFamily="18" charset="0"/>
                        </a:defRPr>
                      </a:pPr>
                      <a:t>[CELLRANGE]</a:t>
                    </a:fld>
                    <a:endParaRPr lang="es-GT"/>
                  </a:p>
                </c:rich>
              </c:tx>
              <c:spPr>
                <a:solidFill>
                  <a:schemeClr val="bg1"/>
                </a:solidFill>
                <a:ln>
                  <a:solidFill>
                    <a:schemeClr val="accent4">
                      <a:lumMod val="75000"/>
                    </a:schemeClr>
                  </a:solid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E392-490A-AB99-222A3E305659}"/>
                </c:ext>
              </c:extLst>
            </c:dLbl>
            <c:dLbl>
              <c:idx val="3"/>
              <c:layout>
                <c:manualLayout>
                  <c:x val="-5.9212451340411199E-2"/>
                  <c:y val="8.9799345868658884E-2"/>
                </c:manualLayout>
              </c:layout>
              <c:tx>
                <c:rich>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E9512E28-0484-47BE-A018-DFAD43C709AD}" type="CELLRANGE">
                      <a:rPr lang="en-US"/>
                      <a:pPr>
                        <a:defRPr sz="600">
                          <a:latin typeface="Times New Roman" panose="02020603050405020304" pitchFamily="18" charset="0"/>
                          <a:cs typeface="Times New Roman" panose="02020603050405020304" pitchFamily="18" charset="0"/>
                        </a:defRPr>
                      </a:pPr>
                      <a:t>[CELLRANGE]</a:t>
                    </a:fld>
                    <a:endParaRPr lang="es-GT"/>
                  </a:p>
                </c:rich>
              </c:tx>
              <c:spPr>
                <a:solidFill>
                  <a:schemeClr val="bg1"/>
                </a:solidFill>
                <a:ln>
                  <a:solidFill>
                    <a:srgbClr val="B80D48"/>
                  </a:solid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E392-490A-AB99-222A3E305659}"/>
                </c:ext>
              </c:extLst>
            </c:dLbl>
            <c:dLbl>
              <c:idx val="4"/>
              <c:layout>
                <c:manualLayout>
                  <c:x val="-3.9016687435530821E-2"/>
                  <c:y val="8.2351659497379187E-2"/>
                </c:manualLayout>
              </c:layout>
              <c:tx>
                <c:rich>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E34E2546-96C6-461D-BD18-BACC02ADC323}" type="CELLRANGE">
                      <a:rPr lang="en-US"/>
                      <a:pPr>
                        <a:defRPr sz="600">
                          <a:latin typeface="Times New Roman" panose="02020603050405020304" pitchFamily="18" charset="0"/>
                          <a:cs typeface="Times New Roman" panose="02020603050405020304" pitchFamily="18" charset="0"/>
                        </a:defRPr>
                      </a:pPr>
                      <a:t>[CELLRANGE]</a:t>
                    </a:fld>
                    <a:endParaRPr lang="es-GT"/>
                  </a:p>
                </c:rich>
              </c:tx>
              <c:spPr>
                <a:solidFill>
                  <a:schemeClr val="bg1"/>
                </a:solidFill>
                <a:ln>
                  <a:solidFill>
                    <a:srgbClr val="E6DF44"/>
                  </a:solid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9-E392-490A-AB99-222A3E305659}"/>
                </c:ext>
              </c:extLst>
            </c:dLbl>
            <c:dLbl>
              <c:idx val="5"/>
              <c:layout>
                <c:manualLayout>
                  <c:x val="-0.20405423336268569"/>
                  <c:y val="-0.20734479409515902"/>
                </c:manualLayout>
              </c:layout>
              <c:tx>
                <c:rich>
                  <a:bodyPr rot="0" spcFirstLastPara="1" vertOverflow="ellipsis" vert="horz" wrap="square" lIns="38100" tIns="19050" rIns="38100" bIns="19050" anchor="ctr" anchorCtr="1">
                    <a:noAutofit/>
                  </a:bodyPr>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C46EC2C9-A025-474D-8116-A7AA2CEDF714}" type="CELLRANGE">
                      <a:rPr lang="en-US"/>
                      <a:pPr>
                        <a:defRPr sz="600">
                          <a:latin typeface="Times New Roman" panose="02020603050405020304" pitchFamily="18" charset="0"/>
                          <a:cs typeface="Times New Roman" panose="02020603050405020304" pitchFamily="18" charset="0"/>
                        </a:defRPr>
                      </a:pPr>
                      <a:t>[CELLRANGE]</a:t>
                    </a:fld>
                    <a:endParaRPr lang="es-GT"/>
                  </a:p>
                </c:rich>
              </c:tx>
              <c:spPr>
                <a:solidFill>
                  <a:schemeClr val="bg1"/>
                </a:solidFill>
                <a:ln>
                  <a:solidFill>
                    <a:schemeClr val="accent5">
                      <a:lumMod val="40000"/>
                      <a:lumOff val="60000"/>
                    </a:schemeClr>
                  </a:solidFill>
                </a:ln>
                <a:effectLst/>
              </c:spPr>
              <c:txPr>
                <a:bodyPr rot="0" spcFirstLastPara="1" vertOverflow="ellipsis" vert="horz" wrap="square" lIns="38100" tIns="19050" rIns="38100" bIns="19050" anchor="ctr" anchorCtr="1">
                  <a:noAutofit/>
                </a:bodyPr>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layout>
                    <c:manualLayout>
                      <c:w val="0.14441907473113366"/>
                      <c:h val="0.27794946168484846"/>
                    </c:manualLayout>
                  </c15:layout>
                  <c15:dlblFieldTable/>
                  <c15:showDataLabelsRange val="1"/>
                </c:ext>
                <c:ext xmlns:c16="http://schemas.microsoft.com/office/drawing/2014/chart" uri="{C3380CC4-5D6E-409C-BE32-E72D297353CC}">
                  <c16:uniqueId val="{0000000B-E392-490A-AB99-222A3E305659}"/>
                </c:ext>
              </c:extLst>
            </c:dLbl>
            <c:dLbl>
              <c:idx val="6"/>
              <c:layout>
                <c:manualLayout>
                  <c:x val="-0.22895019360441968"/>
                  <c:y val="7.7361081627400519E-2"/>
                </c:manualLayout>
              </c:layout>
              <c:tx>
                <c:rich>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9E34F0C9-39C0-4540-A273-7C69D1418070}" type="CELLRANGE">
                      <a:rPr lang="en-US"/>
                      <a:pPr>
                        <a:defRPr sz="600">
                          <a:latin typeface="Times New Roman" panose="02020603050405020304" pitchFamily="18" charset="0"/>
                          <a:cs typeface="Times New Roman" panose="02020603050405020304" pitchFamily="18" charset="0"/>
                        </a:defRPr>
                      </a:pPr>
                      <a:t>[CELLRANGE]</a:t>
                    </a:fld>
                    <a:endParaRPr lang="es-GT"/>
                  </a:p>
                </c:rich>
              </c:tx>
              <c:spPr>
                <a:solidFill>
                  <a:schemeClr val="bg1"/>
                </a:solidFill>
                <a:ln>
                  <a:solidFill>
                    <a:srgbClr val="2B6A6C"/>
                  </a:solid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D-E392-490A-AB99-222A3E305659}"/>
                </c:ext>
              </c:extLst>
            </c:dLbl>
            <c:dLbl>
              <c:idx val="7"/>
              <c:layout>
                <c:manualLayout>
                  <c:x val="-0.10126753293541783"/>
                  <c:y val="9.6174182772607975E-2"/>
                </c:manualLayout>
              </c:layout>
              <c:tx>
                <c:rich>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771BE5F1-0216-46B7-B1A4-A9728345433D}" type="CELLRANGE">
                      <a:rPr lang="en-US"/>
                      <a:pPr>
                        <a:defRPr sz="600">
                          <a:latin typeface="Times New Roman" panose="02020603050405020304" pitchFamily="18" charset="0"/>
                          <a:cs typeface="Times New Roman" panose="02020603050405020304" pitchFamily="18" charset="0"/>
                        </a:defRPr>
                      </a:pPr>
                      <a:t>[CELLRANGE]</a:t>
                    </a:fld>
                    <a:endParaRPr lang="es-GT"/>
                  </a:p>
                </c:rich>
              </c:tx>
              <c:spPr>
                <a:solidFill>
                  <a:schemeClr val="bg1"/>
                </a:solidFill>
                <a:ln>
                  <a:solidFill>
                    <a:srgbClr val="F0810F"/>
                  </a:solid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F-E392-490A-AB99-222A3E305659}"/>
                </c:ext>
              </c:extLst>
            </c:dLbl>
            <c:dLbl>
              <c:idx val="8"/>
              <c:layout>
                <c:manualLayout>
                  <c:x val="-0.23532010615410751"/>
                  <c:y val="8.9188681464731037E-2"/>
                </c:manualLayout>
              </c:layout>
              <c:tx>
                <c:rich>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0207D106-8709-46DE-B4A7-7DA7A8DD7BEC}" type="CELLRANGE">
                      <a:rPr lang="en-US"/>
                      <a:pPr>
                        <a:defRPr sz="600">
                          <a:latin typeface="Times New Roman" panose="02020603050405020304" pitchFamily="18" charset="0"/>
                          <a:cs typeface="Times New Roman" panose="02020603050405020304" pitchFamily="18" charset="0"/>
                        </a:defRPr>
                      </a:pPr>
                      <a:t>[CELLRANGE]</a:t>
                    </a:fld>
                    <a:endParaRPr lang="es-GT"/>
                  </a:p>
                </c:rich>
              </c:tx>
              <c:spPr>
                <a:solidFill>
                  <a:schemeClr val="bg1"/>
                </a:solidFill>
                <a:ln>
                  <a:solidFill>
                    <a:srgbClr val="011A27"/>
                  </a:solid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1-E392-490A-AB99-222A3E305659}"/>
                </c:ext>
              </c:extLst>
            </c:dLbl>
            <c:dLbl>
              <c:idx val="9"/>
              <c:layout>
                <c:manualLayout>
                  <c:x val="-0.24334929147962936"/>
                  <c:y val="0.13174695602615005"/>
                </c:manualLayout>
              </c:layout>
              <c:tx>
                <c:rich>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7925C698-AAD4-4E30-9F03-5753C66D7E77}" type="CELLRANGE">
                      <a:rPr lang="en-US"/>
                      <a:pPr>
                        <a:defRPr sz="600">
                          <a:latin typeface="Times New Roman" panose="02020603050405020304" pitchFamily="18" charset="0"/>
                          <a:cs typeface="Times New Roman" panose="02020603050405020304" pitchFamily="18" charset="0"/>
                        </a:defRPr>
                      </a:pPr>
                      <a:t>[CELLRANGE]</a:t>
                    </a:fld>
                    <a:endParaRPr lang="es-GT"/>
                  </a:p>
                </c:rich>
              </c:tx>
              <c:spPr>
                <a:solidFill>
                  <a:schemeClr val="bg1"/>
                </a:solidFill>
                <a:ln>
                  <a:solidFill>
                    <a:schemeClr val="accent4"/>
                  </a:solid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3-E392-490A-AB99-222A3E305659}"/>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xVal>
            <c:numRef>
              <c:f>'G-SE'!$AM$122:$AM$131</c:f>
              <c:numCache>
                <c:formatCode>_ * #,##0.0_ ;_ * \-#,##0.0_ ;_ * "-"??_ ;_ @_ </c:formatCode>
                <c:ptCount val="10"/>
                <c:pt idx="0">
                  <c:v>27.018027496682695</c:v>
                </c:pt>
                <c:pt idx="1">
                  <c:v>39.511126965368689</c:v>
                </c:pt>
                <c:pt idx="2">
                  <c:v>5.5650813396086685</c:v>
                </c:pt>
                <c:pt idx="3">
                  <c:v>41.298941654738883</c:v>
                </c:pt>
                <c:pt idx="4">
                  <c:v>70.273964125630584</c:v>
                </c:pt>
                <c:pt idx="5">
                  <c:v>23.187962472220526</c:v>
                </c:pt>
                <c:pt idx="6">
                  <c:v>18.169901200867166</c:v>
                </c:pt>
                <c:pt idx="7">
                  <c:v>-21.563894666891493</c:v>
                </c:pt>
                <c:pt idx="8">
                  <c:v>-60.643469328322162</c:v>
                </c:pt>
                <c:pt idx="9">
                  <c:v>9.0747892702928823</c:v>
                </c:pt>
              </c:numCache>
            </c:numRef>
          </c:xVal>
          <c:yVal>
            <c:numRef>
              <c:f>'G-SE'!$AN$122:$AN$131</c:f>
              <c:numCache>
                <c:formatCode>_ * #,##0.0_ ;_ * \-#,##0.0_ ;_ * "-"??_ ;_ @_ </c:formatCode>
                <c:ptCount val="10"/>
                <c:pt idx="0">
                  <c:v>-11.619381776701864</c:v>
                </c:pt>
                <c:pt idx="1">
                  <c:v>11.742573310043625</c:v>
                </c:pt>
                <c:pt idx="2">
                  <c:v>5.4413047774690471</c:v>
                </c:pt>
                <c:pt idx="3">
                  <c:v>-4.1129818500437061</c:v>
                </c:pt>
                <c:pt idx="4">
                  <c:v>-8.2498985573678176</c:v>
                </c:pt>
                <c:pt idx="5">
                  <c:v>4.446438574608913</c:v>
                </c:pt>
                <c:pt idx="6">
                  <c:v>-15.568760325678765</c:v>
                </c:pt>
                <c:pt idx="7">
                  <c:v>52.863730179865918</c:v>
                </c:pt>
                <c:pt idx="8">
                  <c:v>-12.245441650760004</c:v>
                </c:pt>
                <c:pt idx="9">
                  <c:v>4.4304465750762523</c:v>
                </c:pt>
              </c:numCache>
            </c:numRef>
          </c:yVal>
          <c:bubbleSize>
            <c:numRef>
              <c:f>'G-SE'!$AL$122:$AL$131</c:f>
              <c:numCache>
                <c:formatCode>_ * #,##0.0_ ;_ * \-#,##0.0_ ;_ * "-"??_ ;_ @_ </c:formatCode>
                <c:ptCount val="10"/>
                <c:pt idx="0">
                  <c:v>9.2491231182796643</c:v>
                </c:pt>
                <c:pt idx="1">
                  <c:v>11.302868535599677</c:v>
                </c:pt>
                <c:pt idx="2">
                  <c:v>7.1460643605352887</c:v>
                </c:pt>
                <c:pt idx="3">
                  <c:v>7.6226490439499823</c:v>
                </c:pt>
                <c:pt idx="4">
                  <c:v>7.4737980830881456</c:v>
                </c:pt>
                <c:pt idx="5">
                  <c:v>5.335253635367569</c:v>
                </c:pt>
                <c:pt idx="6">
                  <c:v>3.8288624730167622</c:v>
                </c:pt>
                <c:pt idx="7">
                  <c:v>4.4794053865680787</c:v>
                </c:pt>
                <c:pt idx="8">
                  <c:v>1.1252399892176501</c:v>
                </c:pt>
                <c:pt idx="9">
                  <c:v>2.8382940228990443</c:v>
                </c:pt>
              </c:numCache>
            </c:numRef>
          </c:bubbleSize>
          <c:bubble3D val="0"/>
          <c:extLst>
            <c:ext xmlns:c15="http://schemas.microsoft.com/office/drawing/2012/chart" uri="{02D57815-91ED-43cb-92C2-25804820EDAC}">
              <c15:datalabelsRange>
                <c15:f>'G-SE'!$AJ$122:$AJ$131</c15:f>
                <c15:dlblRangeCache>
                  <c:ptCount val="10"/>
                  <c:pt idx="0">
                    <c:v>Vehículos y material de transporte</c:v>
                  </c:pt>
                  <c:pt idx="1">
                    <c:v>Máquinas y aparatos mecánicos para usos electrotécnicos</c:v>
                  </c:pt>
                  <c:pt idx="2">
                    <c:v>Materiales plásticos y sus manufacturas</c:v>
                  </c:pt>
                  <c:pt idx="3">
                    <c:v>Gasolina</c:v>
                  </c:pt>
                  <c:pt idx="4">
                    <c:v>Diesel</c:v>
                  </c:pt>
                  <c:pt idx="5">
                    <c:v>Productos diversos de la industria química</c:v>
                  </c:pt>
                  <c:pt idx="6">
                    <c:v>Hierro y acero</c:v>
                  </c:pt>
                  <c:pt idx="7">
                    <c:v>Productos farmacéuticos</c:v>
                  </c:pt>
                  <c:pt idx="8">
                    <c:v>Aparatos transmisores y receptores</c:v>
                  </c:pt>
                  <c:pt idx="9">
                    <c:v>Materiales textiles (tejidos o telas)</c:v>
                  </c:pt>
                </c15:dlblRangeCache>
              </c15:datalabelsRange>
            </c:ext>
            <c:ext xmlns:c16="http://schemas.microsoft.com/office/drawing/2014/chart" uri="{C3380CC4-5D6E-409C-BE32-E72D297353CC}">
              <c16:uniqueId val="{00000014-E392-490A-AB99-222A3E305659}"/>
            </c:ext>
          </c:extLst>
        </c:ser>
        <c:dLbls>
          <c:showLegendKey val="0"/>
          <c:showVal val="0"/>
          <c:showCatName val="0"/>
          <c:showSerName val="0"/>
          <c:showPercent val="0"/>
          <c:showBubbleSize val="0"/>
        </c:dLbls>
        <c:bubbleScale val="60"/>
        <c:showNegBubbles val="0"/>
        <c:axId val="290690879"/>
        <c:axId val="290687551"/>
      </c:bubbleChart>
      <c:valAx>
        <c:axId val="290690879"/>
        <c:scaling>
          <c:orientation val="minMax"/>
          <c:max val="80"/>
          <c:min val="-30"/>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800">
                    <a:latin typeface="Times New Roman" panose="02020603050405020304" pitchFamily="18" charset="0"/>
                    <a:cs typeface="Times New Roman" panose="02020603050405020304" pitchFamily="18" charset="0"/>
                  </a:rPr>
                  <a:t>Variación</a:t>
                </a:r>
                <a:r>
                  <a:rPr lang="es-GT" sz="800" baseline="0">
                    <a:latin typeface="Times New Roman" panose="02020603050405020304" pitchFamily="18" charset="0"/>
                    <a:cs typeface="Times New Roman" panose="02020603050405020304" pitchFamily="18" charset="0"/>
                  </a:rPr>
                  <a:t> porcentual p</a:t>
                </a:r>
                <a:r>
                  <a:rPr lang="es-GT" sz="800">
                    <a:latin typeface="Times New Roman" panose="02020603050405020304" pitchFamily="18" charset="0"/>
                    <a:cs typeface="Times New Roman" panose="02020603050405020304" pitchFamily="18" charset="0"/>
                  </a:rPr>
                  <a:t>recio medio</a:t>
                </a:r>
              </a:p>
            </c:rich>
          </c:tx>
          <c:layout>
            <c:manualLayout>
              <c:xMode val="edge"/>
              <c:yMode val="edge"/>
              <c:x val="0.23971132941252948"/>
              <c:y val="0.9136788292415589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_ * #,##0.0_ ;_ * \-#,##0.0_ ;_ * &quot;-&quot;??_ ;_ @_ "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90687551"/>
        <c:crosses val="autoZero"/>
        <c:crossBetween val="midCat"/>
      </c:valAx>
      <c:valAx>
        <c:axId val="290687551"/>
        <c:scaling>
          <c:orientation val="minMax"/>
          <c:max val="60"/>
          <c:min val="-35"/>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800">
                    <a:latin typeface="Times New Roman" panose="02020603050405020304" pitchFamily="18" charset="0"/>
                    <a:cs typeface="Times New Roman" panose="02020603050405020304" pitchFamily="18" charset="0"/>
                  </a:rPr>
                  <a:t>Variación porcentual volumen en kg</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_ * #,##0.0_ ;_ * \-#,##0.0_ ;_ * &quot;-&quot;??_ ;_ @_ "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90690879"/>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56576459150205"/>
          <c:y val="5.2889881289326403E-2"/>
          <c:w val="0.83282492334319813"/>
          <c:h val="0.81485323566239742"/>
        </c:manualLayout>
      </c:layout>
      <c:barChart>
        <c:barDir val="col"/>
        <c:grouping val="clustered"/>
        <c:varyColors val="0"/>
        <c:ser>
          <c:idx val="0"/>
          <c:order val="0"/>
          <c:tx>
            <c:strRef>
              <c:f>'G-SE'!$AJ$18</c:f>
              <c:strCache>
                <c:ptCount val="1"/>
                <c:pt idx="0">
                  <c:v>Remesas / PIB</c:v>
                </c:pt>
              </c:strCache>
            </c:strRef>
          </c:tx>
          <c:spPr>
            <a:solidFill>
              <a:schemeClr val="accent1">
                <a:lumMod val="60000"/>
                <a:lumOff val="40000"/>
              </a:schemeClr>
            </a:solidFill>
            <a:ln>
              <a:solidFill>
                <a:schemeClr val="tx1"/>
              </a:solidFill>
            </a:ln>
            <a:effectLst/>
          </c:spPr>
          <c:invertIfNegative val="0"/>
          <c:dLbls>
            <c:dLbl>
              <c:idx val="0"/>
              <c:layout>
                <c:manualLayout>
                  <c:x val="-1.2183460855955293E-2"/>
                  <c:y val="-7.21224559797466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DFC-4240-A5C3-2335E34EFF08}"/>
                </c:ext>
              </c:extLst>
            </c:dLbl>
            <c:spPr>
              <a:solidFill>
                <a:schemeClr val="bg1"/>
              </a:solidFill>
              <a:ln>
                <a:solidFill>
                  <a:schemeClr val="accent1"/>
                </a:solid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'G-SE'!$AK$12:$AO$12</c:f>
              <c:numCache>
                <c:formatCode>0</c:formatCode>
                <c:ptCount val="5"/>
                <c:pt idx="0">
                  <c:v>2018</c:v>
                </c:pt>
                <c:pt idx="1">
                  <c:v>2019</c:v>
                </c:pt>
                <c:pt idx="2">
                  <c:v>2020</c:v>
                </c:pt>
                <c:pt idx="3">
                  <c:v>2021</c:v>
                </c:pt>
                <c:pt idx="4">
                  <c:v>2022</c:v>
                </c:pt>
              </c:numCache>
            </c:numRef>
          </c:cat>
          <c:val>
            <c:numRef>
              <c:f>'G-SE'!$AK$18:$AO$18</c:f>
              <c:numCache>
                <c:formatCode>_ * #,##0.0_ ;_ * \-#,##0.0_ ;_ * "-"??_ ;_ @_ </c:formatCode>
                <c:ptCount val="5"/>
                <c:pt idx="0">
                  <c:v>12.667666401802135</c:v>
                </c:pt>
                <c:pt idx="1">
                  <c:v>13.619423679853613</c:v>
                </c:pt>
                <c:pt idx="2">
                  <c:v>14.593840733481041</c:v>
                </c:pt>
                <c:pt idx="3">
                  <c:v>17.777414792606706</c:v>
                </c:pt>
                <c:pt idx="4">
                  <c:v>18.990813060631034</c:v>
                </c:pt>
              </c:numCache>
            </c:numRef>
          </c:val>
          <c:extLst>
            <c:ext xmlns:c16="http://schemas.microsoft.com/office/drawing/2014/chart" uri="{C3380CC4-5D6E-409C-BE32-E72D297353CC}">
              <c16:uniqueId val="{00000001-1DFC-4240-A5C3-2335E34EFF08}"/>
            </c:ext>
          </c:extLst>
        </c:ser>
        <c:dLbls>
          <c:showLegendKey val="0"/>
          <c:showVal val="0"/>
          <c:showCatName val="0"/>
          <c:showSerName val="0"/>
          <c:showPercent val="0"/>
          <c:showBubbleSize val="0"/>
        </c:dLbls>
        <c:gapWidth val="100"/>
        <c:axId val="79759856"/>
        <c:axId val="79760272"/>
      </c:barChart>
      <c:lineChart>
        <c:grouping val="stacked"/>
        <c:varyColors val="0"/>
        <c:ser>
          <c:idx val="1"/>
          <c:order val="1"/>
          <c:tx>
            <c:strRef>
              <c:f>'G-SE'!$AJ$19</c:f>
              <c:strCache>
                <c:ptCount val="1"/>
                <c:pt idx="0">
                  <c:v>Tasa de crecimiento</c:v>
                </c:pt>
              </c:strCache>
            </c:strRef>
          </c:tx>
          <c:spPr>
            <a:ln w="28575" cap="rnd">
              <a:solidFill>
                <a:schemeClr val="tx1"/>
              </a:solidFill>
              <a:round/>
            </a:ln>
            <a:effectLst/>
          </c:spPr>
          <c:marker>
            <c:symbol val="none"/>
          </c:marker>
          <c:dPt>
            <c:idx val="4"/>
            <c:marker>
              <c:symbol val="diamond"/>
              <c:size val="5"/>
              <c:spPr>
                <a:solidFill>
                  <a:srgbClr val="002060"/>
                </a:solidFill>
                <a:ln w="9525">
                  <a:solidFill>
                    <a:srgbClr val="3C1048"/>
                  </a:solidFill>
                </a:ln>
                <a:effectLst/>
              </c:spPr>
            </c:marker>
            <c:bubble3D val="0"/>
            <c:extLst>
              <c:ext xmlns:c16="http://schemas.microsoft.com/office/drawing/2014/chart" uri="{C3380CC4-5D6E-409C-BE32-E72D297353CC}">
                <c16:uniqueId val="{00000002-1DFC-4240-A5C3-2335E34EFF08}"/>
              </c:ext>
            </c:extLst>
          </c:dPt>
          <c:dLbls>
            <c:dLbl>
              <c:idx val="0"/>
              <c:layout>
                <c:manualLayout>
                  <c:x val="-5.656182313288078E-2"/>
                  <c:y val="9.17235807357646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DFC-4240-A5C3-2335E34EFF08}"/>
                </c:ext>
              </c:extLst>
            </c:dLbl>
            <c:dLbl>
              <c:idx val="4"/>
              <c:layout>
                <c:manualLayout>
                  <c:x val="-1.8949462713096991E-2"/>
                  <c:y val="5.48188375583722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DFC-4240-A5C3-2335E34EFF08}"/>
                </c:ext>
              </c:extLst>
            </c:dLbl>
            <c:spPr>
              <a:solidFill>
                <a:schemeClr val="bg1"/>
              </a:solidFill>
              <a:ln>
                <a:solidFill>
                  <a:schemeClr val="tx1"/>
                </a:solid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'G-SE'!$AK$19:$AO$19</c:f>
              <c:numCache>
                <c:formatCode>_ * #,##0.0_ ;_ * \-#,##0.0_ ;_ * "-"??_ ;_ @_ </c:formatCode>
                <c:ptCount val="5"/>
                <c:pt idx="0">
                  <c:v>13.373157980961214</c:v>
                </c:pt>
                <c:pt idx="1">
                  <c:v>13.141331105428788</c:v>
                </c:pt>
                <c:pt idx="2">
                  <c:v>7.9185753178480534</c:v>
                </c:pt>
                <c:pt idx="3">
                  <c:v>34.877641973801808</c:v>
                </c:pt>
                <c:pt idx="4">
                  <c:v>17.943857788077409</c:v>
                </c:pt>
              </c:numCache>
            </c:numRef>
          </c:val>
          <c:smooth val="0"/>
          <c:extLst>
            <c:ext xmlns:c16="http://schemas.microsoft.com/office/drawing/2014/chart" uri="{C3380CC4-5D6E-409C-BE32-E72D297353CC}">
              <c16:uniqueId val="{00000004-1DFC-4240-A5C3-2335E34EFF08}"/>
            </c:ext>
          </c:extLst>
        </c:ser>
        <c:dLbls>
          <c:showLegendKey val="0"/>
          <c:showVal val="0"/>
          <c:showCatName val="0"/>
          <c:showSerName val="0"/>
          <c:showPercent val="0"/>
          <c:showBubbleSize val="0"/>
        </c:dLbls>
        <c:marker val="1"/>
        <c:smooth val="0"/>
        <c:axId val="79759856"/>
        <c:axId val="79760272"/>
      </c:lineChart>
      <c:catAx>
        <c:axId val="79759856"/>
        <c:scaling>
          <c:orientation val="minMax"/>
        </c:scaling>
        <c:delete val="0"/>
        <c:axPos val="b"/>
        <c:numFmt formatCode="0"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79760272"/>
        <c:crosses val="autoZero"/>
        <c:auto val="1"/>
        <c:lblAlgn val="ctr"/>
        <c:lblOffset val="100"/>
        <c:noMultiLvlLbl val="0"/>
      </c:catAx>
      <c:valAx>
        <c:axId val="7976027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a:latin typeface="Times New Roman" panose="02020603050405020304" pitchFamily="18" charset="0"/>
                    <a:cs typeface="Times New Roman" panose="02020603050405020304" pitchFamily="18" charset="0"/>
                  </a:rPr>
                  <a:t>Porcentaje</a:t>
                </a:r>
                <a:r>
                  <a:rPr lang="es-GT" baseline="0">
                    <a:latin typeface="Times New Roman" panose="02020603050405020304" pitchFamily="18" charset="0"/>
                    <a:cs typeface="Times New Roman" panose="02020603050405020304" pitchFamily="18" charset="0"/>
                  </a:rPr>
                  <a:t> del PIB</a:t>
                </a:r>
                <a:endParaRPr lang="es-GT">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_ * #,##0.0_ ;_ * \-#,##0.0_ ;_ * &quot;-&quot;??_ ;_ @_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79759856"/>
        <c:crosses val="autoZero"/>
        <c:crossBetween val="between"/>
      </c:valAx>
      <c:spPr>
        <a:noFill/>
        <a:ln>
          <a:noFill/>
        </a:ln>
        <a:effectLst/>
      </c:spPr>
    </c:plotArea>
    <c:legend>
      <c:legendPos val="r"/>
      <c:layout>
        <c:manualLayout>
          <c:xMode val="edge"/>
          <c:yMode val="edge"/>
          <c:x val="0.10180093054283307"/>
          <c:y val="0.11639197783863427"/>
          <c:w val="0.3928704947889663"/>
          <c:h val="0.1610664934138629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667222222222223"/>
          <c:y val="0.20845694444444443"/>
          <c:w val="0.78526701388888887"/>
          <c:h val="0.66825787037037032"/>
        </c:manualLayout>
      </c:layout>
      <c:barChart>
        <c:barDir val="col"/>
        <c:grouping val="stacked"/>
        <c:varyColors val="0"/>
        <c:ser>
          <c:idx val="6"/>
          <c:order val="0"/>
          <c:tx>
            <c:strRef>
              <c:f>'G-SE'!$AJ$63</c:f>
              <c:strCache>
                <c:ptCount val="1"/>
                <c:pt idx="0">
                  <c:v>Otros</c:v>
                </c:pt>
              </c:strCache>
            </c:strRef>
          </c:tx>
          <c:spPr>
            <a:solidFill>
              <a:srgbClr val="002060"/>
            </a:solidFill>
            <a:ln>
              <a:solidFill>
                <a:schemeClr val="tx1"/>
              </a:solidFill>
            </a:ln>
            <a:effectLst/>
          </c:spPr>
          <c:invertIfNegative val="0"/>
          <c:cat>
            <c:numRef>
              <c:f>'G-SE'!$AL$56:$AO$56</c:f>
              <c:numCache>
                <c:formatCode>0</c:formatCode>
                <c:ptCount val="4"/>
                <c:pt idx="0">
                  <c:v>2019</c:v>
                </c:pt>
                <c:pt idx="1">
                  <c:v>2020</c:v>
                </c:pt>
                <c:pt idx="2">
                  <c:v>2021</c:v>
                </c:pt>
                <c:pt idx="3">
                  <c:v>2022</c:v>
                </c:pt>
              </c:numCache>
            </c:numRef>
          </c:cat>
          <c:val>
            <c:numRef>
              <c:f>'G-SE'!$AL$63:$AN$63</c:f>
              <c:numCache>
                <c:formatCode>_ * #,##0.0_ ;_ * \-#,##0.0_ ;_ * "-"??_ ;_ @_ </c:formatCode>
                <c:ptCount val="3"/>
                <c:pt idx="0">
                  <c:v>276.07098000000013</c:v>
                </c:pt>
                <c:pt idx="1">
                  <c:v>322.83439000000004</c:v>
                </c:pt>
                <c:pt idx="2">
                  <c:v>269.02318000000048</c:v>
                </c:pt>
              </c:numCache>
            </c:numRef>
          </c:val>
          <c:extLst>
            <c:ext xmlns:c16="http://schemas.microsoft.com/office/drawing/2014/chart" uri="{C3380CC4-5D6E-409C-BE32-E72D297353CC}">
              <c16:uniqueId val="{00000000-7AC7-4DEE-8AE0-1834FE0DF7C7}"/>
            </c:ext>
          </c:extLst>
        </c:ser>
        <c:ser>
          <c:idx val="5"/>
          <c:order val="1"/>
          <c:tx>
            <c:strRef>
              <c:f>'G-SE'!$AJ$62</c:f>
              <c:strCache>
                <c:ptCount val="1"/>
                <c:pt idx="0">
                  <c:v>Luxemburgo</c:v>
                </c:pt>
              </c:strCache>
            </c:strRef>
          </c:tx>
          <c:spPr>
            <a:solidFill>
              <a:schemeClr val="accent5">
                <a:lumMod val="75000"/>
              </a:schemeClr>
            </a:solidFill>
            <a:ln>
              <a:solidFill>
                <a:schemeClr val="tx1"/>
              </a:solidFill>
            </a:ln>
            <a:effectLst/>
          </c:spPr>
          <c:invertIfNegative val="0"/>
          <c:cat>
            <c:numRef>
              <c:f>'G-SE'!$AL$56:$AO$56</c:f>
              <c:numCache>
                <c:formatCode>0</c:formatCode>
                <c:ptCount val="4"/>
                <c:pt idx="0">
                  <c:v>2019</c:v>
                </c:pt>
                <c:pt idx="1">
                  <c:v>2020</c:v>
                </c:pt>
                <c:pt idx="2">
                  <c:v>2021</c:v>
                </c:pt>
                <c:pt idx="3">
                  <c:v>2022</c:v>
                </c:pt>
              </c:numCache>
            </c:numRef>
          </c:cat>
          <c:val>
            <c:numRef>
              <c:f>'G-SE'!$AL$62:$AO$62</c:f>
              <c:numCache>
                <c:formatCode>_ * #,##0.0_ ;_ * \-#,##0.0_ ;_ * "-"??_ ;_ @_ </c:formatCode>
                <c:ptCount val="4"/>
                <c:pt idx="0">
                  <c:v>31.076790000000003</c:v>
                </c:pt>
                <c:pt idx="1">
                  <c:v>41.378039999999999</c:v>
                </c:pt>
                <c:pt idx="2">
                  <c:v>2248.3698399999998</c:v>
                </c:pt>
                <c:pt idx="3">
                  <c:v>0</c:v>
                </c:pt>
              </c:numCache>
            </c:numRef>
          </c:val>
          <c:extLst>
            <c:ext xmlns:c16="http://schemas.microsoft.com/office/drawing/2014/chart" uri="{C3380CC4-5D6E-409C-BE32-E72D297353CC}">
              <c16:uniqueId val="{00000001-7AC7-4DEE-8AE0-1834FE0DF7C7}"/>
            </c:ext>
          </c:extLst>
        </c:ser>
        <c:ser>
          <c:idx val="0"/>
          <c:order val="2"/>
          <c:tx>
            <c:strRef>
              <c:f>'G-SE'!$AJ$57</c:f>
              <c:strCache>
                <c:ptCount val="1"/>
                <c:pt idx="0">
                  <c:v>Estados Unidos</c:v>
                </c:pt>
              </c:strCache>
            </c:strRef>
          </c:tx>
          <c:spPr>
            <a:solidFill>
              <a:schemeClr val="accent5">
                <a:lumMod val="60000"/>
                <a:lumOff val="40000"/>
              </a:schemeClr>
            </a:solidFill>
            <a:ln>
              <a:solidFill>
                <a:schemeClr val="tx1"/>
              </a:solidFill>
            </a:ln>
            <a:effectLst/>
          </c:spPr>
          <c:invertIfNegative val="0"/>
          <c:cat>
            <c:numRef>
              <c:f>'G-SE'!$AL$56:$AO$56</c:f>
              <c:numCache>
                <c:formatCode>0</c:formatCode>
                <c:ptCount val="4"/>
                <c:pt idx="0">
                  <c:v>2019</c:v>
                </c:pt>
                <c:pt idx="1">
                  <c:v>2020</c:v>
                </c:pt>
                <c:pt idx="2">
                  <c:v>2021</c:v>
                </c:pt>
                <c:pt idx="3">
                  <c:v>2022</c:v>
                </c:pt>
              </c:numCache>
            </c:numRef>
          </c:cat>
          <c:val>
            <c:numRef>
              <c:f>'G-SE'!$AL$57:$AO$57</c:f>
              <c:numCache>
                <c:formatCode>_ * #,##0.0_ ;_ * \-#,##0.0_ ;_ * "-"??_ ;_ @_ </c:formatCode>
                <c:ptCount val="4"/>
                <c:pt idx="0">
                  <c:v>235.53386999999998</c:v>
                </c:pt>
                <c:pt idx="1">
                  <c:v>96.117140000000006</c:v>
                </c:pt>
                <c:pt idx="2">
                  <c:v>120.76774</c:v>
                </c:pt>
                <c:pt idx="3">
                  <c:v>261.27155999999997</c:v>
                </c:pt>
              </c:numCache>
            </c:numRef>
          </c:val>
          <c:extLst>
            <c:ext xmlns:c16="http://schemas.microsoft.com/office/drawing/2014/chart" uri="{C3380CC4-5D6E-409C-BE32-E72D297353CC}">
              <c16:uniqueId val="{00000002-7AC7-4DEE-8AE0-1834FE0DF7C7}"/>
            </c:ext>
          </c:extLst>
        </c:ser>
        <c:ser>
          <c:idx val="1"/>
          <c:order val="3"/>
          <c:tx>
            <c:strRef>
              <c:f>'G-SE'!$AJ$58</c:f>
              <c:strCache>
                <c:ptCount val="1"/>
                <c:pt idx="0">
                  <c:v>Colombia</c:v>
                </c:pt>
              </c:strCache>
            </c:strRef>
          </c:tx>
          <c:spPr>
            <a:solidFill>
              <a:schemeClr val="bg1">
                <a:lumMod val="50000"/>
              </a:schemeClr>
            </a:solidFill>
            <a:ln>
              <a:solidFill>
                <a:schemeClr val="tx1"/>
              </a:solidFill>
            </a:ln>
            <a:effectLst/>
          </c:spPr>
          <c:invertIfNegative val="0"/>
          <c:cat>
            <c:numRef>
              <c:f>'G-SE'!$AL$56:$AO$56</c:f>
              <c:numCache>
                <c:formatCode>0</c:formatCode>
                <c:ptCount val="4"/>
                <c:pt idx="0">
                  <c:v>2019</c:v>
                </c:pt>
                <c:pt idx="1">
                  <c:v>2020</c:v>
                </c:pt>
                <c:pt idx="2">
                  <c:v>2021</c:v>
                </c:pt>
                <c:pt idx="3">
                  <c:v>2022</c:v>
                </c:pt>
              </c:numCache>
            </c:numRef>
          </c:cat>
          <c:val>
            <c:numRef>
              <c:f>'G-SE'!$AL$58:$AO$58</c:f>
              <c:numCache>
                <c:formatCode>_ * #,##0.0_ ;_ * \-#,##0.0_ ;_ * "-"??_ ;_ @_ </c:formatCode>
                <c:ptCount val="4"/>
                <c:pt idx="0">
                  <c:v>175.82192000000001</c:v>
                </c:pt>
                <c:pt idx="1">
                  <c:v>228.44121000000001</c:v>
                </c:pt>
                <c:pt idx="2">
                  <c:v>337.08926999999994</c:v>
                </c:pt>
                <c:pt idx="3">
                  <c:v>254.24645999999998</c:v>
                </c:pt>
              </c:numCache>
            </c:numRef>
          </c:val>
          <c:extLst>
            <c:ext xmlns:c16="http://schemas.microsoft.com/office/drawing/2014/chart" uri="{C3380CC4-5D6E-409C-BE32-E72D297353CC}">
              <c16:uniqueId val="{00000003-7AC7-4DEE-8AE0-1834FE0DF7C7}"/>
            </c:ext>
          </c:extLst>
        </c:ser>
        <c:ser>
          <c:idx val="2"/>
          <c:order val="4"/>
          <c:tx>
            <c:strRef>
              <c:f>'G-SE'!$AJ$59</c:f>
              <c:strCache>
                <c:ptCount val="1"/>
                <c:pt idx="0">
                  <c:v>Panamá</c:v>
                </c:pt>
              </c:strCache>
            </c:strRef>
          </c:tx>
          <c:spPr>
            <a:solidFill>
              <a:schemeClr val="bg1">
                <a:lumMod val="75000"/>
              </a:schemeClr>
            </a:solidFill>
            <a:ln>
              <a:solidFill>
                <a:schemeClr val="tx1"/>
              </a:solidFill>
            </a:ln>
            <a:effectLst/>
          </c:spPr>
          <c:invertIfNegative val="0"/>
          <c:cat>
            <c:numRef>
              <c:f>'G-SE'!$AL$56:$AO$56</c:f>
              <c:numCache>
                <c:formatCode>0</c:formatCode>
                <c:ptCount val="4"/>
                <c:pt idx="0">
                  <c:v>2019</c:v>
                </c:pt>
                <c:pt idx="1">
                  <c:v>2020</c:v>
                </c:pt>
                <c:pt idx="2">
                  <c:v>2021</c:v>
                </c:pt>
                <c:pt idx="3">
                  <c:v>2022</c:v>
                </c:pt>
              </c:numCache>
            </c:numRef>
          </c:cat>
          <c:val>
            <c:numRef>
              <c:f>'G-SE'!$AL$59:$AO$59</c:f>
              <c:numCache>
                <c:formatCode>_ * #,##0.0_ ;_ * \-#,##0.0_ ;_ * "-"??_ ;_ @_ </c:formatCode>
                <c:ptCount val="4"/>
                <c:pt idx="0">
                  <c:v>23.813969999999998</c:v>
                </c:pt>
                <c:pt idx="1">
                  <c:v>177.99467999999999</c:v>
                </c:pt>
                <c:pt idx="2">
                  <c:v>209.14973000000001</c:v>
                </c:pt>
                <c:pt idx="3">
                  <c:v>138.63983000000002</c:v>
                </c:pt>
              </c:numCache>
            </c:numRef>
          </c:val>
          <c:extLst>
            <c:ext xmlns:c16="http://schemas.microsoft.com/office/drawing/2014/chart" uri="{C3380CC4-5D6E-409C-BE32-E72D297353CC}">
              <c16:uniqueId val="{00000004-7AC7-4DEE-8AE0-1834FE0DF7C7}"/>
            </c:ext>
          </c:extLst>
        </c:ser>
        <c:ser>
          <c:idx val="3"/>
          <c:order val="5"/>
          <c:tx>
            <c:strRef>
              <c:f>'G-SE'!$AJ$60</c:f>
              <c:strCache>
                <c:ptCount val="1"/>
                <c:pt idx="0">
                  <c:v>Rusia</c:v>
                </c:pt>
              </c:strCache>
            </c:strRef>
          </c:tx>
          <c:spPr>
            <a:solidFill>
              <a:srgbClr val="F29724"/>
            </a:solidFill>
            <a:ln>
              <a:solidFill>
                <a:schemeClr val="tx1"/>
              </a:solidFill>
            </a:ln>
            <a:effectLst/>
          </c:spPr>
          <c:invertIfNegative val="0"/>
          <c:cat>
            <c:numRef>
              <c:f>'G-SE'!$AL$56:$AO$56</c:f>
              <c:numCache>
                <c:formatCode>0</c:formatCode>
                <c:ptCount val="4"/>
                <c:pt idx="0">
                  <c:v>2019</c:v>
                </c:pt>
                <c:pt idx="1">
                  <c:v>2020</c:v>
                </c:pt>
                <c:pt idx="2">
                  <c:v>2021</c:v>
                </c:pt>
                <c:pt idx="3">
                  <c:v>2022</c:v>
                </c:pt>
              </c:numCache>
            </c:numRef>
          </c:cat>
          <c:val>
            <c:numRef>
              <c:f>'G-SE'!$AL$60:$AO$60</c:f>
              <c:numCache>
                <c:formatCode>_ * #,##0.0_ ;_ * \-#,##0.0_ ;_ * "-"??_ ;_ @_ </c:formatCode>
                <c:ptCount val="4"/>
                <c:pt idx="0">
                  <c:v>126.0967</c:v>
                </c:pt>
                <c:pt idx="1">
                  <c:v>80.905320000000003</c:v>
                </c:pt>
                <c:pt idx="2">
                  <c:v>110.56017</c:v>
                </c:pt>
                <c:pt idx="3">
                  <c:v>-102.64086</c:v>
                </c:pt>
              </c:numCache>
            </c:numRef>
          </c:val>
          <c:extLst>
            <c:ext xmlns:c16="http://schemas.microsoft.com/office/drawing/2014/chart" uri="{C3380CC4-5D6E-409C-BE32-E72D297353CC}">
              <c16:uniqueId val="{00000005-7AC7-4DEE-8AE0-1834FE0DF7C7}"/>
            </c:ext>
          </c:extLst>
        </c:ser>
        <c:ser>
          <c:idx val="4"/>
          <c:order val="6"/>
          <c:tx>
            <c:strRef>
              <c:f>'G-SE'!$AJ$61</c:f>
              <c:strCache>
                <c:ptCount val="1"/>
                <c:pt idx="0">
                  <c:v>México</c:v>
                </c:pt>
              </c:strCache>
            </c:strRef>
          </c:tx>
          <c:spPr>
            <a:solidFill>
              <a:srgbClr val="C00000"/>
            </a:solidFill>
            <a:ln>
              <a:solidFill>
                <a:schemeClr val="tx1"/>
              </a:solidFill>
            </a:ln>
            <a:effectLst/>
          </c:spPr>
          <c:invertIfNegative val="0"/>
          <c:cat>
            <c:numRef>
              <c:f>'G-SE'!$AL$56:$AO$56</c:f>
              <c:numCache>
                <c:formatCode>0</c:formatCode>
                <c:ptCount val="4"/>
                <c:pt idx="0">
                  <c:v>2019</c:v>
                </c:pt>
                <c:pt idx="1">
                  <c:v>2020</c:v>
                </c:pt>
                <c:pt idx="2">
                  <c:v>2021</c:v>
                </c:pt>
                <c:pt idx="3">
                  <c:v>2022</c:v>
                </c:pt>
              </c:numCache>
            </c:numRef>
          </c:cat>
          <c:val>
            <c:numRef>
              <c:f>'G-SE'!$AL$61:$AO$61</c:f>
              <c:numCache>
                <c:formatCode>_ * #,##0.0_ ;_ * \-#,##0.0_ ;_ * "-"??_ ;_ @_ </c:formatCode>
                <c:ptCount val="4"/>
                <c:pt idx="0">
                  <c:v>107.72678999999999</c:v>
                </c:pt>
                <c:pt idx="1">
                  <c:v>-12.791140000000002</c:v>
                </c:pt>
                <c:pt idx="2">
                  <c:v>166.81439</c:v>
                </c:pt>
                <c:pt idx="3">
                  <c:v>193.36690000000002</c:v>
                </c:pt>
              </c:numCache>
            </c:numRef>
          </c:val>
          <c:extLst>
            <c:ext xmlns:c16="http://schemas.microsoft.com/office/drawing/2014/chart" uri="{C3380CC4-5D6E-409C-BE32-E72D297353CC}">
              <c16:uniqueId val="{00000006-7AC7-4DEE-8AE0-1834FE0DF7C7}"/>
            </c:ext>
          </c:extLst>
        </c:ser>
        <c:dLbls>
          <c:showLegendKey val="0"/>
          <c:showVal val="0"/>
          <c:showCatName val="0"/>
          <c:showSerName val="0"/>
          <c:showPercent val="0"/>
          <c:showBubbleSize val="0"/>
        </c:dLbls>
        <c:gapWidth val="55"/>
        <c:overlap val="100"/>
        <c:axId val="1986757696"/>
        <c:axId val="1986749376"/>
      </c:barChart>
      <c:catAx>
        <c:axId val="1986757696"/>
        <c:scaling>
          <c:orientation val="minMax"/>
        </c:scaling>
        <c:delete val="0"/>
        <c:axPos val="b"/>
        <c:numFmt formatCode="0"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986749376"/>
        <c:crossesAt val="0"/>
        <c:auto val="1"/>
        <c:lblAlgn val="ctr"/>
        <c:lblOffset val="100"/>
        <c:noMultiLvlLbl val="0"/>
      </c:catAx>
      <c:valAx>
        <c:axId val="1986749376"/>
        <c:scaling>
          <c:orientation val="minMax"/>
          <c:max val="3900"/>
        </c:scaling>
        <c:delete val="0"/>
        <c:axPos val="l"/>
        <c:numFmt formatCode="_ * #,##0.0_ ;_ * \-#,##0.0_ ;_ * &quot;-&quot;??_ ;_ @_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986757696"/>
        <c:crossesAt val="0"/>
        <c:crossBetween val="between"/>
        <c:dispUnits>
          <c:builtInUnit val="thousands"/>
          <c:dispUnitsLbl>
            <c:layout>
              <c:manualLayout>
                <c:xMode val="edge"/>
                <c:yMode val="edge"/>
                <c:x val="0"/>
                <c:y val="0.27397301587301587"/>
              </c:manualLayout>
            </c:layout>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800">
                      <a:latin typeface="Times New Roman" panose="02020603050405020304" pitchFamily="18" charset="0"/>
                      <a:cs typeface="Times New Roman" panose="02020603050405020304" pitchFamily="18" charset="0"/>
                    </a:rPr>
                    <a:t>Miles</a:t>
                  </a:r>
                  <a:r>
                    <a:rPr lang="es-GT" sz="800" baseline="0">
                      <a:latin typeface="Times New Roman" panose="02020603050405020304" pitchFamily="18" charset="0"/>
                      <a:cs typeface="Times New Roman" panose="02020603050405020304" pitchFamily="18" charset="0"/>
                    </a:rPr>
                    <a:t> de millones</a:t>
                  </a:r>
                  <a:endParaRPr lang="es-GT" sz="800">
                    <a:latin typeface="Times New Roman" panose="02020603050405020304" pitchFamily="18" charset="0"/>
                    <a:cs typeface="Times New Roman" panose="02020603050405020304" pitchFamily="18" charset="0"/>
                  </a:endParaRPr>
                </a:p>
              </c:rich>
            </c:tx>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dispUnitsLbl>
        </c:dispUnits>
      </c:valAx>
      <c:spPr>
        <a:noFill/>
        <a:ln>
          <a:noFill/>
        </a:ln>
        <a:effectLst/>
      </c:spPr>
    </c:plotArea>
    <c:legend>
      <c:legendPos val="b"/>
      <c:layout>
        <c:manualLayout>
          <c:xMode val="edge"/>
          <c:yMode val="edge"/>
          <c:x val="4.3236994161341274E-2"/>
          <c:y val="3.9513832520285999E-4"/>
          <c:w val="0.95308361111111095"/>
          <c:h val="0.1646404175335319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735860194983893"/>
          <c:y val="8.3518402777777792E-2"/>
          <c:w val="0.79208570262785527"/>
          <c:h val="0.78710925925925934"/>
        </c:manualLayout>
      </c:layout>
      <c:barChart>
        <c:barDir val="col"/>
        <c:grouping val="clustered"/>
        <c:varyColors val="0"/>
        <c:ser>
          <c:idx val="0"/>
          <c:order val="0"/>
          <c:tx>
            <c:strRef>
              <c:f>'G-SE'!$AJ$46</c:f>
              <c:strCache>
                <c:ptCount val="1"/>
                <c:pt idx="0">
                  <c:v>RIN</c:v>
                </c:pt>
              </c:strCache>
            </c:strRef>
          </c:tx>
          <c:spPr>
            <a:solidFill>
              <a:schemeClr val="accent1"/>
            </a:solidFill>
            <a:ln>
              <a:solidFill>
                <a:schemeClr val="tx1"/>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'G-SE'!$AK$43:$AO$43</c:f>
              <c:numCache>
                <c:formatCode>0</c:formatCode>
                <c:ptCount val="5"/>
                <c:pt idx="0">
                  <c:v>2018</c:v>
                </c:pt>
                <c:pt idx="1">
                  <c:v>2019</c:v>
                </c:pt>
                <c:pt idx="2">
                  <c:v>2020</c:v>
                </c:pt>
                <c:pt idx="3">
                  <c:v>2021</c:v>
                </c:pt>
                <c:pt idx="4">
                  <c:v>2022</c:v>
                </c:pt>
              </c:numCache>
            </c:numRef>
          </c:cat>
          <c:val>
            <c:numRef>
              <c:f>'G-SE'!$AK$46:$AO$46</c:f>
              <c:numCache>
                <c:formatCode>_ * #,##0.0_ ;_ * \-#,##0.0_ ;_ * "-"??_ ;_ @_ </c:formatCode>
                <c:ptCount val="5"/>
                <c:pt idx="0">
                  <c:v>12.7508</c:v>
                </c:pt>
                <c:pt idx="1">
                  <c:v>14.783899999999999</c:v>
                </c:pt>
                <c:pt idx="2">
                  <c:v>18.463546480000002</c:v>
                </c:pt>
                <c:pt idx="3">
                  <c:v>20.935001029999999</c:v>
                </c:pt>
                <c:pt idx="4">
                  <c:v>20.015119513000005</c:v>
                </c:pt>
              </c:numCache>
            </c:numRef>
          </c:val>
          <c:extLst>
            <c:ext xmlns:c16="http://schemas.microsoft.com/office/drawing/2014/chart" uri="{C3380CC4-5D6E-409C-BE32-E72D297353CC}">
              <c16:uniqueId val="{00000000-6FD7-4FCF-8114-DAF79CEA86E1}"/>
            </c:ext>
          </c:extLst>
        </c:ser>
        <c:dLbls>
          <c:showLegendKey val="0"/>
          <c:showVal val="0"/>
          <c:showCatName val="0"/>
          <c:showSerName val="0"/>
          <c:showPercent val="0"/>
          <c:showBubbleSize val="0"/>
        </c:dLbls>
        <c:gapWidth val="150"/>
        <c:axId val="1857725759"/>
        <c:axId val="1857723679"/>
      </c:barChart>
      <c:catAx>
        <c:axId val="1857725759"/>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857723679"/>
        <c:crosses val="autoZero"/>
        <c:auto val="1"/>
        <c:lblAlgn val="ctr"/>
        <c:lblOffset val="100"/>
        <c:noMultiLvlLbl val="0"/>
      </c:catAx>
      <c:valAx>
        <c:axId val="1857723679"/>
        <c:scaling>
          <c:orientation val="minMax"/>
          <c:max val="30"/>
        </c:scaling>
        <c:delete val="0"/>
        <c:axPos val="l"/>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700">
                    <a:latin typeface="Times New Roman" panose="02020603050405020304" pitchFamily="18" charset="0"/>
                    <a:cs typeface="Times New Roman" panose="02020603050405020304" pitchFamily="18" charset="0"/>
                  </a:rPr>
                  <a:t>Miles de millones de dólares</a:t>
                </a:r>
              </a:p>
            </c:rich>
          </c:tx>
          <c:layout>
            <c:manualLayout>
              <c:xMode val="edge"/>
              <c:yMode val="edge"/>
              <c:x val="1.3869379888704653E-3"/>
              <c:y val="0.10702317752768406"/>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_ * #,##0.0_ ;_ * \-#,##0.0_ ;_ * &quot;-&quot;??_ ;_ @_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8577257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902465277777776"/>
          <c:y val="9.898148148148149E-2"/>
          <c:w val="0.78459236111111108"/>
          <c:h val="0.75656342592592596"/>
        </c:manualLayout>
      </c:layout>
      <c:barChart>
        <c:barDir val="col"/>
        <c:grouping val="clustered"/>
        <c:varyColors val="0"/>
        <c:ser>
          <c:idx val="1"/>
          <c:order val="1"/>
          <c:tx>
            <c:strRef>
              <c:f>'G-SE'!$AJ$40</c:f>
              <c:strCache>
                <c:ptCount val="1"/>
                <c:pt idx="0">
                  <c:v>Activos/PIB</c:v>
                </c:pt>
              </c:strCache>
            </c:strRef>
          </c:tx>
          <c:spPr>
            <a:solidFill>
              <a:srgbClr val="3C1048"/>
            </a:solidFill>
            <a:ln>
              <a:solidFill>
                <a:srgbClr val="3C1048"/>
              </a:solidFill>
            </a:ln>
            <a:effectLst/>
          </c:spPr>
          <c:invertIfNegative val="0"/>
          <c:cat>
            <c:numRef>
              <c:f>'G-SE'!$AK$38:$AO$38</c:f>
              <c:numCache>
                <c:formatCode>0</c:formatCode>
                <c:ptCount val="5"/>
                <c:pt idx="0">
                  <c:v>2018</c:v>
                </c:pt>
                <c:pt idx="1">
                  <c:v>2019</c:v>
                </c:pt>
                <c:pt idx="2">
                  <c:v>2020</c:v>
                </c:pt>
                <c:pt idx="3">
                  <c:v>2021</c:v>
                </c:pt>
                <c:pt idx="4">
                  <c:v>2022</c:v>
                </c:pt>
              </c:numCache>
            </c:numRef>
          </c:cat>
          <c:val>
            <c:numRef>
              <c:f>'G-SE'!$AK$40:$AO$40</c:f>
              <c:numCache>
                <c:formatCode>_ * #,##0.0_ ;_ * \-#,##0.0_ ;_ * "-"??_ ;_ @_ </c:formatCode>
                <c:ptCount val="5"/>
                <c:pt idx="0">
                  <c:v>35.391789649044362</c:v>
                </c:pt>
                <c:pt idx="1">
                  <c:v>35.709912979714723</c:v>
                </c:pt>
                <c:pt idx="2">
                  <c:v>41.615265890499423</c:v>
                </c:pt>
                <c:pt idx="3">
                  <c:v>43.829196742692353</c:v>
                </c:pt>
                <c:pt idx="4">
                  <c:v>39.797830992326176</c:v>
                </c:pt>
              </c:numCache>
            </c:numRef>
          </c:val>
          <c:extLst>
            <c:ext xmlns:c16="http://schemas.microsoft.com/office/drawing/2014/chart" uri="{C3380CC4-5D6E-409C-BE32-E72D297353CC}">
              <c16:uniqueId val="{00000000-C578-4FBF-BEFE-F481B75910FD}"/>
            </c:ext>
          </c:extLst>
        </c:ser>
        <c:ser>
          <c:idx val="2"/>
          <c:order val="2"/>
          <c:tx>
            <c:strRef>
              <c:f>'G-SE'!$AJ$41</c:f>
              <c:strCache>
                <c:ptCount val="1"/>
                <c:pt idx="0">
                  <c:v>Pasivos/PIB</c:v>
                </c:pt>
              </c:strCache>
            </c:strRef>
          </c:tx>
          <c:spPr>
            <a:solidFill>
              <a:schemeClr val="accent3"/>
            </a:solidFill>
            <a:ln>
              <a:solidFill>
                <a:schemeClr val="tx1"/>
              </a:solidFill>
            </a:ln>
            <a:effectLst/>
          </c:spPr>
          <c:invertIfNegative val="0"/>
          <c:cat>
            <c:numRef>
              <c:f>'G-SE'!$AK$38:$AO$38</c:f>
              <c:numCache>
                <c:formatCode>0</c:formatCode>
                <c:ptCount val="5"/>
                <c:pt idx="0">
                  <c:v>2018</c:v>
                </c:pt>
                <c:pt idx="1">
                  <c:v>2019</c:v>
                </c:pt>
                <c:pt idx="2">
                  <c:v>2020</c:v>
                </c:pt>
                <c:pt idx="3">
                  <c:v>2021</c:v>
                </c:pt>
                <c:pt idx="4">
                  <c:v>2022</c:v>
                </c:pt>
              </c:numCache>
            </c:numRef>
          </c:cat>
          <c:val>
            <c:numRef>
              <c:f>'G-SE'!$AK$41:$AO$41</c:f>
              <c:numCache>
                <c:formatCode>_ * #,##0.0_ ;_ * \-#,##0.0_ ;_ * "-"??_ ;_ @_ </c:formatCode>
                <c:ptCount val="5"/>
                <c:pt idx="0">
                  <c:v>52.916420525194084</c:v>
                </c:pt>
                <c:pt idx="1">
                  <c:v>50.492382101910337</c:v>
                </c:pt>
                <c:pt idx="2">
                  <c:v>52.328253725130466</c:v>
                </c:pt>
                <c:pt idx="3">
                  <c:v>52.11591346509671</c:v>
                </c:pt>
                <c:pt idx="4">
                  <c:v>46.176263594759355</c:v>
                </c:pt>
              </c:numCache>
            </c:numRef>
          </c:val>
          <c:extLst>
            <c:ext xmlns:c16="http://schemas.microsoft.com/office/drawing/2014/chart" uri="{C3380CC4-5D6E-409C-BE32-E72D297353CC}">
              <c16:uniqueId val="{00000001-C578-4FBF-BEFE-F481B75910FD}"/>
            </c:ext>
          </c:extLst>
        </c:ser>
        <c:dLbls>
          <c:showLegendKey val="0"/>
          <c:showVal val="0"/>
          <c:showCatName val="0"/>
          <c:showSerName val="0"/>
          <c:showPercent val="0"/>
          <c:showBubbleSize val="0"/>
        </c:dLbls>
        <c:gapWidth val="219"/>
        <c:axId val="1407884527"/>
        <c:axId val="1407881199"/>
      </c:barChart>
      <c:lineChart>
        <c:grouping val="stacked"/>
        <c:varyColors val="0"/>
        <c:ser>
          <c:idx val="0"/>
          <c:order val="0"/>
          <c:tx>
            <c:strRef>
              <c:f>'G-SE'!$AJ$39</c:f>
              <c:strCache>
                <c:ptCount val="1"/>
                <c:pt idx="0">
                  <c:v>PII / PIB</c:v>
                </c:pt>
              </c:strCache>
            </c:strRef>
          </c:tx>
          <c:spPr>
            <a:ln w="28575" cap="rnd">
              <a:noFill/>
              <a:round/>
            </a:ln>
            <a:effectLst/>
          </c:spPr>
          <c:marker>
            <c:symbol val="diamond"/>
            <c:size val="8"/>
            <c:spPr>
              <a:solidFill>
                <a:srgbClr val="C00000"/>
              </a:solidFill>
              <a:ln w="9525">
                <a:solidFill>
                  <a:srgbClr val="C00000"/>
                </a:solidFill>
              </a:ln>
              <a:effectLst/>
            </c:spPr>
          </c:marker>
          <c:cat>
            <c:numRef>
              <c:f>'G-SE'!$AK$38:$AO$38</c:f>
              <c:numCache>
                <c:formatCode>0</c:formatCode>
                <c:ptCount val="5"/>
                <c:pt idx="0">
                  <c:v>2018</c:v>
                </c:pt>
                <c:pt idx="1">
                  <c:v>2019</c:v>
                </c:pt>
                <c:pt idx="2">
                  <c:v>2020</c:v>
                </c:pt>
                <c:pt idx="3">
                  <c:v>2021</c:v>
                </c:pt>
                <c:pt idx="4">
                  <c:v>2022</c:v>
                </c:pt>
              </c:numCache>
            </c:numRef>
          </c:cat>
          <c:val>
            <c:numRef>
              <c:f>'G-SE'!$AK$39:$AO$39</c:f>
              <c:numCache>
                <c:formatCode>_ * #,##0.0_ ;_ * \-#,##0.0_ ;_ * "-"??_ ;_ @_ </c:formatCode>
                <c:ptCount val="5"/>
                <c:pt idx="0">
                  <c:v>-17.52322764838755</c:v>
                </c:pt>
                <c:pt idx="1">
                  <c:v>-14.779876798065045</c:v>
                </c:pt>
                <c:pt idx="2">
                  <c:v>-10.70909150546551</c:v>
                </c:pt>
                <c:pt idx="3">
                  <c:v>-8.2843971635493041</c:v>
                </c:pt>
                <c:pt idx="4">
                  <c:v>-6.3784326024331639</c:v>
                </c:pt>
              </c:numCache>
            </c:numRef>
          </c:val>
          <c:smooth val="0"/>
          <c:extLst>
            <c:ext xmlns:c16="http://schemas.microsoft.com/office/drawing/2014/chart" uri="{C3380CC4-5D6E-409C-BE32-E72D297353CC}">
              <c16:uniqueId val="{00000002-C578-4FBF-BEFE-F481B75910FD}"/>
            </c:ext>
          </c:extLst>
        </c:ser>
        <c:dLbls>
          <c:showLegendKey val="0"/>
          <c:showVal val="0"/>
          <c:showCatName val="0"/>
          <c:showSerName val="0"/>
          <c:showPercent val="0"/>
          <c:showBubbleSize val="0"/>
        </c:dLbls>
        <c:marker val="1"/>
        <c:smooth val="0"/>
        <c:axId val="1407884527"/>
        <c:axId val="1407881199"/>
      </c:lineChart>
      <c:catAx>
        <c:axId val="1407884527"/>
        <c:scaling>
          <c:orientation val="minMax"/>
        </c:scaling>
        <c:delete val="0"/>
        <c:axPos val="b"/>
        <c:numFmt formatCode="0"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407881199"/>
        <c:crosses val="autoZero"/>
        <c:auto val="1"/>
        <c:lblAlgn val="ctr"/>
        <c:lblOffset val="100"/>
        <c:noMultiLvlLbl val="0"/>
      </c:catAx>
      <c:valAx>
        <c:axId val="1407881199"/>
        <c:scaling>
          <c:orientation val="minMax"/>
          <c:min val="-20"/>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800" b="0" i="0" baseline="0">
                    <a:effectLst/>
                    <a:latin typeface="Times New Roman" panose="02020603050405020304" pitchFamily="18" charset="0"/>
                    <a:cs typeface="Times New Roman" panose="02020603050405020304" pitchFamily="18" charset="0"/>
                  </a:rPr>
                  <a:t>En porcentaje del PIB</a:t>
                </a:r>
              </a:p>
            </c:rich>
          </c:tx>
          <c:layout>
            <c:manualLayout>
              <c:xMode val="edge"/>
              <c:yMode val="edge"/>
              <c:x val="1.2328607766366578E-2"/>
              <c:y val="0.28195320042507183"/>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_ * #,##0.0_ ;_ * \-#,##0.0_ ;_ * &quot;-&quot;??_ ;_ @_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407884527"/>
        <c:crosses val="autoZero"/>
        <c:crossBetween val="between"/>
      </c:valAx>
      <c:spPr>
        <a:noFill/>
        <a:ln>
          <a:noFill/>
        </a:ln>
        <a:effectLst/>
      </c:spPr>
    </c:plotArea>
    <c:legend>
      <c:legendPos val="b"/>
      <c:layout>
        <c:manualLayout>
          <c:xMode val="edge"/>
          <c:yMode val="edge"/>
          <c:x val="0.16485902777777775"/>
          <c:y val="3.7568981481481481E-2"/>
          <c:w val="0.78211284722222219"/>
          <c:h val="7.968808040124772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979598765432103"/>
          <c:y val="0.19255787037037037"/>
          <c:w val="0.77708672839506154"/>
          <c:h val="0.68603518518518525"/>
        </c:manualLayout>
      </c:layout>
      <c:barChart>
        <c:barDir val="col"/>
        <c:grouping val="stacked"/>
        <c:varyColors val="0"/>
        <c:ser>
          <c:idx val="3"/>
          <c:order val="0"/>
          <c:tx>
            <c:strRef>
              <c:f>'G-SE'!$AJ$53</c:f>
              <c:strCache>
                <c:ptCount val="1"/>
                <c:pt idx="0">
                  <c:v>Otros sectores</c:v>
                </c:pt>
              </c:strCache>
            </c:strRef>
          </c:tx>
          <c:spPr>
            <a:solidFill>
              <a:srgbClr val="063852"/>
            </a:solidFill>
            <a:ln>
              <a:solidFill>
                <a:schemeClr val="tx1"/>
              </a:solidFill>
            </a:ln>
            <a:effectLst/>
          </c:spPr>
          <c:invertIfNegative val="0"/>
          <c:cat>
            <c:numRef>
              <c:f>'G-SE'!$AK$48:$AO$48</c:f>
              <c:numCache>
                <c:formatCode>0</c:formatCode>
                <c:ptCount val="5"/>
                <c:pt idx="0">
                  <c:v>2018</c:v>
                </c:pt>
                <c:pt idx="1">
                  <c:v>2019</c:v>
                </c:pt>
                <c:pt idx="2">
                  <c:v>2020</c:v>
                </c:pt>
                <c:pt idx="3">
                  <c:v>2021</c:v>
                </c:pt>
                <c:pt idx="4">
                  <c:v>2022</c:v>
                </c:pt>
              </c:numCache>
            </c:numRef>
          </c:cat>
          <c:val>
            <c:numRef>
              <c:f>'G-SE'!$AK$53:$AO$53</c:f>
              <c:numCache>
                <c:formatCode>_ * #,##0.0_ ;_ * \-#,##0.0_ ;_ * "-"??_ ;_ @_ </c:formatCode>
                <c:ptCount val="5"/>
                <c:pt idx="0">
                  <c:v>13.160452213034507</c:v>
                </c:pt>
                <c:pt idx="1">
                  <c:v>10.910314568354499</c:v>
                </c:pt>
                <c:pt idx="2">
                  <c:v>9.5794469473953896</c:v>
                </c:pt>
                <c:pt idx="3">
                  <c:v>9.5500791472082174</c:v>
                </c:pt>
                <c:pt idx="4">
                  <c:v>7.103726550386873</c:v>
                </c:pt>
              </c:numCache>
            </c:numRef>
          </c:val>
          <c:extLst>
            <c:ext xmlns:c16="http://schemas.microsoft.com/office/drawing/2014/chart" uri="{C3380CC4-5D6E-409C-BE32-E72D297353CC}">
              <c16:uniqueId val="{00000000-CFEB-4C2F-B8D3-170B912A998B}"/>
            </c:ext>
          </c:extLst>
        </c:ser>
        <c:ser>
          <c:idx val="2"/>
          <c:order val="1"/>
          <c:tx>
            <c:strRef>
              <c:f>'G-SE'!$AJ$52</c:f>
              <c:strCache>
                <c:ptCount val="1"/>
                <c:pt idx="0">
                  <c:v>Sociedades captadoras de depósitos</c:v>
                </c:pt>
              </c:strCache>
            </c:strRef>
          </c:tx>
          <c:spPr>
            <a:solidFill>
              <a:schemeClr val="bg1">
                <a:lumMod val="65000"/>
              </a:schemeClr>
            </a:solidFill>
            <a:ln>
              <a:solidFill>
                <a:schemeClr val="tx1"/>
              </a:solidFill>
            </a:ln>
            <a:effectLst/>
          </c:spPr>
          <c:invertIfNegative val="0"/>
          <c:cat>
            <c:numRef>
              <c:f>'G-SE'!$AK$48:$AO$48</c:f>
              <c:numCache>
                <c:formatCode>0</c:formatCode>
                <c:ptCount val="5"/>
                <c:pt idx="0">
                  <c:v>2018</c:v>
                </c:pt>
                <c:pt idx="1">
                  <c:v>2019</c:v>
                </c:pt>
                <c:pt idx="2">
                  <c:v>2020</c:v>
                </c:pt>
                <c:pt idx="3">
                  <c:v>2021</c:v>
                </c:pt>
                <c:pt idx="4">
                  <c:v>2022</c:v>
                </c:pt>
              </c:numCache>
            </c:numRef>
          </c:cat>
          <c:val>
            <c:numRef>
              <c:f>'G-SE'!$AK$52:$AO$52</c:f>
              <c:numCache>
                <c:formatCode>_ * #,##0.0_ ;_ * \-#,##0.0_ ;_ * "-"??_ ;_ @_ </c:formatCode>
                <c:ptCount val="5"/>
                <c:pt idx="0">
                  <c:v>8.9048833787110127</c:v>
                </c:pt>
                <c:pt idx="1">
                  <c:v>8.2035393274137469</c:v>
                </c:pt>
                <c:pt idx="2">
                  <c:v>7.8899254221814665</c:v>
                </c:pt>
                <c:pt idx="3">
                  <c:v>6.4778196512265964</c:v>
                </c:pt>
                <c:pt idx="4">
                  <c:v>6.0894513232386061</c:v>
                </c:pt>
              </c:numCache>
            </c:numRef>
          </c:val>
          <c:extLst>
            <c:ext xmlns:c16="http://schemas.microsoft.com/office/drawing/2014/chart" uri="{C3380CC4-5D6E-409C-BE32-E72D297353CC}">
              <c16:uniqueId val="{00000001-CFEB-4C2F-B8D3-170B912A998B}"/>
            </c:ext>
          </c:extLst>
        </c:ser>
        <c:ser>
          <c:idx val="1"/>
          <c:order val="2"/>
          <c:tx>
            <c:strRef>
              <c:f>'G-SE'!$AJ$51</c:f>
              <c:strCache>
                <c:ptCount val="1"/>
                <c:pt idx="0">
                  <c:v>Gobierno General</c:v>
                </c:pt>
              </c:strCache>
            </c:strRef>
          </c:tx>
          <c:spPr>
            <a:solidFill>
              <a:schemeClr val="accent1"/>
            </a:solidFill>
            <a:ln>
              <a:solidFill>
                <a:schemeClr val="tx1"/>
              </a:solidFill>
            </a:ln>
            <a:effectLst/>
          </c:spPr>
          <c:invertIfNegative val="0"/>
          <c:cat>
            <c:numRef>
              <c:f>'G-SE'!$AK$48:$AO$48</c:f>
              <c:numCache>
                <c:formatCode>0</c:formatCode>
                <c:ptCount val="5"/>
                <c:pt idx="0">
                  <c:v>2018</c:v>
                </c:pt>
                <c:pt idx="1">
                  <c:v>2019</c:v>
                </c:pt>
                <c:pt idx="2">
                  <c:v>2020</c:v>
                </c:pt>
                <c:pt idx="3">
                  <c:v>2021</c:v>
                </c:pt>
                <c:pt idx="4">
                  <c:v>2022</c:v>
                </c:pt>
              </c:numCache>
            </c:numRef>
          </c:cat>
          <c:val>
            <c:numRef>
              <c:f>'G-SE'!$AK$51:$AO$51</c:f>
              <c:numCache>
                <c:formatCode>_ * #,##0.0_ ;_ * \-#,##0.0_ ;_ * "-"??_ ;_ @_ </c:formatCode>
                <c:ptCount val="5"/>
                <c:pt idx="0">
                  <c:v>10.990641124395863</c:v>
                </c:pt>
                <c:pt idx="1">
                  <c:v>11.574856859227616</c:v>
                </c:pt>
                <c:pt idx="2">
                  <c:v>13.813860659564414</c:v>
                </c:pt>
                <c:pt idx="3">
                  <c:v>12.295220628881067</c:v>
                </c:pt>
                <c:pt idx="4">
                  <c:v>9.8249504314957878</c:v>
                </c:pt>
              </c:numCache>
            </c:numRef>
          </c:val>
          <c:extLst>
            <c:ext xmlns:c16="http://schemas.microsoft.com/office/drawing/2014/chart" uri="{C3380CC4-5D6E-409C-BE32-E72D297353CC}">
              <c16:uniqueId val="{00000002-CFEB-4C2F-B8D3-170B912A998B}"/>
            </c:ext>
          </c:extLst>
        </c:ser>
        <c:ser>
          <c:idx val="0"/>
          <c:order val="3"/>
          <c:tx>
            <c:strRef>
              <c:f>'G-SE'!$AJ$50</c:f>
              <c:strCache>
                <c:ptCount val="1"/>
                <c:pt idx="0">
                  <c:v>Banco Central</c:v>
                </c:pt>
              </c:strCache>
            </c:strRef>
          </c:tx>
          <c:spPr>
            <a:solidFill>
              <a:srgbClr val="B80D48"/>
            </a:solidFill>
            <a:ln>
              <a:solidFill>
                <a:schemeClr val="tx1"/>
              </a:solidFill>
            </a:ln>
            <a:effectLst/>
          </c:spPr>
          <c:invertIfNegative val="0"/>
          <c:cat>
            <c:numRef>
              <c:f>'G-SE'!$AK$48:$AO$48</c:f>
              <c:numCache>
                <c:formatCode>0</c:formatCode>
                <c:ptCount val="5"/>
                <c:pt idx="0">
                  <c:v>2018</c:v>
                </c:pt>
                <c:pt idx="1">
                  <c:v>2019</c:v>
                </c:pt>
                <c:pt idx="2">
                  <c:v>2020</c:v>
                </c:pt>
                <c:pt idx="3">
                  <c:v>2021</c:v>
                </c:pt>
                <c:pt idx="4">
                  <c:v>2022</c:v>
                </c:pt>
              </c:numCache>
            </c:numRef>
          </c:cat>
          <c:val>
            <c:numRef>
              <c:f>'G-SE'!$AK$50:$AO$50</c:f>
              <c:numCache>
                <c:formatCode>_ * #,##0.0_ ;_ * \-#,##0.0_ ;_ * "-"??_ ;_ @_ </c:formatCode>
                <c:ptCount val="5"/>
                <c:pt idx="0">
                  <c:v>1.1523306382914411</c:v>
                </c:pt>
                <c:pt idx="1">
                  <c:v>1.0531316780464313</c:v>
                </c:pt>
                <c:pt idx="2">
                  <c:v>1.107325826136073</c:v>
                </c:pt>
                <c:pt idx="3">
                  <c:v>1.6537514635222179</c:v>
                </c:pt>
                <c:pt idx="4">
                  <c:v>1.4108080570932628</c:v>
                </c:pt>
              </c:numCache>
            </c:numRef>
          </c:val>
          <c:extLst>
            <c:ext xmlns:c16="http://schemas.microsoft.com/office/drawing/2014/chart" uri="{C3380CC4-5D6E-409C-BE32-E72D297353CC}">
              <c16:uniqueId val="{00000003-CFEB-4C2F-B8D3-170B912A998B}"/>
            </c:ext>
          </c:extLst>
        </c:ser>
        <c:dLbls>
          <c:showLegendKey val="0"/>
          <c:showVal val="0"/>
          <c:showCatName val="0"/>
          <c:showSerName val="0"/>
          <c:showPercent val="0"/>
          <c:showBubbleSize val="0"/>
        </c:dLbls>
        <c:gapWidth val="150"/>
        <c:overlap val="100"/>
        <c:axId val="1006471040"/>
        <c:axId val="1006470208"/>
      </c:barChart>
      <c:lineChart>
        <c:grouping val="stacked"/>
        <c:varyColors val="0"/>
        <c:ser>
          <c:idx val="4"/>
          <c:order val="4"/>
          <c:tx>
            <c:strRef>
              <c:f>'G-SE'!$AJ$49</c:f>
              <c:strCache>
                <c:ptCount val="1"/>
                <c:pt idx="0">
                  <c:v>Deuda externa/PIB</c:v>
                </c:pt>
              </c:strCache>
            </c:strRef>
          </c:tx>
          <c:spPr>
            <a:ln w="28575" cap="rnd">
              <a:no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'G-SE'!$AK$49:$AO$49</c:f>
              <c:numCache>
                <c:formatCode>_ * #,##0.0_ ;_ * \-#,##0.0_ ;_ * "-"??_ ;_ @_ </c:formatCode>
                <c:ptCount val="5"/>
                <c:pt idx="0">
                  <c:v>34.208307354432819</c:v>
                </c:pt>
                <c:pt idx="1">
                  <c:v>31.741842433042294</c:v>
                </c:pt>
                <c:pt idx="2">
                  <c:v>32.390558855277341</c:v>
                </c:pt>
                <c:pt idx="3">
                  <c:v>29.9768708908381</c:v>
                </c:pt>
                <c:pt idx="4">
                  <c:v>24.428936362214529</c:v>
                </c:pt>
              </c:numCache>
            </c:numRef>
          </c:val>
          <c:smooth val="0"/>
          <c:extLst>
            <c:ext xmlns:c16="http://schemas.microsoft.com/office/drawing/2014/chart" uri="{C3380CC4-5D6E-409C-BE32-E72D297353CC}">
              <c16:uniqueId val="{00000004-CFEB-4C2F-B8D3-170B912A998B}"/>
            </c:ext>
          </c:extLst>
        </c:ser>
        <c:dLbls>
          <c:showLegendKey val="0"/>
          <c:showVal val="0"/>
          <c:showCatName val="0"/>
          <c:showSerName val="0"/>
          <c:showPercent val="0"/>
          <c:showBubbleSize val="0"/>
        </c:dLbls>
        <c:marker val="1"/>
        <c:smooth val="0"/>
        <c:axId val="1006471040"/>
        <c:axId val="1006470208"/>
      </c:lineChart>
      <c:catAx>
        <c:axId val="1006471040"/>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006470208"/>
        <c:crosses val="autoZero"/>
        <c:auto val="1"/>
        <c:lblAlgn val="ctr"/>
        <c:lblOffset val="100"/>
        <c:noMultiLvlLbl val="0"/>
      </c:catAx>
      <c:valAx>
        <c:axId val="1006470208"/>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800">
                    <a:latin typeface="Times New Roman" panose="02020603050405020304" pitchFamily="18" charset="0"/>
                    <a:cs typeface="Times New Roman" panose="02020603050405020304" pitchFamily="18" charset="0"/>
                  </a:rPr>
                  <a:t>En porcentaje del PIB</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_ * #,##0.0_ ;_ * \-#,##0.0_ ;_ * &quot;-&quot;??_ ;_ @_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006471040"/>
        <c:crosses val="autoZero"/>
        <c:crossBetween val="between"/>
      </c:valAx>
      <c:spPr>
        <a:noFill/>
        <a:ln>
          <a:noFill/>
        </a:ln>
        <a:effectLst/>
      </c:spPr>
    </c:plotArea>
    <c:legend>
      <c:legendPos val="b"/>
      <c:legendEntry>
        <c:idx val="4"/>
        <c:delete val="1"/>
      </c:legendEntry>
      <c:layout>
        <c:manualLayout>
          <c:xMode val="edge"/>
          <c:yMode val="edge"/>
          <c:x val="3.5281146637265712E-2"/>
          <c:y val="2.1039666425113505E-2"/>
          <c:w val="0.96471885336273433"/>
          <c:h val="0.1014250093187043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95020116884721"/>
          <c:y val="6.3040691254491701E-2"/>
          <c:w val="0.81357914006042698"/>
          <c:h val="0.70125390958331335"/>
        </c:manualLayout>
      </c:layout>
      <c:lineChart>
        <c:grouping val="standard"/>
        <c:varyColors val="0"/>
        <c:ser>
          <c:idx val="0"/>
          <c:order val="0"/>
          <c:tx>
            <c:strRef>
              <c:f>'G-SE'!$AJ$183</c:f>
              <c:strCache>
                <c:ptCount val="1"/>
                <c:pt idx="0">
                  <c:v>Tipo de cambio</c:v>
                </c:pt>
              </c:strCache>
            </c:strRef>
          </c:tx>
          <c:spPr>
            <a:ln w="28575" cap="rnd">
              <a:solidFill>
                <a:srgbClr val="0E121A"/>
              </a:solidFill>
              <a:round/>
            </a:ln>
            <a:effectLst/>
          </c:spPr>
          <c:marker>
            <c:symbol val="none"/>
          </c:marker>
          <c:dLbls>
            <c:dLbl>
              <c:idx val="0"/>
              <c:layout>
                <c:manualLayout>
                  <c:x val="-5.7283505819948698E-2"/>
                  <c:y val="-5.15787473900386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52E-4088-B4EE-47356967B7E7}"/>
                </c:ext>
              </c:extLst>
            </c:dLbl>
            <c:dLbl>
              <c:idx val="4"/>
              <c:layout>
                <c:manualLayout>
                  <c:x val="-8.812847049222873E-2"/>
                  <c:y val="6.87716631867182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52E-4088-B4EE-47356967B7E7}"/>
                </c:ext>
              </c:extLst>
            </c:dLbl>
            <c:dLbl>
              <c:idx val="9"/>
              <c:layout>
                <c:manualLayout>
                  <c:x val="-3.5251388196891657E-2"/>
                  <c:y val="-9.16955509156242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52E-4088-B4EE-47356967B7E7}"/>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E121A"/>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'G-SE'!$AK$182:$AT$182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'G-SE'!$AK$183:$AT$183</c:f>
              <c:numCache>
                <c:formatCode>_ * #,##0.00_ ;_ * \-#,##0.00_ ;_ * "-"??_ ;_ @_ </c:formatCode>
                <c:ptCount val="10"/>
                <c:pt idx="0">
                  <c:v>7.8413700000000004</c:v>
                </c:pt>
                <c:pt idx="1">
                  <c:v>7.5967500000000001</c:v>
                </c:pt>
                <c:pt idx="2">
                  <c:v>7.6323699999999999</c:v>
                </c:pt>
                <c:pt idx="3">
                  <c:v>7.5221299999999998</c:v>
                </c:pt>
                <c:pt idx="4">
                  <c:v>7.3447699999999996</c:v>
                </c:pt>
                <c:pt idx="5">
                  <c:v>7.7369500000000002</c:v>
                </c:pt>
                <c:pt idx="6">
                  <c:v>7.6988399999999997</c:v>
                </c:pt>
                <c:pt idx="7">
                  <c:v>7.7938200000000002</c:v>
                </c:pt>
                <c:pt idx="8">
                  <c:v>7.7191200000000002</c:v>
                </c:pt>
                <c:pt idx="9">
                  <c:v>7.85222</c:v>
                </c:pt>
              </c:numCache>
            </c:numRef>
          </c:val>
          <c:smooth val="0"/>
          <c:extLst>
            <c:ext xmlns:c16="http://schemas.microsoft.com/office/drawing/2014/chart" uri="{C3380CC4-5D6E-409C-BE32-E72D297353CC}">
              <c16:uniqueId val="{00000003-D52E-4088-B4EE-47356967B7E7}"/>
            </c:ext>
          </c:extLst>
        </c:ser>
        <c:ser>
          <c:idx val="1"/>
          <c:order val="1"/>
          <c:tx>
            <c:strRef>
              <c:f>'G-SE'!$AJ$184</c:f>
              <c:strCache>
                <c:ptCount val="1"/>
                <c:pt idx="0">
                  <c:v>Promedio 2017-2021</c:v>
                </c:pt>
              </c:strCache>
            </c:strRef>
          </c:tx>
          <c:spPr>
            <a:ln w="28575" cap="rnd">
              <a:solidFill>
                <a:schemeClr val="accent1"/>
              </a:solidFill>
              <a:round/>
            </a:ln>
            <a:effectLst/>
          </c:spPr>
          <c:marker>
            <c:symbol val="none"/>
          </c:marker>
          <c:dLbls>
            <c:dLbl>
              <c:idx val="6"/>
              <c:layout>
                <c:manualLayout>
                  <c:x val="-6.6096352869171551E-2"/>
                  <c:y val="5.7309719322265189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52E-4088-B4EE-47356967B7E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'G-SE'!$AK$184:$AT$184</c:f>
              <c:numCache>
                <c:formatCode>General</c:formatCode>
                <c:ptCount val="10"/>
                <c:pt idx="4" formatCode="_ * #,##0.00_ ;_ * \-#,##0.00_ ;_ * &quot;-&quot;??_ ;_ @_ ">
                  <c:v>7.6587000000000005</c:v>
                </c:pt>
                <c:pt idx="5" formatCode="_ * #,##0.00_ ;_ * \-#,##0.00_ ;_ * &quot;-&quot;??_ ;_ @_ ">
                  <c:v>7.6587000000000005</c:v>
                </c:pt>
                <c:pt idx="6" formatCode="_ * #,##0.00_ ;_ * \-#,##0.00_ ;_ * &quot;-&quot;??_ ;_ @_ ">
                  <c:v>7.6587000000000005</c:v>
                </c:pt>
                <c:pt idx="7" formatCode="_ * #,##0.00_ ;_ * \-#,##0.00_ ;_ * &quot;-&quot;??_ ;_ @_ ">
                  <c:v>7.6587000000000005</c:v>
                </c:pt>
                <c:pt idx="8" formatCode="_ * #,##0.00_ ;_ * \-#,##0.00_ ;_ * &quot;-&quot;??_ ;_ @_ ">
                  <c:v>7.6587000000000005</c:v>
                </c:pt>
              </c:numCache>
            </c:numRef>
          </c:val>
          <c:smooth val="0"/>
          <c:extLst>
            <c:ext xmlns:c16="http://schemas.microsoft.com/office/drawing/2014/chart" uri="{C3380CC4-5D6E-409C-BE32-E72D297353CC}">
              <c16:uniqueId val="{00000005-D52E-4088-B4EE-47356967B7E7}"/>
            </c:ext>
          </c:extLst>
        </c:ser>
        <c:dLbls>
          <c:showLegendKey val="0"/>
          <c:showVal val="0"/>
          <c:showCatName val="0"/>
          <c:showSerName val="0"/>
          <c:showPercent val="0"/>
          <c:showBubbleSize val="0"/>
        </c:dLbls>
        <c:smooth val="0"/>
        <c:axId val="233448784"/>
        <c:axId val="233469584"/>
      </c:lineChart>
      <c:catAx>
        <c:axId val="233448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33469584"/>
        <c:crosses val="autoZero"/>
        <c:auto val="1"/>
        <c:lblAlgn val="ctr"/>
        <c:lblOffset val="100"/>
        <c:noMultiLvlLbl val="0"/>
      </c:catAx>
      <c:valAx>
        <c:axId val="233469584"/>
        <c:scaling>
          <c:orientation val="minMax"/>
          <c:max val="8.5"/>
          <c:min val="6.5"/>
        </c:scaling>
        <c:delete val="0"/>
        <c:axPos val="l"/>
        <c:numFmt formatCode="_ * #,##0.00_ ;_ * \-#,##0.00_ ;_ * &quot;-&quot;??_ ;_ @_ "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33448784"/>
        <c:crosses val="autoZero"/>
        <c:crossBetween val="between"/>
        <c:majorUnit val="0.5"/>
      </c:valAx>
      <c:spPr>
        <a:noFill/>
        <a:ln>
          <a:noFill/>
        </a:ln>
        <a:effectLst/>
      </c:spPr>
    </c:plotArea>
    <c:legend>
      <c:legendPos val="b"/>
      <c:layout>
        <c:manualLayout>
          <c:xMode val="edge"/>
          <c:yMode val="edge"/>
          <c:x val="4.1187222343273579E-2"/>
          <c:y val="0.90907609963588021"/>
          <c:w val="0.89999986121500708"/>
          <c:h val="9.0924074074074074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130392305570581E-2"/>
          <c:y val="8.8379629629629641E-2"/>
          <c:w val="0.80029240419124126"/>
          <c:h val="0.74777340332458442"/>
        </c:manualLayout>
      </c:layout>
      <c:lineChart>
        <c:grouping val="standard"/>
        <c:varyColors val="0"/>
        <c:ser>
          <c:idx val="0"/>
          <c:order val="0"/>
          <c:spPr>
            <a:ln w="22225" cap="rnd">
              <a:solidFill>
                <a:schemeClr val="accent1"/>
              </a:solidFill>
              <a:round/>
            </a:ln>
            <a:effectLst/>
          </c:spPr>
          <c:marker>
            <c:symbol val="none"/>
          </c:marker>
          <c:dLbls>
            <c:dLbl>
              <c:idx val="3"/>
              <c:layout>
                <c:manualLayout>
                  <c:x val="-6.1092203528435543E-2"/>
                  <c:y val="-5.35918746653438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320-405D-8367-0AA760389799}"/>
                </c:ext>
              </c:extLst>
            </c:dLbl>
            <c:dLbl>
              <c:idx val="277"/>
              <c:layout>
                <c:manualLayout>
                  <c:x val="-7.4183389998814658E-2"/>
                  <c:y val="-5.35918746653438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320-405D-8367-0AA760389799}"/>
                </c:ext>
              </c:extLst>
            </c:dLbl>
            <c:dLbl>
              <c:idx val="340"/>
              <c:layout>
                <c:manualLayout>
                  <c:x val="-8.7274576469193621E-2"/>
                  <c:y val="-4.76372219247500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320-405D-8367-0AA760389799}"/>
                </c:ext>
              </c:extLst>
            </c:dLbl>
            <c:dLbl>
              <c:idx val="363"/>
              <c:layout>
                <c:manualLayout>
                  <c:x val="-4.8458149779735685E-2"/>
                  <c:y val="4.40127810110692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320-405D-8367-0AA760389799}"/>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'\Users\psantizo\Desktop\Documentos 2022\Índice mensuales\[DM sector externo.xlsx]TC'!$AS$8769:$AS$9133</c:f>
              <c:numCache>
                <c:formatCode>General</c:formatCode>
                <c:ptCount val="365"/>
                <c:pt idx="0">
                  <c:v>44562</c:v>
                </c:pt>
                <c:pt idx="1">
                  <c:v>44563</c:v>
                </c:pt>
                <c:pt idx="2">
                  <c:v>44564</c:v>
                </c:pt>
                <c:pt idx="3">
                  <c:v>44565</c:v>
                </c:pt>
                <c:pt idx="4">
                  <c:v>44566</c:v>
                </c:pt>
                <c:pt idx="5">
                  <c:v>44567</c:v>
                </c:pt>
                <c:pt idx="6">
                  <c:v>44568</c:v>
                </c:pt>
                <c:pt idx="7">
                  <c:v>44569</c:v>
                </c:pt>
                <c:pt idx="8">
                  <c:v>44570</c:v>
                </c:pt>
                <c:pt idx="9">
                  <c:v>44571</c:v>
                </c:pt>
                <c:pt idx="10">
                  <c:v>44572</c:v>
                </c:pt>
                <c:pt idx="11">
                  <c:v>44573</c:v>
                </c:pt>
                <c:pt idx="12">
                  <c:v>44574</c:v>
                </c:pt>
                <c:pt idx="13">
                  <c:v>44575</c:v>
                </c:pt>
                <c:pt idx="14">
                  <c:v>44576</c:v>
                </c:pt>
                <c:pt idx="15">
                  <c:v>44577</c:v>
                </c:pt>
                <c:pt idx="16">
                  <c:v>44578</c:v>
                </c:pt>
                <c:pt idx="17">
                  <c:v>44579</c:v>
                </c:pt>
                <c:pt idx="18">
                  <c:v>44580</c:v>
                </c:pt>
                <c:pt idx="19">
                  <c:v>44581</c:v>
                </c:pt>
                <c:pt idx="20">
                  <c:v>44582</c:v>
                </c:pt>
                <c:pt idx="21">
                  <c:v>44583</c:v>
                </c:pt>
                <c:pt idx="22">
                  <c:v>44584</c:v>
                </c:pt>
                <c:pt idx="23">
                  <c:v>44585</c:v>
                </c:pt>
                <c:pt idx="24">
                  <c:v>44586</c:v>
                </c:pt>
                <c:pt idx="25">
                  <c:v>44587</c:v>
                </c:pt>
                <c:pt idx="26">
                  <c:v>44588</c:v>
                </c:pt>
                <c:pt idx="27">
                  <c:v>44589</c:v>
                </c:pt>
                <c:pt idx="28">
                  <c:v>44590</c:v>
                </c:pt>
                <c:pt idx="29">
                  <c:v>44591</c:v>
                </c:pt>
                <c:pt idx="30">
                  <c:v>44592</c:v>
                </c:pt>
                <c:pt idx="31">
                  <c:v>44593</c:v>
                </c:pt>
                <c:pt idx="32">
                  <c:v>44594</c:v>
                </c:pt>
                <c:pt idx="33">
                  <c:v>44595</c:v>
                </c:pt>
                <c:pt idx="34">
                  <c:v>44596</c:v>
                </c:pt>
                <c:pt idx="35">
                  <c:v>44597</c:v>
                </c:pt>
                <c:pt idx="36">
                  <c:v>44598</c:v>
                </c:pt>
                <c:pt idx="37">
                  <c:v>44599</c:v>
                </c:pt>
                <c:pt idx="38">
                  <c:v>44600</c:v>
                </c:pt>
                <c:pt idx="39">
                  <c:v>44601</c:v>
                </c:pt>
                <c:pt idx="40">
                  <c:v>44602</c:v>
                </c:pt>
                <c:pt idx="41">
                  <c:v>44603</c:v>
                </c:pt>
                <c:pt idx="42">
                  <c:v>44604</c:v>
                </c:pt>
                <c:pt idx="43">
                  <c:v>44605</c:v>
                </c:pt>
                <c:pt idx="44">
                  <c:v>44606</c:v>
                </c:pt>
                <c:pt idx="45">
                  <c:v>44607</c:v>
                </c:pt>
                <c:pt idx="46">
                  <c:v>44608</c:v>
                </c:pt>
                <c:pt idx="47">
                  <c:v>44609</c:v>
                </c:pt>
                <c:pt idx="48">
                  <c:v>44610</c:v>
                </c:pt>
                <c:pt idx="49">
                  <c:v>44611</c:v>
                </c:pt>
                <c:pt idx="50">
                  <c:v>44612</c:v>
                </c:pt>
                <c:pt idx="51">
                  <c:v>44613</c:v>
                </c:pt>
                <c:pt idx="52">
                  <c:v>44614</c:v>
                </c:pt>
                <c:pt idx="53">
                  <c:v>44615</c:v>
                </c:pt>
                <c:pt idx="54">
                  <c:v>44616</c:v>
                </c:pt>
                <c:pt idx="55">
                  <c:v>44617</c:v>
                </c:pt>
                <c:pt idx="56">
                  <c:v>44618</c:v>
                </c:pt>
                <c:pt idx="57">
                  <c:v>44619</c:v>
                </c:pt>
                <c:pt idx="58">
                  <c:v>44620</c:v>
                </c:pt>
                <c:pt idx="59">
                  <c:v>44621</c:v>
                </c:pt>
                <c:pt idx="60">
                  <c:v>44622</c:v>
                </c:pt>
                <c:pt idx="61">
                  <c:v>44623</c:v>
                </c:pt>
                <c:pt idx="62">
                  <c:v>44624</c:v>
                </c:pt>
                <c:pt idx="63">
                  <c:v>44625</c:v>
                </c:pt>
                <c:pt idx="64">
                  <c:v>44626</c:v>
                </c:pt>
                <c:pt idx="65">
                  <c:v>44627</c:v>
                </c:pt>
                <c:pt idx="66">
                  <c:v>44628</c:v>
                </c:pt>
                <c:pt idx="67">
                  <c:v>44629</c:v>
                </c:pt>
                <c:pt idx="68">
                  <c:v>44630</c:v>
                </c:pt>
                <c:pt idx="69">
                  <c:v>44631</c:v>
                </c:pt>
                <c:pt idx="70">
                  <c:v>44632</c:v>
                </c:pt>
                <c:pt idx="71">
                  <c:v>44633</c:v>
                </c:pt>
                <c:pt idx="72">
                  <c:v>44634</c:v>
                </c:pt>
                <c:pt idx="73">
                  <c:v>44635</c:v>
                </c:pt>
                <c:pt idx="74">
                  <c:v>44636</c:v>
                </c:pt>
                <c:pt idx="75">
                  <c:v>44637</c:v>
                </c:pt>
                <c:pt idx="76">
                  <c:v>44638</c:v>
                </c:pt>
                <c:pt idx="77">
                  <c:v>44639</c:v>
                </c:pt>
                <c:pt idx="78">
                  <c:v>44640</c:v>
                </c:pt>
                <c:pt idx="79">
                  <c:v>44641</c:v>
                </c:pt>
                <c:pt idx="80">
                  <c:v>44642</c:v>
                </c:pt>
                <c:pt idx="81">
                  <c:v>44643</c:v>
                </c:pt>
                <c:pt idx="82">
                  <c:v>44644</c:v>
                </c:pt>
                <c:pt idx="83">
                  <c:v>44645</c:v>
                </c:pt>
                <c:pt idx="84">
                  <c:v>44646</c:v>
                </c:pt>
                <c:pt idx="85">
                  <c:v>44647</c:v>
                </c:pt>
                <c:pt idx="86">
                  <c:v>44648</c:v>
                </c:pt>
                <c:pt idx="87">
                  <c:v>44649</c:v>
                </c:pt>
                <c:pt idx="88">
                  <c:v>44650</c:v>
                </c:pt>
                <c:pt idx="89">
                  <c:v>44651</c:v>
                </c:pt>
                <c:pt idx="90">
                  <c:v>44652</c:v>
                </c:pt>
                <c:pt idx="91">
                  <c:v>44653</c:v>
                </c:pt>
                <c:pt idx="92">
                  <c:v>44654</c:v>
                </c:pt>
                <c:pt idx="93">
                  <c:v>44655</c:v>
                </c:pt>
                <c:pt idx="94">
                  <c:v>44656</c:v>
                </c:pt>
                <c:pt idx="95">
                  <c:v>44657</c:v>
                </c:pt>
                <c:pt idx="96">
                  <c:v>44658</c:v>
                </c:pt>
                <c:pt idx="97">
                  <c:v>44659</c:v>
                </c:pt>
                <c:pt idx="98">
                  <c:v>44660</c:v>
                </c:pt>
                <c:pt idx="99">
                  <c:v>44661</c:v>
                </c:pt>
                <c:pt idx="100">
                  <c:v>44662</c:v>
                </c:pt>
                <c:pt idx="101">
                  <c:v>44663</c:v>
                </c:pt>
                <c:pt idx="102">
                  <c:v>44664</c:v>
                </c:pt>
                <c:pt idx="103">
                  <c:v>44665</c:v>
                </c:pt>
                <c:pt idx="104">
                  <c:v>44666</c:v>
                </c:pt>
                <c:pt idx="105">
                  <c:v>44667</c:v>
                </c:pt>
                <c:pt idx="106">
                  <c:v>44668</c:v>
                </c:pt>
                <c:pt idx="107">
                  <c:v>44669</c:v>
                </c:pt>
                <c:pt idx="108">
                  <c:v>44670</c:v>
                </c:pt>
                <c:pt idx="109">
                  <c:v>44671</c:v>
                </c:pt>
                <c:pt idx="110">
                  <c:v>44672</c:v>
                </c:pt>
                <c:pt idx="111">
                  <c:v>44673</c:v>
                </c:pt>
                <c:pt idx="112">
                  <c:v>44674</c:v>
                </c:pt>
                <c:pt idx="113">
                  <c:v>44675</c:v>
                </c:pt>
                <c:pt idx="114">
                  <c:v>44676</c:v>
                </c:pt>
                <c:pt idx="115">
                  <c:v>44677</c:v>
                </c:pt>
                <c:pt idx="116">
                  <c:v>44678</c:v>
                </c:pt>
                <c:pt idx="117">
                  <c:v>44679</c:v>
                </c:pt>
                <c:pt idx="118">
                  <c:v>44680</c:v>
                </c:pt>
                <c:pt idx="119">
                  <c:v>44681</c:v>
                </c:pt>
                <c:pt idx="120">
                  <c:v>44682</c:v>
                </c:pt>
                <c:pt idx="121">
                  <c:v>44683</c:v>
                </c:pt>
                <c:pt idx="122">
                  <c:v>44684</c:v>
                </c:pt>
                <c:pt idx="123">
                  <c:v>44685</c:v>
                </c:pt>
                <c:pt idx="124">
                  <c:v>44686</c:v>
                </c:pt>
                <c:pt idx="125">
                  <c:v>44687</c:v>
                </c:pt>
                <c:pt idx="126">
                  <c:v>44688</c:v>
                </c:pt>
                <c:pt idx="127">
                  <c:v>44689</c:v>
                </c:pt>
                <c:pt idx="128">
                  <c:v>44690</c:v>
                </c:pt>
                <c:pt idx="129">
                  <c:v>44691</c:v>
                </c:pt>
                <c:pt idx="130">
                  <c:v>44692</c:v>
                </c:pt>
                <c:pt idx="131">
                  <c:v>44693</c:v>
                </c:pt>
                <c:pt idx="132">
                  <c:v>44694</c:v>
                </c:pt>
                <c:pt idx="133">
                  <c:v>44695</c:v>
                </c:pt>
                <c:pt idx="134">
                  <c:v>44696</c:v>
                </c:pt>
                <c:pt idx="135">
                  <c:v>44697</c:v>
                </c:pt>
                <c:pt idx="136">
                  <c:v>44698</c:v>
                </c:pt>
                <c:pt idx="137">
                  <c:v>44699</c:v>
                </c:pt>
                <c:pt idx="138">
                  <c:v>44700</c:v>
                </c:pt>
                <c:pt idx="139">
                  <c:v>44701</c:v>
                </c:pt>
                <c:pt idx="140">
                  <c:v>44702</c:v>
                </c:pt>
                <c:pt idx="141">
                  <c:v>44703</c:v>
                </c:pt>
                <c:pt idx="142">
                  <c:v>44704</c:v>
                </c:pt>
                <c:pt idx="143">
                  <c:v>44705</c:v>
                </c:pt>
                <c:pt idx="144">
                  <c:v>44706</c:v>
                </c:pt>
                <c:pt idx="145">
                  <c:v>44707</c:v>
                </c:pt>
                <c:pt idx="146">
                  <c:v>44708</c:v>
                </c:pt>
                <c:pt idx="147">
                  <c:v>44709</c:v>
                </c:pt>
                <c:pt idx="148">
                  <c:v>44710</c:v>
                </c:pt>
                <c:pt idx="149">
                  <c:v>44711</c:v>
                </c:pt>
                <c:pt idx="150">
                  <c:v>44712</c:v>
                </c:pt>
                <c:pt idx="151">
                  <c:v>44713</c:v>
                </c:pt>
                <c:pt idx="152">
                  <c:v>44714</c:v>
                </c:pt>
                <c:pt idx="153">
                  <c:v>44715</c:v>
                </c:pt>
                <c:pt idx="154">
                  <c:v>44716</c:v>
                </c:pt>
                <c:pt idx="155">
                  <c:v>44717</c:v>
                </c:pt>
                <c:pt idx="156">
                  <c:v>44718</c:v>
                </c:pt>
                <c:pt idx="157">
                  <c:v>44719</c:v>
                </c:pt>
                <c:pt idx="158">
                  <c:v>44720</c:v>
                </c:pt>
                <c:pt idx="159">
                  <c:v>44721</c:v>
                </c:pt>
                <c:pt idx="160">
                  <c:v>44722</c:v>
                </c:pt>
                <c:pt idx="161">
                  <c:v>44723</c:v>
                </c:pt>
                <c:pt idx="162">
                  <c:v>44724</c:v>
                </c:pt>
                <c:pt idx="163">
                  <c:v>44725</c:v>
                </c:pt>
                <c:pt idx="164">
                  <c:v>44726</c:v>
                </c:pt>
                <c:pt idx="165">
                  <c:v>44727</c:v>
                </c:pt>
                <c:pt idx="166">
                  <c:v>44728</c:v>
                </c:pt>
                <c:pt idx="167">
                  <c:v>44729</c:v>
                </c:pt>
                <c:pt idx="168">
                  <c:v>44730</c:v>
                </c:pt>
                <c:pt idx="169">
                  <c:v>44731</c:v>
                </c:pt>
                <c:pt idx="170">
                  <c:v>44732</c:v>
                </c:pt>
                <c:pt idx="171">
                  <c:v>44733</c:v>
                </c:pt>
                <c:pt idx="172">
                  <c:v>44734</c:v>
                </c:pt>
                <c:pt idx="173">
                  <c:v>44735</c:v>
                </c:pt>
                <c:pt idx="174">
                  <c:v>44736</c:v>
                </c:pt>
                <c:pt idx="175">
                  <c:v>44737</c:v>
                </c:pt>
                <c:pt idx="176">
                  <c:v>44738</c:v>
                </c:pt>
                <c:pt idx="177">
                  <c:v>44739</c:v>
                </c:pt>
                <c:pt idx="178">
                  <c:v>44740</c:v>
                </c:pt>
                <c:pt idx="179">
                  <c:v>44741</c:v>
                </c:pt>
                <c:pt idx="180">
                  <c:v>44742</c:v>
                </c:pt>
                <c:pt idx="181">
                  <c:v>44743</c:v>
                </c:pt>
                <c:pt idx="182">
                  <c:v>44744</c:v>
                </c:pt>
                <c:pt idx="183">
                  <c:v>44745</c:v>
                </c:pt>
                <c:pt idx="184">
                  <c:v>44746</c:v>
                </c:pt>
                <c:pt idx="185">
                  <c:v>44747</c:v>
                </c:pt>
                <c:pt idx="186">
                  <c:v>44748</c:v>
                </c:pt>
                <c:pt idx="187">
                  <c:v>44749</c:v>
                </c:pt>
                <c:pt idx="188">
                  <c:v>44750</c:v>
                </c:pt>
                <c:pt idx="189">
                  <c:v>44751</c:v>
                </c:pt>
                <c:pt idx="190">
                  <c:v>44752</c:v>
                </c:pt>
                <c:pt idx="191">
                  <c:v>44753</c:v>
                </c:pt>
                <c:pt idx="192">
                  <c:v>44754</c:v>
                </c:pt>
                <c:pt idx="193">
                  <c:v>44755</c:v>
                </c:pt>
                <c:pt idx="194">
                  <c:v>44756</c:v>
                </c:pt>
                <c:pt idx="195">
                  <c:v>44757</c:v>
                </c:pt>
                <c:pt idx="196">
                  <c:v>44758</c:v>
                </c:pt>
                <c:pt idx="197">
                  <c:v>44759</c:v>
                </c:pt>
                <c:pt idx="198">
                  <c:v>44760</c:v>
                </c:pt>
                <c:pt idx="199">
                  <c:v>44761</c:v>
                </c:pt>
                <c:pt idx="200">
                  <c:v>44762</c:v>
                </c:pt>
                <c:pt idx="201">
                  <c:v>44763</c:v>
                </c:pt>
                <c:pt idx="202">
                  <c:v>44764</c:v>
                </c:pt>
                <c:pt idx="203">
                  <c:v>44765</c:v>
                </c:pt>
                <c:pt idx="204">
                  <c:v>44766</c:v>
                </c:pt>
                <c:pt idx="205">
                  <c:v>44767</c:v>
                </c:pt>
                <c:pt idx="206">
                  <c:v>44768</c:v>
                </c:pt>
                <c:pt idx="207">
                  <c:v>44769</c:v>
                </c:pt>
                <c:pt idx="208">
                  <c:v>44770</c:v>
                </c:pt>
                <c:pt idx="209">
                  <c:v>44771</c:v>
                </c:pt>
                <c:pt idx="210">
                  <c:v>44772</c:v>
                </c:pt>
                <c:pt idx="211">
                  <c:v>44773</c:v>
                </c:pt>
                <c:pt idx="212">
                  <c:v>44774</c:v>
                </c:pt>
                <c:pt idx="213">
                  <c:v>44775</c:v>
                </c:pt>
                <c:pt idx="214">
                  <c:v>44776</c:v>
                </c:pt>
                <c:pt idx="215">
                  <c:v>44777</c:v>
                </c:pt>
                <c:pt idx="216">
                  <c:v>44778</c:v>
                </c:pt>
                <c:pt idx="217">
                  <c:v>44779</c:v>
                </c:pt>
                <c:pt idx="218">
                  <c:v>44780</c:v>
                </c:pt>
                <c:pt idx="219">
                  <c:v>44781</c:v>
                </c:pt>
                <c:pt idx="220">
                  <c:v>44782</c:v>
                </c:pt>
                <c:pt idx="221">
                  <c:v>44783</c:v>
                </c:pt>
                <c:pt idx="222">
                  <c:v>44784</c:v>
                </c:pt>
                <c:pt idx="223">
                  <c:v>44785</c:v>
                </c:pt>
                <c:pt idx="224">
                  <c:v>44786</c:v>
                </c:pt>
                <c:pt idx="225">
                  <c:v>44787</c:v>
                </c:pt>
                <c:pt idx="226">
                  <c:v>44788</c:v>
                </c:pt>
                <c:pt idx="227">
                  <c:v>44789</c:v>
                </c:pt>
                <c:pt idx="228">
                  <c:v>44790</c:v>
                </c:pt>
                <c:pt idx="229">
                  <c:v>44791</c:v>
                </c:pt>
                <c:pt idx="230">
                  <c:v>44792</c:v>
                </c:pt>
                <c:pt idx="231">
                  <c:v>44793</c:v>
                </c:pt>
                <c:pt idx="232">
                  <c:v>44794</c:v>
                </c:pt>
                <c:pt idx="233">
                  <c:v>44795</c:v>
                </c:pt>
                <c:pt idx="234">
                  <c:v>44796</c:v>
                </c:pt>
                <c:pt idx="235">
                  <c:v>44797</c:v>
                </c:pt>
                <c:pt idx="236">
                  <c:v>44798</c:v>
                </c:pt>
                <c:pt idx="237">
                  <c:v>44799</c:v>
                </c:pt>
                <c:pt idx="238">
                  <c:v>44800</c:v>
                </c:pt>
                <c:pt idx="239">
                  <c:v>44801</c:v>
                </c:pt>
                <c:pt idx="240">
                  <c:v>44802</c:v>
                </c:pt>
                <c:pt idx="241">
                  <c:v>44803</c:v>
                </c:pt>
                <c:pt idx="242">
                  <c:v>44804</c:v>
                </c:pt>
                <c:pt idx="243">
                  <c:v>44805</c:v>
                </c:pt>
                <c:pt idx="244">
                  <c:v>44806</c:v>
                </c:pt>
                <c:pt idx="245">
                  <c:v>44807</c:v>
                </c:pt>
                <c:pt idx="246">
                  <c:v>44808</c:v>
                </c:pt>
                <c:pt idx="247">
                  <c:v>44809</c:v>
                </c:pt>
                <c:pt idx="248">
                  <c:v>44810</c:v>
                </c:pt>
                <c:pt idx="249">
                  <c:v>44811</c:v>
                </c:pt>
                <c:pt idx="250">
                  <c:v>44812</c:v>
                </c:pt>
                <c:pt idx="251">
                  <c:v>44813</c:v>
                </c:pt>
                <c:pt idx="252">
                  <c:v>44814</c:v>
                </c:pt>
                <c:pt idx="253">
                  <c:v>44815</c:v>
                </c:pt>
                <c:pt idx="254">
                  <c:v>44816</c:v>
                </c:pt>
                <c:pt idx="255">
                  <c:v>44817</c:v>
                </c:pt>
                <c:pt idx="256">
                  <c:v>44818</c:v>
                </c:pt>
                <c:pt idx="257">
                  <c:v>44819</c:v>
                </c:pt>
                <c:pt idx="258">
                  <c:v>44820</c:v>
                </c:pt>
                <c:pt idx="259">
                  <c:v>44821</c:v>
                </c:pt>
                <c:pt idx="260">
                  <c:v>44822</c:v>
                </c:pt>
                <c:pt idx="261">
                  <c:v>44823</c:v>
                </c:pt>
                <c:pt idx="262">
                  <c:v>44824</c:v>
                </c:pt>
                <c:pt idx="263">
                  <c:v>44825</c:v>
                </c:pt>
                <c:pt idx="264">
                  <c:v>44826</c:v>
                </c:pt>
                <c:pt idx="265">
                  <c:v>44827</c:v>
                </c:pt>
                <c:pt idx="266">
                  <c:v>44828</c:v>
                </c:pt>
                <c:pt idx="267">
                  <c:v>44829</c:v>
                </c:pt>
                <c:pt idx="268">
                  <c:v>44830</c:v>
                </c:pt>
                <c:pt idx="269">
                  <c:v>44831</c:v>
                </c:pt>
                <c:pt idx="270">
                  <c:v>44832</c:v>
                </c:pt>
                <c:pt idx="271">
                  <c:v>44833</c:v>
                </c:pt>
                <c:pt idx="272">
                  <c:v>44834</c:v>
                </c:pt>
                <c:pt idx="273">
                  <c:v>44835</c:v>
                </c:pt>
                <c:pt idx="274">
                  <c:v>44836</c:v>
                </c:pt>
                <c:pt idx="275">
                  <c:v>44837</c:v>
                </c:pt>
                <c:pt idx="276">
                  <c:v>44838</c:v>
                </c:pt>
                <c:pt idx="277">
                  <c:v>44839</c:v>
                </c:pt>
                <c:pt idx="278">
                  <c:v>44840</c:v>
                </c:pt>
                <c:pt idx="279">
                  <c:v>44841</c:v>
                </c:pt>
                <c:pt idx="280">
                  <c:v>44842</c:v>
                </c:pt>
                <c:pt idx="281">
                  <c:v>44843</c:v>
                </c:pt>
                <c:pt idx="282">
                  <c:v>44844</c:v>
                </c:pt>
                <c:pt idx="283">
                  <c:v>44845</c:v>
                </c:pt>
                <c:pt idx="284">
                  <c:v>44846</c:v>
                </c:pt>
                <c:pt idx="285">
                  <c:v>44847</c:v>
                </c:pt>
                <c:pt idx="286">
                  <c:v>44848</c:v>
                </c:pt>
                <c:pt idx="287">
                  <c:v>44849</c:v>
                </c:pt>
                <c:pt idx="288">
                  <c:v>44850</c:v>
                </c:pt>
                <c:pt idx="289">
                  <c:v>44851</c:v>
                </c:pt>
                <c:pt idx="290">
                  <c:v>44852</c:v>
                </c:pt>
                <c:pt idx="291">
                  <c:v>44853</c:v>
                </c:pt>
                <c:pt idx="292">
                  <c:v>44854</c:v>
                </c:pt>
                <c:pt idx="293">
                  <c:v>44855</c:v>
                </c:pt>
                <c:pt idx="294">
                  <c:v>44856</c:v>
                </c:pt>
                <c:pt idx="295">
                  <c:v>44857</c:v>
                </c:pt>
                <c:pt idx="296">
                  <c:v>44858</c:v>
                </c:pt>
                <c:pt idx="297">
                  <c:v>44859</c:v>
                </c:pt>
                <c:pt idx="298">
                  <c:v>44860</c:v>
                </c:pt>
                <c:pt idx="299">
                  <c:v>44861</c:v>
                </c:pt>
                <c:pt idx="300">
                  <c:v>44862</c:v>
                </c:pt>
                <c:pt idx="301">
                  <c:v>44863</c:v>
                </c:pt>
                <c:pt idx="302">
                  <c:v>44864</c:v>
                </c:pt>
                <c:pt idx="303">
                  <c:v>44865</c:v>
                </c:pt>
                <c:pt idx="304">
                  <c:v>44866</c:v>
                </c:pt>
                <c:pt idx="305">
                  <c:v>44867</c:v>
                </c:pt>
                <c:pt idx="306">
                  <c:v>44868</c:v>
                </c:pt>
                <c:pt idx="307">
                  <c:v>44869</c:v>
                </c:pt>
                <c:pt idx="308">
                  <c:v>44870</c:v>
                </c:pt>
                <c:pt idx="309">
                  <c:v>44871</c:v>
                </c:pt>
                <c:pt idx="310">
                  <c:v>44872</c:v>
                </c:pt>
                <c:pt idx="311">
                  <c:v>44873</c:v>
                </c:pt>
                <c:pt idx="312">
                  <c:v>44874</c:v>
                </c:pt>
                <c:pt idx="313">
                  <c:v>44875</c:v>
                </c:pt>
                <c:pt idx="314">
                  <c:v>44876</c:v>
                </c:pt>
                <c:pt idx="315">
                  <c:v>44877</c:v>
                </c:pt>
                <c:pt idx="316">
                  <c:v>44878</c:v>
                </c:pt>
                <c:pt idx="317">
                  <c:v>44879</c:v>
                </c:pt>
                <c:pt idx="318">
                  <c:v>44880</c:v>
                </c:pt>
                <c:pt idx="319">
                  <c:v>44881</c:v>
                </c:pt>
                <c:pt idx="320">
                  <c:v>44882</c:v>
                </c:pt>
                <c:pt idx="321">
                  <c:v>44883</c:v>
                </c:pt>
                <c:pt idx="322">
                  <c:v>44884</c:v>
                </c:pt>
                <c:pt idx="323">
                  <c:v>44885</c:v>
                </c:pt>
                <c:pt idx="324">
                  <c:v>44886</c:v>
                </c:pt>
                <c:pt idx="325">
                  <c:v>44887</c:v>
                </c:pt>
                <c:pt idx="326">
                  <c:v>44888</c:v>
                </c:pt>
                <c:pt idx="327">
                  <c:v>44889</c:v>
                </c:pt>
                <c:pt idx="328">
                  <c:v>44890</c:v>
                </c:pt>
                <c:pt idx="329">
                  <c:v>44891</c:v>
                </c:pt>
                <c:pt idx="330">
                  <c:v>44892</c:v>
                </c:pt>
                <c:pt idx="331">
                  <c:v>44893</c:v>
                </c:pt>
                <c:pt idx="332">
                  <c:v>44894</c:v>
                </c:pt>
                <c:pt idx="333">
                  <c:v>44895</c:v>
                </c:pt>
                <c:pt idx="334">
                  <c:v>44896</c:v>
                </c:pt>
                <c:pt idx="335">
                  <c:v>44897</c:v>
                </c:pt>
                <c:pt idx="336">
                  <c:v>44898</c:v>
                </c:pt>
                <c:pt idx="337">
                  <c:v>44899</c:v>
                </c:pt>
                <c:pt idx="338">
                  <c:v>44900</c:v>
                </c:pt>
                <c:pt idx="339">
                  <c:v>44901</c:v>
                </c:pt>
                <c:pt idx="340">
                  <c:v>44902</c:v>
                </c:pt>
                <c:pt idx="341">
                  <c:v>44903</c:v>
                </c:pt>
                <c:pt idx="342">
                  <c:v>44904</c:v>
                </c:pt>
                <c:pt idx="343">
                  <c:v>44905</c:v>
                </c:pt>
                <c:pt idx="344">
                  <c:v>44906</c:v>
                </c:pt>
                <c:pt idx="345">
                  <c:v>44907</c:v>
                </c:pt>
                <c:pt idx="346">
                  <c:v>44908</c:v>
                </c:pt>
                <c:pt idx="347">
                  <c:v>44909</c:v>
                </c:pt>
                <c:pt idx="348">
                  <c:v>44910</c:v>
                </c:pt>
                <c:pt idx="349">
                  <c:v>44911</c:v>
                </c:pt>
                <c:pt idx="350">
                  <c:v>44912</c:v>
                </c:pt>
                <c:pt idx="351">
                  <c:v>44913</c:v>
                </c:pt>
                <c:pt idx="352">
                  <c:v>44914</c:v>
                </c:pt>
                <c:pt idx="353">
                  <c:v>44915</c:v>
                </c:pt>
                <c:pt idx="354">
                  <c:v>44916</c:v>
                </c:pt>
                <c:pt idx="355">
                  <c:v>44917</c:v>
                </c:pt>
                <c:pt idx="356">
                  <c:v>44918</c:v>
                </c:pt>
                <c:pt idx="357">
                  <c:v>44919</c:v>
                </c:pt>
                <c:pt idx="358">
                  <c:v>44920</c:v>
                </c:pt>
                <c:pt idx="359">
                  <c:v>44921</c:v>
                </c:pt>
                <c:pt idx="360">
                  <c:v>44922</c:v>
                </c:pt>
                <c:pt idx="361">
                  <c:v>44923</c:v>
                </c:pt>
                <c:pt idx="362">
                  <c:v>44924</c:v>
                </c:pt>
                <c:pt idx="363">
                  <c:v>44925</c:v>
                </c:pt>
                <c:pt idx="364">
                  <c:v>44926</c:v>
                </c:pt>
              </c:numCache>
            </c:numRef>
          </c:cat>
          <c:val>
            <c:numRef>
              <c:f>'\Users\psantizo\Desktop\Documentos 2022\Índice mensuales\[DM sector externo.xlsx]TC'!$AR$8769:$AR$9133</c:f>
              <c:numCache>
                <c:formatCode>General</c:formatCode>
                <c:ptCount val="365"/>
                <c:pt idx="0">
                  <c:v>7.7191200000000002</c:v>
                </c:pt>
                <c:pt idx="1">
                  <c:v>7.7191200000000002</c:v>
                </c:pt>
                <c:pt idx="2">
                  <c:v>7.7191200000000002</c:v>
                </c:pt>
                <c:pt idx="3">
                  <c:v>7.7174500000000004</c:v>
                </c:pt>
                <c:pt idx="4">
                  <c:v>7.7155800000000001</c:v>
                </c:pt>
                <c:pt idx="5">
                  <c:v>7.7182300000000001</c:v>
                </c:pt>
                <c:pt idx="6">
                  <c:v>7.7134299999999998</c:v>
                </c:pt>
                <c:pt idx="7">
                  <c:v>7.7134299999999998</c:v>
                </c:pt>
                <c:pt idx="8">
                  <c:v>7.7134299999999998</c:v>
                </c:pt>
                <c:pt idx="9">
                  <c:v>7.7110099999999999</c:v>
                </c:pt>
                <c:pt idx="10">
                  <c:v>7.7083199999999996</c:v>
                </c:pt>
                <c:pt idx="11">
                  <c:v>7.7089800000000004</c:v>
                </c:pt>
                <c:pt idx="12">
                  <c:v>7.7061999999999999</c:v>
                </c:pt>
                <c:pt idx="13">
                  <c:v>7.70777</c:v>
                </c:pt>
                <c:pt idx="14">
                  <c:v>7.70777</c:v>
                </c:pt>
                <c:pt idx="15">
                  <c:v>7.70777</c:v>
                </c:pt>
                <c:pt idx="16">
                  <c:v>7.7004599999999996</c:v>
                </c:pt>
                <c:pt idx="17">
                  <c:v>7.7045300000000001</c:v>
                </c:pt>
                <c:pt idx="18">
                  <c:v>7.6995800000000001</c:v>
                </c:pt>
                <c:pt idx="19">
                  <c:v>7.6953699999999996</c:v>
                </c:pt>
                <c:pt idx="20">
                  <c:v>7.6919500000000003</c:v>
                </c:pt>
                <c:pt idx="21">
                  <c:v>7.6919500000000003</c:v>
                </c:pt>
                <c:pt idx="22">
                  <c:v>7.6919500000000003</c:v>
                </c:pt>
                <c:pt idx="23">
                  <c:v>7.6885500000000002</c:v>
                </c:pt>
                <c:pt idx="24">
                  <c:v>7.68581</c:v>
                </c:pt>
                <c:pt idx="25">
                  <c:v>7.6854100000000001</c:v>
                </c:pt>
                <c:pt idx="26">
                  <c:v>7.68649</c:v>
                </c:pt>
                <c:pt idx="27">
                  <c:v>7.6899499999999996</c:v>
                </c:pt>
                <c:pt idx="28">
                  <c:v>7.6899499999999996</c:v>
                </c:pt>
                <c:pt idx="29">
                  <c:v>7.6899499999999996</c:v>
                </c:pt>
                <c:pt idx="30">
                  <c:v>7.6898099999999996</c:v>
                </c:pt>
                <c:pt idx="31">
                  <c:v>7.6855500000000001</c:v>
                </c:pt>
                <c:pt idx="32">
                  <c:v>7.6922100000000002</c:v>
                </c:pt>
                <c:pt idx="33">
                  <c:v>7.6918899999999999</c:v>
                </c:pt>
                <c:pt idx="34">
                  <c:v>7.6949500000000004</c:v>
                </c:pt>
                <c:pt idx="35">
                  <c:v>7.6949500000000004</c:v>
                </c:pt>
                <c:pt idx="36">
                  <c:v>7.6949500000000004</c:v>
                </c:pt>
                <c:pt idx="37">
                  <c:v>7.6912200000000004</c:v>
                </c:pt>
                <c:pt idx="38">
                  <c:v>7.6886000000000001</c:v>
                </c:pt>
                <c:pt idx="39">
                  <c:v>7.6922899999999998</c:v>
                </c:pt>
                <c:pt idx="40">
                  <c:v>7.6953100000000001</c:v>
                </c:pt>
                <c:pt idx="41">
                  <c:v>7.6922600000000001</c:v>
                </c:pt>
                <c:pt idx="42">
                  <c:v>7.6922600000000001</c:v>
                </c:pt>
                <c:pt idx="43">
                  <c:v>7.6922600000000001</c:v>
                </c:pt>
                <c:pt idx="44">
                  <c:v>7.6925499999999998</c:v>
                </c:pt>
                <c:pt idx="45">
                  <c:v>7.6884100000000002</c:v>
                </c:pt>
                <c:pt idx="46">
                  <c:v>7.6956199999999999</c:v>
                </c:pt>
                <c:pt idx="47">
                  <c:v>7.6934899999999997</c:v>
                </c:pt>
                <c:pt idx="48">
                  <c:v>7.7003899999999996</c:v>
                </c:pt>
                <c:pt idx="49">
                  <c:v>7.7003899999999996</c:v>
                </c:pt>
                <c:pt idx="50">
                  <c:v>7.7003899999999996</c:v>
                </c:pt>
                <c:pt idx="51">
                  <c:v>7.6984899999999996</c:v>
                </c:pt>
                <c:pt idx="52">
                  <c:v>7.7078800000000003</c:v>
                </c:pt>
                <c:pt idx="53">
                  <c:v>7.7046799999999998</c:v>
                </c:pt>
                <c:pt idx="54">
                  <c:v>7.7128500000000004</c:v>
                </c:pt>
                <c:pt idx="55">
                  <c:v>7.7168999999999999</c:v>
                </c:pt>
                <c:pt idx="56">
                  <c:v>7.7168999999999999</c:v>
                </c:pt>
                <c:pt idx="57">
                  <c:v>7.7168999999999999</c:v>
                </c:pt>
                <c:pt idx="58">
                  <c:v>7.7132199999999997</c:v>
                </c:pt>
                <c:pt idx="59">
                  <c:v>7.7043999999999997</c:v>
                </c:pt>
                <c:pt idx="60">
                  <c:v>7.7054299999999998</c:v>
                </c:pt>
                <c:pt idx="61">
                  <c:v>7.7119900000000001</c:v>
                </c:pt>
                <c:pt idx="62">
                  <c:v>7.7100200000000001</c:v>
                </c:pt>
                <c:pt idx="63">
                  <c:v>7.7100200000000001</c:v>
                </c:pt>
                <c:pt idx="64">
                  <c:v>7.7100200000000001</c:v>
                </c:pt>
                <c:pt idx="65">
                  <c:v>7.7043100000000004</c:v>
                </c:pt>
                <c:pt idx="66">
                  <c:v>7.6993200000000002</c:v>
                </c:pt>
                <c:pt idx="67">
                  <c:v>7.7011000000000003</c:v>
                </c:pt>
                <c:pt idx="68">
                  <c:v>7.7016400000000003</c:v>
                </c:pt>
                <c:pt idx="69">
                  <c:v>7.7010500000000004</c:v>
                </c:pt>
                <c:pt idx="70">
                  <c:v>7.7010500000000004</c:v>
                </c:pt>
                <c:pt idx="71">
                  <c:v>7.7010500000000004</c:v>
                </c:pt>
                <c:pt idx="72">
                  <c:v>7.6979300000000004</c:v>
                </c:pt>
                <c:pt idx="73">
                  <c:v>7.6914600000000002</c:v>
                </c:pt>
                <c:pt idx="74">
                  <c:v>7.6951000000000001</c:v>
                </c:pt>
                <c:pt idx="75">
                  <c:v>7.6938000000000004</c:v>
                </c:pt>
                <c:pt idx="76">
                  <c:v>7.6915899999999997</c:v>
                </c:pt>
                <c:pt idx="77">
                  <c:v>7.6915899999999997</c:v>
                </c:pt>
                <c:pt idx="78">
                  <c:v>7.6915899999999997</c:v>
                </c:pt>
                <c:pt idx="79">
                  <c:v>7.6883699999999999</c:v>
                </c:pt>
                <c:pt idx="80">
                  <c:v>7.6846399999999999</c:v>
                </c:pt>
                <c:pt idx="81">
                  <c:v>7.68438</c:v>
                </c:pt>
                <c:pt idx="82">
                  <c:v>7.6826999999999996</c:v>
                </c:pt>
                <c:pt idx="83">
                  <c:v>7.6816899999999997</c:v>
                </c:pt>
                <c:pt idx="84">
                  <c:v>7.6816899999999997</c:v>
                </c:pt>
                <c:pt idx="85">
                  <c:v>7.6816899999999997</c:v>
                </c:pt>
                <c:pt idx="86">
                  <c:v>7.67889</c:v>
                </c:pt>
                <c:pt idx="87">
                  <c:v>7.6783000000000001</c:v>
                </c:pt>
                <c:pt idx="88">
                  <c:v>7.6805199999999996</c:v>
                </c:pt>
                <c:pt idx="89">
                  <c:v>7.68025</c:v>
                </c:pt>
                <c:pt idx="90">
                  <c:v>7.6794700000000002</c:v>
                </c:pt>
                <c:pt idx="91">
                  <c:v>7.6794700000000002</c:v>
                </c:pt>
                <c:pt idx="92">
                  <c:v>7.6794700000000002</c:v>
                </c:pt>
                <c:pt idx="93">
                  <c:v>7.6749900000000002</c:v>
                </c:pt>
                <c:pt idx="94">
                  <c:v>7.6729799999999999</c:v>
                </c:pt>
                <c:pt idx="95">
                  <c:v>7.6749999999999998</c:v>
                </c:pt>
                <c:pt idx="96">
                  <c:v>7.6699299999999999</c:v>
                </c:pt>
                <c:pt idx="97">
                  <c:v>7.6687399999999997</c:v>
                </c:pt>
                <c:pt idx="98">
                  <c:v>7.6687399999999997</c:v>
                </c:pt>
                <c:pt idx="99">
                  <c:v>7.6687399999999997</c:v>
                </c:pt>
                <c:pt idx="100">
                  <c:v>7.6651199999999999</c:v>
                </c:pt>
                <c:pt idx="101">
                  <c:v>7.6635600000000004</c:v>
                </c:pt>
                <c:pt idx="102">
                  <c:v>7.6590100000000003</c:v>
                </c:pt>
                <c:pt idx="103">
                  <c:v>7.6590100000000003</c:v>
                </c:pt>
                <c:pt idx="104">
                  <c:v>7.6590100000000003</c:v>
                </c:pt>
                <c:pt idx="105">
                  <c:v>7.6590100000000003</c:v>
                </c:pt>
                <c:pt idx="106">
                  <c:v>7.6590100000000003</c:v>
                </c:pt>
                <c:pt idx="107">
                  <c:v>7.6584899999999996</c:v>
                </c:pt>
                <c:pt idx="108">
                  <c:v>7.6559900000000001</c:v>
                </c:pt>
                <c:pt idx="109">
                  <c:v>7.6557599999999999</c:v>
                </c:pt>
                <c:pt idx="110">
                  <c:v>7.6544600000000003</c:v>
                </c:pt>
                <c:pt idx="111">
                  <c:v>7.6530899999999997</c:v>
                </c:pt>
                <c:pt idx="112">
                  <c:v>7.6530899999999997</c:v>
                </c:pt>
                <c:pt idx="113">
                  <c:v>7.6530899999999997</c:v>
                </c:pt>
                <c:pt idx="114">
                  <c:v>7.6509</c:v>
                </c:pt>
                <c:pt idx="115">
                  <c:v>7.65144</c:v>
                </c:pt>
                <c:pt idx="116">
                  <c:v>7.6535299999999999</c:v>
                </c:pt>
                <c:pt idx="117">
                  <c:v>7.6577500000000001</c:v>
                </c:pt>
                <c:pt idx="118">
                  <c:v>7.6651699999999998</c:v>
                </c:pt>
                <c:pt idx="119">
                  <c:v>7.6651699999999998</c:v>
                </c:pt>
                <c:pt idx="120">
                  <c:v>7.6651699999999998</c:v>
                </c:pt>
                <c:pt idx="121">
                  <c:v>7.6651699999999998</c:v>
                </c:pt>
                <c:pt idx="122">
                  <c:v>7.6614000000000004</c:v>
                </c:pt>
                <c:pt idx="123">
                  <c:v>7.6658200000000001</c:v>
                </c:pt>
                <c:pt idx="124">
                  <c:v>7.67075</c:v>
                </c:pt>
                <c:pt idx="125">
                  <c:v>7.6679500000000003</c:v>
                </c:pt>
                <c:pt idx="126">
                  <c:v>7.6679500000000003</c:v>
                </c:pt>
                <c:pt idx="127">
                  <c:v>7.6679500000000003</c:v>
                </c:pt>
                <c:pt idx="128">
                  <c:v>7.6670600000000002</c:v>
                </c:pt>
                <c:pt idx="129">
                  <c:v>7.6632600000000002</c:v>
                </c:pt>
                <c:pt idx="130">
                  <c:v>7.6676399999999996</c:v>
                </c:pt>
                <c:pt idx="131">
                  <c:v>7.6694500000000003</c:v>
                </c:pt>
                <c:pt idx="132">
                  <c:v>7.6691500000000001</c:v>
                </c:pt>
                <c:pt idx="133">
                  <c:v>7.6691500000000001</c:v>
                </c:pt>
                <c:pt idx="134">
                  <c:v>7.6691500000000001</c:v>
                </c:pt>
                <c:pt idx="135">
                  <c:v>7.6647499999999997</c:v>
                </c:pt>
                <c:pt idx="136">
                  <c:v>7.6661200000000003</c:v>
                </c:pt>
                <c:pt idx="137">
                  <c:v>7.6664199999999996</c:v>
                </c:pt>
                <c:pt idx="138">
                  <c:v>7.6670299999999996</c:v>
                </c:pt>
                <c:pt idx="139">
                  <c:v>7.6669200000000002</c:v>
                </c:pt>
                <c:pt idx="140">
                  <c:v>7.6669200000000002</c:v>
                </c:pt>
                <c:pt idx="141">
                  <c:v>7.6669200000000002</c:v>
                </c:pt>
                <c:pt idx="142">
                  <c:v>7.6690300000000002</c:v>
                </c:pt>
                <c:pt idx="143">
                  <c:v>7.6677400000000002</c:v>
                </c:pt>
                <c:pt idx="144">
                  <c:v>7.67577</c:v>
                </c:pt>
                <c:pt idx="145">
                  <c:v>7.6731800000000003</c:v>
                </c:pt>
                <c:pt idx="146">
                  <c:v>7.6818999999999997</c:v>
                </c:pt>
                <c:pt idx="147">
                  <c:v>7.6818999999999997</c:v>
                </c:pt>
                <c:pt idx="148">
                  <c:v>7.6818999999999997</c:v>
                </c:pt>
                <c:pt idx="149">
                  <c:v>7.6776499999999999</c:v>
                </c:pt>
                <c:pt idx="150">
                  <c:v>7.6843399999999997</c:v>
                </c:pt>
                <c:pt idx="151">
                  <c:v>7.6955200000000001</c:v>
                </c:pt>
                <c:pt idx="152">
                  <c:v>7.7075800000000001</c:v>
                </c:pt>
                <c:pt idx="153">
                  <c:v>7.7124199999999998</c:v>
                </c:pt>
                <c:pt idx="154">
                  <c:v>7.7124199999999998</c:v>
                </c:pt>
                <c:pt idx="155">
                  <c:v>7.7124199999999998</c:v>
                </c:pt>
                <c:pt idx="156">
                  <c:v>7.7046599999999996</c:v>
                </c:pt>
                <c:pt idx="157">
                  <c:v>7.7070299999999996</c:v>
                </c:pt>
                <c:pt idx="158">
                  <c:v>7.7207400000000002</c:v>
                </c:pt>
                <c:pt idx="159">
                  <c:v>7.7260900000000001</c:v>
                </c:pt>
                <c:pt idx="160">
                  <c:v>7.7320599999999997</c:v>
                </c:pt>
                <c:pt idx="161">
                  <c:v>7.7320599999999997</c:v>
                </c:pt>
                <c:pt idx="162">
                  <c:v>7.7320599999999997</c:v>
                </c:pt>
                <c:pt idx="163">
                  <c:v>7.7310400000000001</c:v>
                </c:pt>
                <c:pt idx="164">
                  <c:v>7.7328099999999997</c:v>
                </c:pt>
                <c:pt idx="165">
                  <c:v>7.7388599999999999</c:v>
                </c:pt>
                <c:pt idx="166">
                  <c:v>7.7388899999999996</c:v>
                </c:pt>
                <c:pt idx="167">
                  <c:v>7.7404599999999997</c:v>
                </c:pt>
                <c:pt idx="168">
                  <c:v>7.7404599999999997</c:v>
                </c:pt>
                <c:pt idx="169">
                  <c:v>7.7404599999999997</c:v>
                </c:pt>
                <c:pt idx="170">
                  <c:v>7.7410199999999998</c:v>
                </c:pt>
                <c:pt idx="171">
                  <c:v>7.7496900000000002</c:v>
                </c:pt>
                <c:pt idx="172">
                  <c:v>7.7474499999999997</c:v>
                </c:pt>
                <c:pt idx="173">
                  <c:v>7.7510399999999997</c:v>
                </c:pt>
                <c:pt idx="174">
                  <c:v>7.7588999999999997</c:v>
                </c:pt>
                <c:pt idx="175">
                  <c:v>7.7588999999999997</c:v>
                </c:pt>
                <c:pt idx="176">
                  <c:v>7.7588999999999997</c:v>
                </c:pt>
                <c:pt idx="177">
                  <c:v>7.7540399999999998</c:v>
                </c:pt>
                <c:pt idx="178">
                  <c:v>7.7598000000000003</c:v>
                </c:pt>
                <c:pt idx="179">
                  <c:v>7.7581899999999999</c:v>
                </c:pt>
                <c:pt idx="180">
                  <c:v>7.7560799999999999</c:v>
                </c:pt>
                <c:pt idx="181">
                  <c:v>7.7560799999999999</c:v>
                </c:pt>
                <c:pt idx="182">
                  <c:v>7.7560799999999999</c:v>
                </c:pt>
                <c:pt idx="183">
                  <c:v>7.7560799999999999</c:v>
                </c:pt>
                <c:pt idx="184">
                  <c:v>7.7560799999999999</c:v>
                </c:pt>
                <c:pt idx="185">
                  <c:v>7.7528100000000002</c:v>
                </c:pt>
                <c:pt idx="186">
                  <c:v>7.74979</c:v>
                </c:pt>
                <c:pt idx="187">
                  <c:v>7.7465900000000003</c:v>
                </c:pt>
                <c:pt idx="188">
                  <c:v>7.7471199999999998</c:v>
                </c:pt>
                <c:pt idx="189">
                  <c:v>7.7471199999999998</c:v>
                </c:pt>
                <c:pt idx="190">
                  <c:v>7.7471199999999998</c:v>
                </c:pt>
                <c:pt idx="191">
                  <c:v>7.7436999999999996</c:v>
                </c:pt>
                <c:pt idx="192">
                  <c:v>7.7402800000000003</c:v>
                </c:pt>
                <c:pt idx="193">
                  <c:v>7.7385900000000003</c:v>
                </c:pt>
                <c:pt idx="194">
                  <c:v>7.7352600000000002</c:v>
                </c:pt>
                <c:pt idx="195">
                  <c:v>7.7355600000000004</c:v>
                </c:pt>
                <c:pt idx="196">
                  <c:v>7.7355600000000004</c:v>
                </c:pt>
                <c:pt idx="197">
                  <c:v>7.7355600000000004</c:v>
                </c:pt>
                <c:pt idx="198">
                  <c:v>7.7315899999999997</c:v>
                </c:pt>
                <c:pt idx="199">
                  <c:v>7.7279299999999997</c:v>
                </c:pt>
                <c:pt idx="200">
                  <c:v>7.7317400000000003</c:v>
                </c:pt>
                <c:pt idx="201">
                  <c:v>7.7292399999999999</c:v>
                </c:pt>
                <c:pt idx="202">
                  <c:v>7.7305200000000003</c:v>
                </c:pt>
                <c:pt idx="203">
                  <c:v>7.7305200000000003</c:v>
                </c:pt>
                <c:pt idx="204">
                  <c:v>7.7305200000000003</c:v>
                </c:pt>
                <c:pt idx="205">
                  <c:v>7.7278000000000002</c:v>
                </c:pt>
                <c:pt idx="206">
                  <c:v>7.7283299999999997</c:v>
                </c:pt>
                <c:pt idx="207">
                  <c:v>7.7317099999999996</c:v>
                </c:pt>
                <c:pt idx="208">
                  <c:v>7.7348499999999998</c:v>
                </c:pt>
                <c:pt idx="209">
                  <c:v>7.7365399999999998</c:v>
                </c:pt>
                <c:pt idx="210">
                  <c:v>7.7365399999999998</c:v>
                </c:pt>
                <c:pt idx="211">
                  <c:v>7.7365399999999998</c:v>
                </c:pt>
                <c:pt idx="212">
                  <c:v>7.7294600000000004</c:v>
                </c:pt>
                <c:pt idx="213">
                  <c:v>7.7284800000000002</c:v>
                </c:pt>
                <c:pt idx="214">
                  <c:v>7.73292</c:v>
                </c:pt>
                <c:pt idx="215">
                  <c:v>7.7332999999999998</c:v>
                </c:pt>
                <c:pt idx="216">
                  <c:v>7.7333699999999999</c:v>
                </c:pt>
                <c:pt idx="217">
                  <c:v>7.7333699999999999</c:v>
                </c:pt>
                <c:pt idx="218">
                  <c:v>7.7333699999999999</c:v>
                </c:pt>
                <c:pt idx="219">
                  <c:v>7.7298900000000001</c:v>
                </c:pt>
                <c:pt idx="220">
                  <c:v>7.7257999999999996</c:v>
                </c:pt>
                <c:pt idx="221">
                  <c:v>7.7324799999999998</c:v>
                </c:pt>
                <c:pt idx="222">
                  <c:v>7.7313200000000002</c:v>
                </c:pt>
                <c:pt idx="223">
                  <c:v>7.734</c:v>
                </c:pt>
                <c:pt idx="224">
                  <c:v>7.734</c:v>
                </c:pt>
                <c:pt idx="225">
                  <c:v>7.734</c:v>
                </c:pt>
                <c:pt idx="226">
                  <c:v>7.734</c:v>
                </c:pt>
                <c:pt idx="227">
                  <c:v>7.7264900000000001</c:v>
                </c:pt>
                <c:pt idx="228">
                  <c:v>7.72851</c:v>
                </c:pt>
                <c:pt idx="229">
                  <c:v>7.73095</c:v>
                </c:pt>
                <c:pt idx="230">
                  <c:v>7.7278000000000002</c:v>
                </c:pt>
                <c:pt idx="231">
                  <c:v>7.7278000000000002</c:v>
                </c:pt>
                <c:pt idx="232">
                  <c:v>7.7278000000000002</c:v>
                </c:pt>
                <c:pt idx="233">
                  <c:v>7.7271599999999996</c:v>
                </c:pt>
                <c:pt idx="234">
                  <c:v>7.7281500000000003</c:v>
                </c:pt>
                <c:pt idx="235">
                  <c:v>7.7305299999999999</c:v>
                </c:pt>
                <c:pt idx="236">
                  <c:v>7.7337999999999996</c:v>
                </c:pt>
                <c:pt idx="237">
                  <c:v>7.7336799999999997</c:v>
                </c:pt>
                <c:pt idx="238">
                  <c:v>7.7336799999999997</c:v>
                </c:pt>
                <c:pt idx="239">
                  <c:v>7.7336799999999997</c:v>
                </c:pt>
                <c:pt idx="240">
                  <c:v>7.7314699999999998</c:v>
                </c:pt>
                <c:pt idx="241">
                  <c:v>7.7309900000000003</c:v>
                </c:pt>
                <c:pt idx="242">
                  <c:v>7.7381900000000003</c:v>
                </c:pt>
                <c:pt idx="243">
                  <c:v>7.7408000000000001</c:v>
                </c:pt>
                <c:pt idx="244">
                  <c:v>7.74268</c:v>
                </c:pt>
                <c:pt idx="245">
                  <c:v>7.74268</c:v>
                </c:pt>
                <c:pt idx="246">
                  <c:v>7.74268</c:v>
                </c:pt>
                <c:pt idx="247">
                  <c:v>7.7410800000000002</c:v>
                </c:pt>
                <c:pt idx="248">
                  <c:v>7.7575500000000002</c:v>
                </c:pt>
                <c:pt idx="249">
                  <c:v>7.7584200000000001</c:v>
                </c:pt>
                <c:pt idx="250">
                  <c:v>7.7789299999999999</c:v>
                </c:pt>
                <c:pt idx="251">
                  <c:v>7.7968799999999998</c:v>
                </c:pt>
                <c:pt idx="252">
                  <c:v>7.7968799999999998</c:v>
                </c:pt>
                <c:pt idx="253">
                  <c:v>7.7968799999999998</c:v>
                </c:pt>
                <c:pt idx="254">
                  <c:v>7.7877400000000003</c:v>
                </c:pt>
                <c:pt idx="255">
                  <c:v>7.7889799999999996</c:v>
                </c:pt>
                <c:pt idx="256">
                  <c:v>7.7958499999999997</c:v>
                </c:pt>
                <c:pt idx="257">
                  <c:v>7.7958499999999997</c:v>
                </c:pt>
                <c:pt idx="258">
                  <c:v>7.7962600000000002</c:v>
                </c:pt>
                <c:pt idx="259">
                  <c:v>7.7962600000000002</c:v>
                </c:pt>
                <c:pt idx="260">
                  <c:v>7.7962600000000002</c:v>
                </c:pt>
                <c:pt idx="261">
                  <c:v>7.7998599999999998</c:v>
                </c:pt>
                <c:pt idx="262">
                  <c:v>7.80091</c:v>
                </c:pt>
                <c:pt idx="263">
                  <c:v>7.8138399999999999</c:v>
                </c:pt>
                <c:pt idx="264">
                  <c:v>7.8297499999999998</c:v>
                </c:pt>
                <c:pt idx="265">
                  <c:v>7.8419999999999996</c:v>
                </c:pt>
                <c:pt idx="266">
                  <c:v>7.8419999999999996</c:v>
                </c:pt>
                <c:pt idx="267">
                  <c:v>7.8419999999999996</c:v>
                </c:pt>
                <c:pt idx="268">
                  <c:v>7.8421799999999999</c:v>
                </c:pt>
                <c:pt idx="269">
                  <c:v>7.8457800000000004</c:v>
                </c:pt>
                <c:pt idx="270">
                  <c:v>7.85501</c:v>
                </c:pt>
                <c:pt idx="271">
                  <c:v>7.8628400000000003</c:v>
                </c:pt>
                <c:pt idx="272">
                  <c:v>7.88368</c:v>
                </c:pt>
                <c:pt idx="273">
                  <c:v>7.88368</c:v>
                </c:pt>
                <c:pt idx="274">
                  <c:v>7.88368</c:v>
                </c:pt>
                <c:pt idx="275">
                  <c:v>7.8985599999999998</c:v>
                </c:pt>
                <c:pt idx="276">
                  <c:v>7.9096299999999999</c:v>
                </c:pt>
                <c:pt idx="277">
                  <c:v>7.9123299999999999</c:v>
                </c:pt>
                <c:pt idx="278">
                  <c:v>7.9025999999999996</c:v>
                </c:pt>
                <c:pt idx="279">
                  <c:v>7.8933400000000002</c:v>
                </c:pt>
                <c:pt idx="280">
                  <c:v>7.8933400000000002</c:v>
                </c:pt>
                <c:pt idx="281">
                  <c:v>7.8933400000000002</c:v>
                </c:pt>
                <c:pt idx="282">
                  <c:v>7.87662</c:v>
                </c:pt>
                <c:pt idx="283">
                  <c:v>7.8757000000000001</c:v>
                </c:pt>
                <c:pt idx="284">
                  <c:v>7.8757000000000001</c:v>
                </c:pt>
                <c:pt idx="285">
                  <c:v>7.86625</c:v>
                </c:pt>
                <c:pt idx="286">
                  <c:v>7.86252</c:v>
                </c:pt>
                <c:pt idx="287">
                  <c:v>7.86252</c:v>
                </c:pt>
                <c:pt idx="288">
                  <c:v>7.86252</c:v>
                </c:pt>
                <c:pt idx="289">
                  <c:v>7.8576800000000002</c:v>
                </c:pt>
                <c:pt idx="290">
                  <c:v>7.8527500000000003</c:v>
                </c:pt>
                <c:pt idx="291">
                  <c:v>7.8515699999999997</c:v>
                </c:pt>
                <c:pt idx="292">
                  <c:v>7.8515699999999997</c:v>
                </c:pt>
                <c:pt idx="293">
                  <c:v>7.8483099999999997</c:v>
                </c:pt>
                <c:pt idx="294">
                  <c:v>7.8483099999999997</c:v>
                </c:pt>
                <c:pt idx="295">
                  <c:v>7.8483099999999997</c:v>
                </c:pt>
                <c:pt idx="296">
                  <c:v>7.8424800000000001</c:v>
                </c:pt>
                <c:pt idx="297">
                  <c:v>7.84511</c:v>
                </c:pt>
                <c:pt idx="298">
                  <c:v>7.8439899999999998</c:v>
                </c:pt>
                <c:pt idx="299">
                  <c:v>7.8365499999999999</c:v>
                </c:pt>
                <c:pt idx="300">
                  <c:v>7.83772</c:v>
                </c:pt>
                <c:pt idx="301">
                  <c:v>7.83772</c:v>
                </c:pt>
                <c:pt idx="302">
                  <c:v>7.83772</c:v>
                </c:pt>
                <c:pt idx="303">
                  <c:v>7.82857</c:v>
                </c:pt>
                <c:pt idx="304">
                  <c:v>7.82857</c:v>
                </c:pt>
                <c:pt idx="305">
                  <c:v>7.8249700000000004</c:v>
                </c:pt>
                <c:pt idx="306">
                  <c:v>7.8278400000000001</c:v>
                </c:pt>
                <c:pt idx="307">
                  <c:v>7.8219599999999998</c:v>
                </c:pt>
                <c:pt idx="308">
                  <c:v>7.8219599999999998</c:v>
                </c:pt>
                <c:pt idx="309">
                  <c:v>7.8219599999999998</c:v>
                </c:pt>
                <c:pt idx="310">
                  <c:v>7.8189799999999998</c:v>
                </c:pt>
                <c:pt idx="311">
                  <c:v>7.8131399999999998</c:v>
                </c:pt>
                <c:pt idx="312">
                  <c:v>7.8125900000000001</c:v>
                </c:pt>
                <c:pt idx="313">
                  <c:v>7.8116000000000003</c:v>
                </c:pt>
                <c:pt idx="314">
                  <c:v>7.8069199999999999</c:v>
                </c:pt>
                <c:pt idx="315">
                  <c:v>7.8069199999999999</c:v>
                </c:pt>
                <c:pt idx="316">
                  <c:v>7.8069199999999999</c:v>
                </c:pt>
                <c:pt idx="317">
                  <c:v>7.8053600000000003</c:v>
                </c:pt>
                <c:pt idx="318">
                  <c:v>7.7982300000000002</c:v>
                </c:pt>
                <c:pt idx="319">
                  <c:v>7.7983900000000004</c:v>
                </c:pt>
                <c:pt idx="320">
                  <c:v>7.7993600000000001</c:v>
                </c:pt>
                <c:pt idx="321">
                  <c:v>7.7977299999999996</c:v>
                </c:pt>
                <c:pt idx="322">
                  <c:v>7.7977299999999996</c:v>
                </c:pt>
                <c:pt idx="323">
                  <c:v>7.7977299999999996</c:v>
                </c:pt>
                <c:pt idx="324">
                  <c:v>7.7937200000000004</c:v>
                </c:pt>
                <c:pt idx="325">
                  <c:v>7.80497</c:v>
                </c:pt>
                <c:pt idx="326">
                  <c:v>7.8146800000000001</c:v>
                </c:pt>
                <c:pt idx="327">
                  <c:v>7.8182999999999998</c:v>
                </c:pt>
                <c:pt idx="328">
                  <c:v>7.8261900000000004</c:v>
                </c:pt>
                <c:pt idx="329">
                  <c:v>7.8261900000000004</c:v>
                </c:pt>
                <c:pt idx="330">
                  <c:v>7.8261900000000004</c:v>
                </c:pt>
                <c:pt idx="331">
                  <c:v>7.8199800000000002</c:v>
                </c:pt>
                <c:pt idx="332">
                  <c:v>7.8276599999999998</c:v>
                </c:pt>
                <c:pt idx="333">
                  <c:v>7.8413399999999998</c:v>
                </c:pt>
                <c:pt idx="334">
                  <c:v>7.8414299999999999</c:v>
                </c:pt>
                <c:pt idx="335">
                  <c:v>7.8587499999999997</c:v>
                </c:pt>
                <c:pt idx="336">
                  <c:v>7.8587499999999997</c:v>
                </c:pt>
                <c:pt idx="337">
                  <c:v>7.8587499999999997</c:v>
                </c:pt>
                <c:pt idx="338">
                  <c:v>7.8753399999999996</c:v>
                </c:pt>
                <c:pt idx="339">
                  <c:v>7.9091199999999997</c:v>
                </c:pt>
                <c:pt idx="340">
                  <c:v>7.9302400000000004</c:v>
                </c:pt>
                <c:pt idx="341">
                  <c:v>7.9090100000000003</c:v>
                </c:pt>
                <c:pt idx="342">
                  <c:v>7.8963400000000004</c:v>
                </c:pt>
                <c:pt idx="343">
                  <c:v>7.8963400000000004</c:v>
                </c:pt>
                <c:pt idx="344">
                  <c:v>7.8963400000000004</c:v>
                </c:pt>
                <c:pt idx="345">
                  <c:v>7.8817399999999997</c:v>
                </c:pt>
                <c:pt idx="346">
                  <c:v>7.8740199999999998</c:v>
                </c:pt>
                <c:pt idx="347">
                  <c:v>7.8770199999999999</c:v>
                </c:pt>
                <c:pt idx="348">
                  <c:v>7.8662700000000001</c:v>
                </c:pt>
                <c:pt idx="349">
                  <c:v>7.8691199999999997</c:v>
                </c:pt>
                <c:pt idx="350">
                  <c:v>7.8691199999999997</c:v>
                </c:pt>
                <c:pt idx="351">
                  <c:v>7.8691199999999997</c:v>
                </c:pt>
                <c:pt idx="352">
                  <c:v>7.8583600000000002</c:v>
                </c:pt>
                <c:pt idx="353">
                  <c:v>7.8559900000000003</c:v>
                </c:pt>
                <c:pt idx="354">
                  <c:v>7.85419</c:v>
                </c:pt>
                <c:pt idx="355">
                  <c:v>7.85527</c:v>
                </c:pt>
                <c:pt idx="356">
                  <c:v>7.8491400000000002</c:v>
                </c:pt>
                <c:pt idx="357">
                  <c:v>7.8491400000000002</c:v>
                </c:pt>
                <c:pt idx="358">
                  <c:v>7.8491400000000002</c:v>
                </c:pt>
                <c:pt idx="359">
                  <c:v>7.8491400000000002</c:v>
                </c:pt>
                <c:pt idx="360">
                  <c:v>7.8473899999999999</c:v>
                </c:pt>
                <c:pt idx="361">
                  <c:v>7.8502799999999997</c:v>
                </c:pt>
                <c:pt idx="362">
                  <c:v>7.85222</c:v>
                </c:pt>
                <c:pt idx="363">
                  <c:v>7.85222</c:v>
                </c:pt>
                <c:pt idx="364">
                  <c:v>7.85222</c:v>
                </c:pt>
              </c:numCache>
            </c:numRef>
          </c:val>
          <c:smooth val="0"/>
          <c:extLst>
            <c:ext xmlns:c16="http://schemas.microsoft.com/office/drawing/2014/chart" uri="{C3380CC4-5D6E-409C-BE32-E72D297353CC}">
              <c16:uniqueId val="{00000004-0320-405D-8367-0AA760389799}"/>
            </c:ext>
          </c:extLst>
        </c:ser>
        <c:dLbls>
          <c:showLegendKey val="0"/>
          <c:showVal val="0"/>
          <c:showCatName val="0"/>
          <c:showSerName val="0"/>
          <c:showPercent val="0"/>
          <c:showBubbleSize val="0"/>
        </c:dLbls>
        <c:smooth val="0"/>
        <c:axId val="2140965183"/>
        <c:axId val="2140968927"/>
      </c:lineChart>
      <c:catAx>
        <c:axId val="2140965183"/>
        <c:scaling>
          <c:orientation val="minMax"/>
        </c:scaling>
        <c:delete val="0"/>
        <c:axPos val="b"/>
        <c:numFmt formatCode="mmm" sourceLinked="0"/>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140968927"/>
        <c:crosses val="autoZero"/>
        <c:auto val="1"/>
        <c:lblAlgn val="ctr"/>
        <c:lblOffset val="100"/>
        <c:noMultiLvlLbl val="0"/>
      </c:catAx>
      <c:valAx>
        <c:axId val="2140968927"/>
        <c:scaling>
          <c:orientation val="minMax"/>
        </c:scaling>
        <c:delete val="0"/>
        <c:axPos val="l"/>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140965183"/>
        <c:crosses val="autoZero"/>
        <c:crossBetween val="between"/>
        <c:majorUnit val="0.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52559055118111"/>
          <c:y val="0.17171296296296296"/>
          <c:w val="0.85991885389326339"/>
          <c:h val="0.67523877223680373"/>
        </c:manualLayout>
      </c:layout>
      <c:barChart>
        <c:barDir val="col"/>
        <c:grouping val="clustered"/>
        <c:varyColors val="0"/>
        <c:ser>
          <c:idx val="0"/>
          <c:order val="0"/>
          <c:tx>
            <c:strRef>
              <c:f>EI_4!$B$4</c:f>
              <c:strCache>
                <c:ptCount val="1"/>
                <c:pt idx="0">
                  <c:v>2021</c:v>
                </c:pt>
              </c:strCache>
            </c:strRef>
          </c:tx>
          <c:spPr>
            <a:solidFill>
              <a:schemeClr val="tx2">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EI_4!$C$3:$E$3</c:f>
              <c:strCache>
                <c:ptCount val="3"/>
                <c:pt idx="0">
                  <c:v> Economías  Avanzadas </c:v>
                </c:pt>
                <c:pt idx="1">
                  <c:v> Economías emergentes y en desarrollo </c:v>
                </c:pt>
                <c:pt idx="2">
                  <c:v> Latinoamerica y el Caribe </c:v>
                </c:pt>
              </c:strCache>
            </c:strRef>
          </c:cat>
          <c:val>
            <c:numRef>
              <c:f>EI_4!$C$4:$E$4</c:f>
              <c:numCache>
                <c:formatCode>_-* #,##0.0_-;\-* #,##0.0_-;_-* "-"??_-;_-@_-</c:formatCode>
                <c:ptCount val="3"/>
                <c:pt idx="0">
                  <c:v>117.377</c:v>
                </c:pt>
                <c:pt idx="1">
                  <c:v>64.263000000000005</c:v>
                </c:pt>
                <c:pt idx="2">
                  <c:v>71.561000000000007</c:v>
                </c:pt>
              </c:numCache>
            </c:numRef>
          </c:val>
          <c:extLst>
            <c:ext xmlns:c16="http://schemas.microsoft.com/office/drawing/2014/chart" uri="{C3380CC4-5D6E-409C-BE32-E72D297353CC}">
              <c16:uniqueId val="{00000000-DF97-435F-B764-7C7A25DA79A3}"/>
            </c:ext>
          </c:extLst>
        </c:ser>
        <c:ser>
          <c:idx val="1"/>
          <c:order val="1"/>
          <c:tx>
            <c:strRef>
              <c:f>EI_4!$B$5</c:f>
              <c:strCache>
                <c:ptCount val="1"/>
                <c:pt idx="0">
                  <c:v>2022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EI_4!$C$3:$E$3</c:f>
              <c:strCache>
                <c:ptCount val="3"/>
                <c:pt idx="0">
                  <c:v> Economías  Avanzadas </c:v>
                </c:pt>
                <c:pt idx="1">
                  <c:v> Economías emergentes y en desarrollo </c:v>
                </c:pt>
                <c:pt idx="2">
                  <c:v> Latinoamerica y el Caribe </c:v>
                </c:pt>
              </c:strCache>
            </c:strRef>
          </c:cat>
          <c:val>
            <c:numRef>
              <c:f>EI_4!$C$5:$E$5</c:f>
              <c:numCache>
                <c:formatCode>_-* #,##0.0_-;\-* #,##0.0_-;_-* "-"??_-;_-@_-</c:formatCode>
                <c:ptCount val="3"/>
                <c:pt idx="0">
                  <c:v>112.491</c:v>
                </c:pt>
                <c:pt idx="1">
                  <c:v>64.584000000000003</c:v>
                </c:pt>
                <c:pt idx="2">
                  <c:v>69.402000000000001</c:v>
                </c:pt>
              </c:numCache>
            </c:numRef>
          </c:val>
          <c:extLst>
            <c:ext xmlns:c16="http://schemas.microsoft.com/office/drawing/2014/chart" uri="{C3380CC4-5D6E-409C-BE32-E72D297353CC}">
              <c16:uniqueId val="{00000001-DF97-435F-B764-7C7A25DA79A3}"/>
            </c:ext>
          </c:extLst>
        </c:ser>
        <c:dLbls>
          <c:showLegendKey val="0"/>
          <c:showVal val="0"/>
          <c:showCatName val="0"/>
          <c:showSerName val="0"/>
          <c:showPercent val="0"/>
          <c:showBubbleSize val="0"/>
        </c:dLbls>
        <c:gapWidth val="219"/>
        <c:overlap val="-27"/>
        <c:axId val="1443980351"/>
        <c:axId val="1443987423"/>
      </c:barChart>
      <c:catAx>
        <c:axId val="14439803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443987423"/>
        <c:crosses val="autoZero"/>
        <c:auto val="1"/>
        <c:lblAlgn val="ctr"/>
        <c:lblOffset val="100"/>
        <c:noMultiLvlLbl val="0"/>
      </c:catAx>
      <c:valAx>
        <c:axId val="1443987423"/>
        <c:scaling>
          <c:orientation val="minMax"/>
        </c:scaling>
        <c:delete val="1"/>
        <c:axPos val="l"/>
        <c:numFmt formatCode="_-* #,##0.0_-;\-* #,##0.0_-;_-* &quot;-&quot;??_-;_-@_-" sourceLinked="1"/>
        <c:majorTickMark val="none"/>
        <c:minorTickMark val="none"/>
        <c:tickLblPos val="nextTo"/>
        <c:crossAx val="1443980351"/>
        <c:crosses val="autoZero"/>
        <c:crossBetween val="between"/>
      </c:valAx>
      <c:spPr>
        <a:noFill/>
        <a:ln>
          <a:noFill/>
        </a:ln>
        <a:effectLst/>
      </c:spPr>
    </c:plotArea>
    <c:legend>
      <c:legendPos val="b"/>
      <c:layout>
        <c:manualLayout>
          <c:xMode val="edge"/>
          <c:yMode val="edge"/>
          <c:x val="0.33749513888888888"/>
          <c:y val="6.3680092592592594E-2"/>
          <c:w val="0.28541666666666671"/>
          <c:h val="9.328240740740741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Rime"/>
        </a:defRPr>
      </a:pPr>
      <a:endParaRPr lang="es-GT"/>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ITCR!$CH$3</c:f>
              <c:strCache>
                <c:ptCount val="1"/>
                <c:pt idx="0">
                  <c:v> ITCR </c:v>
                </c:pt>
              </c:strCache>
            </c:strRef>
          </c:tx>
          <c:spPr>
            <a:ln w="28575" cap="rnd">
              <a:solidFill>
                <a:srgbClr val="002060"/>
              </a:solidFill>
              <a:round/>
            </a:ln>
            <a:effectLst/>
          </c:spPr>
          <c:marker>
            <c:symbol val="none"/>
          </c:marker>
          <c:cat>
            <c:numRef>
              <c:f>ITCR!$EI$83:$EI$125</c:f>
              <c:numCache>
                <c:formatCode>yyyy</c:formatCode>
                <c:ptCount val="43"/>
                <c:pt idx="0">
                  <c:v>29221</c:v>
                </c:pt>
                <c:pt idx="1">
                  <c:v>29587</c:v>
                </c:pt>
                <c:pt idx="2">
                  <c:v>29952</c:v>
                </c:pt>
                <c:pt idx="3">
                  <c:v>30317</c:v>
                </c:pt>
                <c:pt idx="4">
                  <c:v>30682</c:v>
                </c:pt>
                <c:pt idx="5">
                  <c:v>31048</c:v>
                </c:pt>
                <c:pt idx="6">
                  <c:v>31413</c:v>
                </c:pt>
                <c:pt idx="7">
                  <c:v>31778</c:v>
                </c:pt>
                <c:pt idx="8">
                  <c:v>32143</c:v>
                </c:pt>
                <c:pt idx="9">
                  <c:v>32509</c:v>
                </c:pt>
                <c:pt idx="10">
                  <c:v>32874</c:v>
                </c:pt>
                <c:pt idx="11">
                  <c:v>33239</c:v>
                </c:pt>
                <c:pt idx="12">
                  <c:v>33604</c:v>
                </c:pt>
                <c:pt idx="13">
                  <c:v>33970</c:v>
                </c:pt>
                <c:pt idx="14">
                  <c:v>34335</c:v>
                </c:pt>
                <c:pt idx="15">
                  <c:v>34700</c:v>
                </c:pt>
                <c:pt idx="16">
                  <c:v>35065</c:v>
                </c:pt>
                <c:pt idx="17">
                  <c:v>35431</c:v>
                </c:pt>
                <c:pt idx="18">
                  <c:v>35796</c:v>
                </c:pt>
                <c:pt idx="19">
                  <c:v>36161</c:v>
                </c:pt>
                <c:pt idx="20">
                  <c:v>36526</c:v>
                </c:pt>
                <c:pt idx="21">
                  <c:v>36892</c:v>
                </c:pt>
                <c:pt idx="22">
                  <c:v>37257</c:v>
                </c:pt>
                <c:pt idx="23">
                  <c:v>37622</c:v>
                </c:pt>
                <c:pt idx="24">
                  <c:v>37987</c:v>
                </c:pt>
                <c:pt idx="25">
                  <c:v>38353</c:v>
                </c:pt>
                <c:pt idx="26">
                  <c:v>38718</c:v>
                </c:pt>
                <c:pt idx="27">
                  <c:v>39083</c:v>
                </c:pt>
                <c:pt idx="28">
                  <c:v>39448</c:v>
                </c:pt>
                <c:pt idx="29">
                  <c:v>39814</c:v>
                </c:pt>
                <c:pt idx="30">
                  <c:v>40179</c:v>
                </c:pt>
                <c:pt idx="31">
                  <c:v>40544</c:v>
                </c:pt>
                <c:pt idx="32">
                  <c:v>40909</c:v>
                </c:pt>
                <c:pt idx="33">
                  <c:v>41275</c:v>
                </c:pt>
                <c:pt idx="34">
                  <c:v>41640</c:v>
                </c:pt>
                <c:pt idx="35">
                  <c:v>42005</c:v>
                </c:pt>
                <c:pt idx="36">
                  <c:v>42370</c:v>
                </c:pt>
                <c:pt idx="37">
                  <c:v>42736</c:v>
                </c:pt>
                <c:pt idx="38">
                  <c:v>43101</c:v>
                </c:pt>
                <c:pt idx="39">
                  <c:v>43466</c:v>
                </c:pt>
                <c:pt idx="40">
                  <c:v>43831</c:v>
                </c:pt>
                <c:pt idx="41">
                  <c:v>44197</c:v>
                </c:pt>
                <c:pt idx="42" formatCode="General">
                  <c:v>2022</c:v>
                </c:pt>
              </c:numCache>
            </c:numRef>
          </c:cat>
          <c:val>
            <c:numRef>
              <c:f>ITCR!$CH$4:$CH$46</c:f>
              <c:numCache>
                <c:formatCode>_(* #,##0.0_);_(* \(#,##0.0\);_(* "-"??_);_(@_)</c:formatCode>
                <c:ptCount val="43"/>
                <c:pt idx="0">
                  <c:v>1</c:v>
                </c:pt>
                <c:pt idx="1">
                  <c:v>0.93398500598429302</c:v>
                </c:pt>
                <c:pt idx="2">
                  <c:v>0.95002005633510489</c:v>
                </c:pt>
                <c:pt idx="3">
                  <c:v>0.98816220854394798</c:v>
                </c:pt>
                <c:pt idx="4">
                  <c:v>1.0009659185485342</c:v>
                </c:pt>
                <c:pt idx="5">
                  <c:v>0.8647808334213184</c:v>
                </c:pt>
                <c:pt idx="6">
                  <c:v>1.3160608971127974</c:v>
                </c:pt>
                <c:pt idx="7">
                  <c:v>1.6951210385163069</c:v>
                </c:pt>
                <c:pt idx="8">
                  <c:v>1.7175681716209017</c:v>
                </c:pt>
                <c:pt idx="9">
                  <c:v>1.7242820579138669</c:v>
                </c:pt>
                <c:pt idx="10">
                  <c:v>2.0832021233888547</c:v>
                </c:pt>
                <c:pt idx="11">
                  <c:v>1.8434853794055899</c:v>
                </c:pt>
                <c:pt idx="12">
                  <c:v>1.8125929126507758</c:v>
                </c:pt>
                <c:pt idx="13">
                  <c:v>1.822682912874408</c:v>
                </c:pt>
                <c:pt idx="14">
                  <c:v>1.7354146520433817</c:v>
                </c:pt>
                <c:pt idx="15">
                  <c:v>1.597579934855313</c:v>
                </c:pt>
                <c:pt idx="16">
                  <c:v>1.5159626592713666</c:v>
                </c:pt>
                <c:pt idx="17">
                  <c:v>1.4324046079821682</c:v>
                </c:pt>
                <c:pt idx="18">
                  <c:v>1.4367996363156808</c:v>
                </c:pt>
                <c:pt idx="19">
                  <c:v>1.646466799814841</c:v>
                </c:pt>
                <c:pt idx="20">
                  <c:v>1.6921300585918597</c:v>
                </c:pt>
                <c:pt idx="21">
                  <c:v>1.7221812263751612</c:v>
                </c:pt>
                <c:pt idx="22">
                  <c:v>1.4964849286925344</c:v>
                </c:pt>
                <c:pt idx="23">
                  <c:v>1.4511483736265598</c:v>
                </c:pt>
                <c:pt idx="24">
                  <c:v>1.3688998525141371</c:v>
                </c:pt>
                <c:pt idx="25">
                  <c:v>1.2565287800049321</c:v>
                </c:pt>
                <c:pt idx="26">
                  <c:v>1.1836507633530071</c:v>
                </c:pt>
                <c:pt idx="27">
                  <c:v>1.1644383106388527</c:v>
                </c:pt>
                <c:pt idx="28">
                  <c:v>1.1007024179666078</c:v>
                </c:pt>
                <c:pt idx="29">
                  <c:v>1.1502341569076897</c:v>
                </c:pt>
                <c:pt idx="30">
                  <c:v>1.1227916638861033</c:v>
                </c:pt>
                <c:pt idx="31">
                  <c:v>1.0679097023000053</c:v>
                </c:pt>
                <c:pt idx="32">
                  <c:v>1.0426959670759117</c:v>
                </c:pt>
                <c:pt idx="33">
                  <c:v>1.0123458834036083</c:v>
                </c:pt>
                <c:pt idx="34">
                  <c:v>0.97680250936592727</c:v>
                </c:pt>
                <c:pt idx="35">
                  <c:v>0.91956002819563043</c:v>
                </c:pt>
                <c:pt idx="36">
                  <c:v>0.86922700825782573</c:v>
                </c:pt>
                <c:pt idx="37">
                  <c:v>0.82004739056779485</c:v>
                </c:pt>
                <c:pt idx="38">
                  <c:v>0.83102027624524455</c:v>
                </c:pt>
                <c:pt idx="39">
                  <c:v>0.82060053505830344</c:v>
                </c:pt>
                <c:pt idx="40">
                  <c:v>0.79593048985597736</c:v>
                </c:pt>
                <c:pt idx="41">
                  <c:v>0.79318866767063245</c:v>
                </c:pt>
                <c:pt idx="42">
                  <c:v>0.78009886656140714</c:v>
                </c:pt>
              </c:numCache>
            </c:numRef>
          </c:val>
          <c:smooth val="0"/>
          <c:extLst>
            <c:ext xmlns:c16="http://schemas.microsoft.com/office/drawing/2014/chart" uri="{C3380CC4-5D6E-409C-BE32-E72D297353CC}">
              <c16:uniqueId val="{00000000-EE19-4674-B9E1-83721BF97CDC}"/>
            </c:ext>
          </c:extLst>
        </c:ser>
        <c:dLbls>
          <c:showLegendKey val="0"/>
          <c:showVal val="0"/>
          <c:showCatName val="0"/>
          <c:showSerName val="0"/>
          <c:showPercent val="0"/>
          <c:showBubbleSize val="0"/>
        </c:dLbls>
        <c:smooth val="0"/>
        <c:axId val="166609664"/>
        <c:axId val="166611200"/>
      </c:lineChart>
      <c:catAx>
        <c:axId val="166609664"/>
        <c:scaling>
          <c:orientation val="minMax"/>
          <c:min val="2"/>
        </c:scaling>
        <c:delete val="0"/>
        <c:axPos val="b"/>
        <c:numFmt formatCode="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6611200"/>
        <c:crosses val="autoZero"/>
        <c:auto val="1"/>
        <c:lblAlgn val="ctr"/>
        <c:lblOffset val="100"/>
        <c:tickLblSkip val="2"/>
        <c:noMultiLvlLbl val="1"/>
      </c:catAx>
      <c:valAx>
        <c:axId val="166611200"/>
        <c:scaling>
          <c:orientation val="minMax"/>
          <c:max val="2.5"/>
          <c:min val="0.4"/>
        </c:scaling>
        <c:delete val="0"/>
        <c:axPos val="l"/>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6609664"/>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562107883565166"/>
          <c:y val="0.14350282485875707"/>
          <c:w val="0.78850370408293047"/>
          <c:h val="0.70755320150659129"/>
        </c:manualLayout>
      </c:layout>
      <c:barChart>
        <c:barDir val="col"/>
        <c:grouping val="stacked"/>
        <c:varyColors val="0"/>
        <c:ser>
          <c:idx val="0"/>
          <c:order val="0"/>
          <c:tx>
            <c:v>Tipo de cambio relativo inverso</c:v>
          </c:tx>
          <c:spPr>
            <a:solidFill>
              <a:srgbClr val="C00000"/>
            </a:solidFill>
            <a:ln>
              <a:noFill/>
            </a:ln>
            <a:effectLst/>
          </c:spPr>
          <c:invertIfNegative val="0"/>
          <c:cat>
            <c:numRef>
              <c:f>ITCR!$EF$28:$EF$46</c:f>
              <c:numCache>
                <c:formatCode>0</c:formatCode>
                <c:ptCount val="19"/>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numCache>
            </c:numRef>
          </c:cat>
          <c:val>
            <c:numRef>
              <c:f>ITCR!$EI$28:$EI$46</c:f>
              <c:numCache>
                <c:formatCode>0%</c:formatCode>
                <c:ptCount val="19"/>
                <c:pt idx="0">
                  <c:v>-4.5078064131463202E-2</c:v>
                </c:pt>
                <c:pt idx="1">
                  <c:v>-9.7511731724121198E-2</c:v>
                </c:pt>
                <c:pt idx="2">
                  <c:v>-0.1354747272961021</c:v>
                </c:pt>
                <c:pt idx="3">
                  <c:v>-7.0962617884099521E-2</c:v>
                </c:pt>
                <c:pt idx="4">
                  <c:v>-6.9840291134331767E-2</c:v>
                </c:pt>
                <c:pt idx="5">
                  <c:v>3.8574856447312622E-2</c:v>
                </c:pt>
                <c:pt idx="6">
                  <c:v>-1.9699686246483439E-2</c:v>
                </c:pt>
                <c:pt idx="7">
                  <c:v>1.3426487763727457E-2</c:v>
                </c:pt>
                <c:pt idx="8">
                  <c:v>-4.9611217223386572E-2</c:v>
                </c:pt>
                <c:pt idx="9">
                  <c:v>5.5248187714924679E-3</c:v>
                </c:pt>
                <c:pt idx="10">
                  <c:v>5.6043190416354638E-2</c:v>
                </c:pt>
                <c:pt idx="11" formatCode="_-* #,##0.0_-;\-* #,##0.0_-;_-* &quot;-&quot;?_-;_-@_-">
                  <c:v>-0.12411022211453371</c:v>
                </c:pt>
                <c:pt idx="12">
                  <c:v>-3.2434685910063266E-2</c:v>
                </c:pt>
                <c:pt idx="13">
                  <c:v>-4.2437157731500808E-3</c:v>
                </c:pt>
                <c:pt idx="14">
                  <c:v>-1.1455209936832578E-3</c:v>
                </c:pt>
                <c:pt idx="15">
                  <c:v>-5.2834133570170971E-2</c:v>
                </c:pt>
                <c:pt idx="16" formatCode="0.0%">
                  <c:v>-3.5421278827168501E-2</c:v>
                </c:pt>
                <c:pt idx="17" formatCode="0.0%">
                  <c:v>3.5456012524320513E-2</c:v>
                </c:pt>
                <c:pt idx="18" formatCode="0.0%">
                  <c:v>2.1832692564408562E-2</c:v>
                </c:pt>
              </c:numCache>
            </c:numRef>
          </c:val>
          <c:extLst>
            <c:ext xmlns:c16="http://schemas.microsoft.com/office/drawing/2014/chart" uri="{C3380CC4-5D6E-409C-BE32-E72D297353CC}">
              <c16:uniqueId val="{00000000-143F-468C-902E-B61C1FFF1329}"/>
            </c:ext>
          </c:extLst>
        </c:ser>
        <c:ser>
          <c:idx val="1"/>
          <c:order val="1"/>
          <c:tx>
            <c:v>Precios relativos</c:v>
          </c:tx>
          <c:spPr>
            <a:solidFill>
              <a:schemeClr val="accent5"/>
            </a:solidFill>
            <a:ln>
              <a:noFill/>
            </a:ln>
            <a:effectLst/>
          </c:spPr>
          <c:invertIfNegative val="0"/>
          <c:cat>
            <c:numRef>
              <c:f>ITCR!$EF$28:$EF$46</c:f>
              <c:numCache>
                <c:formatCode>0</c:formatCode>
                <c:ptCount val="19"/>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numCache>
            </c:numRef>
          </c:cat>
          <c:val>
            <c:numRef>
              <c:f>ITCR!$EJ$28:$EJ$46</c:f>
              <c:numCache>
                <c:formatCode>0%</c:formatCode>
                <c:ptCount val="19"/>
                <c:pt idx="0">
                  <c:v>-1.7002918924084565E-2</c:v>
                </c:pt>
                <c:pt idx="1">
                  <c:v>8.7441117685737035E-3</c:v>
                </c:pt>
                <c:pt idx="2">
                  <c:v>7.0209477728973568E-2</c:v>
                </c:pt>
                <c:pt idx="3">
                  <c:v>5.3886424270282451E-2</c:v>
                </c:pt>
                <c:pt idx="4">
                  <c:v>1.3130164245198306E-2</c:v>
                </c:pt>
                <c:pt idx="5">
                  <c:v>3.1769292349803635E-3</c:v>
                </c:pt>
                <c:pt idx="6">
                  <c:v>-1.7626986633146879E-3</c:v>
                </c:pt>
                <c:pt idx="7">
                  <c:v>-6.4941707280028127E-2</c:v>
                </c:pt>
                <c:pt idx="8">
                  <c:v>2.1888008237990864E-2</c:v>
                </c:pt>
                <c:pt idx="9">
                  <c:v>-4.1964836214618773E-2</c:v>
                </c:pt>
                <c:pt idx="10">
                  <c:v>-9.6827499161478703E-2</c:v>
                </c:pt>
                <c:pt idx="11">
                  <c:v>6.3684095926750284E-2</c:v>
                </c:pt>
                <c:pt idx="12">
                  <c:v>-2.669940630147305E-2</c:v>
                </c:pt>
                <c:pt idx="13">
                  <c:v>-5.7876494396086442E-2</c:v>
                </c:pt>
                <c:pt idx="14">
                  <c:v>8.2021088224509819E-3</c:v>
                </c:pt>
                <c:pt idx="15">
                  <c:v>4.7718722609244035E-2</c:v>
                </c:pt>
                <c:pt idx="16" formatCode="0.0%">
                  <c:v>-4.4010593701424572E-3</c:v>
                </c:pt>
                <c:pt idx="17" formatCode="0.0%">
                  <c:v>-3.868261637728776E-2</c:v>
                </c:pt>
                <c:pt idx="18" formatCode="0.0%">
                  <c:v>-3.9956520656988737E-2</c:v>
                </c:pt>
              </c:numCache>
            </c:numRef>
          </c:val>
          <c:extLst>
            <c:ext xmlns:c16="http://schemas.microsoft.com/office/drawing/2014/chart" uri="{C3380CC4-5D6E-409C-BE32-E72D297353CC}">
              <c16:uniqueId val="{00000001-143F-468C-902E-B61C1FFF1329}"/>
            </c:ext>
          </c:extLst>
        </c:ser>
        <c:dLbls>
          <c:showLegendKey val="0"/>
          <c:showVal val="0"/>
          <c:showCatName val="0"/>
          <c:showSerName val="0"/>
          <c:showPercent val="0"/>
          <c:showBubbleSize val="0"/>
        </c:dLbls>
        <c:gapWidth val="150"/>
        <c:overlap val="100"/>
        <c:axId val="166642816"/>
        <c:axId val="166644352"/>
      </c:barChart>
      <c:lineChart>
        <c:grouping val="standard"/>
        <c:varyColors val="0"/>
        <c:ser>
          <c:idx val="2"/>
          <c:order val="2"/>
          <c:tx>
            <c:v>Ap. O dep. del ITCR</c:v>
          </c:tx>
          <c:spPr>
            <a:ln w="28575" cap="rnd">
              <a:solidFill>
                <a:schemeClr val="accent4"/>
              </a:solidFill>
              <a:round/>
            </a:ln>
            <a:effectLst/>
          </c:spPr>
          <c:marker>
            <c:symbol val="none"/>
          </c:marker>
          <c:val>
            <c:numRef>
              <c:f>ITCR!$EN$28:$EN$46</c:f>
              <c:numCache>
                <c:formatCode>0.0%</c:formatCode>
                <c:ptCount val="19"/>
                <c:pt idx="0">
                  <c:v>-6.0193224715027749E-2</c:v>
                </c:pt>
                <c:pt idx="1">
                  <c:v>-8.4941809867527751E-2</c:v>
                </c:pt>
                <c:pt idx="2">
                  <c:v>-6.3181060399758349E-2</c:v>
                </c:pt>
                <c:pt idx="3">
                  <c:v>-1.6931221781592787E-2</c:v>
                </c:pt>
                <c:pt idx="4">
                  <c:v>-5.5132078522819317E-2</c:v>
                </c:pt>
                <c:pt idx="5">
                  <c:v>4.263564953316723E-2</c:v>
                </c:pt>
                <c:pt idx="6">
                  <c:v>-2.1233706840865674E-2</c:v>
                </c:pt>
                <c:pt idx="7">
                  <c:v>-5.0210805479930731E-2</c:v>
                </c:pt>
                <c:pt idx="8">
                  <c:v>-2.7342447583755591E-2</c:v>
                </c:pt>
                <c:pt idx="9">
                  <c:v>-3.578407170146336E-2</c:v>
                </c:pt>
                <c:pt idx="10">
                  <c:v>-3.9963820974161068E-2</c:v>
                </c:pt>
                <c:pt idx="11">
                  <c:v>-5.8636691453918033E-2</c:v>
                </c:pt>
                <c:pt idx="12">
                  <c:v>-5.7419632003511745E-2</c:v>
                </c:pt>
                <c:pt idx="13">
                  <c:v>-6.0230089899185102E-2</c:v>
                </c:pt>
                <c:pt idx="14">
                  <c:v>7.0815442124285699E-3</c:v>
                </c:pt>
                <c:pt idx="15">
                  <c:v>-5.1023495273017083E-3</c:v>
                </c:pt>
                <c:pt idx="16">
                  <c:v>-3.9039850099971796E-2</c:v>
                </c:pt>
                <c:pt idx="17">
                  <c:v>-3.2214039609225198E-3</c:v>
                </c:pt>
                <c:pt idx="18">
                  <c:v>-1.7960579239321373E-2</c:v>
                </c:pt>
              </c:numCache>
            </c:numRef>
          </c:val>
          <c:smooth val="0"/>
          <c:extLst>
            <c:ext xmlns:c16="http://schemas.microsoft.com/office/drawing/2014/chart" uri="{C3380CC4-5D6E-409C-BE32-E72D297353CC}">
              <c16:uniqueId val="{00000002-143F-468C-902E-B61C1FFF1329}"/>
            </c:ext>
          </c:extLst>
        </c:ser>
        <c:dLbls>
          <c:showLegendKey val="0"/>
          <c:showVal val="0"/>
          <c:showCatName val="0"/>
          <c:showSerName val="0"/>
          <c:showPercent val="0"/>
          <c:showBubbleSize val="0"/>
        </c:dLbls>
        <c:marker val="1"/>
        <c:smooth val="0"/>
        <c:axId val="166642816"/>
        <c:axId val="166644352"/>
      </c:lineChart>
      <c:catAx>
        <c:axId val="166642816"/>
        <c:scaling>
          <c:orientation val="minMax"/>
        </c:scaling>
        <c:delete val="0"/>
        <c:axPos val="b"/>
        <c:numFmt formatCode="0"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6644352"/>
        <c:crosses val="autoZero"/>
        <c:auto val="1"/>
        <c:lblAlgn val="ctr"/>
        <c:lblOffset val="100"/>
        <c:noMultiLvlLbl val="0"/>
      </c:catAx>
      <c:valAx>
        <c:axId val="166644352"/>
        <c:scaling>
          <c:orientation val="minMax"/>
          <c:min val="-0.15000000000000002"/>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6642816"/>
        <c:crosses val="autoZero"/>
        <c:crossBetween val="between"/>
      </c:valAx>
      <c:spPr>
        <a:noFill/>
        <a:ln>
          <a:noFill/>
        </a:ln>
        <a:effectLst/>
      </c:spPr>
    </c:plotArea>
    <c:legend>
      <c:legendPos val="b"/>
      <c:layout>
        <c:manualLayout>
          <c:xMode val="edge"/>
          <c:yMode val="edge"/>
          <c:x val="0.10409828918644563"/>
          <c:y val="1.8253295668549912E-3"/>
          <c:w val="0.89590171081355441"/>
          <c:h val="0.10726129943502825"/>
        </c:manualLayout>
      </c:layout>
      <c:overlay val="0"/>
      <c:spPr>
        <a:noFill/>
        <a:ln>
          <a:noFill/>
        </a:ln>
        <a:effectLst/>
      </c:spPr>
      <c:txPr>
        <a:bodyPr rot="0" spcFirstLastPara="1" vertOverflow="ellipsis" vert="horz" wrap="square" anchor="ctr" anchorCtr="1"/>
        <a:lstStyle/>
        <a:p>
          <a:pPr>
            <a:defRPr sz="5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806665567024629"/>
          <c:y val="0.10843424070227206"/>
          <c:w val="0.78255076439590587"/>
          <c:h val="0.69475178793556336"/>
        </c:manualLayout>
      </c:layout>
      <c:barChart>
        <c:barDir val="col"/>
        <c:grouping val="clustered"/>
        <c:varyColors val="0"/>
        <c:ser>
          <c:idx val="0"/>
          <c:order val="0"/>
          <c:tx>
            <c:strRef>
              <c:f>grafico_imae!$E$3</c:f>
              <c:strCache>
                <c:ptCount val="1"/>
                <c:pt idx="0">
                  <c:v>Demanda de energia </c:v>
                </c:pt>
              </c:strCache>
            </c:strRef>
          </c:tx>
          <c:spPr>
            <a:solidFill>
              <a:schemeClr val="tx2">
                <a:lumMod val="75000"/>
              </a:schemeClr>
            </a:solidFill>
            <a:ln>
              <a:noFill/>
            </a:ln>
            <a:effectLst/>
          </c:spPr>
          <c:invertIfNegative val="0"/>
          <c:dLbls>
            <c:dLbl>
              <c:idx val="24"/>
              <c:layout>
                <c:manualLayout>
                  <c:x val="3.5280452126505137E-2"/>
                  <c:y val="2.3531291167257377E-2"/>
                </c:manualLayout>
              </c:layout>
              <c:spPr>
                <a:noFill/>
                <a:ln>
                  <a:noFill/>
                </a:ln>
                <a:effectLst/>
              </c:spPr>
              <c:txPr>
                <a:bodyPr rot="0" spcFirstLastPara="1" vertOverflow="ellipsis" vert="horz" wrap="square" anchor="ctr" anchorCtr="1"/>
                <a:lstStyle/>
                <a:p>
                  <a:pPr>
                    <a:defRPr sz="10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9D9-452D-96B7-E65BB98406B3}"/>
                </c:ext>
              </c:extLst>
            </c:dLbl>
            <c:spPr>
              <a:noFill/>
              <a:ln>
                <a:noFill/>
              </a:ln>
              <a:effectLst/>
            </c:spPr>
            <c:txPr>
              <a:bodyPr rot="0" spcFirstLastPara="1" vertOverflow="ellipsis" vert="horz" wrap="square" anchor="ctr" anchorCtr="1"/>
              <a:lstStyle/>
              <a:p>
                <a:pPr>
                  <a:defRPr sz="1000" b="1" i="0" u="none" strike="noStrike" kern="1200" baseline="0">
                    <a:solidFill>
                      <a:schemeClr val="tx2">
                        <a:lumMod val="40000"/>
                        <a:lumOff val="60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grafico_imae!$C$4:$C$28</c:f>
              <c:numCache>
                <c:formatCode>mmm\-yy</c:formatCode>
                <c:ptCount val="25"/>
                <c:pt idx="0">
                  <c:v>44348</c:v>
                </c:pt>
                <c:pt idx="1">
                  <c:v>44378</c:v>
                </c:pt>
                <c:pt idx="2">
                  <c:v>44409</c:v>
                </c:pt>
                <c:pt idx="3">
                  <c:v>44440</c:v>
                </c:pt>
                <c:pt idx="4">
                  <c:v>44470</c:v>
                </c:pt>
                <c:pt idx="5">
                  <c:v>44501</c:v>
                </c:pt>
                <c:pt idx="6">
                  <c:v>44531</c:v>
                </c:pt>
                <c:pt idx="7">
                  <c:v>44562</c:v>
                </c:pt>
                <c:pt idx="8">
                  <c:v>44593</c:v>
                </c:pt>
                <c:pt idx="9">
                  <c:v>44621</c:v>
                </c:pt>
                <c:pt idx="10">
                  <c:v>44652</c:v>
                </c:pt>
                <c:pt idx="11">
                  <c:v>44682</c:v>
                </c:pt>
                <c:pt idx="12">
                  <c:v>44713</c:v>
                </c:pt>
                <c:pt idx="13">
                  <c:v>44743</c:v>
                </c:pt>
                <c:pt idx="14">
                  <c:v>44774</c:v>
                </c:pt>
                <c:pt idx="15">
                  <c:v>44805</c:v>
                </c:pt>
                <c:pt idx="16">
                  <c:v>44835</c:v>
                </c:pt>
                <c:pt idx="17">
                  <c:v>44866</c:v>
                </c:pt>
                <c:pt idx="18">
                  <c:v>44896</c:v>
                </c:pt>
                <c:pt idx="19">
                  <c:v>44927</c:v>
                </c:pt>
                <c:pt idx="20">
                  <c:v>44958</c:v>
                </c:pt>
                <c:pt idx="21">
                  <c:v>44986</c:v>
                </c:pt>
                <c:pt idx="22">
                  <c:v>45017</c:v>
                </c:pt>
                <c:pt idx="23">
                  <c:v>45047</c:v>
                </c:pt>
                <c:pt idx="24">
                  <c:v>45078</c:v>
                </c:pt>
              </c:numCache>
            </c:numRef>
          </c:cat>
          <c:val>
            <c:numRef>
              <c:f>grafico_imae!$E$4:$E$28</c:f>
              <c:numCache>
                <c:formatCode>_-* #,##0.0_-;\-* #,##0.0_-;_-* "-"??_-;_-@_-</c:formatCode>
                <c:ptCount val="25"/>
                <c:pt idx="0">
                  <c:v>14.058376996340005</c:v>
                </c:pt>
                <c:pt idx="1">
                  <c:v>11.40243503472802</c:v>
                </c:pt>
                <c:pt idx="2">
                  <c:v>6.4118808182506815</c:v>
                </c:pt>
                <c:pt idx="3">
                  <c:v>5.4685145666252488</c:v>
                </c:pt>
                <c:pt idx="4">
                  <c:v>5.9111835837012405</c:v>
                </c:pt>
                <c:pt idx="5">
                  <c:v>6.0828040600644062</c:v>
                </c:pt>
                <c:pt idx="6">
                  <c:v>7.2029499331135005</c:v>
                </c:pt>
                <c:pt idx="7">
                  <c:v>5.1659014888148835</c:v>
                </c:pt>
                <c:pt idx="8">
                  <c:v>2.7291211070485932</c:v>
                </c:pt>
                <c:pt idx="9">
                  <c:v>4.4919112266257555</c:v>
                </c:pt>
                <c:pt idx="10">
                  <c:v>3.7872253801352951</c:v>
                </c:pt>
                <c:pt idx="11">
                  <c:v>5.6956100625612738</c:v>
                </c:pt>
                <c:pt idx="12">
                  <c:v>1.5416402737009394</c:v>
                </c:pt>
                <c:pt idx="13">
                  <c:v>1.5553241502564319</c:v>
                </c:pt>
                <c:pt idx="14">
                  <c:v>4.3057402497026054</c:v>
                </c:pt>
                <c:pt idx="15">
                  <c:v>2.7769991351872525</c:v>
                </c:pt>
                <c:pt idx="16">
                  <c:v>1.0850780392868575</c:v>
                </c:pt>
                <c:pt idx="17">
                  <c:v>5.0346621758384336</c:v>
                </c:pt>
                <c:pt idx="18">
                  <c:v>0.86501379886461116</c:v>
                </c:pt>
                <c:pt idx="19">
                  <c:v>3.1426132229567028</c:v>
                </c:pt>
                <c:pt idx="20">
                  <c:v>3.6826920095363702</c:v>
                </c:pt>
                <c:pt idx="21">
                  <c:v>4.5981535941836071</c:v>
                </c:pt>
                <c:pt idx="22">
                  <c:v>3.3237074188051885</c:v>
                </c:pt>
                <c:pt idx="23">
                  <c:v>7.2274218571193094</c:v>
                </c:pt>
                <c:pt idx="24">
                  <c:v>10.101996739603436</c:v>
                </c:pt>
              </c:numCache>
            </c:numRef>
          </c:val>
          <c:extLst>
            <c:ext xmlns:c16="http://schemas.microsoft.com/office/drawing/2014/chart" uri="{C3380CC4-5D6E-409C-BE32-E72D297353CC}">
              <c16:uniqueId val="{00000001-D9D9-452D-96B7-E65BB98406B3}"/>
            </c:ext>
          </c:extLst>
        </c:ser>
        <c:dLbls>
          <c:showLegendKey val="0"/>
          <c:showVal val="0"/>
          <c:showCatName val="0"/>
          <c:showSerName val="0"/>
          <c:showPercent val="0"/>
          <c:showBubbleSize val="0"/>
        </c:dLbls>
        <c:gapWidth val="30"/>
        <c:axId val="611172703"/>
        <c:axId val="619598079"/>
      </c:barChart>
      <c:lineChart>
        <c:grouping val="standard"/>
        <c:varyColors val="0"/>
        <c:ser>
          <c:idx val="1"/>
          <c:order val="1"/>
          <c:tx>
            <c:strRef>
              <c:f>grafico_imae!$D$3</c:f>
              <c:strCache>
                <c:ptCount val="1"/>
                <c:pt idx="0">
                  <c:v>Variacion interanual</c:v>
                </c:pt>
              </c:strCache>
            </c:strRef>
          </c:tx>
          <c:spPr>
            <a:ln w="28575" cap="rnd">
              <a:solidFill>
                <a:schemeClr val="tx2">
                  <a:lumMod val="60000"/>
                  <a:lumOff val="40000"/>
                </a:schemeClr>
              </a:solidFill>
              <a:round/>
            </a:ln>
            <a:effectLst/>
          </c:spPr>
          <c:marker>
            <c:symbol val="none"/>
          </c:marker>
          <c:dLbls>
            <c:dLbl>
              <c:idx val="24"/>
              <c:layout>
                <c:manualLayout>
                  <c:x val="-4.404239988193317E-3"/>
                  <c:y val="5.911647107034290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9D9-452D-96B7-E65BB98406B3}"/>
                </c:ext>
              </c:extLst>
            </c:dLbl>
            <c:spPr>
              <a:noFill/>
              <a:ln>
                <a:noFill/>
              </a:ln>
              <a:effectLst/>
            </c:spPr>
            <c:txPr>
              <a:bodyPr rot="0" spcFirstLastPara="1" vertOverflow="ellipsis" vert="horz" wrap="square" anchor="ctr" anchorCtr="1"/>
              <a:lstStyle/>
              <a:p>
                <a:pPr>
                  <a:defRPr sz="1000" b="1" i="0" u="none" strike="noStrike" kern="1200" baseline="0">
                    <a:solidFill>
                      <a:schemeClr val="tx2">
                        <a:lumMod val="60000"/>
                        <a:lumOff val="40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grafico_imae!$C$4:$C$28</c:f>
              <c:numCache>
                <c:formatCode>mmm\-yy</c:formatCode>
                <c:ptCount val="25"/>
                <c:pt idx="0">
                  <c:v>44348</c:v>
                </c:pt>
                <c:pt idx="1">
                  <c:v>44378</c:v>
                </c:pt>
                <c:pt idx="2">
                  <c:v>44409</c:v>
                </c:pt>
                <c:pt idx="3">
                  <c:v>44440</c:v>
                </c:pt>
                <c:pt idx="4">
                  <c:v>44470</c:v>
                </c:pt>
                <c:pt idx="5">
                  <c:v>44501</c:v>
                </c:pt>
                <c:pt idx="6">
                  <c:v>44531</c:v>
                </c:pt>
                <c:pt idx="7">
                  <c:v>44562</c:v>
                </c:pt>
                <c:pt idx="8">
                  <c:v>44593</c:v>
                </c:pt>
                <c:pt idx="9">
                  <c:v>44621</c:v>
                </c:pt>
                <c:pt idx="10">
                  <c:v>44652</c:v>
                </c:pt>
                <c:pt idx="11">
                  <c:v>44682</c:v>
                </c:pt>
                <c:pt idx="12">
                  <c:v>44713</c:v>
                </c:pt>
                <c:pt idx="13">
                  <c:v>44743</c:v>
                </c:pt>
                <c:pt idx="14">
                  <c:v>44774</c:v>
                </c:pt>
                <c:pt idx="15">
                  <c:v>44805</c:v>
                </c:pt>
                <c:pt idx="16">
                  <c:v>44835</c:v>
                </c:pt>
                <c:pt idx="17">
                  <c:v>44866</c:v>
                </c:pt>
                <c:pt idx="18">
                  <c:v>44896</c:v>
                </c:pt>
                <c:pt idx="19">
                  <c:v>44927</c:v>
                </c:pt>
                <c:pt idx="20">
                  <c:v>44958</c:v>
                </c:pt>
                <c:pt idx="21">
                  <c:v>44986</c:v>
                </c:pt>
                <c:pt idx="22">
                  <c:v>45017</c:v>
                </c:pt>
                <c:pt idx="23">
                  <c:v>45047</c:v>
                </c:pt>
                <c:pt idx="24">
                  <c:v>45078</c:v>
                </c:pt>
              </c:numCache>
            </c:numRef>
          </c:cat>
          <c:val>
            <c:numRef>
              <c:f>grafico_imae!$D$4:$D$28</c:f>
              <c:numCache>
                <c:formatCode>_-* #,##0.0_-;\-* #,##0.0_-;_-* "-"??_-;_-@_-</c:formatCode>
                <c:ptCount val="25"/>
                <c:pt idx="0">
                  <c:v>14.246031283944482</c:v>
                </c:pt>
                <c:pt idx="1">
                  <c:v>10.819966740397135</c:v>
                </c:pt>
                <c:pt idx="2">
                  <c:v>7.8343002834558639</c:v>
                </c:pt>
                <c:pt idx="3">
                  <c:v>5.9535411432966256</c:v>
                </c:pt>
                <c:pt idx="4">
                  <c:v>4.4073613460958283</c:v>
                </c:pt>
                <c:pt idx="5">
                  <c:v>6.0098444336249779</c:v>
                </c:pt>
                <c:pt idx="6">
                  <c:v>4.1962368832671793</c:v>
                </c:pt>
                <c:pt idx="7">
                  <c:v>4.891922689502004</c:v>
                </c:pt>
                <c:pt idx="8">
                  <c:v>4.7280155714166217</c:v>
                </c:pt>
                <c:pt idx="9">
                  <c:v>4.6782552286352974</c:v>
                </c:pt>
                <c:pt idx="10">
                  <c:v>4.5944995001222733</c:v>
                </c:pt>
                <c:pt idx="11">
                  <c:v>4.7215994989845189</c:v>
                </c:pt>
                <c:pt idx="12">
                  <c:v>4.0462905800865201</c:v>
                </c:pt>
                <c:pt idx="13">
                  <c:v>3.1211906102431186</c:v>
                </c:pt>
                <c:pt idx="14">
                  <c:v>4.3768606944059263</c:v>
                </c:pt>
                <c:pt idx="15">
                  <c:v>3.8493642983059573</c:v>
                </c:pt>
                <c:pt idx="16">
                  <c:v>3.6925685922272633</c:v>
                </c:pt>
                <c:pt idx="17">
                  <c:v>3.4919917139403012</c:v>
                </c:pt>
                <c:pt idx="18">
                  <c:v>3.3368796975129289</c:v>
                </c:pt>
                <c:pt idx="19">
                  <c:v>3.0647284177152567</c:v>
                </c:pt>
                <c:pt idx="20">
                  <c:v>4.3552734708346197</c:v>
                </c:pt>
                <c:pt idx="21">
                  <c:v>3.7315122940338119</c:v>
                </c:pt>
                <c:pt idx="22">
                  <c:v>3.360520610434814</c:v>
                </c:pt>
                <c:pt idx="23">
                  <c:v>3.4776039616817522</c:v>
                </c:pt>
                <c:pt idx="24">
                  <c:v>4.4430055596271112</c:v>
                </c:pt>
              </c:numCache>
            </c:numRef>
          </c:val>
          <c:smooth val="0"/>
          <c:extLst>
            <c:ext xmlns:c16="http://schemas.microsoft.com/office/drawing/2014/chart" uri="{C3380CC4-5D6E-409C-BE32-E72D297353CC}">
              <c16:uniqueId val="{00000003-D9D9-452D-96B7-E65BB98406B3}"/>
            </c:ext>
          </c:extLst>
        </c:ser>
        <c:dLbls>
          <c:showLegendKey val="0"/>
          <c:showVal val="0"/>
          <c:showCatName val="0"/>
          <c:showSerName val="0"/>
          <c:showPercent val="0"/>
          <c:showBubbleSize val="0"/>
        </c:dLbls>
        <c:marker val="1"/>
        <c:smooth val="0"/>
        <c:axId val="611172703"/>
        <c:axId val="619598079"/>
      </c:lineChart>
      <c:dateAx>
        <c:axId val="611172703"/>
        <c:scaling>
          <c:orientation val="minMax"/>
        </c:scaling>
        <c:delete val="0"/>
        <c:axPos val="b"/>
        <c:numFmt formatCode="mmm\-yy"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619598079"/>
        <c:crosses val="autoZero"/>
        <c:auto val="1"/>
        <c:lblOffset val="100"/>
        <c:baseTimeUnit val="months"/>
      </c:dateAx>
      <c:valAx>
        <c:axId val="619598079"/>
        <c:scaling>
          <c:orientation val="minMax"/>
          <c:max val="15"/>
        </c:scaling>
        <c:delete val="0"/>
        <c:axPos val="l"/>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611172703"/>
        <c:crosses val="autoZero"/>
        <c:crossBetween val="between"/>
        <c:majorUnit val="5"/>
      </c:valAx>
      <c:spPr>
        <a:noFill/>
        <a:ln>
          <a:noFill/>
        </a:ln>
        <a:effectLst/>
      </c:spPr>
    </c:plotArea>
    <c:legend>
      <c:legendPos val="t"/>
      <c:layout>
        <c:manualLayout>
          <c:xMode val="edge"/>
          <c:yMode val="edge"/>
          <c:x val="4.9999913186154925E-2"/>
          <c:y val="0"/>
          <c:w val="0.89999982637230991"/>
          <c:h val="0.1158076036261833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077051929443712E-2"/>
          <c:y val="0"/>
          <c:w val="0.882420832621298"/>
          <c:h val="0.77680699555832655"/>
        </c:manualLayout>
      </c:layout>
      <c:lineChart>
        <c:grouping val="standard"/>
        <c:varyColors val="0"/>
        <c:ser>
          <c:idx val="0"/>
          <c:order val="0"/>
          <c:spPr>
            <a:ln w="28575" cap="rnd">
              <a:solidFill>
                <a:schemeClr val="tx2">
                  <a:lumMod val="50000"/>
                </a:schemeClr>
              </a:solidFill>
              <a:round/>
            </a:ln>
            <a:effectLst/>
          </c:spPr>
          <c:marker>
            <c:symbol val="none"/>
          </c:marker>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2AE-4832-8D14-ECE1408F4D89}"/>
                </c:ext>
              </c:extLst>
            </c:dLbl>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2AE-4832-8D14-ECE1408F4D89}"/>
                </c:ext>
              </c:extLst>
            </c:dLbl>
            <c:dLbl>
              <c:idx val="17"/>
              <c:layout>
                <c:manualLayout>
                  <c:x val="-3.5178359044700527E-2"/>
                  <c:y val="6.24948197264815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2AE-4832-8D14-ECE1408F4D89}"/>
                </c:ext>
              </c:extLst>
            </c:dLbl>
            <c:dLbl>
              <c:idx val="24"/>
              <c:layout>
                <c:manualLayout>
                  <c:x val="-8.23045267489712E-3"/>
                  <c:y val="-2.72108843537414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2AE-4832-8D14-ECE1408F4D8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grafico_inflacion!$C$34:$C$58</c:f>
              <c:numCache>
                <c:formatCode>mmm\-yy</c:formatCode>
                <c:ptCount val="25"/>
                <c:pt idx="0">
                  <c:v>44348</c:v>
                </c:pt>
                <c:pt idx="1">
                  <c:v>44378</c:v>
                </c:pt>
                <c:pt idx="2">
                  <c:v>44409</c:v>
                </c:pt>
                <c:pt idx="3">
                  <c:v>44440</c:v>
                </c:pt>
                <c:pt idx="4">
                  <c:v>44470</c:v>
                </c:pt>
                <c:pt idx="5">
                  <c:v>44501</c:v>
                </c:pt>
                <c:pt idx="6">
                  <c:v>44531</c:v>
                </c:pt>
                <c:pt idx="7">
                  <c:v>44562</c:v>
                </c:pt>
                <c:pt idx="8">
                  <c:v>44593</c:v>
                </c:pt>
                <c:pt idx="9">
                  <c:v>44621</c:v>
                </c:pt>
                <c:pt idx="10">
                  <c:v>44652</c:v>
                </c:pt>
                <c:pt idx="11">
                  <c:v>44682</c:v>
                </c:pt>
                <c:pt idx="12">
                  <c:v>44713</c:v>
                </c:pt>
                <c:pt idx="13">
                  <c:v>44743</c:v>
                </c:pt>
                <c:pt idx="14">
                  <c:v>44774</c:v>
                </c:pt>
                <c:pt idx="15">
                  <c:v>44805</c:v>
                </c:pt>
                <c:pt idx="16">
                  <c:v>44835</c:v>
                </c:pt>
                <c:pt idx="17">
                  <c:v>44866</c:v>
                </c:pt>
                <c:pt idx="18">
                  <c:v>44896</c:v>
                </c:pt>
                <c:pt idx="19">
                  <c:v>44927</c:v>
                </c:pt>
                <c:pt idx="20">
                  <c:v>44958</c:v>
                </c:pt>
                <c:pt idx="21">
                  <c:v>44986</c:v>
                </c:pt>
                <c:pt idx="22">
                  <c:v>45017</c:v>
                </c:pt>
                <c:pt idx="23">
                  <c:v>45047</c:v>
                </c:pt>
                <c:pt idx="24">
                  <c:v>45078</c:v>
                </c:pt>
              </c:numCache>
            </c:numRef>
          </c:cat>
          <c:val>
            <c:numRef>
              <c:f>grafico_inflacion!$D$34:$D$58</c:f>
              <c:numCache>
                <c:formatCode>0.0</c:formatCode>
                <c:ptCount val="25"/>
                <c:pt idx="0">
                  <c:v>76.069999999999993</c:v>
                </c:pt>
                <c:pt idx="1">
                  <c:v>70.36</c:v>
                </c:pt>
                <c:pt idx="2">
                  <c:v>69.349999999999994</c:v>
                </c:pt>
                <c:pt idx="3">
                  <c:v>69.89</c:v>
                </c:pt>
                <c:pt idx="4">
                  <c:v>69.739999999999995</c:v>
                </c:pt>
                <c:pt idx="5">
                  <c:v>78.010000000000005</c:v>
                </c:pt>
                <c:pt idx="6">
                  <c:v>78.75</c:v>
                </c:pt>
                <c:pt idx="7">
                  <c:v>80.12</c:v>
                </c:pt>
                <c:pt idx="8">
                  <c:v>74.75</c:v>
                </c:pt>
                <c:pt idx="9">
                  <c:v>71.11</c:v>
                </c:pt>
                <c:pt idx="10">
                  <c:v>70.63</c:v>
                </c:pt>
                <c:pt idx="11">
                  <c:v>64.5</c:v>
                </c:pt>
                <c:pt idx="12">
                  <c:v>54</c:v>
                </c:pt>
                <c:pt idx="13">
                  <c:v>50.53</c:v>
                </c:pt>
                <c:pt idx="14">
                  <c:v>46.09</c:v>
                </c:pt>
                <c:pt idx="15">
                  <c:v>49.58</c:v>
                </c:pt>
                <c:pt idx="16">
                  <c:v>45.33</c:v>
                </c:pt>
                <c:pt idx="17">
                  <c:v>50.29</c:v>
                </c:pt>
                <c:pt idx="18">
                  <c:v>50.3</c:v>
                </c:pt>
                <c:pt idx="19">
                  <c:v>48.13</c:v>
                </c:pt>
                <c:pt idx="20">
                  <c:v>52.15</c:v>
                </c:pt>
                <c:pt idx="21">
                  <c:v>50.72</c:v>
                </c:pt>
                <c:pt idx="22">
                  <c:v>50.27</c:v>
                </c:pt>
                <c:pt idx="23">
                  <c:v>50</c:v>
                </c:pt>
                <c:pt idx="24">
                  <c:v>53.89</c:v>
                </c:pt>
              </c:numCache>
            </c:numRef>
          </c:val>
          <c:smooth val="0"/>
          <c:extLst>
            <c:ext xmlns:c16="http://schemas.microsoft.com/office/drawing/2014/chart" uri="{C3380CC4-5D6E-409C-BE32-E72D297353CC}">
              <c16:uniqueId val="{00000004-62AE-4832-8D14-ECE1408F4D89}"/>
            </c:ext>
          </c:extLst>
        </c:ser>
        <c:dLbls>
          <c:showLegendKey val="0"/>
          <c:showVal val="0"/>
          <c:showCatName val="0"/>
          <c:showSerName val="0"/>
          <c:showPercent val="0"/>
          <c:showBubbleSize val="0"/>
        </c:dLbls>
        <c:smooth val="0"/>
        <c:axId val="1038866719"/>
        <c:axId val="1038872959"/>
      </c:lineChart>
      <c:dateAx>
        <c:axId val="1038866719"/>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038872959"/>
        <c:crosses val="autoZero"/>
        <c:auto val="1"/>
        <c:lblOffset val="100"/>
        <c:baseTimeUnit val="months"/>
      </c:dateAx>
      <c:valAx>
        <c:axId val="1038872959"/>
        <c:scaling>
          <c:orientation val="minMax"/>
        </c:scaling>
        <c:delete val="1"/>
        <c:axPos val="l"/>
        <c:numFmt formatCode="0.0" sourceLinked="1"/>
        <c:majorTickMark val="none"/>
        <c:minorTickMark val="none"/>
        <c:tickLblPos val="nextTo"/>
        <c:crossAx val="10388667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6013594815393523E-4"/>
          <c:y val="1.7876839100291753E-2"/>
          <c:w val="0.99927972810369192"/>
          <c:h val="0.78839225774069077"/>
        </c:manualLayout>
      </c:layout>
      <c:barChart>
        <c:barDir val="col"/>
        <c:grouping val="clustered"/>
        <c:varyColors val="0"/>
        <c:ser>
          <c:idx val="0"/>
          <c:order val="0"/>
          <c:tx>
            <c:strRef>
              <c:f>pib_gasto!$D$23</c:f>
              <c:strCache>
                <c:ptCount val="1"/>
                <c:pt idx="0">
                  <c:v>2022 p/</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pib_gasto!$B$24:$B$28</c:f>
              <c:strCache>
                <c:ptCount val="5"/>
                <c:pt idx="0">
                  <c:v>Consumo hogares</c:v>
                </c:pt>
                <c:pt idx="1">
                  <c:v>Consumo Gobierno General</c:v>
                </c:pt>
                <c:pt idx="2">
                  <c:v>Formacion Bruta de Capital</c:v>
                </c:pt>
                <c:pt idx="3">
                  <c:v>Exportaciones</c:v>
                </c:pt>
                <c:pt idx="4">
                  <c:v>Importaciones</c:v>
                </c:pt>
              </c:strCache>
            </c:strRef>
          </c:cat>
          <c:val>
            <c:numRef>
              <c:f>pib_gasto!$D$24:$D$28</c:f>
              <c:numCache>
                <c:formatCode>#,##0.0</c:formatCode>
                <c:ptCount val="5"/>
                <c:pt idx="0">
                  <c:v>4.2427939681131761</c:v>
                </c:pt>
                <c:pt idx="1">
                  <c:v>7.2020152104266657</c:v>
                </c:pt>
                <c:pt idx="2">
                  <c:v>3.4705100480981343</c:v>
                </c:pt>
                <c:pt idx="3">
                  <c:v>5.4395414682647498</c:v>
                </c:pt>
                <c:pt idx="4">
                  <c:v>0.29009603911578097</c:v>
                </c:pt>
              </c:numCache>
            </c:numRef>
          </c:val>
          <c:extLst>
            <c:ext xmlns:c16="http://schemas.microsoft.com/office/drawing/2014/chart" uri="{C3380CC4-5D6E-409C-BE32-E72D297353CC}">
              <c16:uniqueId val="{00000000-2BAB-45E2-B32F-467EC972A813}"/>
            </c:ext>
          </c:extLst>
        </c:ser>
        <c:ser>
          <c:idx val="1"/>
          <c:order val="1"/>
          <c:tx>
            <c:strRef>
              <c:f>pib_gasto!$E$23</c:f>
              <c:strCache>
                <c:ptCount val="1"/>
                <c:pt idx="0">
                  <c:v>2023 py/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pib_gasto!$B$24:$B$28</c:f>
              <c:strCache>
                <c:ptCount val="5"/>
                <c:pt idx="0">
                  <c:v>Consumo hogares</c:v>
                </c:pt>
                <c:pt idx="1">
                  <c:v>Consumo Gobierno General</c:v>
                </c:pt>
                <c:pt idx="2">
                  <c:v>Formacion Bruta de Capital</c:v>
                </c:pt>
                <c:pt idx="3">
                  <c:v>Exportaciones</c:v>
                </c:pt>
                <c:pt idx="4">
                  <c:v>Importaciones</c:v>
                </c:pt>
              </c:strCache>
            </c:strRef>
          </c:cat>
          <c:val>
            <c:numRef>
              <c:f>pib_gasto!$E$24:$E$28</c:f>
              <c:numCache>
                <c:formatCode>#,##0.0</c:formatCode>
                <c:ptCount val="5"/>
                <c:pt idx="0">
                  <c:v>3.564074685649615</c:v>
                </c:pt>
                <c:pt idx="1">
                  <c:v>2.8418316690320751</c:v>
                </c:pt>
                <c:pt idx="2">
                  <c:v>4.4521277281681222</c:v>
                </c:pt>
                <c:pt idx="3">
                  <c:v>3.7084430038601539</c:v>
                </c:pt>
                <c:pt idx="4">
                  <c:v>3.276567514338609</c:v>
                </c:pt>
              </c:numCache>
            </c:numRef>
          </c:val>
          <c:extLst>
            <c:ext xmlns:c16="http://schemas.microsoft.com/office/drawing/2014/chart" uri="{C3380CC4-5D6E-409C-BE32-E72D297353CC}">
              <c16:uniqueId val="{00000001-2BAB-45E2-B32F-467EC972A813}"/>
            </c:ext>
          </c:extLst>
        </c:ser>
        <c:dLbls>
          <c:showLegendKey val="0"/>
          <c:showVal val="0"/>
          <c:showCatName val="0"/>
          <c:showSerName val="0"/>
          <c:showPercent val="0"/>
          <c:showBubbleSize val="0"/>
        </c:dLbls>
        <c:gapWidth val="219"/>
        <c:overlap val="-27"/>
        <c:axId val="1154640688"/>
        <c:axId val="1154635696"/>
      </c:barChart>
      <c:catAx>
        <c:axId val="1154640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154635696"/>
        <c:crosses val="autoZero"/>
        <c:auto val="1"/>
        <c:lblAlgn val="ctr"/>
        <c:lblOffset val="100"/>
        <c:noMultiLvlLbl val="0"/>
      </c:catAx>
      <c:valAx>
        <c:axId val="1154635696"/>
        <c:scaling>
          <c:orientation val="minMax"/>
        </c:scaling>
        <c:delete val="1"/>
        <c:axPos val="l"/>
        <c:numFmt formatCode="#,##0.0" sourceLinked="1"/>
        <c:majorTickMark val="none"/>
        <c:minorTickMark val="none"/>
        <c:tickLblPos val="nextTo"/>
        <c:crossAx val="1154640688"/>
        <c:crosses val="autoZero"/>
        <c:crossBetween val="between"/>
      </c:valAx>
      <c:spPr>
        <a:noFill/>
        <a:ln>
          <a:noFill/>
        </a:ln>
        <a:effectLst/>
      </c:spPr>
    </c:plotArea>
    <c:legend>
      <c:legendPos val="t"/>
      <c:layout>
        <c:manualLayout>
          <c:xMode val="edge"/>
          <c:yMode val="edge"/>
          <c:x val="0.38015683928247096"/>
          <c:y val="0"/>
          <c:w val="0.25054113826002417"/>
          <c:h val="8.427811065449487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grafico_inflacion!$E$33</c:f>
              <c:strCache>
                <c:ptCount val="1"/>
                <c:pt idx="0">
                  <c:v>inflacion </c:v>
                </c:pt>
              </c:strCache>
            </c:strRef>
          </c:tx>
          <c:spPr>
            <a:ln w="28575" cap="rnd">
              <a:solidFill>
                <a:schemeClr val="tx2">
                  <a:lumMod val="60000"/>
                  <a:lumOff val="40000"/>
                </a:schemeClr>
              </a:solidFill>
              <a:round/>
            </a:ln>
            <a:effectLst/>
          </c:spPr>
          <c:marker>
            <c:symbol val="none"/>
          </c:marker>
          <c:dLbls>
            <c:dLbl>
              <c:idx val="24"/>
              <c:layout>
                <c:manualLayout>
                  <c:x val="-1.7645300956974537E-2"/>
                  <c:y val="-6.46938024249468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A97-4632-A52D-6E9CCA22B9EA}"/>
                </c:ext>
              </c:extLst>
            </c:dLbl>
            <c:spPr>
              <a:noFill/>
              <a:ln>
                <a:noFill/>
              </a:ln>
              <a:effectLst/>
            </c:spPr>
            <c:txPr>
              <a:bodyPr rot="0" spcFirstLastPara="1" vertOverflow="ellipsis" vert="horz" wrap="square" anchor="ctr" anchorCtr="1"/>
              <a:lstStyle/>
              <a:p>
                <a:pPr>
                  <a:defRPr sz="800" b="1" i="0" u="none" strike="noStrike" kern="1200" baseline="0">
                    <a:solidFill>
                      <a:schemeClr val="tx2">
                        <a:lumMod val="40000"/>
                        <a:lumOff val="60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grafico_inflacion!$C$34:$C$58</c:f>
              <c:numCache>
                <c:formatCode>mmm\-yy</c:formatCode>
                <c:ptCount val="25"/>
                <c:pt idx="0">
                  <c:v>44348</c:v>
                </c:pt>
                <c:pt idx="1">
                  <c:v>44378</c:v>
                </c:pt>
                <c:pt idx="2">
                  <c:v>44409</c:v>
                </c:pt>
                <c:pt idx="3">
                  <c:v>44440</c:v>
                </c:pt>
                <c:pt idx="4">
                  <c:v>44470</c:v>
                </c:pt>
                <c:pt idx="5">
                  <c:v>44501</c:v>
                </c:pt>
                <c:pt idx="6">
                  <c:v>44531</c:v>
                </c:pt>
                <c:pt idx="7">
                  <c:v>44562</c:v>
                </c:pt>
                <c:pt idx="8">
                  <c:v>44593</c:v>
                </c:pt>
                <c:pt idx="9">
                  <c:v>44621</c:v>
                </c:pt>
                <c:pt idx="10">
                  <c:v>44652</c:v>
                </c:pt>
                <c:pt idx="11">
                  <c:v>44682</c:v>
                </c:pt>
                <c:pt idx="12">
                  <c:v>44713</c:v>
                </c:pt>
                <c:pt idx="13">
                  <c:v>44743</c:v>
                </c:pt>
                <c:pt idx="14">
                  <c:v>44774</c:v>
                </c:pt>
                <c:pt idx="15">
                  <c:v>44805</c:v>
                </c:pt>
                <c:pt idx="16">
                  <c:v>44835</c:v>
                </c:pt>
                <c:pt idx="17">
                  <c:v>44866</c:v>
                </c:pt>
                <c:pt idx="18">
                  <c:v>44896</c:v>
                </c:pt>
                <c:pt idx="19">
                  <c:v>44927</c:v>
                </c:pt>
                <c:pt idx="20">
                  <c:v>44958</c:v>
                </c:pt>
                <c:pt idx="21">
                  <c:v>44986</c:v>
                </c:pt>
                <c:pt idx="22">
                  <c:v>45017</c:v>
                </c:pt>
                <c:pt idx="23">
                  <c:v>45047</c:v>
                </c:pt>
                <c:pt idx="24">
                  <c:v>45078</c:v>
                </c:pt>
              </c:numCache>
            </c:numRef>
          </c:cat>
          <c:val>
            <c:numRef>
              <c:f>grafico_inflacion!$E$34:$E$58</c:f>
              <c:numCache>
                <c:formatCode>0.0</c:formatCode>
                <c:ptCount val="25"/>
                <c:pt idx="0">
                  <c:v>3.91</c:v>
                </c:pt>
                <c:pt idx="1">
                  <c:v>3.82</c:v>
                </c:pt>
                <c:pt idx="2">
                  <c:v>3.62</c:v>
                </c:pt>
                <c:pt idx="3">
                  <c:v>3.67</c:v>
                </c:pt>
                <c:pt idx="4">
                  <c:v>2.96</c:v>
                </c:pt>
                <c:pt idx="5">
                  <c:v>2.89</c:v>
                </c:pt>
                <c:pt idx="6">
                  <c:v>3.07</c:v>
                </c:pt>
                <c:pt idx="7">
                  <c:v>2.87</c:v>
                </c:pt>
                <c:pt idx="8">
                  <c:v>2.98</c:v>
                </c:pt>
                <c:pt idx="9">
                  <c:v>4.17</c:v>
                </c:pt>
                <c:pt idx="10">
                  <c:v>4.62</c:v>
                </c:pt>
                <c:pt idx="11">
                  <c:v>5.82</c:v>
                </c:pt>
                <c:pt idx="12">
                  <c:v>7.55</c:v>
                </c:pt>
                <c:pt idx="13">
                  <c:v>8.36</c:v>
                </c:pt>
                <c:pt idx="14">
                  <c:v>8.8699999999999992</c:v>
                </c:pt>
                <c:pt idx="15">
                  <c:v>9.0299999999999994</c:v>
                </c:pt>
                <c:pt idx="16">
                  <c:v>9.6999999999999993</c:v>
                </c:pt>
                <c:pt idx="17">
                  <c:v>9.17</c:v>
                </c:pt>
                <c:pt idx="18">
                  <c:v>9.24</c:v>
                </c:pt>
                <c:pt idx="19">
                  <c:v>9.69</c:v>
                </c:pt>
                <c:pt idx="20">
                  <c:v>9.92</c:v>
                </c:pt>
                <c:pt idx="21">
                  <c:v>8.7100000000000009</c:v>
                </c:pt>
                <c:pt idx="22">
                  <c:v>8.32</c:v>
                </c:pt>
                <c:pt idx="23">
                  <c:v>6.54</c:v>
                </c:pt>
                <c:pt idx="24">
                  <c:v>4.93</c:v>
                </c:pt>
              </c:numCache>
            </c:numRef>
          </c:val>
          <c:smooth val="0"/>
          <c:extLst>
            <c:ext xmlns:c16="http://schemas.microsoft.com/office/drawing/2014/chart" uri="{C3380CC4-5D6E-409C-BE32-E72D297353CC}">
              <c16:uniqueId val="{00000001-FA97-4632-A52D-6E9CCA22B9EA}"/>
            </c:ext>
          </c:extLst>
        </c:ser>
        <c:ser>
          <c:idx val="1"/>
          <c:order val="1"/>
          <c:tx>
            <c:strRef>
              <c:f>grafico_inflacion!$F$33</c:f>
              <c:strCache>
                <c:ptCount val="1"/>
                <c:pt idx="0">
                  <c:v>limite inferior </c:v>
                </c:pt>
              </c:strCache>
            </c:strRef>
          </c:tx>
          <c:spPr>
            <a:ln w="19050" cap="rnd">
              <a:solidFill>
                <a:schemeClr val="tx2">
                  <a:lumMod val="75000"/>
                </a:schemeClr>
              </a:solidFill>
              <a:prstDash val="dash"/>
              <a:round/>
            </a:ln>
            <a:effectLst/>
          </c:spPr>
          <c:marker>
            <c:symbol val="none"/>
          </c:marker>
          <c:cat>
            <c:numRef>
              <c:f>grafico_inflacion!$C$34:$C$58</c:f>
              <c:numCache>
                <c:formatCode>mmm\-yy</c:formatCode>
                <c:ptCount val="25"/>
                <c:pt idx="0">
                  <c:v>44348</c:v>
                </c:pt>
                <c:pt idx="1">
                  <c:v>44378</c:v>
                </c:pt>
                <c:pt idx="2">
                  <c:v>44409</c:v>
                </c:pt>
                <c:pt idx="3">
                  <c:v>44440</c:v>
                </c:pt>
                <c:pt idx="4">
                  <c:v>44470</c:v>
                </c:pt>
                <c:pt idx="5">
                  <c:v>44501</c:v>
                </c:pt>
                <c:pt idx="6">
                  <c:v>44531</c:v>
                </c:pt>
                <c:pt idx="7">
                  <c:v>44562</c:v>
                </c:pt>
                <c:pt idx="8">
                  <c:v>44593</c:v>
                </c:pt>
                <c:pt idx="9">
                  <c:v>44621</c:v>
                </c:pt>
                <c:pt idx="10">
                  <c:v>44652</c:v>
                </c:pt>
                <c:pt idx="11">
                  <c:v>44682</c:v>
                </c:pt>
                <c:pt idx="12">
                  <c:v>44713</c:v>
                </c:pt>
                <c:pt idx="13">
                  <c:v>44743</c:v>
                </c:pt>
                <c:pt idx="14">
                  <c:v>44774</c:v>
                </c:pt>
                <c:pt idx="15">
                  <c:v>44805</c:v>
                </c:pt>
                <c:pt idx="16">
                  <c:v>44835</c:v>
                </c:pt>
                <c:pt idx="17">
                  <c:v>44866</c:v>
                </c:pt>
                <c:pt idx="18">
                  <c:v>44896</c:v>
                </c:pt>
                <c:pt idx="19">
                  <c:v>44927</c:v>
                </c:pt>
                <c:pt idx="20">
                  <c:v>44958</c:v>
                </c:pt>
                <c:pt idx="21">
                  <c:v>44986</c:v>
                </c:pt>
                <c:pt idx="22">
                  <c:v>45017</c:v>
                </c:pt>
                <c:pt idx="23">
                  <c:v>45047</c:v>
                </c:pt>
                <c:pt idx="24">
                  <c:v>45078</c:v>
                </c:pt>
              </c:numCache>
            </c:numRef>
          </c:cat>
          <c:val>
            <c:numRef>
              <c:f>grafico_inflacion!$F$34:$F$58</c:f>
              <c:numCache>
                <c:formatCode>General</c:formatCode>
                <c:ptCount val="25"/>
                <c:pt idx="0">
                  <c:v>3</c:v>
                </c:pt>
                <c:pt idx="1">
                  <c:v>3</c:v>
                </c:pt>
                <c:pt idx="2">
                  <c:v>3</c:v>
                </c:pt>
                <c:pt idx="3">
                  <c:v>3</c:v>
                </c:pt>
                <c:pt idx="4">
                  <c:v>3</c:v>
                </c:pt>
                <c:pt idx="5">
                  <c:v>3</c:v>
                </c:pt>
                <c:pt idx="6">
                  <c:v>3</c:v>
                </c:pt>
                <c:pt idx="7">
                  <c:v>3</c:v>
                </c:pt>
                <c:pt idx="8">
                  <c:v>3</c:v>
                </c:pt>
                <c:pt idx="9">
                  <c:v>3</c:v>
                </c:pt>
                <c:pt idx="10">
                  <c:v>3</c:v>
                </c:pt>
                <c:pt idx="11">
                  <c:v>3</c:v>
                </c:pt>
                <c:pt idx="12">
                  <c:v>3</c:v>
                </c:pt>
                <c:pt idx="13">
                  <c:v>3</c:v>
                </c:pt>
                <c:pt idx="14">
                  <c:v>3</c:v>
                </c:pt>
                <c:pt idx="15">
                  <c:v>3</c:v>
                </c:pt>
                <c:pt idx="16">
                  <c:v>3</c:v>
                </c:pt>
                <c:pt idx="17">
                  <c:v>3</c:v>
                </c:pt>
                <c:pt idx="18">
                  <c:v>3</c:v>
                </c:pt>
                <c:pt idx="19">
                  <c:v>3</c:v>
                </c:pt>
                <c:pt idx="20">
                  <c:v>3</c:v>
                </c:pt>
                <c:pt idx="21">
                  <c:v>3</c:v>
                </c:pt>
                <c:pt idx="22">
                  <c:v>3</c:v>
                </c:pt>
                <c:pt idx="23">
                  <c:v>3</c:v>
                </c:pt>
                <c:pt idx="24">
                  <c:v>3</c:v>
                </c:pt>
              </c:numCache>
            </c:numRef>
          </c:val>
          <c:smooth val="0"/>
          <c:extLst>
            <c:ext xmlns:c16="http://schemas.microsoft.com/office/drawing/2014/chart" uri="{C3380CC4-5D6E-409C-BE32-E72D297353CC}">
              <c16:uniqueId val="{00000002-FA97-4632-A52D-6E9CCA22B9EA}"/>
            </c:ext>
          </c:extLst>
        </c:ser>
        <c:ser>
          <c:idx val="2"/>
          <c:order val="2"/>
          <c:tx>
            <c:strRef>
              <c:f>grafico_inflacion!$G$33</c:f>
              <c:strCache>
                <c:ptCount val="1"/>
                <c:pt idx="0">
                  <c:v>limite superior</c:v>
                </c:pt>
              </c:strCache>
            </c:strRef>
          </c:tx>
          <c:spPr>
            <a:ln w="19050" cap="rnd">
              <a:solidFill>
                <a:schemeClr val="tx2">
                  <a:lumMod val="75000"/>
                </a:schemeClr>
              </a:solidFill>
              <a:prstDash val="dash"/>
              <a:round/>
            </a:ln>
            <a:effectLst/>
          </c:spPr>
          <c:marker>
            <c:symbol val="none"/>
          </c:marker>
          <c:cat>
            <c:numRef>
              <c:f>grafico_inflacion!$C$34:$C$58</c:f>
              <c:numCache>
                <c:formatCode>mmm\-yy</c:formatCode>
                <c:ptCount val="25"/>
                <c:pt idx="0">
                  <c:v>44348</c:v>
                </c:pt>
                <c:pt idx="1">
                  <c:v>44378</c:v>
                </c:pt>
                <c:pt idx="2">
                  <c:v>44409</c:v>
                </c:pt>
                <c:pt idx="3">
                  <c:v>44440</c:v>
                </c:pt>
                <c:pt idx="4">
                  <c:v>44470</c:v>
                </c:pt>
                <c:pt idx="5">
                  <c:v>44501</c:v>
                </c:pt>
                <c:pt idx="6">
                  <c:v>44531</c:v>
                </c:pt>
                <c:pt idx="7">
                  <c:v>44562</c:v>
                </c:pt>
                <c:pt idx="8">
                  <c:v>44593</c:v>
                </c:pt>
                <c:pt idx="9">
                  <c:v>44621</c:v>
                </c:pt>
                <c:pt idx="10">
                  <c:v>44652</c:v>
                </c:pt>
                <c:pt idx="11">
                  <c:v>44682</c:v>
                </c:pt>
                <c:pt idx="12">
                  <c:v>44713</c:v>
                </c:pt>
                <c:pt idx="13">
                  <c:v>44743</c:v>
                </c:pt>
                <c:pt idx="14">
                  <c:v>44774</c:v>
                </c:pt>
                <c:pt idx="15">
                  <c:v>44805</c:v>
                </c:pt>
                <c:pt idx="16">
                  <c:v>44835</c:v>
                </c:pt>
                <c:pt idx="17">
                  <c:v>44866</c:v>
                </c:pt>
                <c:pt idx="18">
                  <c:v>44896</c:v>
                </c:pt>
                <c:pt idx="19">
                  <c:v>44927</c:v>
                </c:pt>
                <c:pt idx="20">
                  <c:v>44958</c:v>
                </c:pt>
                <c:pt idx="21">
                  <c:v>44986</c:v>
                </c:pt>
                <c:pt idx="22">
                  <c:v>45017</c:v>
                </c:pt>
                <c:pt idx="23">
                  <c:v>45047</c:v>
                </c:pt>
                <c:pt idx="24">
                  <c:v>45078</c:v>
                </c:pt>
              </c:numCache>
            </c:numRef>
          </c:cat>
          <c:val>
            <c:numRef>
              <c:f>grafico_inflacion!$G$34:$G$58</c:f>
              <c:numCache>
                <c:formatCode>General</c:formatCode>
                <c:ptCount val="25"/>
                <c:pt idx="0">
                  <c:v>5</c:v>
                </c:pt>
                <c:pt idx="1">
                  <c:v>5</c:v>
                </c:pt>
                <c:pt idx="2">
                  <c:v>5</c:v>
                </c:pt>
                <c:pt idx="3">
                  <c:v>5</c:v>
                </c:pt>
                <c:pt idx="4">
                  <c:v>5</c:v>
                </c:pt>
                <c:pt idx="5">
                  <c:v>5</c:v>
                </c:pt>
                <c:pt idx="6">
                  <c:v>5</c:v>
                </c:pt>
                <c:pt idx="7">
                  <c:v>5</c:v>
                </c:pt>
                <c:pt idx="8">
                  <c:v>5</c:v>
                </c:pt>
                <c:pt idx="9">
                  <c:v>5</c:v>
                </c:pt>
                <c:pt idx="10">
                  <c:v>5</c:v>
                </c:pt>
                <c:pt idx="11">
                  <c:v>5</c:v>
                </c:pt>
                <c:pt idx="12">
                  <c:v>5</c:v>
                </c:pt>
                <c:pt idx="13">
                  <c:v>5</c:v>
                </c:pt>
                <c:pt idx="14">
                  <c:v>5</c:v>
                </c:pt>
                <c:pt idx="15">
                  <c:v>5</c:v>
                </c:pt>
                <c:pt idx="16">
                  <c:v>5</c:v>
                </c:pt>
                <c:pt idx="17">
                  <c:v>5</c:v>
                </c:pt>
                <c:pt idx="18">
                  <c:v>5</c:v>
                </c:pt>
                <c:pt idx="19">
                  <c:v>5</c:v>
                </c:pt>
                <c:pt idx="20">
                  <c:v>5</c:v>
                </c:pt>
                <c:pt idx="21">
                  <c:v>5</c:v>
                </c:pt>
                <c:pt idx="22">
                  <c:v>5</c:v>
                </c:pt>
                <c:pt idx="23">
                  <c:v>5</c:v>
                </c:pt>
                <c:pt idx="24">
                  <c:v>5</c:v>
                </c:pt>
              </c:numCache>
            </c:numRef>
          </c:val>
          <c:smooth val="0"/>
          <c:extLst>
            <c:ext xmlns:c16="http://schemas.microsoft.com/office/drawing/2014/chart" uri="{C3380CC4-5D6E-409C-BE32-E72D297353CC}">
              <c16:uniqueId val="{00000003-FA97-4632-A52D-6E9CCA22B9EA}"/>
            </c:ext>
          </c:extLst>
        </c:ser>
        <c:ser>
          <c:idx val="3"/>
          <c:order val="3"/>
          <c:tx>
            <c:strRef>
              <c:f>grafico_inflacion!$H$33</c:f>
              <c:strCache>
                <c:ptCount val="1"/>
                <c:pt idx="0">
                  <c:v>meta</c:v>
                </c:pt>
              </c:strCache>
            </c:strRef>
          </c:tx>
          <c:spPr>
            <a:ln w="12700" cap="rnd">
              <a:solidFill>
                <a:schemeClr val="accent5"/>
              </a:solidFill>
              <a:prstDash val="sysDash"/>
              <a:round/>
            </a:ln>
            <a:effectLst/>
          </c:spPr>
          <c:marker>
            <c:symbol val="none"/>
          </c:marker>
          <c:cat>
            <c:numRef>
              <c:f>grafico_inflacion!$C$34:$C$58</c:f>
              <c:numCache>
                <c:formatCode>mmm\-yy</c:formatCode>
                <c:ptCount val="25"/>
                <c:pt idx="0">
                  <c:v>44348</c:v>
                </c:pt>
                <c:pt idx="1">
                  <c:v>44378</c:v>
                </c:pt>
                <c:pt idx="2">
                  <c:v>44409</c:v>
                </c:pt>
                <c:pt idx="3">
                  <c:v>44440</c:v>
                </c:pt>
                <c:pt idx="4">
                  <c:v>44470</c:v>
                </c:pt>
                <c:pt idx="5">
                  <c:v>44501</c:v>
                </c:pt>
                <c:pt idx="6">
                  <c:v>44531</c:v>
                </c:pt>
                <c:pt idx="7">
                  <c:v>44562</c:v>
                </c:pt>
                <c:pt idx="8">
                  <c:v>44593</c:v>
                </c:pt>
                <c:pt idx="9">
                  <c:v>44621</c:v>
                </c:pt>
                <c:pt idx="10">
                  <c:v>44652</c:v>
                </c:pt>
                <c:pt idx="11">
                  <c:v>44682</c:v>
                </c:pt>
                <c:pt idx="12">
                  <c:v>44713</c:v>
                </c:pt>
                <c:pt idx="13">
                  <c:v>44743</c:v>
                </c:pt>
                <c:pt idx="14">
                  <c:v>44774</c:v>
                </c:pt>
                <c:pt idx="15">
                  <c:v>44805</c:v>
                </c:pt>
                <c:pt idx="16">
                  <c:v>44835</c:v>
                </c:pt>
                <c:pt idx="17">
                  <c:v>44866</c:v>
                </c:pt>
                <c:pt idx="18">
                  <c:v>44896</c:v>
                </c:pt>
                <c:pt idx="19">
                  <c:v>44927</c:v>
                </c:pt>
                <c:pt idx="20">
                  <c:v>44958</c:v>
                </c:pt>
                <c:pt idx="21">
                  <c:v>44986</c:v>
                </c:pt>
                <c:pt idx="22">
                  <c:v>45017</c:v>
                </c:pt>
                <c:pt idx="23">
                  <c:v>45047</c:v>
                </c:pt>
                <c:pt idx="24">
                  <c:v>45078</c:v>
                </c:pt>
              </c:numCache>
            </c:numRef>
          </c:cat>
          <c:val>
            <c:numRef>
              <c:f>grafico_inflacion!$H$34:$H$58</c:f>
              <c:numCache>
                <c:formatCode>General</c:formatCode>
                <c:ptCount val="25"/>
                <c:pt idx="0">
                  <c:v>4</c:v>
                </c:pt>
                <c:pt idx="1">
                  <c:v>4</c:v>
                </c:pt>
                <c:pt idx="2">
                  <c:v>4</c:v>
                </c:pt>
                <c:pt idx="3">
                  <c:v>4</c:v>
                </c:pt>
                <c:pt idx="4">
                  <c:v>4</c:v>
                </c:pt>
                <c:pt idx="5">
                  <c:v>4</c:v>
                </c:pt>
                <c:pt idx="6">
                  <c:v>4</c:v>
                </c:pt>
                <c:pt idx="7">
                  <c:v>4</c:v>
                </c:pt>
                <c:pt idx="8">
                  <c:v>4</c:v>
                </c:pt>
                <c:pt idx="9">
                  <c:v>4</c:v>
                </c:pt>
                <c:pt idx="10">
                  <c:v>4</c:v>
                </c:pt>
                <c:pt idx="11">
                  <c:v>4</c:v>
                </c:pt>
                <c:pt idx="12">
                  <c:v>4</c:v>
                </c:pt>
                <c:pt idx="13">
                  <c:v>4</c:v>
                </c:pt>
                <c:pt idx="14">
                  <c:v>4</c:v>
                </c:pt>
                <c:pt idx="15">
                  <c:v>4</c:v>
                </c:pt>
                <c:pt idx="16">
                  <c:v>4</c:v>
                </c:pt>
                <c:pt idx="17">
                  <c:v>4</c:v>
                </c:pt>
                <c:pt idx="18">
                  <c:v>4</c:v>
                </c:pt>
                <c:pt idx="19">
                  <c:v>4</c:v>
                </c:pt>
                <c:pt idx="20">
                  <c:v>4</c:v>
                </c:pt>
                <c:pt idx="21">
                  <c:v>4</c:v>
                </c:pt>
                <c:pt idx="22">
                  <c:v>4</c:v>
                </c:pt>
                <c:pt idx="23">
                  <c:v>4</c:v>
                </c:pt>
                <c:pt idx="24">
                  <c:v>4</c:v>
                </c:pt>
              </c:numCache>
            </c:numRef>
          </c:val>
          <c:smooth val="0"/>
          <c:extLst>
            <c:ext xmlns:c16="http://schemas.microsoft.com/office/drawing/2014/chart" uri="{C3380CC4-5D6E-409C-BE32-E72D297353CC}">
              <c16:uniqueId val="{00000004-FA97-4632-A52D-6E9CCA22B9EA}"/>
            </c:ext>
          </c:extLst>
        </c:ser>
        <c:dLbls>
          <c:showLegendKey val="0"/>
          <c:showVal val="0"/>
          <c:showCatName val="0"/>
          <c:showSerName val="0"/>
          <c:showPercent val="0"/>
          <c:showBubbleSize val="0"/>
        </c:dLbls>
        <c:smooth val="0"/>
        <c:axId val="1038882111"/>
        <c:axId val="1038875455"/>
      </c:lineChart>
      <c:dateAx>
        <c:axId val="1038882111"/>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038875455"/>
        <c:crosses val="autoZero"/>
        <c:auto val="1"/>
        <c:lblOffset val="100"/>
        <c:baseTimeUnit val="months"/>
      </c:dateAx>
      <c:valAx>
        <c:axId val="1038875455"/>
        <c:scaling>
          <c:orientation val="minMax"/>
          <c:max val="10"/>
        </c:scaling>
        <c:delete val="1"/>
        <c:axPos val="l"/>
        <c:numFmt formatCode="0.0" sourceLinked="1"/>
        <c:majorTickMark val="none"/>
        <c:minorTickMark val="none"/>
        <c:tickLblPos val="nextTo"/>
        <c:crossAx val="1038882111"/>
        <c:crosses val="autoZero"/>
        <c:crossBetween val="between"/>
      </c:valAx>
      <c:spPr>
        <a:noFill/>
        <a:ln>
          <a:noFill/>
        </a:ln>
        <a:effectLst/>
      </c:spPr>
    </c:plotArea>
    <c:legend>
      <c:legendPos val="t"/>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grafico_inflacion!$R$4</c:f>
              <c:strCache>
                <c:ptCount val="1"/>
                <c:pt idx="0">
                  <c:v>jun-23</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700" b="1" i="0" u="none" strike="noStrike" kern="1200" baseline="0">
                    <a:solidFill>
                      <a:schemeClr val="tx2">
                        <a:lumMod val="40000"/>
                        <a:lumOff val="6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grafico_inflacion!$Q$5:$Q$9</c:f>
              <c:strCache>
                <c:ptCount val="5"/>
                <c:pt idx="0">
                  <c:v>Alimentos y bebidas no alcohólicas </c:v>
                </c:pt>
                <c:pt idx="1">
                  <c:v>Restaurante y hoteles </c:v>
                </c:pt>
                <c:pt idx="2">
                  <c:v>Bebidas alcohólicas y tabaco </c:v>
                </c:pt>
                <c:pt idx="3">
                  <c:v>Muebles, artículos para el hogar </c:v>
                </c:pt>
                <c:pt idx="4">
                  <c:v>Bienes y servicios diversos </c:v>
                </c:pt>
              </c:strCache>
            </c:strRef>
          </c:cat>
          <c:val>
            <c:numRef>
              <c:f>grafico_inflacion!$R$5:$R$9</c:f>
              <c:numCache>
                <c:formatCode>_-* #,##0.0_-;\-* #,##0.0_-;_-* "-"??_-;_-@_-</c:formatCode>
                <c:ptCount val="5"/>
                <c:pt idx="0">
                  <c:v>8.0384692446403569</c:v>
                </c:pt>
                <c:pt idx="1">
                  <c:v>8.2883288328833071</c:v>
                </c:pt>
                <c:pt idx="2">
                  <c:v>5.2691587262806205</c:v>
                </c:pt>
                <c:pt idx="3">
                  <c:v>4.6050019849146473</c:v>
                </c:pt>
                <c:pt idx="4">
                  <c:v>5.2230600062833865</c:v>
                </c:pt>
              </c:numCache>
            </c:numRef>
          </c:val>
          <c:extLst>
            <c:ext xmlns:c16="http://schemas.microsoft.com/office/drawing/2014/chart" uri="{C3380CC4-5D6E-409C-BE32-E72D297353CC}">
              <c16:uniqueId val="{00000000-9C4F-41A7-B4C7-FCB177CD4B91}"/>
            </c:ext>
          </c:extLst>
        </c:ser>
        <c:ser>
          <c:idx val="1"/>
          <c:order val="1"/>
          <c:tx>
            <c:strRef>
              <c:f>grafico_inflacion!$S$4</c:f>
              <c:strCache>
                <c:ptCount val="1"/>
                <c:pt idx="0">
                  <c:v>jun-22</c:v>
                </c:pt>
              </c:strCache>
            </c:strRef>
          </c:tx>
          <c:spPr>
            <a:solidFill>
              <a:schemeClr val="tx2">
                <a:lumMod val="75000"/>
              </a:schemeClr>
            </a:solidFill>
            <a:ln>
              <a:noFill/>
            </a:ln>
            <a:effectLst/>
          </c:spPr>
          <c:invertIfNegative val="0"/>
          <c:dLbls>
            <c:spPr>
              <a:noFill/>
              <a:ln>
                <a:noFill/>
              </a:ln>
              <a:effectLst/>
            </c:spPr>
            <c:txPr>
              <a:bodyPr rot="0" spcFirstLastPara="1" vertOverflow="ellipsis" vert="horz" wrap="square" anchor="ctr" anchorCtr="1"/>
              <a:lstStyle/>
              <a:p>
                <a:pPr>
                  <a:defRPr sz="700" b="1" i="0" u="none" strike="noStrike" kern="1200" baseline="0">
                    <a:solidFill>
                      <a:schemeClr val="tx2">
                        <a:lumMod val="7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grafico_inflacion!$Q$5:$Q$9</c:f>
              <c:strCache>
                <c:ptCount val="5"/>
                <c:pt idx="0">
                  <c:v>Alimentos y bebidas no alcohólicas </c:v>
                </c:pt>
                <c:pt idx="1">
                  <c:v>Restaurante y hoteles </c:v>
                </c:pt>
                <c:pt idx="2">
                  <c:v>Bebidas alcohólicas y tabaco </c:v>
                </c:pt>
                <c:pt idx="3">
                  <c:v>Muebles, artículos para el hogar </c:v>
                </c:pt>
                <c:pt idx="4">
                  <c:v>Bienes y servicios diversos </c:v>
                </c:pt>
              </c:strCache>
            </c:strRef>
          </c:cat>
          <c:val>
            <c:numRef>
              <c:f>grafico_inflacion!$S$5:$S$9</c:f>
              <c:numCache>
                <c:formatCode>_-* #,##0.0_-;\-* #,##0.0_-;_-* "-"??_-;_-@_-</c:formatCode>
                <c:ptCount val="5"/>
                <c:pt idx="0">
                  <c:v>12.710667960822386</c:v>
                </c:pt>
                <c:pt idx="1">
                  <c:v>8.1640844505097565</c:v>
                </c:pt>
                <c:pt idx="2">
                  <c:v>5.9645213814380149</c:v>
                </c:pt>
                <c:pt idx="3">
                  <c:v>8.3936940775458204</c:v>
                </c:pt>
                <c:pt idx="4">
                  <c:v>4.0299601074656133</c:v>
                </c:pt>
              </c:numCache>
            </c:numRef>
          </c:val>
          <c:extLst>
            <c:ext xmlns:c16="http://schemas.microsoft.com/office/drawing/2014/chart" uri="{C3380CC4-5D6E-409C-BE32-E72D297353CC}">
              <c16:uniqueId val="{00000001-9C4F-41A7-B4C7-FCB177CD4B91}"/>
            </c:ext>
          </c:extLst>
        </c:ser>
        <c:ser>
          <c:idx val="2"/>
          <c:order val="2"/>
          <c:tx>
            <c:strRef>
              <c:f>grafico_inflacion!$T$4</c:f>
              <c:strCache>
                <c:ptCount val="1"/>
                <c:pt idx="0">
                  <c:v>jun-21</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anchor="ctr" anchorCtr="1"/>
              <a:lstStyle/>
              <a:p>
                <a:pPr>
                  <a:defRPr sz="700" b="1"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grafico_inflacion!$Q$5:$Q$9</c:f>
              <c:strCache>
                <c:ptCount val="5"/>
                <c:pt idx="0">
                  <c:v>Alimentos y bebidas no alcohólicas </c:v>
                </c:pt>
                <c:pt idx="1">
                  <c:v>Restaurante y hoteles </c:v>
                </c:pt>
                <c:pt idx="2">
                  <c:v>Bebidas alcohólicas y tabaco </c:v>
                </c:pt>
                <c:pt idx="3">
                  <c:v>Muebles, artículos para el hogar </c:v>
                </c:pt>
                <c:pt idx="4">
                  <c:v>Bienes y servicios diversos </c:v>
                </c:pt>
              </c:strCache>
            </c:strRef>
          </c:cat>
          <c:val>
            <c:numRef>
              <c:f>grafico_inflacion!$T$5:$T$9</c:f>
              <c:numCache>
                <c:formatCode>_-* #,##0.0_-;\-* #,##0.0_-;_-* "-"??_-;_-@_-</c:formatCode>
                <c:ptCount val="5"/>
                <c:pt idx="0">
                  <c:v>2.4729870247298669</c:v>
                </c:pt>
                <c:pt idx="1">
                  <c:v>1.2434980494148151</c:v>
                </c:pt>
                <c:pt idx="2">
                  <c:v>1.5755571030640736</c:v>
                </c:pt>
                <c:pt idx="3">
                  <c:v>1.6105290501342129</c:v>
                </c:pt>
                <c:pt idx="4">
                  <c:v>1.2863857508039978</c:v>
                </c:pt>
              </c:numCache>
            </c:numRef>
          </c:val>
          <c:extLst>
            <c:ext xmlns:c16="http://schemas.microsoft.com/office/drawing/2014/chart" uri="{C3380CC4-5D6E-409C-BE32-E72D297353CC}">
              <c16:uniqueId val="{00000002-9C4F-41A7-B4C7-FCB177CD4B91}"/>
            </c:ext>
          </c:extLst>
        </c:ser>
        <c:dLbls>
          <c:showLegendKey val="0"/>
          <c:showVal val="0"/>
          <c:showCatName val="0"/>
          <c:showSerName val="0"/>
          <c:showPercent val="0"/>
          <c:showBubbleSize val="0"/>
        </c:dLbls>
        <c:gapWidth val="219"/>
        <c:overlap val="-27"/>
        <c:axId val="1038862559"/>
        <c:axId val="1038861727"/>
      </c:barChart>
      <c:catAx>
        <c:axId val="103886255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038861727"/>
        <c:crosses val="autoZero"/>
        <c:auto val="1"/>
        <c:lblAlgn val="ctr"/>
        <c:lblOffset val="100"/>
        <c:noMultiLvlLbl val="0"/>
      </c:catAx>
      <c:valAx>
        <c:axId val="1038861727"/>
        <c:scaling>
          <c:orientation val="minMax"/>
        </c:scaling>
        <c:delete val="1"/>
        <c:axPos val="l"/>
        <c:numFmt formatCode="_-* #,##0.0_-;\-* #,##0.0_-;_-* &quot;-&quot;??_-;_-@_-" sourceLinked="1"/>
        <c:majorTickMark val="none"/>
        <c:minorTickMark val="none"/>
        <c:tickLblPos val="nextTo"/>
        <c:crossAx val="103886255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graficos!$D$5</c:f>
              <c:strCache>
                <c:ptCount val="1"/>
                <c:pt idx="0">
                  <c:v>EMISIÓN MONETARIA</c:v>
                </c:pt>
              </c:strCache>
            </c:strRef>
          </c:tx>
          <c:spPr>
            <a:ln w="28575" cap="rnd">
              <a:solidFill>
                <a:schemeClr val="tx2">
                  <a:lumMod val="50000"/>
                </a:schemeClr>
              </a:solidFill>
              <a:round/>
            </a:ln>
            <a:effectLst/>
          </c:spPr>
          <c:marker>
            <c:symbol val="none"/>
          </c:marker>
          <c:dLbls>
            <c:dLbl>
              <c:idx val="13"/>
              <c:layout>
                <c:manualLayout>
                  <c:x val="-2.2050716648290988E-2"/>
                  <c:y val="8.82093501911202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98F-4564-AD1B-51351649E631}"/>
                </c:ext>
              </c:extLst>
            </c:dLbl>
            <c:dLbl>
              <c:idx val="24"/>
              <c:layout>
                <c:manualLayout>
                  <c:x val="-1.6397919940272076E-2"/>
                  <c:y val="-7.5383571760968868E-2"/>
                </c:manualLayout>
              </c:layout>
              <c:showLegendKey val="0"/>
              <c:showVal val="1"/>
              <c:showCatName val="0"/>
              <c:showSerName val="0"/>
              <c:showPercent val="0"/>
              <c:showBubbleSize val="0"/>
              <c:extLst>
                <c:ext xmlns:c15="http://schemas.microsoft.com/office/drawing/2012/chart" uri="{CE6537A1-D6FC-4f65-9D91-7224C49458BB}">
                  <c15:layout>
                    <c:manualLayout>
                      <c:w val="8.8202866593164272E-2"/>
                      <c:h val="7.6742134666274622E-2"/>
                    </c:manualLayout>
                  </c15:layout>
                </c:ext>
                <c:ext xmlns:c16="http://schemas.microsoft.com/office/drawing/2014/chart" uri="{C3380CC4-5D6E-409C-BE32-E72D297353CC}">
                  <c16:uniqueId val="{00000001-A98F-4564-AD1B-51351649E631}"/>
                </c:ext>
              </c:extLst>
            </c:dLbl>
            <c:spPr>
              <a:noFill/>
              <a:ln>
                <a:noFill/>
              </a:ln>
              <a:effectLst/>
            </c:spPr>
            <c:txPr>
              <a:bodyPr rot="0" spcFirstLastPara="1" vertOverflow="ellipsis" vert="horz" wrap="square" anchor="ctr" anchorCtr="1"/>
              <a:lstStyle/>
              <a:p>
                <a:pPr>
                  <a:defRPr sz="700" b="1" i="0" u="none" strike="noStrike" kern="1200" baseline="0">
                    <a:solidFill>
                      <a:schemeClr val="tx2">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graficos!$C$6:$C$30</c:f>
              <c:numCache>
                <c:formatCode>mmm\-yy</c:formatCode>
                <c:ptCount val="25"/>
                <c:pt idx="0">
                  <c:v>44348</c:v>
                </c:pt>
                <c:pt idx="1">
                  <c:v>44378</c:v>
                </c:pt>
                <c:pt idx="2">
                  <c:v>44409</c:v>
                </c:pt>
                <c:pt idx="3">
                  <c:v>44440</c:v>
                </c:pt>
                <c:pt idx="4">
                  <c:v>44470</c:v>
                </c:pt>
                <c:pt idx="5">
                  <c:v>44501</c:v>
                </c:pt>
                <c:pt idx="6">
                  <c:v>44531</c:v>
                </c:pt>
                <c:pt idx="7">
                  <c:v>44562</c:v>
                </c:pt>
                <c:pt idx="8">
                  <c:v>44593</c:v>
                </c:pt>
                <c:pt idx="9">
                  <c:v>44621</c:v>
                </c:pt>
                <c:pt idx="10">
                  <c:v>44652</c:v>
                </c:pt>
                <c:pt idx="11">
                  <c:v>44682</c:v>
                </c:pt>
                <c:pt idx="12">
                  <c:v>44713</c:v>
                </c:pt>
                <c:pt idx="13">
                  <c:v>44743</c:v>
                </c:pt>
                <c:pt idx="14">
                  <c:v>44774</c:v>
                </c:pt>
                <c:pt idx="15">
                  <c:v>44805</c:v>
                </c:pt>
                <c:pt idx="16">
                  <c:v>44835</c:v>
                </c:pt>
                <c:pt idx="17">
                  <c:v>44866</c:v>
                </c:pt>
                <c:pt idx="18">
                  <c:v>44896</c:v>
                </c:pt>
                <c:pt idx="19">
                  <c:v>44927</c:v>
                </c:pt>
                <c:pt idx="20">
                  <c:v>44958</c:v>
                </c:pt>
                <c:pt idx="21">
                  <c:v>44986</c:v>
                </c:pt>
                <c:pt idx="22">
                  <c:v>45017</c:v>
                </c:pt>
                <c:pt idx="23">
                  <c:v>45047</c:v>
                </c:pt>
                <c:pt idx="24">
                  <c:v>45078</c:v>
                </c:pt>
              </c:numCache>
            </c:numRef>
          </c:cat>
          <c:val>
            <c:numRef>
              <c:f>graficos!$D$6:$D$30</c:f>
              <c:numCache>
                <c:formatCode>_-* #,##0.0_-;\-* #,##0.0_-;_-* "-"??_-;_-@_-</c:formatCode>
                <c:ptCount val="25"/>
                <c:pt idx="0">
                  <c:v>14.68278905947431</c:v>
                </c:pt>
                <c:pt idx="1">
                  <c:v>14.576442969725068</c:v>
                </c:pt>
                <c:pt idx="2">
                  <c:v>14.275046805501956</c:v>
                </c:pt>
                <c:pt idx="3">
                  <c:v>12.213518496915587</c:v>
                </c:pt>
                <c:pt idx="4">
                  <c:v>12.953099827787341</c:v>
                </c:pt>
                <c:pt idx="5">
                  <c:v>12.987869561623434</c:v>
                </c:pt>
                <c:pt idx="6">
                  <c:v>12.077674681586469</c:v>
                </c:pt>
                <c:pt idx="7">
                  <c:v>13.585089452533872</c:v>
                </c:pt>
                <c:pt idx="8">
                  <c:v>14.606222455232064</c:v>
                </c:pt>
                <c:pt idx="9">
                  <c:v>13.307194911126174</c:v>
                </c:pt>
                <c:pt idx="10">
                  <c:v>16.762601739673212</c:v>
                </c:pt>
                <c:pt idx="11">
                  <c:v>16.711852343130772</c:v>
                </c:pt>
                <c:pt idx="12">
                  <c:v>16.769703505588819</c:v>
                </c:pt>
                <c:pt idx="13">
                  <c:v>14.542604450098541</c:v>
                </c:pt>
                <c:pt idx="14">
                  <c:v>15.201415479997337</c:v>
                </c:pt>
                <c:pt idx="15">
                  <c:v>14.307680849545212</c:v>
                </c:pt>
                <c:pt idx="16">
                  <c:v>15.037670253870772</c:v>
                </c:pt>
                <c:pt idx="17">
                  <c:v>14.09846259832619</c:v>
                </c:pt>
                <c:pt idx="18">
                  <c:v>12.342558067461496</c:v>
                </c:pt>
                <c:pt idx="19">
                  <c:v>12.092499641474275</c:v>
                </c:pt>
                <c:pt idx="20">
                  <c:v>13.023178684873393</c:v>
                </c:pt>
                <c:pt idx="21">
                  <c:v>12.966764026979916</c:v>
                </c:pt>
                <c:pt idx="22">
                  <c:v>12.999309473027676</c:v>
                </c:pt>
                <c:pt idx="23">
                  <c:v>11.787786849914262</c:v>
                </c:pt>
                <c:pt idx="24">
                  <c:v>13.681716240771369</c:v>
                </c:pt>
              </c:numCache>
            </c:numRef>
          </c:val>
          <c:smooth val="0"/>
          <c:extLst>
            <c:ext xmlns:c16="http://schemas.microsoft.com/office/drawing/2014/chart" uri="{C3380CC4-5D6E-409C-BE32-E72D297353CC}">
              <c16:uniqueId val="{00000002-A98F-4564-AD1B-51351649E631}"/>
            </c:ext>
          </c:extLst>
        </c:ser>
        <c:dLbls>
          <c:showLegendKey val="0"/>
          <c:showVal val="0"/>
          <c:showCatName val="0"/>
          <c:showSerName val="0"/>
          <c:showPercent val="0"/>
          <c:showBubbleSize val="0"/>
        </c:dLbls>
        <c:smooth val="0"/>
        <c:axId val="1822751759"/>
        <c:axId val="1822740527"/>
      </c:lineChart>
      <c:dateAx>
        <c:axId val="1822751759"/>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822740527"/>
        <c:crosses val="autoZero"/>
        <c:auto val="1"/>
        <c:lblOffset val="100"/>
        <c:baseTimeUnit val="months"/>
      </c:dateAx>
      <c:valAx>
        <c:axId val="1822740527"/>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a:t>En porcentaje</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822751759"/>
        <c:crosses val="autoZero"/>
        <c:crossBetween val="between"/>
        <c:majorUnit val="1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tx>
            <c:strRef>
              <c:f>graficos!$H$4</c:f>
              <c:strCache>
                <c:ptCount val="1"/>
                <c:pt idx="0">
                  <c:v>Moneda Nacional</c:v>
                </c:pt>
              </c:strCache>
            </c:strRef>
          </c:tx>
          <c:spPr>
            <a:solidFill>
              <a:schemeClr val="accent5"/>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9CF4-47EE-A275-03C94A706F14}"/>
                </c:ext>
              </c:extLst>
            </c:dLbl>
            <c:dLbl>
              <c:idx val="1"/>
              <c:delete val="1"/>
              <c:extLst>
                <c:ext xmlns:c15="http://schemas.microsoft.com/office/drawing/2012/chart" uri="{CE6537A1-D6FC-4f65-9D91-7224C49458BB}"/>
                <c:ext xmlns:c16="http://schemas.microsoft.com/office/drawing/2014/chart" uri="{C3380CC4-5D6E-409C-BE32-E72D297353CC}">
                  <c16:uniqueId val="{00000001-9CF4-47EE-A275-03C94A706F14}"/>
                </c:ext>
              </c:extLst>
            </c:dLbl>
            <c:dLbl>
              <c:idx val="2"/>
              <c:delete val="1"/>
              <c:extLst>
                <c:ext xmlns:c15="http://schemas.microsoft.com/office/drawing/2012/chart" uri="{CE6537A1-D6FC-4f65-9D91-7224C49458BB}"/>
                <c:ext xmlns:c16="http://schemas.microsoft.com/office/drawing/2014/chart" uri="{C3380CC4-5D6E-409C-BE32-E72D297353CC}">
                  <c16:uniqueId val="{00000002-9CF4-47EE-A275-03C94A706F14}"/>
                </c:ext>
              </c:extLst>
            </c:dLbl>
            <c:dLbl>
              <c:idx val="3"/>
              <c:delete val="1"/>
              <c:extLst>
                <c:ext xmlns:c15="http://schemas.microsoft.com/office/drawing/2012/chart" uri="{CE6537A1-D6FC-4f65-9D91-7224C49458BB}"/>
                <c:ext xmlns:c16="http://schemas.microsoft.com/office/drawing/2014/chart" uri="{C3380CC4-5D6E-409C-BE32-E72D297353CC}">
                  <c16:uniqueId val="{00000003-9CF4-47EE-A275-03C94A706F14}"/>
                </c:ext>
              </c:extLst>
            </c:dLbl>
            <c:dLbl>
              <c:idx val="4"/>
              <c:delete val="1"/>
              <c:extLst>
                <c:ext xmlns:c15="http://schemas.microsoft.com/office/drawing/2012/chart" uri="{CE6537A1-D6FC-4f65-9D91-7224C49458BB}"/>
                <c:ext xmlns:c16="http://schemas.microsoft.com/office/drawing/2014/chart" uri="{C3380CC4-5D6E-409C-BE32-E72D297353CC}">
                  <c16:uniqueId val="{00000004-9CF4-47EE-A275-03C94A706F14}"/>
                </c:ext>
              </c:extLst>
            </c:dLbl>
            <c:dLbl>
              <c:idx val="5"/>
              <c:delete val="1"/>
              <c:extLst>
                <c:ext xmlns:c15="http://schemas.microsoft.com/office/drawing/2012/chart" uri="{CE6537A1-D6FC-4f65-9D91-7224C49458BB}"/>
                <c:ext xmlns:c16="http://schemas.microsoft.com/office/drawing/2014/chart" uri="{C3380CC4-5D6E-409C-BE32-E72D297353CC}">
                  <c16:uniqueId val="{00000005-9CF4-47EE-A275-03C94A706F14}"/>
                </c:ext>
              </c:extLst>
            </c:dLbl>
            <c:dLbl>
              <c:idx val="6"/>
              <c:delete val="1"/>
              <c:extLst>
                <c:ext xmlns:c15="http://schemas.microsoft.com/office/drawing/2012/chart" uri="{CE6537A1-D6FC-4f65-9D91-7224C49458BB}"/>
                <c:ext xmlns:c16="http://schemas.microsoft.com/office/drawing/2014/chart" uri="{C3380CC4-5D6E-409C-BE32-E72D297353CC}">
                  <c16:uniqueId val="{00000006-9CF4-47EE-A275-03C94A706F14}"/>
                </c:ext>
              </c:extLst>
            </c:dLbl>
            <c:dLbl>
              <c:idx val="7"/>
              <c:delete val="1"/>
              <c:extLst>
                <c:ext xmlns:c15="http://schemas.microsoft.com/office/drawing/2012/chart" uri="{CE6537A1-D6FC-4f65-9D91-7224C49458BB}"/>
                <c:ext xmlns:c16="http://schemas.microsoft.com/office/drawing/2014/chart" uri="{C3380CC4-5D6E-409C-BE32-E72D297353CC}">
                  <c16:uniqueId val="{00000007-9CF4-47EE-A275-03C94A706F14}"/>
                </c:ext>
              </c:extLst>
            </c:dLbl>
            <c:dLbl>
              <c:idx val="8"/>
              <c:delete val="1"/>
              <c:extLst>
                <c:ext xmlns:c15="http://schemas.microsoft.com/office/drawing/2012/chart" uri="{CE6537A1-D6FC-4f65-9D91-7224C49458BB}"/>
                <c:ext xmlns:c16="http://schemas.microsoft.com/office/drawing/2014/chart" uri="{C3380CC4-5D6E-409C-BE32-E72D297353CC}">
                  <c16:uniqueId val="{00000008-9CF4-47EE-A275-03C94A706F14}"/>
                </c:ext>
              </c:extLst>
            </c:dLbl>
            <c:dLbl>
              <c:idx val="9"/>
              <c:delete val="1"/>
              <c:extLst>
                <c:ext xmlns:c15="http://schemas.microsoft.com/office/drawing/2012/chart" uri="{CE6537A1-D6FC-4f65-9D91-7224C49458BB}"/>
                <c:ext xmlns:c16="http://schemas.microsoft.com/office/drawing/2014/chart" uri="{C3380CC4-5D6E-409C-BE32-E72D297353CC}">
                  <c16:uniqueId val="{00000009-9CF4-47EE-A275-03C94A706F14}"/>
                </c:ext>
              </c:extLst>
            </c:dLbl>
            <c:dLbl>
              <c:idx val="10"/>
              <c:delete val="1"/>
              <c:extLst>
                <c:ext xmlns:c15="http://schemas.microsoft.com/office/drawing/2012/chart" uri="{CE6537A1-D6FC-4f65-9D91-7224C49458BB}"/>
                <c:ext xmlns:c16="http://schemas.microsoft.com/office/drawing/2014/chart" uri="{C3380CC4-5D6E-409C-BE32-E72D297353CC}">
                  <c16:uniqueId val="{0000000A-9CF4-47EE-A275-03C94A706F14}"/>
                </c:ext>
              </c:extLst>
            </c:dLbl>
            <c:dLbl>
              <c:idx val="11"/>
              <c:delete val="1"/>
              <c:extLst>
                <c:ext xmlns:c15="http://schemas.microsoft.com/office/drawing/2012/chart" uri="{CE6537A1-D6FC-4f65-9D91-7224C49458BB}"/>
                <c:ext xmlns:c16="http://schemas.microsoft.com/office/drawing/2014/chart" uri="{C3380CC4-5D6E-409C-BE32-E72D297353CC}">
                  <c16:uniqueId val="{0000000B-9CF4-47EE-A275-03C94A706F14}"/>
                </c:ext>
              </c:extLst>
            </c:dLbl>
            <c:dLbl>
              <c:idx val="12"/>
              <c:delete val="1"/>
              <c:extLst>
                <c:ext xmlns:c15="http://schemas.microsoft.com/office/drawing/2012/chart" uri="{CE6537A1-D6FC-4f65-9D91-7224C49458BB}"/>
                <c:ext xmlns:c16="http://schemas.microsoft.com/office/drawing/2014/chart" uri="{C3380CC4-5D6E-409C-BE32-E72D297353CC}">
                  <c16:uniqueId val="{0000000C-9CF4-47EE-A275-03C94A706F14}"/>
                </c:ext>
              </c:extLst>
            </c:dLbl>
            <c:dLbl>
              <c:idx val="13"/>
              <c:delete val="1"/>
              <c:extLst>
                <c:ext xmlns:c15="http://schemas.microsoft.com/office/drawing/2012/chart" uri="{CE6537A1-D6FC-4f65-9D91-7224C49458BB}"/>
                <c:ext xmlns:c16="http://schemas.microsoft.com/office/drawing/2014/chart" uri="{C3380CC4-5D6E-409C-BE32-E72D297353CC}">
                  <c16:uniqueId val="{0000000D-9CF4-47EE-A275-03C94A706F14}"/>
                </c:ext>
              </c:extLst>
            </c:dLbl>
            <c:dLbl>
              <c:idx val="14"/>
              <c:delete val="1"/>
              <c:extLst>
                <c:ext xmlns:c15="http://schemas.microsoft.com/office/drawing/2012/chart" uri="{CE6537A1-D6FC-4f65-9D91-7224C49458BB}"/>
                <c:ext xmlns:c16="http://schemas.microsoft.com/office/drawing/2014/chart" uri="{C3380CC4-5D6E-409C-BE32-E72D297353CC}">
                  <c16:uniqueId val="{0000000E-9CF4-47EE-A275-03C94A706F14}"/>
                </c:ext>
              </c:extLst>
            </c:dLbl>
            <c:dLbl>
              <c:idx val="15"/>
              <c:delete val="1"/>
              <c:extLst>
                <c:ext xmlns:c15="http://schemas.microsoft.com/office/drawing/2012/chart" uri="{CE6537A1-D6FC-4f65-9D91-7224C49458BB}"/>
                <c:ext xmlns:c16="http://schemas.microsoft.com/office/drawing/2014/chart" uri="{C3380CC4-5D6E-409C-BE32-E72D297353CC}">
                  <c16:uniqueId val="{0000000F-9CF4-47EE-A275-03C94A706F14}"/>
                </c:ext>
              </c:extLst>
            </c:dLbl>
            <c:dLbl>
              <c:idx val="16"/>
              <c:delete val="1"/>
              <c:extLst>
                <c:ext xmlns:c15="http://schemas.microsoft.com/office/drawing/2012/chart" uri="{CE6537A1-D6FC-4f65-9D91-7224C49458BB}"/>
                <c:ext xmlns:c16="http://schemas.microsoft.com/office/drawing/2014/chart" uri="{C3380CC4-5D6E-409C-BE32-E72D297353CC}">
                  <c16:uniqueId val="{00000010-9CF4-47EE-A275-03C94A706F14}"/>
                </c:ext>
              </c:extLst>
            </c:dLbl>
            <c:dLbl>
              <c:idx val="17"/>
              <c:delete val="1"/>
              <c:extLst>
                <c:ext xmlns:c15="http://schemas.microsoft.com/office/drawing/2012/chart" uri="{CE6537A1-D6FC-4f65-9D91-7224C49458BB}"/>
                <c:ext xmlns:c16="http://schemas.microsoft.com/office/drawing/2014/chart" uri="{C3380CC4-5D6E-409C-BE32-E72D297353CC}">
                  <c16:uniqueId val="{00000011-9CF4-47EE-A275-03C94A706F14}"/>
                </c:ext>
              </c:extLst>
            </c:dLbl>
            <c:dLbl>
              <c:idx val="18"/>
              <c:delete val="1"/>
              <c:extLst>
                <c:ext xmlns:c15="http://schemas.microsoft.com/office/drawing/2012/chart" uri="{CE6537A1-D6FC-4f65-9D91-7224C49458BB}"/>
                <c:ext xmlns:c16="http://schemas.microsoft.com/office/drawing/2014/chart" uri="{C3380CC4-5D6E-409C-BE32-E72D297353CC}">
                  <c16:uniqueId val="{00000012-9CF4-47EE-A275-03C94A706F14}"/>
                </c:ext>
              </c:extLst>
            </c:dLbl>
            <c:dLbl>
              <c:idx val="19"/>
              <c:delete val="1"/>
              <c:extLst>
                <c:ext xmlns:c15="http://schemas.microsoft.com/office/drawing/2012/chart" uri="{CE6537A1-D6FC-4f65-9D91-7224C49458BB}"/>
                <c:ext xmlns:c16="http://schemas.microsoft.com/office/drawing/2014/chart" uri="{C3380CC4-5D6E-409C-BE32-E72D297353CC}">
                  <c16:uniqueId val="{00000013-9CF4-47EE-A275-03C94A706F14}"/>
                </c:ext>
              </c:extLst>
            </c:dLbl>
            <c:dLbl>
              <c:idx val="20"/>
              <c:delete val="1"/>
              <c:extLst>
                <c:ext xmlns:c15="http://schemas.microsoft.com/office/drawing/2012/chart" uri="{CE6537A1-D6FC-4f65-9D91-7224C49458BB}"/>
                <c:ext xmlns:c16="http://schemas.microsoft.com/office/drawing/2014/chart" uri="{C3380CC4-5D6E-409C-BE32-E72D297353CC}">
                  <c16:uniqueId val="{00000014-9CF4-47EE-A275-03C94A706F14}"/>
                </c:ext>
              </c:extLst>
            </c:dLbl>
            <c:dLbl>
              <c:idx val="21"/>
              <c:delete val="1"/>
              <c:extLst>
                <c:ext xmlns:c15="http://schemas.microsoft.com/office/drawing/2012/chart" uri="{CE6537A1-D6FC-4f65-9D91-7224C49458BB}"/>
                <c:ext xmlns:c16="http://schemas.microsoft.com/office/drawing/2014/chart" uri="{C3380CC4-5D6E-409C-BE32-E72D297353CC}">
                  <c16:uniqueId val="{00000015-9CF4-47EE-A275-03C94A706F14}"/>
                </c:ext>
              </c:extLst>
            </c:dLbl>
            <c:dLbl>
              <c:idx val="22"/>
              <c:delete val="1"/>
              <c:extLst>
                <c:ext xmlns:c15="http://schemas.microsoft.com/office/drawing/2012/chart" uri="{CE6537A1-D6FC-4f65-9D91-7224C49458BB}"/>
                <c:ext xmlns:c16="http://schemas.microsoft.com/office/drawing/2014/chart" uri="{C3380CC4-5D6E-409C-BE32-E72D297353CC}">
                  <c16:uniqueId val="{00000016-9CF4-47EE-A275-03C94A706F14}"/>
                </c:ext>
              </c:extLst>
            </c:dLbl>
            <c:dLbl>
              <c:idx val="23"/>
              <c:delete val="1"/>
              <c:extLst>
                <c:ext xmlns:c15="http://schemas.microsoft.com/office/drawing/2012/chart" uri="{CE6537A1-D6FC-4f65-9D91-7224C49458BB}"/>
                <c:ext xmlns:c16="http://schemas.microsoft.com/office/drawing/2014/chart" uri="{C3380CC4-5D6E-409C-BE32-E72D297353CC}">
                  <c16:uniqueId val="{00000017-9CF4-47EE-A275-03C94A706F14}"/>
                </c:ext>
              </c:extLst>
            </c:dLbl>
            <c:dLbl>
              <c:idx val="24"/>
              <c:layout>
                <c:manualLayout>
                  <c:x val="-2.0734374999999999E-2"/>
                  <c:y val="-3.28180555555555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9CF4-47EE-A275-03C94A706F14}"/>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graficos!$C$6:$C$30</c:f>
              <c:numCache>
                <c:formatCode>mmm\-yy</c:formatCode>
                <c:ptCount val="25"/>
                <c:pt idx="0">
                  <c:v>44348</c:v>
                </c:pt>
                <c:pt idx="1">
                  <c:v>44378</c:v>
                </c:pt>
                <c:pt idx="2">
                  <c:v>44409</c:v>
                </c:pt>
                <c:pt idx="3">
                  <c:v>44440</c:v>
                </c:pt>
                <c:pt idx="4">
                  <c:v>44470</c:v>
                </c:pt>
                <c:pt idx="5">
                  <c:v>44501</c:v>
                </c:pt>
                <c:pt idx="6">
                  <c:v>44531</c:v>
                </c:pt>
                <c:pt idx="7">
                  <c:v>44562</c:v>
                </c:pt>
                <c:pt idx="8">
                  <c:v>44593</c:v>
                </c:pt>
                <c:pt idx="9">
                  <c:v>44621</c:v>
                </c:pt>
                <c:pt idx="10">
                  <c:v>44652</c:v>
                </c:pt>
                <c:pt idx="11">
                  <c:v>44682</c:v>
                </c:pt>
                <c:pt idx="12">
                  <c:v>44713</c:v>
                </c:pt>
                <c:pt idx="13">
                  <c:v>44743</c:v>
                </c:pt>
                <c:pt idx="14">
                  <c:v>44774</c:v>
                </c:pt>
                <c:pt idx="15">
                  <c:v>44805</c:v>
                </c:pt>
                <c:pt idx="16">
                  <c:v>44835</c:v>
                </c:pt>
                <c:pt idx="17">
                  <c:v>44866</c:v>
                </c:pt>
                <c:pt idx="18">
                  <c:v>44896</c:v>
                </c:pt>
                <c:pt idx="19">
                  <c:v>44927</c:v>
                </c:pt>
                <c:pt idx="20">
                  <c:v>44958</c:v>
                </c:pt>
                <c:pt idx="21">
                  <c:v>44986</c:v>
                </c:pt>
                <c:pt idx="22">
                  <c:v>45017</c:v>
                </c:pt>
                <c:pt idx="23">
                  <c:v>45047</c:v>
                </c:pt>
                <c:pt idx="24">
                  <c:v>45078</c:v>
                </c:pt>
              </c:numCache>
            </c:numRef>
          </c:cat>
          <c:val>
            <c:numRef>
              <c:f>graficos!$H$6:$H$30</c:f>
              <c:numCache>
                <c:formatCode>_-* #,##0.0_-;\-* #,##0.0_-;_-* "-"??_-;_-@_-</c:formatCode>
                <c:ptCount val="25"/>
                <c:pt idx="0">
                  <c:v>8.0035674895494235</c:v>
                </c:pt>
                <c:pt idx="1">
                  <c:v>10.122156749544398</c:v>
                </c:pt>
                <c:pt idx="2">
                  <c:v>11.093552508608129</c:v>
                </c:pt>
                <c:pt idx="3">
                  <c:v>11.638846508462674</c:v>
                </c:pt>
                <c:pt idx="4">
                  <c:v>10.39167107051313</c:v>
                </c:pt>
                <c:pt idx="5">
                  <c:v>12.178739710925379</c:v>
                </c:pt>
                <c:pt idx="6">
                  <c:v>13.590813083207888</c:v>
                </c:pt>
                <c:pt idx="7">
                  <c:v>14.344500871874043</c:v>
                </c:pt>
                <c:pt idx="8">
                  <c:v>13.759835429936063</c:v>
                </c:pt>
                <c:pt idx="9">
                  <c:v>14.545627861322007</c:v>
                </c:pt>
                <c:pt idx="10">
                  <c:v>14.738439199224885</c:v>
                </c:pt>
                <c:pt idx="11">
                  <c:v>15.057377412351492</c:v>
                </c:pt>
                <c:pt idx="12">
                  <c:v>15.876039632420547</c:v>
                </c:pt>
                <c:pt idx="13">
                  <c:v>15.569264563866959</c:v>
                </c:pt>
                <c:pt idx="14">
                  <c:v>15.909075467584266</c:v>
                </c:pt>
                <c:pt idx="15">
                  <c:v>18.422532268619939</c:v>
                </c:pt>
                <c:pt idx="16">
                  <c:v>20.141588023507385</c:v>
                </c:pt>
                <c:pt idx="17">
                  <c:v>19.192293835895558</c:v>
                </c:pt>
                <c:pt idx="18">
                  <c:v>18.558386811722283</c:v>
                </c:pt>
                <c:pt idx="19">
                  <c:v>18.723116058002809</c:v>
                </c:pt>
                <c:pt idx="20">
                  <c:v>19.520576467380323</c:v>
                </c:pt>
                <c:pt idx="21">
                  <c:v>19.795382470029921</c:v>
                </c:pt>
                <c:pt idx="22">
                  <c:v>20.20604981691023</c:v>
                </c:pt>
                <c:pt idx="23">
                  <c:v>20.12350229400699</c:v>
                </c:pt>
                <c:pt idx="24">
                  <c:v>21.206790002567686</c:v>
                </c:pt>
              </c:numCache>
            </c:numRef>
          </c:val>
          <c:extLst>
            <c:ext xmlns:c16="http://schemas.microsoft.com/office/drawing/2014/chart" uri="{C3380CC4-5D6E-409C-BE32-E72D297353CC}">
              <c16:uniqueId val="{00000019-9CF4-47EE-A275-03C94A706F14}"/>
            </c:ext>
          </c:extLst>
        </c:ser>
        <c:dLbls>
          <c:showLegendKey val="0"/>
          <c:showVal val="0"/>
          <c:showCatName val="0"/>
          <c:showSerName val="0"/>
          <c:showPercent val="0"/>
          <c:showBubbleSize val="0"/>
        </c:dLbls>
        <c:gapWidth val="150"/>
        <c:axId val="1359680111"/>
        <c:axId val="1359703407"/>
      </c:barChart>
      <c:lineChart>
        <c:grouping val="standard"/>
        <c:varyColors val="0"/>
        <c:ser>
          <c:idx val="2"/>
          <c:order val="1"/>
          <c:tx>
            <c:strRef>
              <c:f>graficos!$E$4</c:f>
              <c:strCache>
                <c:ptCount val="1"/>
                <c:pt idx="0">
                  <c:v>Moneda Extranjera</c:v>
                </c:pt>
              </c:strCache>
            </c:strRef>
          </c:tx>
          <c:spPr>
            <a:ln w="28575" cap="rnd">
              <a:solidFill>
                <a:schemeClr val="tx2">
                  <a:lumMod val="50000"/>
                </a:schemeClr>
              </a:solidFill>
              <a:round/>
            </a:ln>
            <a:effectLst/>
          </c:spPr>
          <c:marker>
            <c:symbol val="none"/>
          </c:marker>
          <c:dLbls>
            <c:dLbl>
              <c:idx val="24"/>
              <c:layout>
                <c:manualLayout>
                  <c:x val="-1.5306944444444444E-2"/>
                  <c:y val="-6.46717592592593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9CF4-47EE-A275-03C94A706F14}"/>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graficos!$C$6:$C$30</c:f>
              <c:numCache>
                <c:formatCode>mmm\-yy</c:formatCode>
                <c:ptCount val="25"/>
                <c:pt idx="0">
                  <c:v>44348</c:v>
                </c:pt>
                <c:pt idx="1">
                  <c:v>44378</c:v>
                </c:pt>
                <c:pt idx="2">
                  <c:v>44409</c:v>
                </c:pt>
                <c:pt idx="3">
                  <c:v>44440</c:v>
                </c:pt>
                <c:pt idx="4">
                  <c:v>44470</c:v>
                </c:pt>
                <c:pt idx="5">
                  <c:v>44501</c:v>
                </c:pt>
                <c:pt idx="6">
                  <c:v>44531</c:v>
                </c:pt>
                <c:pt idx="7">
                  <c:v>44562</c:v>
                </c:pt>
                <c:pt idx="8">
                  <c:v>44593</c:v>
                </c:pt>
                <c:pt idx="9">
                  <c:v>44621</c:v>
                </c:pt>
                <c:pt idx="10">
                  <c:v>44652</c:v>
                </c:pt>
                <c:pt idx="11">
                  <c:v>44682</c:v>
                </c:pt>
                <c:pt idx="12">
                  <c:v>44713</c:v>
                </c:pt>
                <c:pt idx="13">
                  <c:v>44743</c:v>
                </c:pt>
                <c:pt idx="14">
                  <c:v>44774</c:v>
                </c:pt>
                <c:pt idx="15">
                  <c:v>44805</c:v>
                </c:pt>
                <c:pt idx="16">
                  <c:v>44835</c:v>
                </c:pt>
                <c:pt idx="17">
                  <c:v>44866</c:v>
                </c:pt>
                <c:pt idx="18">
                  <c:v>44896</c:v>
                </c:pt>
                <c:pt idx="19">
                  <c:v>44927</c:v>
                </c:pt>
                <c:pt idx="20">
                  <c:v>44958</c:v>
                </c:pt>
                <c:pt idx="21">
                  <c:v>44986</c:v>
                </c:pt>
                <c:pt idx="22">
                  <c:v>45017</c:v>
                </c:pt>
                <c:pt idx="23">
                  <c:v>45047</c:v>
                </c:pt>
                <c:pt idx="24">
                  <c:v>45078</c:v>
                </c:pt>
              </c:numCache>
            </c:numRef>
          </c:cat>
          <c:val>
            <c:numRef>
              <c:f>graficos!$E$6:$E$30</c:f>
              <c:numCache>
                <c:formatCode>_-* #,##0.0_-;\-* #,##0.0_-;_-* "-"??_-;_-@_-</c:formatCode>
                <c:ptCount val="25"/>
                <c:pt idx="0">
                  <c:v>1.4237270965351323</c:v>
                </c:pt>
                <c:pt idx="1">
                  <c:v>4.8006276037439788</c:v>
                </c:pt>
                <c:pt idx="2">
                  <c:v>5.6293373248061052</c:v>
                </c:pt>
                <c:pt idx="3">
                  <c:v>6.2566088051826618</c:v>
                </c:pt>
                <c:pt idx="4">
                  <c:v>8.2519372295404292</c:v>
                </c:pt>
                <c:pt idx="5">
                  <c:v>10.697842277365254</c:v>
                </c:pt>
                <c:pt idx="6">
                  <c:v>10.944217060146922</c:v>
                </c:pt>
                <c:pt idx="7">
                  <c:v>10.37204744365221</c:v>
                </c:pt>
                <c:pt idx="8">
                  <c:v>12.386006267957917</c:v>
                </c:pt>
                <c:pt idx="9">
                  <c:v>13.647169678491956</c:v>
                </c:pt>
                <c:pt idx="10">
                  <c:v>13.81049051618486</c:v>
                </c:pt>
                <c:pt idx="11">
                  <c:v>14.648931268655208</c:v>
                </c:pt>
                <c:pt idx="12">
                  <c:v>16.539995663002127</c:v>
                </c:pt>
                <c:pt idx="13">
                  <c:v>14.870575055626411</c:v>
                </c:pt>
                <c:pt idx="14">
                  <c:v>14.990145181444593</c:v>
                </c:pt>
                <c:pt idx="15">
                  <c:v>16.365658448780174</c:v>
                </c:pt>
                <c:pt idx="16">
                  <c:v>17.337905001572818</c:v>
                </c:pt>
                <c:pt idx="17">
                  <c:v>9.4839509587931303</c:v>
                </c:pt>
                <c:pt idx="18">
                  <c:v>10.105996362139358</c:v>
                </c:pt>
                <c:pt idx="19">
                  <c:v>10.499412168119914</c:v>
                </c:pt>
                <c:pt idx="20">
                  <c:v>7.9796051518739475</c:v>
                </c:pt>
                <c:pt idx="21">
                  <c:v>6.1343883123195164</c:v>
                </c:pt>
                <c:pt idx="22">
                  <c:v>5.2555926593575553</c:v>
                </c:pt>
                <c:pt idx="23">
                  <c:v>3.4430862204330115</c:v>
                </c:pt>
                <c:pt idx="24">
                  <c:v>0.32557200644602879</c:v>
                </c:pt>
              </c:numCache>
            </c:numRef>
          </c:val>
          <c:smooth val="0"/>
          <c:extLst>
            <c:ext xmlns:c16="http://schemas.microsoft.com/office/drawing/2014/chart" uri="{C3380CC4-5D6E-409C-BE32-E72D297353CC}">
              <c16:uniqueId val="{0000001B-9CF4-47EE-A275-03C94A706F14}"/>
            </c:ext>
          </c:extLst>
        </c:ser>
        <c:dLbls>
          <c:showLegendKey val="0"/>
          <c:showVal val="0"/>
          <c:showCatName val="0"/>
          <c:showSerName val="0"/>
          <c:showPercent val="0"/>
          <c:showBubbleSize val="0"/>
        </c:dLbls>
        <c:marker val="1"/>
        <c:smooth val="0"/>
        <c:axId val="1359680111"/>
        <c:axId val="1359703407"/>
      </c:lineChart>
      <c:dateAx>
        <c:axId val="1359680111"/>
        <c:scaling>
          <c:orientation val="minMax"/>
        </c:scaling>
        <c:delete val="0"/>
        <c:axPos val="b"/>
        <c:numFmt formatCode="mmm\-yy"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359703407"/>
        <c:crosses val="autoZero"/>
        <c:auto val="1"/>
        <c:lblOffset val="100"/>
        <c:baseTimeUnit val="months"/>
      </c:dateAx>
      <c:valAx>
        <c:axId val="1359703407"/>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a:t>En</a:t>
                </a:r>
                <a:r>
                  <a:rPr lang="es-GT" baseline="0"/>
                  <a:t> porcentaje</a:t>
                </a:r>
                <a:endParaRPr lang="es-GT"/>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359680111"/>
        <c:crosses val="autoZero"/>
        <c:crossBetween val="between"/>
        <c:majorUnit val="10"/>
      </c:valAx>
      <c:spPr>
        <a:noFill/>
        <a:ln>
          <a:noFill/>
        </a:ln>
        <a:effectLst/>
      </c:spPr>
    </c:plotArea>
    <c:legend>
      <c:legendPos val="t"/>
      <c:layout>
        <c:manualLayout>
          <c:xMode val="edge"/>
          <c:yMode val="edge"/>
          <c:x val="9.1869883409006065E-2"/>
          <c:y val="2.2229476460822298E-2"/>
          <c:w val="0.84841330335361886"/>
          <c:h val="0.1586213173677849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600486111111111"/>
          <c:y val="0.29423148148148148"/>
          <c:w val="0.80572743055555551"/>
          <c:h val="0.53055601851851852"/>
        </c:manualLayout>
      </c:layout>
      <c:barChart>
        <c:barDir val="col"/>
        <c:grouping val="clustered"/>
        <c:varyColors val="0"/>
        <c:ser>
          <c:idx val="0"/>
          <c:order val="0"/>
          <c:tx>
            <c:strRef>
              <c:f>graficos!$J$4</c:f>
              <c:strCache>
                <c:ptCount val="1"/>
                <c:pt idx="0">
                  <c:v>Moneda nacional</c:v>
                </c:pt>
              </c:strCache>
            </c:strRef>
          </c:tx>
          <c:spPr>
            <a:solidFill>
              <a:schemeClr val="accent1"/>
            </a:solidFill>
            <a:ln>
              <a:noFill/>
            </a:ln>
            <a:effectLst/>
          </c:spPr>
          <c:invertIfNegative val="0"/>
          <c:dLbls>
            <c:dLbl>
              <c:idx val="24"/>
              <c:layout>
                <c:manualLayout>
                  <c:x val="8.819444444444444E-3"/>
                  <c:y val="5.879629629629629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3A2-467C-BA7E-04C293F3518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graficos!$C$6:$C$30</c:f>
              <c:numCache>
                <c:formatCode>mmm\-yy</c:formatCode>
                <c:ptCount val="25"/>
                <c:pt idx="0">
                  <c:v>44348</c:v>
                </c:pt>
                <c:pt idx="1">
                  <c:v>44378</c:v>
                </c:pt>
                <c:pt idx="2">
                  <c:v>44409</c:v>
                </c:pt>
                <c:pt idx="3">
                  <c:v>44440</c:v>
                </c:pt>
                <c:pt idx="4">
                  <c:v>44470</c:v>
                </c:pt>
                <c:pt idx="5">
                  <c:v>44501</c:v>
                </c:pt>
                <c:pt idx="6">
                  <c:v>44531</c:v>
                </c:pt>
                <c:pt idx="7">
                  <c:v>44562</c:v>
                </c:pt>
                <c:pt idx="8">
                  <c:v>44593</c:v>
                </c:pt>
                <c:pt idx="9">
                  <c:v>44621</c:v>
                </c:pt>
                <c:pt idx="10">
                  <c:v>44652</c:v>
                </c:pt>
                <c:pt idx="11">
                  <c:v>44682</c:v>
                </c:pt>
                <c:pt idx="12">
                  <c:v>44713</c:v>
                </c:pt>
                <c:pt idx="13">
                  <c:v>44743</c:v>
                </c:pt>
                <c:pt idx="14">
                  <c:v>44774</c:v>
                </c:pt>
                <c:pt idx="15">
                  <c:v>44805</c:v>
                </c:pt>
                <c:pt idx="16">
                  <c:v>44835</c:v>
                </c:pt>
                <c:pt idx="17">
                  <c:v>44866</c:v>
                </c:pt>
                <c:pt idx="18">
                  <c:v>44896</c:v>
                </c:pt>
                <c:pt idx="19">
                  <c:v>44927</c:v>
                </c:pt>
                <c:pt idx="20">
                  <c:v>44958</c:v>
                </c:pt>
                <c:pt idx="21">
                  <c:v>44986</c:v>
                </c:pt>
                <c:pt idx="22">
                  <c:v>45017</c:v>
                </c:pt>
                <c:pt idx="23">
                  <c:v>45047</c:v>
                </c:pt>
                <c:pt idx="24">
                  <c:v>45078</c:v>
                </c:pt>
              </c:numCache>
            </c:numRef>
          </c:cat>
          <c:val>
            <c:numRef>
              <c:f>graficos!$J$6:$J$30</c:f>
              <c:numCache>
                <c:formatCode>_-* #,##0.0_-;\-* #,##0.0_-;_-* "-"??_-;_-@_-</c:formatCode>
                <c:ptCount val="25"/>
                <c:pt idx="0">
                  <c:v>15.572473579500446</c:v>
                </c:pt>
                <c:pt idx="1">
                  <c:v>14.379683249343977</c:v>
                </c:pt>
                <c:pt idx="2">
                  <c:v>12.14570625928657</c:v>
                </c:pt>
                <c:pt idx="3">
                  <c:v>10.512620098825277</c:v>
                </c:pt>
                <c:pt idx="4">
                  <c:v>10.174384482761244</c:v>
                </c:pt>
                <c:pt idx="5">
                  <c:v>10.108231973622029</c:v>
                </c:pt>
                <c:pt idx="6">
                  <c:v>9.8990763398217219</c:v>
                </c:pt>
                <c:pt idx="7">
                  <c:v>11.331368852635816</c:v>
                </c:pt>
                <c:pt idx="8">
                  <c:v>11.56733462521402</c:v>
                </c:pt>
                <c:pt idx="9">
                  <c:v>11.762646468869642</c:v>
                </c:pt>
                <c:pt idx="10">
                  <c:v>12.625795919960424</c:v>
                </c:pt>
                <c:pt idx="11">
                  <c:v>11.751040581975936</c:v>
                </c:pt>
                <c:pt idx="12">
                  <c:v>11.514142243718894</c:v>
                </c:pt>
                <c:pt idx="13">
                  <c:v>11.038729922498035</c:v>
                </c:pt>
                <c:pt idx="14">
                  <c:v>10.841146991709216</c:v>
                </c:pt>
                <c:pt idx="15">
                  <c:v>11.167105157978519</c:v>
                </c:pt>
                <c:pt idx="16">
                  <c:v>11.804686702790956</c:v>
                </c:pt>
                <c:pt idx="17">
                  <c:v>10.87158230348717</c:v>
                </c:pt>
                <c:pt idx="18">
                  <c:v>11.171711890327817</c:v>
                </c:pt>
                <c:pt idx="19">
                  <c:v>10.546624892220201</c:v>
                </c:pt>
                <c:pt idx="20">
                  <c:v>10.099000762903842</c:v>
                </c:pt>
                <c:pt idx="21">
                  <c:v>10.383638334708678</c:v>
                </c:pt>
                <c:pt idx="22">
                  <c:v>10.253022111398003</c:v>
                </c:pt>
                <c:pt idx="23">
                  <c:v>10.288682458974542</c:v>
                </c:pt>
                <c:pt idx="24">
                  <c:v>11.536457138779731</c:v>
                </c:pt>
              </c:numCache>
            </c:numRef>
          </c:val>
          <c:extLst>
            <c:ext xmlns:c16="http://schemas.microsoft.com/office/drawing/2014/chart" uri="{C3380CC4-5D6E-409C-BE32-E72D297353CC}">
              <c16:uniqueId val="{00000001-33A2-467C-BA7E-04C293F3518D}"/>
            </c:ext>
          </c:extLst>
        </c:ser>
        <c:dLbls>
          <c:showLegendKey val="0"/>
          <c:showVal val="0"/>
          <c:showCatName val="0"/>
          <c:showSerName val="0"/>
          <c:showPercent val="0"/>
          <c:showBubbleSize val="0"/>
        </c:dLbls>
        <c:gapWidth val="30"/>
        <c:axId val="2097155119"/>
        <c:axId val="2097159279"/>
      </c:barChart>
      <c:lineChart>
        <c:grouping val="standard"/>
        <c:varyColors val="0"/>
        <c:ser>
          <c:idx val="1"/>
          <c:order val="1"/>
          <c:tx>
            <c:strRef>
              <c:f>graficos!$K$4</c:f>
              <c:strCache>
                <c:ptCount val="1"/>
                <c:pt idx="0">
                  <c:v>Moneda extranjera</c:v>
                </c:pt>
              </c:strCache>
            </c:strRef>
          </c:tx>
          <c:spPr>
            <a:ln w="28575" cap="rnd">
              <a:solidFill>
                <a:schemeClr val="tx2">
                  <a:lumMod val="50000"/>
                </a:schemeClr>
              </a:solidFill>
              <a:round/>
            </a:ln>
            <a:effectLst/>
          </c:spPr>
          <c:marker>
            <c:symbol val="none"/>
          </c:marker>
          <c:dLbls>
            <c:dLbl>
              <c:idx val="2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3A2-467C-BA7E-04C293F3518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graficos!$K$6:$K$30</c:f>
              <c:numCache>
                <c:formatCode>_-* #,##0.0_-;\-* #,##0.0_-;_-* "-"??_-;_-@_-</c:formatCode>
                <c:ptCount val="25"/>
                <c:pt idx="0">
                  <c:v>18.856250453713752</c:v>
                </c:pt>
                <c:pt idx="1">
                  <c:v>18.61400176115815</c:v>
                </c:pt>
                <c:pt idx="2">
                  <c:v>18.619974598523648</c:v>
                </c:pt>
                <c:pt idx="3">
                  <c:v>19.250070419403144</c:v>
                </c:pt>
                <c:pt idx="4">
                  <c:v>15.40096863460394</c:v>
                </c:pt>
                <c:pt idx="5">
                  <c:v>14.465488127018823</c:v>
                </c:pt>
                <c:pt idx="6">
                  <c:v>20.256746346147516</c:v>
                </c:pt>
                <c:pt idx="7">
                  <c:v>18.929448691144124</c:v>
                </c:pt>
                <c:pt idx="8">
                  <c:v>10.832534389837756</c:v>
                </c:pt>
                <c:pt idx="9">
                  <c:v>12.445157803471041</c:v>
                </c:pt>
                <c:pt idx="10">
                  <c:v>9.9146917935241561</c:v>
                </c:pt>
                <c:pt idx="11">
                  <c:v>9.0495892027845812</c:v>
                </c:pt>
                <c:pt idx="12">
                  <c:v>9.8669610906214835</c:v>
                </c:pt>
                <c:pt idx="13">
                  <c:v>13.849707168192694</c:v>
                </c:pt>
                <c:pt idx="14">
                  <c:v>14.343496100440722</c:v>
                </c:pt>
                <c:pt idx="15">
                  <c:v>14.843155110629036</c:v>
                </c:pt>
                <c:pt idx="16">
                  <c:v>15.427306433011069</c:v>
                </c:pt>
                <c:pt idx="17">
                  <c:v>13.746143581205184</c:v>
                </c:pt>
                <c:pt idx="18">
                  <c:v>10.872423110787267</c:v>
                </c:pt>
                <c:pt idx="19">
                  <c:v>10.043181053032191</c:v>
                </c:pt>
                <c:pt idx="20">
                  <c:v>9.5893247643203061</c:v>
                </c:pt>
                <c:pt idx="21">
                  <c:v>10.051142947587932</c:v>
                </c:pt>
                <c:pt idx="22">
                  <c:v>10.767759472604222</c:v>
                </c:pt>
                <c:pt idx="23">
                  <c:v>9.614169502475022</c:v>
                </c:pt>
                <c:pt idx="24">
                  <c:v>8.6873288584098596</c:v>
                </c:pt>
              </c:numCache>
            </c:numRef>
          </c:val>
          <c:smooth val="0"/>
          <c:extLst>
            <c:ext xmlns:c16="http://schemas.microsoft.com/office/drawing/2014/chart" uri="{C3380CC4-5D6E-409C-BE32-E72D297353CC}">
              <c16:uniqueId val="{00000003-33A2-467C-BA7E-04C293F3518D}"/>
            </c:ext>
          </c:extLst>
        </c:ser>
        <c:dLbls>
          <c:showLegendKey val="0"/>
          <c:showVal val="0"/>
          <c:showCatName val="0"/>
          <c:showSerName val="0"/>
          <c:showPercent val="0"/>
          <c:showBubbleSize val="0"/>
        </c:dLbls>
        <c:marker val="1"/>
        <c:smooth val="0"/>
        <c:axId val="2097155119"/>
        <c:axId val="2097159279"/>
      </c:lineChart>
      <c:dateAx>
        <c:axId val="2097155119"/>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097159279"/>
        <c:crosses val="autoZero"/>
        <c:auto val="1"/>
        <c:lblOffset val="100"/>
        <c:baseTimeUnit val="months"/>
      </c:dateAx>
      <c:valAx>
        <c:axId val="2097159279"/>
        <c:scaling>
          <c:orientation val="minMax"/>
        </c:scaling>
        <c:delete val="0"/>
        <c:axPos val="l"/>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0971551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87638888888889"/>
          <c:y val="0.19323611111111111"/>
          <c:w val="0.81961666666666666"/>
          <c:h val="0.6048768518518518"/>
        </c:manualLayout>
      </c:layout>
      <c:lineChart>
        <c:grouping val="standard"/>
        <c:varyColors val="0"/>
        <c:ser>
          <c:idx val="0"/>
          <c:order val="0"/>
          <c:tx>
            <c:strRef>
              <c:f>USA_1!$C$2</c:f>
              <c:strCache>
                <c:ptCount val="1"/>
                <c:pt idx="0">
                  <c:v>Tasa de desempleo</c:v>
                </c:pt>
              </c:strCache>
            </c:strRef>
          </c:tx>
          <c:spPr>
            <a:ln w="28575" cap="rnd">
              <a:solidFill>
                <a:srgbClr val="002060"/>
              </a:solidFill>
              <a:round/>
            </a:ln>
            <a:effectLst/>
          </c:spPr>
          <c:marker>
            <c:symbol val="none"/>
          </c:marker>
          <c:dLbls>
            <c:dLbl>
              <c:idx val="0"/>
              <c:layout>
                <c:manualLayout>
                  <c:x val="-0.1128888888888889"/>
                  <c:y val="-8.70212962962962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111-4F8E-9D4F-636492D2D11D}"/>
                </c:ext>
              </c:extLst>
            </c:dLbl>
            <c:dLbl>
              <c:idx val="23"/>
              <c:layout>
                <c:manualLayout>
                  <c:x val="-1.7333333333333334E-4"/>
                  <c:y val="-6.35648148148148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111-4F8E-9D4F-636492D2D11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USA_1!$A$3:$A$26</c:f>
              <c:numCache>
                <c:formatCode>mmm\-yy</c:formatCode>
                <c:ptCount val="24"/>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pt idx="22">
                  <c:v>44866</c:v>
                </c:pt>
                <c:pt idx="23">
                  <c:v>44896</c:v>
                </c:pt>
              </c:numCache>
            </c:numRef>
          </c:cat>
          <c:val>
            <c:numRef>
              <c:f>USA_1!$C$3:$C$26</c:f>
              <c:numCache>
                <c:formatCode>_(* #,##0.00_);_(* \(#,##0.00\);_(* "-"??_);_(@_)</c:formatCode>
                <c:ptCount val="24"/>
                <c:pt idx="0">
                  <c:v>6.3</c:v>
                </c:pt>
                <c:pt idx="1">
                  <c:v>6.2</c:v>
                </c:pt>
                <c:pt idx="2">
                  <c:v>6.1</c:v>
                </c:pt>
                <c:pt idx="3">
                  <c:v>6.1</c:v>
                </c:pt>
                <c:pt idx="4">
                  <c:v>5.8</c:v>
                </c:pt>
                <c:pt idx="5">
                  <c:v>5.9</c:v>
                </c:pt>
                <c:pt idx="6">
                  <c:v>5.4</c:v>
                </c:pt>
                <c:pt idx="7">
                  <c:v>5.2</c:v>
                </c:pt>
                <c:pt idx="8">
                  <c:v>4.8</c:v>
                </c:pt>
                <c:pt idx="9">
                  <c:v>4.5</c:v>
                </c:pt>
                <c:pt idx="10">
                  <c:v>4.2</c:v>
                </c:pt>
                <c:pt idx="11">
                  <c:v>3.9</c:v>
                </c:pt>
                <c:pt idx="12">
                  <c:v>4</c:v>
                </c:pt>
                <c:pt idx="13">
                  <c:v>3.8</c:v>
                </c:pt>
                <c:pt idx="14">
                  <c:v>3.6</c:v>
                </c:pt>
                <c:pt idx="15">
                  <c:v>3.6</c:v>
                </c:pt>
                <c:pt idx="16">
                  <c:v>3.6</c:v>
                </c:pt>
                <c:pt idx="17">
                  <c:v>3.6</c:v>
                </c:pt>
                <c:pt idx="18">
                  <c:v>3.5</c:v>
                </c:pt>
                <c:pt idx="19">
                  <c:v>3.7</c:v>
                </c:pt>
                <c:pt idx="20">
                  <c:v>3.5</c:v>
                </c:pt>
                <c:pt idx="21">
                  <c:v>3.7</c:v>
                </c:pt>
                <c:pt idx="22">
                  <c:v>3.6</c:v>
                </c:pt>
                <c:pt idx="23">
                  <c:v>3.5</c:v>
                </c:pt>
              </c:numCache>
            </c:numRef>
          </c:val>
          <c:smooth val="0"/>
          <c:extLst>
            <c:ext xmlns:c16="http://schemas.microsoft.com/office/drawing/2014/chart" uri="{C3380CC4-5D6E-409C-BE32-E72D297353CC}">
              <c16:uniqueId val="{00000002-5111-4F8E-9D4F-636492D2D11D}"/>
            </c:ext>
          </c:extLst>
        </c:ser>
        <c:ser>
          <c:idx val="1"/>
          <c:order val="1"/>
          <c:tx>
            <c:strRef>
              <c:f>USA_1!$B$2</c:f>
              <c:strCache>
                <c:ptCount val="1"/>
                <c:pt idx="0">
                  <c:v>Indice de produccion industrial</c:v>
                </c:pt>
              </c:strCache>
            </c:strRef>
          </c:tx>
          <c:spPr>
            <a:ln w="28575" cap="rnd">
              <a:solidFill>
                <a:schemeClr val="accent1"/>
              </a:solidFill>
              <a:round/>
            </a:ln>
            <a:effectLst/>
          </c:spPr>
          <c:marker>
            <c:symbol val="none"/>
          </c:marker>
          <c:dLbls>
            <c:dLbl>
              <c:idx val="0"/>
              <c:layout>
                <c:manualLayout>
                  <c:x val="-1.5875000000000031E-2"/>
                  <c:y val="7.8781481481481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111-4F8E-9D4F-636492D2D11D}"/>
                </c:ext>
              </c:extLst>
            </c:dLbl>
            <c:dLbl>
              <c:idx val="23"/>
              <c:layout>
                <c:manualLayout>
                  <c:x val="-4.409722222222222E-3"/>
                  <c:y val="5.37962962962962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111-4F8E-9D4F-636492D2D11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USA_1!$A$3:$A$26</c:f>
              <c:numCache>
                <c:formatCode>mmm\-yy</c:formatCode>
                <c:ptCount val="24"/>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pt idx="22">
                  <c:v>44866</c:v>
                </c:pt>
                <c:pt idx="23">
                  <c:v>44896</c:v>
                </c:pt>
              </c:numCache>
            </c:numRef>
          </c:cat>
          <c:val>
            <c:numRef>
              <c:f>USA_1!$B$3:$B$26</c:f>
              <c:numCache>
                <c:formatCode>_(* #,##0.00_);_(* \(#,##0.00\);_(* "-"??_);_(@_)</c:formatCode>
                <c:ptCount val="24"/>
                <c:pt idx="0">
                  <c:v>-2.5579817078463685</c:v>
                </c:pt>
                <c:pt idx="1">
                  <c:v>-6.1580392195448308</c:v>
                </c:pt>
                <c:pt idx="2">
                  <c:v>0.47907588217948049</c:v>
                </c:pt>
                <c:pt idx="3">
                  <c:v>16.183262232277642</c:v>
                </c:pt>
                <c:pt idx="4">
                  <c:v>15.327567195358549</c:v>
                </c:pt>
                <c:pt idx="5">
                  <c:v>8.6794266211604132</c:v>
                </c:pt>
                <c:pt idx="6">
                  <c:v>5.3767639431496761</c:v>
                </c:pt>
                <c:pt idx="7">
                  <c:v>4.4191093576783969</c:v>
                </c:pt>
                <c:pt idx="8">
                  <c:v>3.3564819645174993</c:v>
                </c:pt>
                <c:pt idx="9">
                  <c:v>4.0188034329850408</c:v>
                </c:pt>
                <c:pt idx="10">
                  <c:v>4.4815830445897431</c:v>
                </c:pt>
                <c:pt idx="11">
                  <c:v>2.9707457178026253</c:v>
                </c:pt>
                <c:pt idx="12">
                  <c:v>2.2666717957231741</c:v>
                </c:pt>
                <c:pt idx="13">
                  <c:v>6.6078528410139503</c:v>
                </c:pt>
                <c:pt idx="14">
                  <c:v>4.4254298411068094</c:v>
                </c:pt>
                <c:pt idx="15">
                  <c:v>4.5851706098164025</c:v>
                </c:pt>
                <c:pt idx="16">
                  <c:v>3.6571565736231992</c:v>
                </c:pt>
                <c:pt idx="17">
                  <c:v>3.1923553104423963</c:v>
                </c:pt>
                <c:pt idx="18">
                  <c:v>3.005999614474586</c:v>
                </c:pt>
                <c:pt idx="19">
                  <c:v>3.1050032209576806</c:v>
                </c:pt>
                <c:pt idx="20">
                  <c:v>4.5092235724510266</c:v>
                </c:pt>
                <c:pt idx="21">
                  <c:v>3.0974682093026784</c:v>
                </c:pt>
                <c:pt idx="22">
                  <c:v>1.8526222589382524</c:v>
                </c:pt>
                <c:pt idx="23">
                  <c:v>0.58491762979997475</c:v>
                </c:pt>
              </c:numCache>
            </c:numRef>
          </c:val>
          <c:smooth val="0"/>
          <c:extLst>
            <c:ext xmlns:c16="http://schemas.microsoft.com/office/drawing/2014/chart" uri="{C3380CC4-5D6E-409C-BE32-E72D297353CC}">
              <c16:uniqueId val="{00000005-5111-4F8E-9D4F-636492D2D11D}"/>
            </c:ext>
          </c:extLst>
        </c:ser>
        <c:dLbls>
          <c:showLegendKey val="0"/>
          <c:showVal val="0"/>
          <c:showCatName val="0"/>
          <c:showSerName val="0"/>
          <c:showPercent val="0"/>
          <c:showBubbleSize val="0"/>
        </c:dLbls>
        <c:smooth val="0"/>
        <c:axId val="997090992"/>
        <c:axId val="997091408"/>
      </c:lineChart>
      <c:dateAx>
        <c:axId val="997090992"/>
        <c:scaling>
          <c:orientation val="minMax"/>
        </c:scaling>
        <c:delete val="0"/>
        <c:axPos val="b"/>
        <c:numFmt formatCode="mmm\-yy"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97091408"/>
        <c:crosses val="autoZero"/>
        <c:auto val="1"/>
        <c:lblOffset val="100"/>
        <c:baseTimeUnit val="months"/>
      </c:dateAx>
      <c:valAx>
        <c:axId val="997091408"/>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97090992"/>
        <c:crosses val="autoZero"/>
        <c:crossBetween val="between"/>
      </c:valAx>
    </c:plotArea>
    <c:legend>
      <c:legendPos val="t"/>
      <c:layout>
        <c:manualLayout>
          <c:xMode val="edge"/>
          <c:yMode val="edge"/>
          <c:x val="0.14734444444444444"/>
          <c:y val="3.5277777777777776E-2"/>
          <c:w val="0.81116809940041901"/>
          <c:h val="0.1945907526040279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1"/>
          <c:tx>
            <c:strRef>
              <c:f>graficos!$M$4</c:f>
              <c:strCache>
                <c:ptCount val="1"/>
                <c:pt idx="0">
                  <c:v>Moneda extranjera</c:v>
                </c:pt>
              </c:strCache>
            </c:strRef>
          </c:tx>
          <c:spPr>
            <a:ln w="28575" cap="rnd">
              <a:solidFill>
                <a:schemeClr val="accent1">
                  <a:lumMod val="60000"/>
                  <a:lumOff val="40000"/>
                </a:schemeClr>
              </a:solidFill>
              <a:round/>
            </a:ln>
            <a:effectLst/>
          </c:spPr>
          <c:marker>
            <c:symbol val="none"/>
          </c:marker>
          <c:dLbls>
            <c:dLbl>
              <c:idx val="24"/>
              <c:layout>
                <c:manualLayout>
                  <c:x val="-8.819444444444445E-2"/>
                  <c:y val="-5.87962962962962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213-424C-8566-EB56E8914A07}"/>
                </c:ext>
              </c:extLst>
            </c:dLbl>
            <c:spPr>
              <a:noFill/>
              <a:ln>
                <a:noFill/>
              </a:ln>
              <a:effectLst/>
            </c:spPr>
            <c:txPr>
              <a:bodyPr rot="0" spcFirstLastPara="1" vertOverflow="ellipsis" vert="horz" wrap="square" anchor="ctr" anchorCtr="1"/>
              <a:lstStyle/>
              <a:p>
                <a:pPr>
                  <a:defRPr sz="9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graficos!$C$6:$C$30</c:f>
              <c:numCache>
                <c:formatCode>mmm\-yy</c:formatCode>
                <c:ptCount val="25"/>
                <c:pt idx="0">
                  <c:v>44348</c:v>
                </c:pt>
                <c:pt idx="1">
                  <c:v>44378</c:v>
                </c:pt>
                <c:pt idx="2">
                  <c:v>44409</c:v>
                </c:pt>
                <c:pt idx="3">
                  <c:v>44440</c:v>
                </c:pt>
                <c:pt idx="4">
                  <c:v>44470</c:v>
                </c:pt>
                <c:pt idx="5">
                  <c:v>44501</c:v>
                </c:pt>
                <c:pt idx="6">
                  <c:v>44531</c:v>
                </c:pt>
                <c:pt idx="7">
                  <c:v>44562</c:v>
                </c:pt>
                <c:pt idx="8">
                  <c:v>44593</c:v>
                </c:pt>
                <c:pt idx="9">
                  <c:v>44621</c:v>
                </c:pt>
                <c:pt idx="10">
                  <c:v>44652</c:v>
                </c:pt>
                <c:pt idx="11">
                  <c:v>44682</c:v>
                </c:pt>
                <c:pt idx="12">
                  <c:v>44713</c:v>
                </c:pt>
                <c:pt idx="13">
                  <c:v>44743</c:v>
                </c:pt>
                <c:pt idx="14">
                  <c:v>44774</c:v>
                </c:pt>
                <c:pt idx="15">
                  <c:v>44805</c:v>
                </c:pt>
                <c:pt idx="16">
                  <c:v>44835</c:v>
                </c:pt>
                <c:pt idx="17">
                  <c:v>44866</c:v>
                </c:pt>
                <c:pt idx="18">
                  <c:v>44896</c:v>
                </c:pt>
                <c:pt idx="19">
                  <c:v>44927</c:v>
                </c:pt>
                <c:pt idx="20">
                  <c:v>44958</c:v>
                </c:pt>
                <c:pt idx="21">
                  <c:v>44986</c:v>
                </c:pt>
                <c:pt idx="22">
                  <c:v>45017</c:v>
                </c:pt>
                <c:pt idx="23">
                  <c:v>45047</c:v>
                </c:pt>
                <c:pt idx="24">
                  <c:v>45078</c:v>
                </c:pt>
              </c:numCache>
            </c:numRef>
          </c:cat>
          <c:val>
            <c:numRef>
              <c:f>graficos!$M$6:$M$30</c:f>
              <c:numCache>
                <c:formatCode>_-* #,##0.0_-;\-* #,##0.0_-;_-* "-"??_-;_-@_-</c:formatCode>
                <c:ptCount val="25"/>
                <c:pt idx="0">
                  <c:v>12.24</c:v>
                </c:pt>
                <c:pt idx="1">
                  <c:v>12.14</c:v>
                </c:pt>
                <c:pt idx="2">
                  <c:v>12.14</c:v>
                </c:pt>
                <c:pt idx="3">
                  <c:v>12.16</c:v>
                </c:pt>
                <c:pt idx="4">
                  <c:v>12.13</c:v>
                </c:pt>
                <c:pt idx="5">
                  <c:v>12.02</c:v>
                </c:pt>
                <c:pt idx="6">
                  <c:v>11.92</c:v>
                </c:pt>
                <c:pt idx="7">
                  <c:v>11.92</c:v>
                </c:pt>
                <c:pt idx="8">
                  <c:v>11.92</c:v>
                </c:pt>
                <c:pt idx="9">
                  <c:v>11.95</c:v>
                </c:pt>
                <c:pt idx="10">
                  <c:v>11.93</c:v>
                </c:pt>
                <c:pt idx="11">
                  <c:v>11.94</c:v>
                </c:pt>
                <c:pt idx="12">
                  <c:v>11.98</c:v>
                </c:pt>
                <c:pt idx="13">
                  <c:v>11.98</c:v>
                </c:pt>
                <c:pt idx="14">
                  <c:v>12.02</c:v>
                </c:pt>
                <c:pt idx="15">
                  <c:v>11.94</c:v>
                </c:pt>
                <c:pt idx="16">
                  <c:v>11.84</c:v>
                </c:pt>
                <c:pt idx="17">
                  <c:v>11.83</c:v>
                </c:pt>
                <c:pt idx="18">
                  <c:v>11.83</c:v>
                </c:pt>
                <c:pt idx="19">
                  <c:v>11.89</c:v>
                </c:pt>
                <c:pt idx="20">
                  <c:v>11.94</c:v>
                </c:pt>
                <c:pt idx="21">
                  <c:v>11.93</c:v>
                </c:pt>
                <c:pt idx="22">
                  <c:v>11.93</c:v>
                </c:pt>
                <c:pt idx="23">
                  <c:v>11.98</c:v>
                </c:pt>
                <c:pt idx="24">
                  <c:v>11.98</c:v>
                </c:pt>
              </c:numCache>
            </c:numRef>
          </c:val>
          <c:smooth val="0"/>
          <c:extLst>
            <c:ext xmlns:c16="http://schemas.microsoft.com/office/drawing/2014/chart" uri="{C3380CC4-5D6E-409C-BE32-E72D297353CC}">
              <c16:uniqueId val="{00000001-7213-424C-8566-EB56E8914A07}"/>
            </c:ext>
          </c:extLst>
        </c:ser>
        <c:dLbls>
          <c:showLegendKey val="0"/>
          <c:showVal val="0"/>
          <c:showCatName val="0"/>
          <c:showSerName val="0"/>
          <c:showPercent val="0"/>
          <c:showBubbleSize val="0"/>
        </c:dLbls>
        <c:marker val="1"/>
        <c:smooth val="0"/>
        <c:axId val="560894127"/>
        <c:axId val="560905775"/>
      </c:lineChart>
      <c:lineChart>
        <c:grouping val="standard"/>
        <c:varyColors val="0"/>
        <c:ser>
          <c:idx val="0"/>
          <c:order val="0"/>
          <c:tx>
            <c:strRef>
              <c:f>graficos!$L$4</c:f>
              <c:strCache>
                <c:ptCount val="1"/>
                <c:pt idx="0">
                  <c:v>Moneda nacional</c:v>
                </c:pt>
              </c:strCache>
            </c:strRef>
          </c:tx>
          <c:spPr>
            <a:ln w="28575" cap="rnd">
              <a:solidFill>
                <a:schemeClr val="tx2">
                  <a:lumMod val="75000"/>
                </a:schemeClr>
              </a:solidFill>
              <a:round/>
            </a:ln>
            <a:effectLst/>
          </c:spPr>
          <c:marker>
            <c:symbol val="none"/>
          </c:marker>
          <c:dLbls>
            <c:dLbl>
              <c:idx val="24"/>
              <c:layout>
                <c:manualLayout>
                  <c:x val="-0.10142361111111112"/>
                  <c:y val="-2.93981481481482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213-424C-8566-EB56E8914A07}"/>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graficos!$C$6:$C$30</c:f>
              <c:numCache>
                <c:formatCode>mmm\-yy</c:formatCode>
                <c:ptCount val="25"/>
                <c:pt idx="0">
                  <c:v>44348</c:v>
                </c:pt>
                <c:pt idx="1">
                  <c:v>44378</c:v>
                </c:pt>
                <c:pt idx="2">
                  <c:v>44409</c:v>
                </c:pt>
                <c:pt idx="3">
                  <c:v>44440</c:v>
                </c:pt>
                <c:pt idx="4">
                  <c:v>44470</c:v>
                </c:pt>
                <c:pt idx="5">
                  <c:v>44501</c:v>
                </c:pt>
                <c:pt idx="6">
                  <c:v>44531</c:v>
                </c:pt>
                <c:pt idx="7">
                  <c:v>44562</c:v>
                </c:pt>
                <c:pt idx="8">
                  <c:v>44593</c:v>
                </c:pt>
                <c:pt idx="9">
                  <c:v>44621</c:v>
                </c:pt>
                <c:pt idx="10">
                  <c:v>44652</c:v>
                </c:pt>
                <c:pt idx="11">
                  <c:v>44682</c:v>
                </c:pt>
                <c:pt idx="12">
                  <c:v>44713</c:v>
                </c:pt>
                <c:pt idx="13">
                  <c:v>44743</c:v>
                </c:pt>
                <c:pt idx="14">
                  <c:v>44774</c:v>
                </c:pt>
                <c:pt idx="15">
                  <c:v>44805</c:v>
                </c:pt>
                <c:pt idx="16">
                  <c:v>44835</c:v>
                </c:pt>
                <c:pt idx="17">
                  <c:v>44866</c:v>
                </c:pt>
                <c:pt idx="18">
                  <c:v>44896</c:v>
                </c:pt>
                <c:pt idx="19">
                  <c:v>44927</c:v>
                </c:pt>
                <c:pt idx="20">
                  <c:v>44958</c:v>
                </c:pt>
                <c:pt idx="21">
                  <c:v>44986</c:v>
                </c:pt>
                <c:pt idx="22">
                  <c:v>45017</c:v>
                </c:pt>
                <c:pt idx="23">
                  <c:v>45047</c:v>
                </c:pt>
                <c:pt idx="24">
                  <c:v>45078</c:v>
                </c:pt>
              </c:numCache>
            </c:numRef>
          </c:cat>
          <c:val>
            <c:numRef>
              <c:f>graficos!$L$6:$L$30</c:f>
              <c:numCache>
                <c:formatCode>_-* #,##0.0_-;\-* #,##0.0_-;_-* "-"??_-;_-@_-</c:formatCode>
                <c:ptCount val="25"/>
                <c:pt idx="0">
                  <c:v>4.1500000000000004</c:v>
                </c:pt>
                <c:pt idx="1">
                  <c:v>4.09</c:v>
                </c:pt>
                <c:pt idx="2">
                  <c:v>4.07</c:v>
                </c:pt>
                <c:pt idx="3">
                  <c:v>4.04</c:v>
                </c:pt>
                <c:pt idx="4">
                  <c:v>4.03</c:v>
                </c:pt>
                <c:pt idx="5">
                  <c:v>4.0199999999999996</c:v>
                </c:pt>
                <c:pt idx="6">
                  <c:v>3.99</c:v>
                </c:pt>
                <c:pt idx="7">
                  <c:v>3.95</c:v>
                </c:pt>
                <c:pt idx="8">
                  <c:v>3.95</c:v>
                </c:pt>
                <c:pt idx="9">
                  <c:v>3.91</c:v>
                </c:pt>
                <c:pt idx="10">
                  <c:v>3.9</c:v>
                </c:pt>
                <c:pt idx="11">
                  <c:v>3.89</c:v>
                </c:pt>
                <c:pt idx="12">
                  <c:v>3.88</c:v>
                </c:pt>
                <c:pt idx="13">
                  <c:v>3.87</c:v>
                </c:pt>
                <c:pt idx="14">
                  <c:v>3.88</c:v>
                </c:pt>
                <c:pt idx="15">
                  <c:v>3.88</c:v>
                </c:pt>
                <c:pt idx="16">
                  <c:v>3.9</c:v>
                </c:pt>
                <c:pt idx="17">
                  <c:v>3.93</c:v>
                </c:pt>
                <c:pt idx="18">
                  <c:v>3.95</c:v>
                </c:pt>
                <c:pt idx="19">
                  <c:v>3.99</c:v>
                </c:pt>
                <c:pt idx="20">
                  <c:v>4.0199999999999996</c:v>
                </c:pt>
                <c:pt idx="21">
                  <c:v>4.07</c:v>
                </c:pt>
                <c:pt idx="22">
                  <c:v>4.09</c:v>
                </c:pt>
                <c:pt idx="23">
                  <c:v>4.13</c:v>
                </c:pt>
                <c:pt idx="24">
                  <c:v>4.17</c:v>
                </c:pt>
              </c:numCache>
            </c:numRef>
          </c:val>
          <c:smooth val="0"/>
          <c:extLst>
            <c:ext xmlns:c16="http://schemas.microsoft.com/office/drawing/2014/chart" uri="{C3380CC4-5D6E-409C-BE32-E72D297353CC}">
              <c16:uniqueId val="{00000003-7213-424C-8566-EB56E8914A07}"/>
            </c:ext>
          </c:extLst>
        </c:ser>
        <c:dLbls>
          <c:showLegendKey val="0"/>
          <c:showVal val="0"/>
          <c:showCatName val="0"/>
          <c:showSerName val="0"/>
          <c:showPercent val="0"/>
          <c:showBubbleSize val="0"/>
        </c:dLbls>
        <c:marker val="1"/>
        <c:smooth val="0"/>
        <c:axId val="1587814607"/>
        <c:axId val="1587822511"/>
      </c:lineChart>
      <c:dateAx>
        <c:axId val="560894127"/>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60905775"/>
        <c:crosses val="autoZero"/>
        <c:auto val="1"/>
        <c:lblOffset val="100"/>
        <c:baseTimeUnit val="months"/>
      </c:dateAx>
      <c:valAx>
        <c:axId val="560905775"/>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900"/>
                  <a:t>Activa</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60894127"/>
        <c:crosses val="autoZero"/>
        <c:crossBetween val="between"/>
      </c:valAx>
      <c:valAx>
        <c:axId val="1587822511"/>
        <c:scaling>
          <c:orientation val="minMax"/>
        </c:scaling>
        <c:delete val="0"/>
        <c:axPos val="r"/>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900"/>
                  <a:t>Pasiva</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_-* #,##0.0_-;\-* #,##0.0_-;_-* &quot;-&quot;??_-;_-@_-"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587814607"/>
        <c:crosses val="max"/>
        <c:crossBetween val="between"/>
        <c:majorUnit val="0.1"/>
      </c:valAx>
      <c:dateAx>
        <c:axId val="1587814607"/>
        <c:scaling>
          <c:orientation val="minMax"/>
        </c:scaling>
        <c:delete val="1"/>
        <c:axPos val="b"/>
        <c:numFmt formatCode="mmm\-yy" sourceLinked="1"/>
        <c:majorTickMark val="out"/>
        <c:minorTickMark val="none"/>
        <c:tickLblPos val="nextTo"/>
        <c:crossAx val="1587822511"/>
        <c:crosses val="autoZero"/>
        <c:auto val="1"/>
        <c:lblOffset val="100"/>
        <c:baseTimeUnit val="months"/>
      </c:date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88898245492192"/>
          <c:y val="3.9063266836843358E-2"/>
          <c:w val="0.81959944091883774"/>
          <c:h val="0.71119801714319231"/>
        </c:manualLayout>
      </c:layout>
      <c:lineChart>
        <c:grouping val="standard"/>
        <c:varyColors val="0"/>
        <c:ser>
          <c:idx val="0"/>
          <c:order val="0"/>
          <c:tx>
            <c:strRef>
              <c:f>TPM!$B$1</c:f>
              <c:strCache>
                <c:ptCount val="1"/>
                <c:pt idx="0">
                  <c:v>valor</c:v>
                </c:pt>
              </c:strCache>
            </c:strRef>
          </c:tx>
          <c:spPr>
            <a:ln w="28575" cap="rnd">
              <a:solidFill>
                <a:schemeClr val="accent1"/>
              </a:solidFill>
              <a:round/>
            </a:ln>
            <a:effectLst/>
          </c:spPr>
          <c:marker>
            <c:symbol val="none"/>
          </c:marker>
          <c:dLbls>
            <c:dLbl>
              <c:idx val="193"/>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1E9-4E57-93CC-208DFDFEC3DE}"/>
                </c:ext>
              </c:extLst>
            </c:dLbl>
            <c:dLbl>
              <c:idx val="20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1E9-4E57-93CC-208DFDFEC3DE}"/>
                </c:ext>
              </c:extLst>
            </c:dLbl>
            <c:dLbl>
              <c:idx val="214"/>
              <c:layout>
                <c:manualLayout>
                  <c:x val="-0.1187986111111111"/>
                  <c:y val="-5.32059123343527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1E9-4E57-93CC-208DFDFEC3DE}"/>
                </c:ext>
              </c:extLst>
            </c:dLbl>
            <c:dLbl>
              <c:idx val="22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1E9-4E57-93CC-208DFDFEC3DE}"/>
                </c:ext>
              </c:extLst>
            </c:dLbl>
            <c:numFmt formatCode="#,##0.00" sourceLinked="0"/>
            <c:spPr>
              <a:noFill/>
              <a:ln>
                <a:noFill/>
              </a:ln>
              <a:effectLst/>
            </c:spPr>
            <c:txPr>
              <a:bodyPr rot="0" spcFirstLastPara="1" vertOverflow="ellipsis" vert="horz" wrap="square" anchor="ctr" anchorCtr="1"/>
              <a:lstStyle/>
              <a:p>
                <a:pPr>
                  <a:defRPr sz="8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dLblPos val="t"/>
            <c:showLegendKey val="0"/>
            <c:showVal val="0"/>
            <c:showCatName val="0"/>
            <c:showSerName val="0"/>
            <c:showPercent val="0"/>
            <c:showBubbleSize val="0"/>
            <c:extLst>
              <c:ext xmlns:c15="http://schemas.microsoft.com/office/drawing/2012/chart" uri="{CE6537A1-D6FC-4f65-9D91-7224C49458BB}">
                <c15:showLeaderLines val="0"/>
              </c:ext>
            </c:extLst>
          </c:dLbls>
          <c:cat>
            <c:numRef>
              <c:f>TPM!$A$2:$A$225</c:f>
              <c:numCache>
                <c:formatCode>m/d/yyyy</c:formatCode>
                <c:ptCount val="224"/>
                <c:pt idx="0">
                  <c:v>38353</c:v>
                </c:pt>
                <c:pt idx="1">
                  <c:v>38384</c:v>
                </c:pt>
                <c:pt idx="2">
                  <c:v>38412</c:v>
                </c:pt>
                <c:pt idx="3">
                  <c:v>38443</c:v>
                </c:pt>
                <c:pt idx="4">
                  <c:v>38473</c:v>
                </c:pt>
                <c:pt idx="5">
                  <c:v>38504</c:v>
                </c:pt>
                <c:pt idx="6">
                  <c:v>38534</c:v>
                </c:pt>
                <c:pt idx="7">
                  <c:v>38565</c:v>
                </c:pt>
                <c:pt idx="8">
                  <c:v>38596</c:v>
                </c:pt>
                <c:pt idx="9">
                  <c:v>38626</c:v>
                </c:pt>
                <c:pt idx="10">
                  <c:v>38657</c:v>
                </c:pt>
                <c:pt idx="11">
                  <c:v>38687</c:v>
                </c:pt>
                <c:pt idx="12">
                  <c:v>38718</c:v>
                </c:pt>
                <c:pt idx="13">
                  <c:v>38749</c:v>
                </c:pt>
                <c:pt idx="14">
                  <c:v>38777</c:v>
                </c:pt>
                <c:pt idx="15">
                  <c:v>38808</c:v>
                </c:pt>
                <c:pt idx="16">
                  <c:v>38838</c:v>
                </c:pt>
                <c:pt idx="17">
                  <c:v>38869</c:v>
                </c:pt>
                <c:pt idx="18">
                  <c:v>38899</c:v>
                </c:pt>
                <c:pt idx="19">
                  <c:v>38930</c:v>
                </c:pt>
                <c:pt idx="20">
                  <c:v>38961</c:v>
                </c:pt>
                <c:pt idx="21">
                  <c:v>38991</c:v>
                </c:pt>
                <c:pt idx="22">
                  <c:v>39022</c:v>
                </c:pt>
                <c:pt idx="23">
                  <c:v>39052</c:v>
                </c:pt>
                <c:pt idx="24">
                  <c:v>39083</c:v>
                </c:pt>
                <c:pt idx="25">
                  <c:v>39114</c:v>
                </c:pt>
                <c:pt idx="26">
                  <c:v>39142</c:v>
                </c:pt>
                <c:pt idx="27">
                  <c:v>39173</c:v>
                </c:pt>
                <c:pt idx="28">
                  <c:v>39203</c:v>
                </c:pt>
                <c:pt idx="29">
                  <c:v>39234</c:v>
                </c:pt>
                <c:pt idx="30">
                  <c:v>39264</c:v>
                </c:pt>
                <c:pt idx="31">
                  <c:v>39295</c:v>
                </c:pt>
                <c:pt idx="32">
                  <c:v>39326</c:v>
                </c:pt>
                <c:pt idx="33">
                  <c:v>39356</c:v>
                </c:pt>
                <c:pt idx="34">
                  <c:v>39387</c:v>
                </c:pt>
                <c:pt idx="35">
                  <c:v>39417</c:v>
                </c:pt>
                <c:pt idx="36">
                  <c:v>39448</c:v>
                </c:pt>
                <c:pt idx="37">
                  <c:v>39479</c:v>
                </c:pt>
                <c:pt idx="38">
                  <c:v>39508</c:v>
                </c:pt>
                <c:pt idx="39">
                  <c:v>39539</c:v>
                </c:pt>
                <c:pt idx="40">
                  <c:v>39569</c:v>
                </c:pt>
                <c:pt idx="41">
                  <c:v>39600</c:v>
                </c:pt>
                <c:pt idx="42">
                  <c:v>39630</c:v>
                </c:pt>
                <c:pt idx="43">
                  <c:v>39661</c:v>
                </c:pt>
                <c:pt idx="44">
                  <c:v>39692</c:v>
                </c:pt>
                <c:pt idx="45">
                  <c:v>39722</c:v>
                </c:pt>
                <c:pt idx="46">
                  <c:v>39753</c:v>
                </c:pt>
                <c:pt idx="47">
                  <c:v>39783</c:v>
                </c:pt>
                <c:pt idx="48">
                  <c:v>39814</c:v>
                </c:pt>
                <c:pt idx="49">
                  <c:v>39845</c:v>
                </c:pt>
                <c:pt idx="50">
                  <c:v>39873</c:v>
                </c:pt>
                <c:pt idx="51">
                  <c:v>39904</c:v>
                </c:pt>
                <c:pt idx="52">
                  <c:v>39934</c:v>
                </c:pt>
                <c:pt idx="53">
                  <c:v>39965</c:v>
                </c:pt>
                <c:pt idx="54">
                  <c:v>39995</c:v>
                </c:pt>
                <c:pt idx="55">
                  <c:v>40026</c:v>
                </c:pt>
                <c:pt idx="56">
                  <c:v>40057</c:v>
                </c:pt>
                <c:pt idx="57">
                  <c:v>40087</c:v>
                </c:pt>
                <c:pt idx="58">
                  <c:v>40118</c:v>
                </c:pt>
                <c:pt idx="59">
                  <c:v>40148</c:v>
                </c:pt>
                <c:pt idx="60">
                  <c:v>40179</c:v>
                </c:pt>
                <c:pt idx="61">
                  <c:v>40210</c:v>
                </c:pt>
                <c:pt idx="62">
                  <c:v>40238</c:v>
                </c:pt>
                <c:pt idx="63">
                  <c:v>40269</c:v>
                </c:pt>
                <c:pt idx="64">
                  <c:v>40299</c:v>
                </c:pt>
                <c:pt idx="65">
                  <c:v>40330</c:v>
                </c:pt>
                <c:pt idx="66">
                  <c:v>40360</c:v>
                </c:pt>
                <c:pt idx="67">
                  <c:v>40391</c:v>
                </c:pt>
                <c:pt idx="68">
                  <c:v>40422</c:v>
                </c:pt>
                <c:pt idx="69">
                  <c:v>40452</c:v>
                </c:pt>
                <c:pt idx="70">
                  <c:v>40483</c:v>
                </c:pt>
                <c:pt idx="71">
                  <c:v>40513</c:v>
                </c:pt>
                <c:pt idx="72">
                  <c:v>40544</c:v>
                </c:pt>
                <c:pt idx="73">
                  <c:v>40575</c:v>
                </c:pt>
                <c:pt idx="74">
                  <c:v>40603</c:v>
                </c:pt>
                <c:pt idx="75">
                  <c:v>40634</c:v>
                </c:pt>
                <c:pt idx="76">
                  <c:v>40664</c:v>
                </c:pt>
                <c:pt idx="77">
                  <c:v>40695</c:v>
                </c:pt>
                <c:pt idx="78">
                  <c:v>40725</c:v>
                </c:pt>
                <c:pt idx="79">
                  <c:v>40756</c:v>
                </c:pt>
                <c:pt idx="80">
                  <c:v>40787</c:v>
                </c:pt>
                <c:pt idx="81">
                  <c:v>40817</c:v>
                </c:pt>
                <c:pt idx="82">
                  <c:v>40848</c:v>
                </c:pt>
                <c:pt idx="83">
                  <c:v>40878</c:v>
                </c:pt>
                <c:pt idx="84">
                  <c:v>40909</c:v>
                </c:pt>
                <c:pt idx="85">
                  <c:v>40940</c:v>
                </c:pt>
                <c:pt idx="86">
                  <c:v>40969</c:v>
                </c:pt>
                <c:pt idx="87">
                  <c:v>41000</c:v>
                </c:pt>
                <c:pt idx="88">
                  <c:v>41030</c:v>
                </c:pt>
                <c:pt idx="89">
                  <c:v>41061</c:v>
                </c:pt>
                <c:pt idx="90">
                  <c:v>41091</c:v>
                </c:pt>
                <c:pt idx="91">
                  <c:v>41122</c:v>
                </c:pt>
                <c:pt idx="92">
                  <c:v>41153</c:v>
                </c:pt>
                <c:pt idx="93">
                  <c:v>41183</c:v>
                </c:pt>
                <c:pt idx="94">
                  <c:v>41214</c:v>
                </c:pt>
                <c:pt idx="95">
                  <c:v>41244</c:v>
                </c:pt>
                <c:pt idx="96">
                  <c:v>41275</c:v>
                </c:pt>
                <c:pt idx="97">
                  <c:v>41306</c:v>
                </c:pt>
                <c:pt idx="98">
                  <c:v>41334</c:v>
                </c:pt>
                <c:pt idx="99">
                  <c:v>41365</c:v>
                </c:pt>
                <c:pt idx="100">
                  <c:v>41395</c:v>
                </c:pt>
                <c:pt idx="101">
                  <c:v>41426</c:v>
                </c:pt>
                <c:pt idx="102">
                  <c:v>41456</c:v>
                </c:pt>
                <c:pt idx="103">
                  <c:v>41487</c:v>
                </c:pt>
                <c:pt idx="104">
                  <c:v>41518</c:v>
                </c:pt>
                <c:pt idx="105">
                  <c:v>41548</c:v>
                </c:pt>
                <c:pt idx="106">
                  <c:v>41579</c:v>
                </c:pt>
                <c:pt idx="107">
                  <c:v>41609</c:v>
                </c:pt>
                <c:pt idx="108">
                  <c:v>41640</c:v>
                </c:pt>
                <c:pt idx="109">
                  <c:v>41671</c:v>
                </c:pt>
                <c:pt idx="110">
                  <c:v>41699</c:v>
                </c:pt>
                <c:pt idx="111">
                  <c:v>41730</c:v>
                </c:pt>
                <c:pt idx="112">
                  <c:v>41760</c:v>
                </c:pt>
                <c:pt idx="113">
                  <c:v>41791</c:v>
                </c:pt>
                <c:pt idx="114">
                  <c:v>41821</c:v>
                </c:pt>
                <c:pt idx="115">
                  <c:v>41852</c:v>
                </c:pt>
                <c:pt idx="116">
                  <c:v>41883</c:v>
                </c:pt>
                <c:pt idx="117">
                  <c:v>41913</c:v>
                </c:pt>
                <c:pt idx="118">
                  <c:v>41944</c:v>
                </c:pt>
                <c:pt idx="119">
                  <c:v>41974</c:v>
                </c:pt>
                <c:pt idx="120">
                  <c:v>42005</c:v>
                </c:pt>
                <c:pt idx="121">
                  <c:v>42036</c:v>
                </c:pt>
                <c:pt idx="122">
                  <c:v>42064</c:v>
                </c:pt>
                <c:pt idx="123">
                  <c:v>42095</c:v>
                </c:pt>
                <c:pt idx="124">
                  <c:v>42125</c:v>
                </c:pt>
                <c:pt idx="125">
                  <c:v>42156</c:v>
                </c:pt>
                <c:pt idx="126">
                  <c:v>42186</c:v>
                </c:pt>
                <c:pt idx="127">
                  <c:v>42217</c:v>
                </c:pt>
                <c:pt idx="128">
                  <c:v>42248</c:v>
                </c:pt>
                <c:pt idx="129">
                  <c:v>42278</c:v>
                </c:pt>
                <c:pt idx="130">
                  <c:v>42309</c:v>
                </c:pt>
                <c:pt idx="131">
                  <c:v>42339</c:v>
                </c:pt>
                <c:pt idx="132">
                  <c:v>42370</c:v>
                </c:pt>
                <c:pt idx="133">
                  <c:v>42401</c:v>
                </c:pt>
                <c:pt idx="134">
                  <c:v>42430</c:v>
                </c:pt>
                <c:pt idx="135">
                  <c:v>42461</c:v>
                </c:pt>
                <c:pt idx="136">
                  <c:v>42491</c:v>
                </c:pt>
                <c:pt idx="137">
                  <c:v>42522</c:v>
                </c:pt>
                <c:pt idx="138">
                  <c:v>42552</c:v>
                </c:pt>
                <c:pt idx="139">
                  <c:v>42583</c:v>
                </c:pt>
                <c:pt idx="140">
                  <c:v>42614</c:v>
                </c:pt>
                <c:pt idx="141">
                  <c:v>42644</c:v>
                </c:pt>
                <c:pt idx="142">
                  <c:v>42675</c:v>
                </c:pt>
                <c:pt idx="143">
                  <c:v>42705</c:v>
                </c:pt>
                <c:pt idx="144">
                  <c:v>42736</c:v>
                </c:pt>
                <c:pt idx="145">
                  <c:v>42767</c:v>
                </c:pt>
                <c:pt idx="146">
                  <c:v>42795</c:v>
                </c:pt>
                <c:pt idx="147">
                  <c:v>42826</c:v>
                </c:pt>
                <c:pt idx="148">
                  <c:v>42856</c:v>
                </c:pt>
                <c:pt idx="149">
                  <c:v>42887</c:v>
                </c:pt>
                <c:pt idx="150">
                  <c:v>42917</c:v>
                </c:pt>
                <c:pt idx="151">
                  <c:v>42948</c:v>
                </c:pt>
                <c:pt idx="152">
                  <c:v>42979</c:v>
                </c:pt>
                <c:pt idx="153">
                  <c:v>43009</c:v>
                </c:pt>
                <c:pt idx="154">
                  <c:v>43040</c:v>
                </c:pt>
                <c:pt idx="155">
                  <c:v>43070</c:v>
                </c:pt>
                <c:pt idx="156">
                  <c:v>43101</c:v>
                </c:pt>
                <c:pt idx="157">
                  <c:v>43132</c:v>
                </c:pt>
                <c:pt idx="158">
                  <c:v>43160</c:v>
                </c:pt>
                <c:pt idx="159">
                  <c:v>43191</c:v>
                </c:pt>
                <c:pt idx="160">
                  <c:v>43221</c:v>
                </c:pt>
                <c:pt idx="161">
                  <c:v>43252</c:v>
                </c:pt>
                <c:pt idx="162">
                  <c:v>43282</c:v>
                </c:pt>
                <c:pt idx="163">
                  <c:v>43313</c:v>
                </c:pt>
                <c:pt idx="164">
                  <c:v>43344</c:v>
                </c:pt>
                <c:pt idx="165">
                  <c:v>43374</c:v>
                </c:pt>
                <c:pt idx="166">
                  <c:v>43405</c:v>
                </c:pt>
                <c:pt idx="167">
                  <c:v>43435</c:v>
                </c:pt>
                <c:pt idx="168">
                  <c:v>43466</c:v>
                </c:pt>
                <c:pt idx="169">
                  <c:v>43497</c:v>
                </c:pt>
                <c:pt idx="170">
                  <c:v>43525</c:v>
                </c:pt>
                <c:pt idx="171">
                  <c:v>43556</c:v>
                </c:pt>
                <c:pt idx="172">
                  <c:v>43586</c:v>
                </c:pt>
                <c:pt idx="173">
                  <c:v>43617</c:v>
                </c:pt>
                <c:pt idx="174">
                  <c:v>43647</c:v>
                </c:pt>
                <c:pt idx="175">
                  <c:v>43678</c:v>
                </c:pt>
                <c:pt idx="176">
                  <c:v>43709</c:v>
                </c:pt>
                <c:pt idx="177">
                  <c:v>43739</c:v>
                </c:pt>
                <c:pt idx="178">
                  <c:v>43770</c:v>
                </c:pt>
                <c:pt idx="179">
                  <c:v>43800</c:v>
                </c:pt>
                <c:pt idx="180">
                  <c:v>43831</c:v>
                </c:pt>
                <c:pt idx="181">
                  <c:v>43862</c:v>
                </c:pt>
                <c:pt idx="182">
                  <c:v>43891</c:v>
                </c:pt>
                <c:pt idx="183">
                  <c:v>43922</c:v>
                </c:pt>
                <c:pt idx="184">
                  <c:v>43952</c:v>
                </c:pt>
                <c:pt idx="185">
                  <c:v>43983</c:v>
                </c:pt>
                <c:pt idx="186">
                  <c:v>44013</c:v>
                </c:pt>
                <c:pt idx="187">
                  <c:v>44044</c:v>
                </c:pt>
                <c:pt idx="188">
                  <c:v>44075</c:v>
                </c:pt>
                <c:pt idx="189">
                  <c:v>44105</c:v>
                </c:pt>
                <c:pt idx="190">
                  <c:v>44136</c:v>
                </c:pt>
                <c:pt idx="191">
                  <c:v>44166</c:v>
                </c:pt>
                <c:pt idx="192">
                  <c:v>44197</c:v>
                </c:pt>
                <c:pt idx="193">
                  <c:v>44228</c:v>
                </c:pt>
                <c:pt idx="194">
                  <c:v>44256</c:v>
                </c:pt>
                <c:pt idx="195">
                  <c:v>44287</c:v>
                </c:pt>
                <c:pt idx="196">
                  <c:v>44317</c:v>
                </c:pt>
                <c:pt idx="197">
                  <c:v>44348</c:v>
                </c:pt>
                <c:pt idx="198">
                  <c:v>44378</c:v>
                </c:pt>
                <c:pt idx="199">
                  <c:v>44409</c:v>
                </c:pt>
                <c:pt idx="200">
                  <c:v>44440</c:v>
                </c:pt>
                <c:pt idx="201">
                  <c:v>44470</c:v>
                </c:pt>
                <c:pt idx="202">
                  <c:v>44501</c:v>
                </c:pt>
                <c:pt idx="203">
                  <c:v>44531</c:v>
                </c:pt>
                <c:pt idx="204">
                  <c:v>44562</c:v>
                </c:pt>
                <c:pt idx="205">
                  <c:v>44593</c:v>
                </c:pt>
                <c:pt idx="206">
                  <c:v>44621</c:v>
                </c:pt>
                <c:pt idx="207">
                  <c:v>44652</c:v>
                </c:pt>
                <c:pt idx="208">
                  <c:v>44682</c:v>
                </c:pt>
                <c:pt idx="209">
                  <c:v>44713</c:v>
                </c:pt>
                <c:pt idx="210">
                  <c:v>44743</c:v>
                </c:pt>
                <c:pt idx="211">
                  <c:v>44774</c:v>
                </c:pt>
                <c:pt idx="212">
                  <c:v>44805</c:v>
                </c:pt>
                <c:pt idx="213">
                  <c:v>44835</c:v>
                </c:pt>
                <c:pt idx="214">
                  <c:v>44866</c:v>
                </c:pt>
                <c:pt idx="215">
                  <c:v>44896</c:v>
                </c:pt>
                <c:pt idx="216">
                  <c:v>44927</c:v>
                </c:pt>
                <c:pt idx="217">
                  <c:v>44958</c:v>
                </c:pt>
                <c:pt idx="218">
                  <c:v>44986</c:v>
                </c:pt>
                <c:pt idx="219">
                  <c:v>45017</c:v>
                </c:pt>
                <c:pt idx="220">
                  <c:v>45047</c:v>
                </c:pt>
                <c:pt idx="221">
                  <c:v>45078</c:v>
                </c:pt>
                <c:pt idx="222">
                  <c:v>45108</c:v>
                </c:pt>
                <c:pt idx="223">
                  <c:v>45139</c:v>
                </c:pt>
              </c:numCache>
            </c:numRef>
          </c:cat>
          <c:val>
            <c:numRef>
              <c:f>TPM!$B$2:$B$225</c:f>
              <c:numCache>
                <c:formatCode>General</c:formatCode>
                <c:ptCount val="224"/>
                <c:pt idx="0">
                  <c:v>2.5499999999999998</c:v>
                </c:pt>
                <c:pt idx="1">
                  <c:v>2.75</c:v>
                </c:pt>
                <c:pt idx="2">
                  <c:v>2.75</c:v>
                </c:pt>
                <c:pt idx="3">
                  <c:v>2.75</c:v>
                </c:pt>
                <c:pt idx="4">
                  <c:v>3</c:v>
                </c:pt>
                <c:pt idx="5">
                  <c:v>3</c:v>
                </c:pt>
                <c:pt idx="6">
                  <c:v>3.25</c:v>
                </c:pt>
                <c:pt idx="7">
                  <c:v>3.5</c:v>
                </c:pt>
                <c:pt idx="8">
                  <c:v>3.75</c:v>
                </c:pt>
                <c:pt idx="9">
                  <c:v>3.75</c:v>
                </c:pt>
                <c:pt idx="10">
                  <c:v>4</c:v>
                </c:pt>
                <c:pt idx="11">
                  <c:v>4.25</c:v>
                </c:pt>
                <c:pt idx="12">
                  <c:v>4.25</c:v>
                </c:pt>
                <c:pt idx="13">
                  <c:v>4.25</c:v>
                </c:pt>
                <c:pt idx="14">
                  <c:v>4.25</c:v>
                </c:pt>
                <c:pt idx="15">
                  <c:v>4.5</c:v>
                </c:pt>
                <c:pt idx="16">
                  <c:v>4.5</c:v>
                </c:pt>
                <c:pt idx="17">
                  <c:v>4.75</c:v>
                </c:pt>
                <c:pt idx="18">
                  <c:v>5</c:v>
                </c:pt>
                <c:pt idx="19">
                  <c:v>5</c:v>
                </c:pt>
                <c:pt idx="20">
                  <c:v>5</c:v>
                </c:pt>
                <c:pt idx="21">
                  <c:v>5</c:v>
                </c:pt>
                <c:pt idx="22">
                  <c:v>5</c:v>
                </c:pt>
                <c:pt idx="23">
                  <c:v>5</c:v>
                </c:pt>
                <c:pt idx="24">
                  <c:v>5</c:v>
                </c:pt>
                <c:pt idx="25">
                  <c:v>5</c:v>
                </c:pt>
                <c:pt idx="26">
                  <c:v>5.25</c:v>
                </c:pt>
                <c:pt idx="27">
                  <c:v>5.5</c:v>
                </c:pt>
                <c:pt idx="28">
                  <c:v>5.5</c:v>
                </c:pt>
                <c:pt idx="29">
                  <c:v>5.5</c:v>
                </c:pt>
                <c:pt idx="30">
                  <c:v>5.5</c:v>
                </c:pt>
                <c:pt idx="31">
                  <c:v>5.5</c:v>
                </c:pt>
                <c:pt idx="32">
                  <c:v>5.75</c:v>
                </c:pt>
                <c:pt idx="33">
                  <c:v>6</c:v>
                </c:pt>
                <c:pt idx="34">
                  <c:v>6.25</c:v>
                </c:pt>
                <c:pt idx="35">
                  <c:v>6.5</c:v>
                </c:pt>
                <c:pt idx="36">
                  <c:v>6.5</c:v>
                </c:pt>
                <c:pt idx="37">
                  <c:v>6.5</c:v>
                </c:pt>
                <c:pt idx="38">
                  <c:v>6.75</c:v>
                </c:pt>
                <c:pt idx="39">
                  <c:v>6.75</c:v>
                </c:pt>
                <c:pt idx="40">
                  <c:v>6.75</c:v>
                </c:pt>
                <c:pt idx="41">
                  <c:v>6.75</c:v>
                </c:pt>
                <c:pt idx="42">
                  <c:v>7.25</c:v>
                </c:pt>
                <c:pt idx="43">
                  <c:v>7.25</c:v>
                </c:pt>
                <c:pt idx="44">
                  <c:v>7.25</c:v>
                </c:pt>
                <c:pt idx="45">
                  <c:v>7.25</c:v>
                </c:pt>
                <c:pt idx="46">
                  <c:v>7.25</c:v>
                </c:pt>
                <c:pt idx="47">
                  <c:v>7.25</c:v>
                </c:pt>
                <c:pt idx="48">
                  <c:v>7</c:v>
                </c:pt>
                <c:pt idx="49">
                  <c:v>6.5</c:v>
                </c:pt>
                <c:pt idx="50">
                  <c:v>6.25</c:v>
                </c:pt>
                <c:pt idx="51">
                  <c:v>5.75</c:v>
                </c:pt>
                <c:pt idx="52">
                  <c:v>5.75</c:v>
                </c:pt>
                <c:pt idx="53">
                  <c:v>5.25</c:v>
                </c:pt>
                <c:pt idx="54">
                  <c:v>4.75</c:v>
                </c:pt>
                <c:pt idx="55">
                  <c:v>4.75</c:v>
                </c:pt>
                <c:pt idx="56">
                  <c:v>4.5</c:v>
                </c:pt>
                <c:pt idx="57">
                  <c:v>4.5</c:v>
                </c:pt>
                <c:pt idx="58">
                  <c:v>4.5</c:v>
                </c:pt>
                <c:pt idx="59">
                  <c:v>4.5</c:v>
                </c:pt>
                <c:pt idx="60">
                  <c:v>4.5</c:v>
                </c:pt>
                <c:pt idx="61">
                  <c:v>4.5</c:v>
                </c:pt>
                <c:pt idx="62">
                  <c:v>4.5</c:v>
                </c:pt>
                <c:pt idx="63">
                  <c:v>4.5</c:v>
                </c:pt>
                <c:pt idx="64">
                  <c:v>4.5</c:v>
                </c:pt>
                <c:pt idx="65">
                  <c:v>4.5</c:v>
                </c:pt>
                <c:pt idx="66">
                  <c:v>4.5</c:v>
                </c:pt>
                <c:pt idx="67">
                  <c:v>4.5</c:v>
                </c:pt>
                <c:pt idx="68">
                  <c:v>4.5</c:v>
                </c:pt>
                <c:pt idx="69">
                  <c:v>4.5</c:v>
                </c:pt>
                <c:pt idx="70">
                  <c:v>4.5</c:v>
                </c:pt>
                <c:pt idx="71">
                  <c:v>4.5</c:v>
                </c:pt>
                <c:pt idx="72">
                  <c:v>4.5</c:v>
                </c:pt>
                <c:pt idx="73">
                  <c:v>4.5</c:v>
                </c:pt>
                <c:pt idx="74">
                  <c:v>4.75</c:v>
                </c:pt>
                <c:pt idx="75">
                  <c:v>4.75</c:v>
                </c:pt>
                <c:pt idx="76">
                  <c:v>4.75</c:v>
                </c:pt>
                <c:pt idx="77">
                  <c:v>4.75</c:v>
                </c:pt>
                <c:pt idx="78">
                  <c:v>5</c:v>
                </c:pt>
                <c:pt idx="79">
                  <c:v>5</c:v>
                </c:pt>
                <c:pt idx="80">
                  <c:v>5.5</c:v>
                </c:pt>
                <c:pt idx="81">
                  <c:v>5.5</c:v>
                </c:pt>
                <c:pt idx="82">
                  <c:v>5.5</c:v>
                </c:pt>
                <c:pt idx="83">
                  <c:v>5.5</c:v>
                </c:pt>
                <c:pt idx="84">
                  <c:v>5.5</c:v>
                </c:pt>
                <c:pt idx="85">
                  <c:v>5.5</c:v>
                </c:pt>
                <c:pt idx="86">
                  <c:v>5.5</c:v>
                </c:pt>
                <c:pt idx="87">
                  <c:v>5.5</c:v>
                </c:pt>
                <c:pt idx="88">
                  <c:v>5.5</c:v>
                </c:pt>
                <c:pt idx="89">
                  <c:v>5</c:v>
                </c:pt>
                <c:pt idx="90">
                  <c:v>5</c:v>
                </c:pt>
                <c:pt idx="91">
                  <c:v>5</c:v>
                </c:pt>
                <c:pt idx="92">
                  <c:v>5</c:v>
                </c:pt>
                <c:pt idx="93">
                  <c:v>5</c:v>
                </c:pt>
                <c:pt idx="94">
                  <c:v>5</c:v>
                </c:pt>
                <c:pt idx="95">
                  <c:v>5</c:v>
                </c:pt>
                <c:pt idx="96">
                  <c:v>5</c:v>
                </c:pt>
                <c:pt idx="97">
                  <c:v>5</c:v>
                </c:pt>
                <c:pt idx="98">
                  <c:v>5</c:v>
                </c:pt>
                <c:pt idx="99">
                  <c:v>5.25</c:v>
                </c:pt>
                <c:pt idx="100">
                  <c:v>5.25</c:v>
                </c:pt>
                <c:pt idx="101">
                  <c:v>5.25</c:v>
                </c:pt>
                <c:pt idx="102">
                  <c:v>5.25</c:v>
                </c:pt>
                <c:pt idx="103">
                  <c:v>5.25</c:v>
                </c:pt>
                <c:pt idx="104">
                  <c:v>5.25</c:v>
                </c:pt>
                <c:pt idx="105">
                  <c:v>5</c:v>
                </c:pt>
                <c:pt idx="106">
                  <c:v>5</c:v>
                </c:pt>
                <c:pt idx="107">
                  <c:v>5</c:v>
                </c:pt>
                <c:pt idx="108">
                  <c:v>5</c:v>
                </c:pt>
                <c:pt idx="109">
                  <c:v>5</c:v>
                </c:pt>
                <c:pt idx="110">
                  <c:v>4.75</c:v>
                </c:pt>
                <c:pt idx="111">
                  <c:v>4.75</c:v>
                </c:pt>
                <c:pt idx="112">
                  <c:v>4.75</c:v>
                </c:pt>
                <c:pt idx="113">
                  <c:v>4.5</c:v>
                </c:pt>
                <c:pt idx="114">
                  <c:v>4.5</c:v>
                </c:pt>
                <c:pt idx="115">
                  <c:v>4.5</c:v>
                </c:pt>
                <c:pt idx="116">
                  <c:v>4.5</c:v>
                </c:pt>
                <c:pt idx="117">
                  <c:v>4.5</c:v>
                </c:pt>
                <c:pt idx="118">
                  <c:v>4</c:v>
                </c:pt>
                <c:pt idx="119">
                  <c:v>4</c:v>
                </c:pt>
                <c:pt idx="120">
                  <c:v>4</c:v>
                </c:pt>
                <c:pt idx="121">
                  <c:v>3.5</c:v>
                </c:pt>
                <c:pt idx="122">
                  <c:v>3.5</c:v>
                </c:pt>
                <c:pt idx="123">
                  <c:v>3.5</c:v>
                </c:pt>
                <c:pt idx="124">
                  <c:v>3.5</c:v>
                </c:pt>
                <c:pt idx="125">
                  <c:v>3.25</c:v>
                </c:pt>
                <c:pt idx="126">
                  <c:v>3.25</c:v>
                </c:pt>
                <c:pt idx="127">
                  <c:v>3.25</c:v>
                </c:pt>
                <c:pt idx="128">
                  <c:v>3.25</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2.75</c:v>
                </c:pt>
                <c:pt idx="155">
                  <c:v>2.75</c:v>
                </c:pt>
                <c:pt idx="156">
                  <c:v>2.75</c:v>
                </c:pt>
                <c:pt idx="157">
                  <c:v>2.75</c:v>
                </c:pt>
                <c:pt idx="158">
                  <c:v>2.75</c:v>
                </c:pt>
                <c:pt idx="159">
                  <c:v>2.75</c:v>
                </c:pt>
                <c:pt idx="160">
                  <c:v>2.75</c:v>
                </c:pt>
                <c:pt idx="161">
                  <c:v>2.75</c:v>
                </c:pt>
                <c:pt idx="162">
                  <c:v>2.75</c:v>
                </c:pt>
                <c:pt idx="163">
                  <c:v>2.75</c:v>
                </c:pt>
                <c:pt idx="164">
                  <c:v>2.75</c:v>
                </c:pt>
                <c:pt idx="165">
                  <c:v>2.75</c:v>
                </c:pt>
                <c:pt idx="166">
                  <c:v>2.75</c:v>
                </c:pt>
                <c:pt idx="167">
                  <c:v>2.75</c:v>
                </c:pt>
                <c:pt idx="168">
                  <c:v>2.75</c:v>
                </c:pt>
                <c:pt idx="169">
                  <c:v>2.75</c:v>
                </c:pt>
                <c:pt idx="170">
                  <c:v>2.75</c:v>
                </c:pt>
                <c:pt idx="171">
                  <c:v>2.75</c:v>
                </c:pt>
                <c:pt idx="172">
                  <c:v>2.75</c:v>
                </c:pt>
                <c:pt idx="173">
                  <c:v>2.75</c:v>
                </c:pt>
                <c:pt idx="174">
                  <c:v>2.75</c:v>
                </c:pt>
                <c:pt idx="175">
                  <c:v>2.75</c:v>
                </c:pt>
                <c:pt idx="176">
                  <c:v>2.75</c:v>
                </c:pt>
                <c:pt idx="177">
                  <c:v>2.75</c:v>
                </c:pt>
                <c:pt idx="178">
                  <c:v>2.75</c:v>
                </c:pt>
                <c:pt idx="179">
                  <c:v>2.75</c:v>
                </c:pt>
                <c:pt idx="180">
                  <c:v>2.75</c:v>
                </c:pt>
                <c:pt idx="181">
                  <c:v>2.75</c:v>
                </c:pt>
                <c:pt idx="182">
                  <c:v>2</c:v>
                </c:pt>
                <c:pt idx="183">
                  <c:v>2</c:v>
                </c:pt>
                <c:pt idx="184">
                  <c:v>2</c:v>
                </c:pt>
                <c:pt idx="185">
                  <c:v>1.75</c:v>
                </c:pt>
                <c:pt idx="186">
                  <c:v>1.75</c:v>
                </c:pt>
                <c:pt idx="187">
                  <c:v>1.75</c:v>
                </c:pt>
                <c:pt idx="188">
                  <c:v>1.75</c:v>
                </c:pt>
                <c:pt idx="189">
                  <c:v>1.75</c:v>
                </c:pt>
                <c:pt idx="190">
                  <c:v>1.75</c:v>
                </c:pt>
                <c:pt idx="191">
                  <c:v>1.75</c:v>
                </c:pt>
                <c:pt idx="192">
                  <c:v>1.75</c:v>
                </c:pt>
                <c:pt idx="193">
                  <c:v>1.75</c:v>
                </c:pt>
                <c:pt idx="194">
                  <c:v>1.75</c:v>
                </c:pt>
                <c:pt idx="195">
                  <c:v>1.75</c:v>
                </c:pt>
                <c:pt idx="196">
                  <c:v>1.75</c:v>
                </c:pt>
                <c:pt idx="197">
                  <c:v>1.75</c:v>
                </c:pt>
                <c:pt idx="198">
                  <c:v>1.75</c:v>
                </c:pt>
                <c:pt idx="199">
                  <c:v>1.75</c:v>
                </c:pt>
                <c:pt idx="200">
                  <c:v>1.75</c:v>
                </c:pt>
                <c:pt idx="201">
                  <c:v>1.75</c:v>
                </c:pt>
                <c:pt idx="202">
                  <c:v>1.75</c:v>
                </c:pt>
                <c:pt idx="203">
                  <c:v>1.75</c:v>
                </c:pt>
                <c:pt idx="204">
                  <c:v>1.75</c:v>
                </c:pt>
                <c:pt idx="205">
                  <c:v>1.75</c:v>
                </c:pt>
                <c:pt idx="206">
                  <c:v>1.75</c:v>
                </c:pt>
                <c:pt idx="207">
                  <c:v>1.75</c:v>
                </c:pt>
                <c:pt idx="208">
                  <c:v>2</c:v>
                </c:pt>
                <c:pt idx="209">
                  <c:v>2.25</c:v>
                </c:pt>
                <c:pt idx="210">
                  <c:v>2.25</c:v>
                </c:pt>
                <c:pt idx="211">
                  <c:v>2.75</c:v>
                </c:pt>
                <c:pt idx="212">
                  <c:v>3</c:v>
                </c:pt>
                <c:pt idx="213">
                  <c:v>3</c:v>
                </c:pt>
                <c:pt idx="214">
                  <c:v>3</c:v>
                </c:pt>
                <c:pt idx="215">
                  <c:v>3.75</c:v>
                </c:pt>
                <c:pt idx="216">
                  <c:v>4.25</c:v>
                </c:pt>
                <c:pt idx="217">
                  <c:v>4.5</c:v>
                </c:pt>
                <c:pt idx="218">
                  <c:v>4.75</c:v>
                </c:pt>
                <c:pt idx="219">
                  <c:v>5</c:v>
                </c:pt>
                <c:pt idx="220">
                  <c:v>5</c:v>
                </c:pt>
                <c:pt idx="221">
                  <c:v>5</c:v>
                </c:pt>
                <c:pt idx="222">
                  <c:v>5</c:v>
                </c:pt>
                <c:pt idx="223">
                  <c:v>5</c:v>
                </c:pt>
              </c:numCache>
            </c:numRef>
          </c:val>
          <c:smooth val="0"/>
          <c:extLst>
            <c:ext xmlns:c16="http://schemas.microsoft.com/office/drawing/2014/chart" uri="{C3380CC4-5D6E-409C-BE32-E72D297353CC}">
              <c16:uniqueId val="{00000004-51E9-4E57-93CC-208DFDFEC3DE}"/>
            </c:ext>
          </c:extLst>
        </c:ser>
        <c:dLbls>
          <c:showLegendKey val="0"/>
          <c:showVal val="0"/>
          <c:showCatName val="0"/>
          <c:showSerName val="0"/>
          <c:showPercent val="0"/>
          <c:showBubbleSize val="0"/>
        </c:dLbls>
        <c:smooth val="0"/>
        <c:axId val="1587799215"/>
        <c:axId val="1587802127"/>
      </c:lineChart>
      <c:dateAx>
        <c:axId val="1587799215"/>
        <c:scaling>
          <c:orientation val="minMax"/>
          <c:max val="45078"/>
          <c:min val="44228"/>
        </c:scaling>
        <c:delete val="0"/>
        <c:axPos val="b"/>
        <c:numFmt formatCode="mmm\-yy" sourceLinked="0"/>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587802127"/>
        <c:crosses val="autoZero"/>
        <c:auto val="1"/>
        <c:lblOffset val="100"/>
        <c:baseTimeUnit val="months"/>
      </c:dateAx>
      <c:valAx>
        <c:axId val="1587802127"/>
        <c:scaling>
          <c:orientation val="minMax"/>
          <c:max val="6"/>
        </c:scaling>
        <c:delete val="0"/>
        <c:axPos val="l"/>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58779921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8511576626240352E-2"/>
          <c:y val="1.854598272303341E-2"/>
          <c:w val="0.91620727673649394"/>
          <c:h val="0.71917018800717336"/>
        </c:manualLayout>
      </c:layout>
      <c:barChart>
        <c:barDir val="col"/>
        <c:grouping val="stacked"/>
        <c:varyColors val="0"/>
        <c:ser>
          <c:idx val="0"/>
          <c:order val="0"/>
          <c:tx>
            <c:strRef>
              <c:f>pronosticos!$C$5</c:f>
              <c:strCache>
                <c:ptCount val="1"/>
                <c:pt idx="0">
                  <c:v>Bajo</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pronosticos!$B$6:$B$8</c:f>
              <c:strCache>
                <c:ptCount val="3"/>
                <c:pt idx="0">
                  <c:v>Emision monetaria</c:v>
                </c:pt>
                <c:pt idx="1">
                  <c:v>Medios de Pago</c:v>
                </c:pt>
                <c:pt idx="2">
                  <c:v>Crédito bancario</c:v>
                </c:pt>
              </c:strCache>
            </c:strRef>
          </c:cat>
          <c:val>
            <c:numRef>
              <c:f>pronosticos!$C$6:$C$8</c:f>
              <c:numCache>
                <c:formatCode>0.0</c:formatCode>
                <c:ptCount val="3"/>
                <c:pt idx="0">
                  <c:v>9</c:v>
                </c:pt>
                <c:pt idx="1">
                  <c:v>9.5</c:v>
                </c:pt>
                <c:pt idx="2">
                  <c:v>8</c:v>
                </c:pt>
              </c:numCache>
            </c:numRef>
          </c:val>
          <c:extLst>
            <c:ext xmlns:c16="http://schemas.microsoft.com/office/drawing/2014/chart" uri="{C3380CC4-5D6E-409C-BE32-E72D297353CC}">
              <c16:uniqueId val="{00000000-49B9-4D2C-85F2-78B61F11524F}"/>
            </c:ext>
          </c:extLst>
        </c:ser>
        <c:ser>
          <c:idx val="1"/>
          <c:order val="1"/>
          <c:tx>
            <c:strRef>
              <c:f>pronosticos!$D$5</c:f>
              <c:strCache>
                <c:ptCount val="1"/>
                <c:pt idx="0">
                  <c:v>Alto</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pronosticos!$B$6:$B$8</c:f>
              <c:strCache>
                <c:ptCount val="3"/>
                <c:pt idx="0">
                  <c:v>Emision monetaria</c:v>
                </c:pt>
                <c:pt idx="1">
                  <c:v>Medios de Pago</c:v>
                </c:pt>
                <c:pt idx="2">
                  <c:v>Crédito bancario</c:v>
                </c:pt>
              </c:strCache>
            </c:strRef>
          </c:cat>
          <c:val>
            <c:numRef>
              <c:f>pronosticos!$D$6:$D$8</c:f>
              <c:numCache>
                <c:formatCode>0.0</c:formatCode>
                <c:ptCount val="3"/>
                <c:pt idx="0">
                  <c:v>12</c:v>
                </c:pt>
                <c:pt idx="1">
                  <c:v>11.5</c:v>
                </c:pt>
                <c:pt idx="2">
                  <c:v>11</c:v>
                </c:pt>
              </c:numCache>
            </c:numRef>
          </c:val>
          <c:extLst>
            <c:ext xmlns:c16="http://schemas.microsoft.com/office/drawing/2014/chart" uri="{C3380CC4-5D6E-409C-BE32-E72D297353CC}">
              <c16:uniqueId val="{00000001-49B9-4D2C-85F2-78B61F11524F}"/>
            </c:ext>
          </c:extLst>
        </c:ser>
        <c:dLbls>
          <c:showLegendKey val="0"/>
          <c:showVal val="0"/>
          <c:showCatName val="0"/>
          <c:showSerName val="0"/>
          <c:showPercent val="0"/>
          <c:showBubbleSize val="0"/>
        </c:dLbls>
        <c:gapWidth val="100"/>
        <c:overlap val="100"/>
        <c:axId val="1641390543"/>
        <c:axId val="1641375983"/>
      </c:barChart>
      <c:catAx>
        <c:axId val="16413905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41375983"/>
        <c:crosses val="autoZero"/>
        <c:auto val="1"/>
        <c:lblAlgn val="ctr"/>
        <c:lblOffset val="100"/>
        <c:noMultiLvlLbl val="0"/>
      </c:catAx>
      <c:valAx>
        <c:axId val="1641375983"/>
        <c:scaling>
          <c:orientation val="minMax"/>
        </c:scaling>
        <c:delete val="1"/>
        <c:axPos val="l"/>
        <c:numFmt formatCode="0.0" sourceLinked="1"/>
        <c:majorTickMark val="none"/>
        <c:minorTickMark val="none"/>
        <c:tickLblPos val="nextTo"/>
        <c:crossAx val="1641390543"/>
        <c:crosses val="autoZero"/>
        <c:crossBetween val="between"/>
      </c:valAx>
      <c:spPr>
        <a:noFill/>
        <a:ln>
          <a:noFill/>
        </a:ln>
        <a:effectLst/>
      </c:spPr>
    </c:plotArea>
    <c:legend>
      <c:legendPos val="t"/>
      <c:layout>
        <c:manualLayout>
          <c:xMode val="edge"/>
          <c:yMode val="edge"/>
          <c:x val="0.35232507011236458"/>
          <c:y val="0.92082647842285104"/>
          <c:w val="0.2772085632153124"/>
          <c:h val="7.916796562718959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noFill/>
      <a:round/>
    </a:ln>
    <a:effectLst/>
  </c:spPr>
  <c:txPr>
    <a:bodyPr/>
    <a:lstStyle/>
    <a:p>
      <a:pPr>
        <a:defRPr sz="1000">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6204585507296701E-2"/>
          <c:y val="0.18650578128863918"/>
          <c:w val="0.88528383786646292"/>
          <c:h val="0.44999757331478268"/>
        </c:manualLayout>
      </c:layout>
      <c:barChart>
        <c:barDir val="col"/>
        <c:grouping val="clustered"/>
        <c:varyColors val="0"/>
        <c:ser>
          <c:idx val="0"/>
          <c:order val="0"/>
          <c:tx>
            <c:strRef>
              <c:f>'por producto'!$G$4</c:f>
              <c:strCache>
                <c:ptCount val="1"/>
                <c:pt idx="0">
                  <c:v>Porcentaje</c:v>
                </c:pt>
              </c:strCache>
            </c:strRef>
          </c:tx>
          <c:spPr>
            <a:solidFill>
              <a:schemeClr val="accent1"/>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4AE8-421C-9FBA-F6C90158B82A}"/>
                </c:ext>
              </c:extLst>
            </c:dLbl>
            <c:spPr>
              <a:noFill/>
              <a:ln>
                <a:noFill/>
              </a:ln>
              <a:effectLst/>
            </c:spPr>
            <c:txPr>
              <a:bodyPr rot="0" spcFirstLastPara="1" vertOverflow="ellipsis" vert="horz" wrap="square" anchor="ctr" anchorCtr="1"/>
              <a:lstStyle/>
              <a:p>
                <a:pPr>
                  <a:defRPr sz="6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'por producto'!$A$6:$A$15</c:f>
              <c:strCache>
                <c:ptCount val="10"/>
                <c:pt idx="0">
                  <c:v>Vestidos</c:v>
                </c:pt>
                <c:pt idx="1">
                  <c:v>Café</c:v>
                </c:pt>
                <c:pt idx="2">
                  <c:v>Grasas</c:v>
                </c:pt>
                <c:pt idx="3">
                  <c:v>Banano</c:v>
                </c:pt>
                <c:pt idx="4">
                  <c:v>Azúcar</c:v>
                </c:pt>
                <c:pt idx="5">
                  <c:v>Plasticos</c:v>
                </c:pt>
                <c:pt idx="6">
                  <c:v>Frutas frescas</c:v>
                </c:pt>
                <c:pt idx="7">
                  <c:v>Bebidas</c:v>
                </c:pt>
                <c:pt idx="8">
                  <c:v>Papel Y Cartón</c:v>
                </c:pt>
                <c:pt idx="9">
                  <c:v>Cardamomo</c:v>
                </c:pt>
              </c:strCache>
            </c:strRef>
          </c:cat>
          <c:val>
            <c:numRef>
              <c:f>'por producto'!$G$6:$G$15</c:f>
              <c:numCache>
                <c:formatCode>_-* #,##0.0_-;\-* #,##0.0_-;_-* "-"??_-;_-@_-</c:formatCode>
                <c:ptCount val="10"/>
                <c:pt idx="0">
                  <c:v>10.228028356403192</c:v>
                </c:pt>
                <c:pt idx="1">
                  <c:v>8.9891248575066065</c:v>
                </c:pt>
                <c:pt idx="2">
                  <c:v>7.021563179078413</c:v>
                </c:pt>
                <c:pt idx="3">
                  <c:v>6.6834156802241607</c:v>
                </c:pt>
                <c:pt idx="4">
                  <c:v>5.8399509624941714</c:v>
                </c:pt>
                <c:pt idx="5">
                  <c:v>3.8291882284761711</c:v>
                </c:pt>
                <c:pt idx="6">
                  <c:v>3.1721023473118541</c:v>
                </c:pt>
                <c:pt idx="7">
                  <c:v>3.0879569249787466</c:v>
                </c:pt>
                <c:pt idx="8">
                  <c:v>3.082876500532663</c:v>
                </c:pt>
                <c:pt idx="9">
                  <c:v>2.940640713474429</c:v>
                </c:pt>
              </c:numCache>
            </c:numRef>
          </c:val>
          <c:extLst>
            <c:ext xmlns:c16="http://schemas.microsoft.com/office/drawing/2014/chart" uri="{C3380CC4-5D6E-409C-BE32-E72D297353CC}">
              <c16:uniqueId val="{00000001-4AE8-421C-9FBA-F6C90158B82A}"/>
            </c:ext>
          </c:extLst>
        </c:ser>
        <c:dLbls>
          <c:showLegendKey val="0"/>
          <c:showVal val="0"/>
          <c:showCatName val="0"/>
          <c:showSerName val="0"/>
          <c:showPercent val="0"/>
          <c:showBubbleSize val="0"/>
        </c:dLbls>
        <c:gapWidth val="10"/>
        <c:axId val="1601664735"/>
        <c:axId val="1601682623"/>
      </c:barChart>
      <c:lineChart>
        <c:grouping val="stacked"/>
        <c:varyColors val="0"/>
        <c:ser>
          <c:idx val="1"/>
          <c:order val="1"/>
          <c:tx>
            <c:strRef>
              <c:f>'por producto'!$H$4</c:f>
              <c:strCache>
                <c:ptCount val="1"/>
                <c:pt idx="0">
                  <c:v>Acumulado</c:v>
                </c:pt>
              </c:strCache>
            </c:strRef>
          </c:tx>
          <c:spPr>
            <a:ln w="28575" cap="rnd">
              <a:solidFill>
                <a:schemeClr val="tx2">
                  <a:lumMod val="75000"/>
                </a:schemeClr>
              </a:solidFill>
              <a:round/>
            </a:ln>
            <a:effectLst/>
          </c:spPr>
          <c:marker>
            <c:symbol val="circle"/>
            <c:size val="5"/>
            <c:spPr>
              <a:solidFill>
                <a:schemeClr val="tx2">
                  <a:lumMod val="75000"/>
                </a:schemeClr>
              </a:solidFill>
              <a:ln w="9525">
                <a:solidFill>
                  <a:schemeClr val="tx2">
                    <a:lumMod val="75000"/>
                  </a:schemeClr>
                </a:solidFill>
              </a:ln>
              <a:effectLst/>
            </c:spPr>
          </c:marker>
          <c:dLbls>
            <c:spPr>
              <a:noFill/>
              <a:ln>
                <a:noFill/>
              </a:ln>
              <a:effectLst/>
            </c:spPr>
            <c:txPr>
              <a:bodyPr rot="0" spcFirstLastPara="1" vertOverflow="ellipsis" vert="horz" wrap="square" anchor="ctr" anchorCtr="1"/>
              <a:lstStyle/>
              <a:p>
                <a:pPr>
                  <a:defRPr sz="600" b="1" i="0" u="none" strike="noStrike" kern="1200" baseline="0">
                    <a:solidFill>
                      <a:schemeClr val="tx2">
                        <a:lumMod val="75000"/>
                      </a:schemeClr>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'por producto'!$B$6:$B$15</c:f>
              <c:strCache>
                <c:ptCount val="10"/>
                <c:pt idx="0">
                  <c:v>artículos de vestuario</c:v>
                </c:pt>
                <c:pt idx="1">
                  <c:v>café</c:v>
                </c:pt>
                <c:pt idx="2">
                  <c:v>grasas y aceites comestibles</c:v>
                </c:pt>
                <c:pt idx="3">
                  <c:v>banano</c:v>
                </c:pt>
                <c:pt idx="4">
                  <c:v>azúcar</c:v>
                </c:pt>
                <c:pt idx="5">
                  <c:v>materiales plásticos y sus manufacturas</c:v>
                </c:pt>
                <c:pt idx="6">
                  <c:v>frutas frescas, secas o congeladas</c:v>
                </c:pt>
                <c:pt idx="7">
                  <c:v>bebidas, líquidos alcohólicos y vinagres</c:v>
                </c:pt>
                <c:pt idx="8">
                  <c:v>manufacturas de papel y cartón</c:v>
                </c:pt>
                <c:pt idx="9">
                  <c:v>cardamomo</c:v>
                </c:pt>
              </c:strCache>
            </c:strRef>
          </c:cat>
          <c:val>
            <c:numRef>
              <c:f>'por producto'!$H$6:$H$15</c:f>
              <c:numCache>
                <c:formatCode>_(* #,##0.00_);_(* \(#,##0.00\);_(* "-"??_);_(@_)</c:formatCode>
                <c:ptCount val="10"/>
                <c:pt idx="0">
                  <c:v>10.228028356403192</c:v>
                </c:pt>
                <c:pt idx="1">
                  <c:v>19.217153213909796</c:v>
                </c:pt>
                <c:pt idx="2">
                  <c:v>26.238716392988209</c:v>
                </c:pt>
                <c:pt idx="3">
                  <c:v>32.922132073212367</c:v>
                </c:pt>
                <c:pt idx="4">
                  <c:v>38.762083035706539</c:v>
                </c:pt>
                <c:pt idx="5">
                  <c:v>42.591271264182708</c:v>
                </c:pt>
                <c:pt idx="6">
                  <c:v>45.763373611494565</c:v>
                </c:pt>
                <c:pt idx="7">
                  <c:v>48.851330536473313</c:v>
                </c:pt>
                <c:pt idx="8">
                  <c:v>51.934207037005976</c:v>
                </c:pt>
                <c:pt idx="9">
                  <c:v>54.874847750480406</c:v>
                </c:pt>
              </c:numCache>
            </c:numRef>
          </c:val>
          <c:smooth val="0"/>
          <c:extLst>
            <c:ext xmlns:c16="http://schemas.microsoft.com/office/drawing/2014/chart" uri="{C3380CC4-5D6E-409C-BE32-E72D297353CC}">
              <c16:uniqueId val="{00000002-4AE8-421C-9FBA-F6C90158B82A}"/>
            </c:ext>
          </c:extLst>
        </c:ser>
        <c:dLbls>
          <c:showLegendKey val="0"/>
          <c:showVal val="0"/>
          <c:showCatName val="0"/>
          <c:showSerName val="0"/>
          <c:showPercent val="0"/>
          <c:showBubbleSize val="0"/>
        </c:dLbls>
        <c:marker val="1"/>
        <c:smooth val="0"/>
        <c:axId val="1601664735"/>
        <c:axId val="1601682623"/>
      </c:lineChart>
      <c:catAx>
        <c:axId val="1601664735"/>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01682623"/>
        <c:crosses val="autoZero"/>
        <c:auto val="1"/>
        <c:lblAlgn val="ctr"/>
        <c:lblOffset val="100"/>
        <c:noMultiLvlLbl val="0"/>
      </c:catAx>
      <c:valAx>
        <c:axId val="1601682623"/>
        <c:scaling>
          <c:orientation val="minMax"/>
        </c:scaling>
        <c:delete val="1"/>
        <c:axPos val="l"/>
        <c:numFmt formatCode="_-* #,##0.0_-;\-* #,##0.0_-;_-* &quot;-&quot;??_-;_-@_-" sourceLinked="1"/>
        <c:majorTickMark val="none"/>
        <c:minorTickMark val="none"/>
        <c:tickLblPos val="nextTo"/>
        <c:crossAx val="160166473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'por producto'!$R$4</c:f>
              <c:strCache>
                <c:ptCount val="1"/>
                <c:pt idx="0">
                  <c:v>Porcentaje</c:v>
                </c:pt>
              </c:strCache>
            </c:strRef>
          </c:tx>
          <c:spPr>
            <a:solidFill>
              <a:schemeClr val="accent1"/>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A944-4ABE-8964-132B1F0B677F}"/>
                </c:ext>
              </c:extLst>
            </c:dLbl>
            <c:dLbl>
              <c:idx val="1"/>
              <c:layout>
                <c:manualLayout>
                  <c:x val="-2.0212923426183892E-17"/>
                  <c:y val="1.17612466921494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944-4ABE-8964-132B1F0B677F}"/>
                </c:ext>
              </c:extLst>
            </c:dLbl>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'por producto'!$L$6:$L$15</c:f>
              <c:strCache>
                <c:ptCount val="10"/>
                <c:pt idx="0">
                  <c:v>Electronicos</c:v>
                </c:pt>
                <c:pt idx="1">
                  <c:v>Vehiculos</c:v>
                </c:pt>
                <c:pt idx="2">
                  <c:v>Gasolina</c:v>
                </c:pt>
                <c:pt idx="3">
                  <c:v>Diésel</c:v>
                </c:pt>
                <c:pt idx="4">
                  <c:v>Plasticos</c:v>
                </c:pt>
                <c:pt idx="5">
                  <c:v>Industria quimica</c:v>
                </c:pt>
                <c:pt idx="6">
                  <c:v>Farmacia</c:v>
                </c:pt>
                <c:pt idx="7">
                  <c:v>Productos Farmacéuticos</c:v>
                </c:pt>
                <c:pt idx="8">
                  <c:v>Tejidos y telas</c:v>
                </c:pt>
                <c:pt idx="9">
                  <c:v>Materiales Textiles (Tejidos O Telas)</c:v>
                </c:pt>
              </c:strCache>
            </c:strRef>
          </c:cat>
          <c:val>
            <c:numRef>
              <c:f>'por producto'!$R$6:$R$15</c:f>
              <c:numCache>
                <c:formatCode>_-* #,##0.0_-;\-* #,##0.0_-;_-* "-"??_-;_-@_-</c:formatCode>
                <c:ptCount val="10"/>
                <c:pt idx="0">
                  <c:v>10.235031421260555</c:v>
                </c:pt>
                <c:pt idx="1">
                  <c:v>9.4568289883266665</c:v>
                </c:pt>
                <c:pt idx="2">
                  <c:v>6.387284319820921</c:v>
                </c:pt>
                <c:pt idx="3">
                  <c:v>5.9557807559818139</c:v>
                </c:pt>
                <c:pt idx="4">
                  <c:v>4.9689764325356318</c:v>
                </c:pt>
                <c:pt idx="5">
                  <c:v>4.2152445035195392</c:v>
                </c:pt>
                <c:pt idx="6">
                  <c:v>3.4137633019781424</c:v>
                </c:pt>
                <c:pt idx="7">
                  <c:v>2.8828625411792919</c:v>
                </c:pt>
                <c:pt idx="8">
                  <c:v>2.1097042145458627</c:v>
                </c:pt>
                <c:pt idx="9">
                  <c:v>1.9337116618934651</c:v>
                </c:pt>
              </c:numCache>
            </c:numRef>
          </c:val>
          <c:extLst>
            <c:ext xmlns:c16="http://schemas.microsoft.com/office/drawing/2014/chart" uri="{C3380CC4-5D6E-409C-BE32-E72D297353CC}">
              <c16:uniqueId val="{00000002-A944-4ABE-8964-132B1F0B677F}"/>
            </c:ext>
          </c:extLst>
        </c:ser>
        <c:dLbls>
          <c:showLegendKey val="0"/>
          <c:showVal val="0"/>
          <c:showCatName val="0"/>
          <c:showSerName val="0"/>
          <c:showPercent val="0"/>
          <c:showBubbleSize val="0"/>
        </c:dLbls>
        <c:gapWidth val="10"/>
        <c:axId val="1601664735"/>
        <c:axId val="1601682623"/>
      </c:barChart>
      <c:lineChart>
        <c:grouping val="stacked"/>
        <c:varyColors val="0"/>
        <c:ser>
          <c:idx val="1"/>
          <c:order val="1"/>
          <c:tx>
            <c:strRef>
              <c:f>'por producto'!$S$4</c:f>
              <c:strCache>
                <c:ptCount val="1"/>
                <c:pt idx="0">
                  <c:v>Acumulado</c:v>
                </c:pt>
              </c:strCache>
            </c:strRef>
          </c:tx>
          <c:spPr>
            <a:ln w="28575" cap="rnd">
              <a:solidFill>
                <a:schemeClr val="tx2">
                  <a:lumMod val="75000"/>
                </a:schemeClr>
              </a:solidFill>
              <a:round/>
            </a:ln>
            <a:effectLst/>
          </c:spPr>
          <c:marker>
            <c:symbol val="circle"/>
            <c:size val="5"/>
            <c:spPr>
              <a:solidFill>
                <a:schemeClr val="tx2">
                  <a:lumMod val="75000"/>
                </a:schemeClr>
              </a:solidFill>
              <a:ln w="9525">
                <a:solidFill>
                  <a:schemeClr val="tx2">
                    <a:lumMod val="75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tx2">
                        <a:lumMod val="75000"/>
                      </a:schemeClr>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'por producto'!$M$7:$M$15</c:f>
              <c:strCache>
                <c:ptCount val="9"/>
                <c:pt idx="0">
                  <c:v>vehículos y material de transporte</c:v>
                </c:pt>
                <c:pt idx="1">
                  <c:v> gasolina </c:v>
                </c:pt>
                <c:pt idx="2">
                  <c:v> diésel </c:v>
                </c:pt>
                <c:pt idx="3">
                  <c:v> materiales plásticos y sus manufacturas </c:v>
                </c:pt>
                <c:pt idx="4">
                  <c:v> productos diversos de la industria química </c:v>
                </c:pt>
                <c:pt idx="5">
                  <c:v> productos farmacéuticos </c:v>
                </c:pt>
                <c:pt idx="6">
                  <c:v> hierro y acero </c:v>
                </c:pt>
                <c:pt idx="7">
                  <c:v> materiales textiles (tejidos o telas) </c:v>
                </c:pt>
                <c:pt idx="8">
                  <c:v> manufacturas diversas </c:v>
                </c:pt>
              </c:strCache>
            </c:strRef>
          </c:cat>
          <c:val>
            <c:numRef>
              <c:f>'por producto'!$S$6:$S$15</c:f>
              <c:numCache>
                <c:formatCode>_-* #,##0.0_-;\-* #,##0.0_-;_-* "-"??_-;_-@_-</c:formatCode>
                <c:ptCount val="10"/>
                <c:pt idx="0">
                  <c:v>10.235031421260555</c:v>
                </c:pt>
                <c:pt idx="1">
                  <c:v>19.691860409587221</c:v>
                </c:pt>
                <c:pt idx="2">
                  <c:v>26.079144729408142</c:v>
                </c:pt>
                <c:pt idx="3">
                  <c:v>32.034925485389955</c:v>
                </c:pt>
                <c:pt idx="4">
                  <c:v>37.003901917925589</c:v>
                </c:pt>
                <c:pt idx="5">
                  <c:v>41.219146421445132</c:v>
                </c:pt>
                <c:pt idx="6">
                  <c:v>44.632909723423275</c:v>
                </c:pt>
                <c:pt idx="7">
                  <c:v>47.515772264602568</c:v>
                </c:pt>
                <c:pt idx="8">
                  <c:v>49.625476479148432</c:v>
                </c:pt>
                <c:pt idx="9">
                  <c:v>51.559188141041901</c:v>
                </c:pt>
              </c:numCache>
            </c:numRef>
          </c:val>
          <c:smooth val="0"/>
          <c:extLst>
            <c:ext xmlns:c16="http://schemas.microsoft.com/office/drawing/2014/chart" uri="{C3380CC4-5D6E-409C-BE32-E72D297353CC}">
              <c16:uniqueId val="{00000003-A944-4ABE-8964-132B1F0B677F}"/>
            </c:ext>
          </c:extLst>
        </c:ser>
        <c:dLbls>
          <c:showLegendKey val="0"/>
          <c:showVal val="0"/>
          <c:showCatName val="0"/>
          <c:showSerName val="0"/>
          <c:showPercent val="0"/>
          <c:showBubbleSize val="0"/>
        </c:dLbls>
        <c:marker val="1"/>
        <c:smooth val="0"/>
        <c:axId val="1601664735"/>
        <c:axId val="1601682623"/>
      </c:lineChart>
      <c:catAx>
        <c:axId val="1601664735"/>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01682623"/>
        <c:crosses val="autoZero"/>
        <c:auto val="1"/>
        <c:lblAlgn val="ctr"/>
        <c:lblOffset val="100"/>
        <c:noMultiLvlLbl val="0"/>
      </c:catAx>
      <c:valAx>
        <c:axId val="1601682623"/>
        <c:scaling>
          <c:orientation val="minMax"/>
        </c:scaling>
        <c:delete val="1"/>
        <c:axPos val="l"/>
        <c:numFmt formatCode="_-* #,##0.0_-;\-* #,##0.0_-;_-* &quot;-&quot;??_-;_-@_-" sourceLinked="1"/>
        <c:majorTickMark val="none"/>
        <c:minorTickMark val="none"/>
        <c:tickLblPos val="nextTo"/>
        <c:crossAx val="160166473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1.0854603147469524E-2"/>
          <c:y val="1.1377350861326557E-3"/>
          <c:w val="0.97014989476383318"/>
          <c:h val="0.86705784669899411"/>
        </c:manualLayout>
      </c:layout>
      <c:barChart>
        <c:barDir val="col"/>
        <c:grouping val="stacked"/>
        <c:varyColors val="0"/>
        <c:ser>
          <c:idx val="0"/>
          <c:order val="0"/>
          <c:tx>
            <c:strRef>
              <c:f>proyecciones!$B$1</c:f>
              <c:strCache>
                <c:ptCount val="1"/>
                <c:pt idx="0">
                  <c:v>Bajo</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(proyecciones!$A$3,proyecciones!$A$5,proyecciones!$A$6)</c:f>
              <c:strCache>
                <c:ptCount val="3"/>
                <c:pt idx="0">
                  <c:v>Importaciones </c:v>
                </c:pt>
                <c:pt idx="1">
                  <c:v>Exportaciones</c:v>
                </c:pt>
                <c:pt idx="2">
                  <c:v>Remesas</c:v>
                </c:pt>
              </c:strCache>
            </c:strRef>
          </c:cat>
          <c:val>
            <c:numRef>
              <c:f>(proyecciones!$B$3,proyecciones!$B$5,proyecciones!$B$6)</c:f>
              <c:numCache>
                <c:formatCode>General</c:formatCode>
                <c:ptCount val="3"/>
                <c:pt idx="0" formatCode="_-* #,##0.0_-;\-* #,##0.0_-;_-* &quot;-&quot;??_-;_-@_-">
                  <c:v>6.5</c:v>
                </c:pt>
                <c:pt idx="1">
                  <c:v>4.5</c:v>
                </c:pt>
                <c:pt idx="2" formatCode="_-* #,##0.0_-;\-* #,##0.0_-;_-* &quot;-&quot;??_-;_-@_-">
                  <c:v>6</c:v>
                </c:pt>
              </c:numCache>
            </c:numRef>
          </c:val>
          <c:extLst>
            <c:ext xmlns:c16="http://schemas.microsoft.com/office/drawing/2014/chart" uri="{C3380CC4-5D6E-409C-BE32-E72D297353CC}">
              <c16:uniqueId val="{00000000-2819-4508-95CA-A43BAAEDAAC9}"/>
            </c:ext>
          </c:extLst>
        </c:ser>
        <c:ser>
          <c:idx val="1"/>
          <c:order val="1"/>
          <c:tx>
            <c:strRef>
              <c:f>proyecciones!$C$1</c:f>
              <c:strCache>
                <c:ptCount val="1"/>
                <c:pt idx="0">
                  <c:v>Medio</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(proyecciones!$A$3,proyecciones!$A$5,proyecciones!$A$6)</c:f>
              <c:strCache>
                <c:ptCount val="3"/>
                <c:pt idx="0">
                  <c:v>Importaciones </c:v>
                </c:pt>
                <c:pt idx="1">
                  <c:v>Exportaciones</c:v>
                </c:pt>
                <c:pt idx="2">
                  <c:v>Remesas</c:v>
                </c:pt>
              </c:strCache>
            </c:strRef>
          </c:cat>
          <c:val>
            <c:numRef>
              <c:f>(proyecciones!$C$3,proyecciones!$C$5,proyecciones!$C$6)</c:f>
              <c:numCache>
                <c:formatCode>_-* #,##0.0_-;\-* #,##0.0_-;_-* "-"??_-;_-@_-</c:formatCode>
                <c:ptCount val="3"/>
                <c:pt idx="0">
                  <c:v>8</c:v>
                </c:pt>
                <c:pt idx="1">
                  <c:v>6</c:v>
                </c:pt>
                <c:pt idx="2">
                  <c:v>7.5</c:v>
                </c:pt>
              </c:numCache>
            </c:numRef>
          </c:val>
          <c:extLst>
            <c:ext xmlns:c16="http://schemas.microsoft.com/office/drawing/2014/chart" uri="{C3380CC4-5D6E-409C-BE32-E72D297353CC}">
              <c16:uniqueId val="{00000001-2819-4508-95CA-A43BAAEDAAC9}"/>
            </c:ext>
          </c:extLst>
        </c:ser>
        <c:ser>
          <c:idx val="2"/>
          <c:order val="2"/>
          <c:tx>
            <c:strRef>
              <c:f>proyecciones!$D$1</c:f>
              <c:strCache>
                <c:ptCount val="1"/>
                <c:pt idx="0">
                  <c:v>Alto</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(proyecciones!$A$3,proyecciones!$A$5,proyecciones!$A$6)</c:f>
              <c:strCache>
                <c:ptCount val="3"/>
                <c:pt idx="0">
                  <c:v>Importaciones </c:v>
                </c:pt>
                <c:pt idx="1">
                  <c:v>Exportaciones</c:v>
                </c:pt>
                <c:pt idx="2">
                  <c:v>Remesas</c:v>
                </c:pt>
              </c:strCache>
            </c:strRef>
          </c:cat>
          <c:val>
            <c:numRef>
              <c:f>(proyecciones!$D$3,proyecciones!$D$5,proyecciones!$D$6)</c:f>
              <c:numCache>
                <c:formatCode>General</c:formatCode>
                <c:ptCount val="3"/>
                <c:pt idx="0" formatCode="_-* #,##0.0_-;\-* #,##0.0_-;_-* &quot;-&quot;??_-;_-@_-">
                  <c:v>9.5</c:v>
                </c:pt>
                <c:pt idx="1">
                  <c:v>7.5</c:v>
                </c:pt>
                <c:pt idx="2" formatCode="_-* #,##0.0_-;\-* #,##0.0_-;_-* &quot;-&quot;??_-;_-@_-">
                  <c:v>9</c:v>
                </c:pt>
              </c:numCache>
            </c:numRef>
          </c:val>
          <c:extLst>
            <c:ext xmlns:c16="http://schemas.microsoft.com/office/drawing/2014/chart" uri="{C3380CC4-5D6E-409C-BE32-E72D297353CC}">
              <c16:uniqueId val="{00000002-2819-4508-95CA-A43BAAEDAAC9}"/>
            </c:ext>
          </c:extLst>
        </c:ser>
        <c:dLbls>
          <c:showLegendKey val="0"/>
          <c:showVal val="0"/>
          <c:showCatName val="0"/>
          <c:showSerName val="0"/>
          <c:showPercent val="0"/>
          <c:showBubbleSize val="0"/>
        </c:dLbls>
        <c:gapWidth val="219"/>
        <c:overlap val="100"/>
        <c:axId val="957847071"/>
        <c:axId val="957849567"/>
      </c:barChart>
      <c:catAx>
        <c:axId val="957847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57849567"/>
        <c:crosses val="autoZero"/>
        <c:auto val="1"/>
        <c:lblAlgn val="ctr"/>
        <c:lblOffset val="100"/>
        <c:noMultiLvlLbl val="0"/>
      </c:catAx>
      <c:valAx>
        <c:axId val="957849567"/>
        <c:scaling>
          <c:orientation val="minMax"/>
        </c:scaling>
        <c:delete val="1"/>
        <c:axPos val="l"/>
        <c:numFmt formatCode="_-* #,##0.0_-;\-* #,##0.0_-;_-* &quot;-&quot;??_-;_-@_-" sourceLinked="1"/>
        <c:majorTickMark val="none"/>
        <c:minorTickMark val="none"/>
        <c:tickLblPos val="nextTo"/>
        <c:crossAx val="95784707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901839264935146"/>
          <c:y val="0.10846664962209895"/>
          <c:w val="0.8211268102275654"/>
          <c:h val="0.65774948507211861"/>
        </c:manualLayout>
      </c:layout>
      <c:barChart>
        <c:barDir val="col"/>
        <c:grouping val="clustered"/>
        <c:varyColors val="0"/>
        <c:ser>
          <c:idx val="1"/>
          <c:order val="1"/>
          <c:tx>
            <c:strRef>
              <c:f>tipo_cambio_remesas!$C$1</c:f>
              <c:strCache>
                <c:ptCount val="1"/>
                <c:pt idx="0">
                  <c:v>TCR promedio-mes</c:v>
                </c:pt>
              </c:strCache>
            </c:strRef>
          </c:tx>
          <c:spPr>
            <a:solidFill>
              <a:schemeClr val="accent1">
                <a:lumMod val="50000"/>
              </a:schemeClr>
            </a:solidFill>
            <a:ln>
              <a:noFill/>
            </a:ln>
            <a:effectLst/>
          </c:spPr>
          <c:invertIfNegative val="0"/>
          <c:dLbls>
            <c:dLbl>
              <c:idx val="2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79E-4864-B801-32B8B99F3D3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tipo_cambio_remesas!$A$230:$A$257</c:f>
              <c:numCache>
                <c:formatCode>mmm\-yy</c:formatCode>
                <c:ptCount val="28"/>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pt idx="22">
                  <c:v>44866</c:v>
                </c:pt>
                <c:pt idx="23">
                  <c:v>44896</c:v>
                </c:pt>
                <c:pt idx="24">
                  <c:v>44927</c:v>
                </c:pt>
                <c:pt idx="25">
                  <c:v>44958</c:v>
                </c:pt>
                <c:pt idx="26">
                  <c:v>44986</c:v>
                </c:pt>
                <c:pt idx="27">
                  <c:v>45017</c:v>
                </c:pt>
              </c:numCache>
            </c:numRef>
          </c:cat>
          <c:val>
            <c:numRef>
              <c:f>tipo_cambio_remesas!$C$230:$C$259</c:f>
              <c:numCache>
                <c:formatCode>_(* #,##0.00_);_(* \(#,##0.00\);_(* "-"??_);_(@_)</c:formatCode>
                <c:ptCount val="30"/>
                <c:pt idx="0">
                  <c:v>7.7900687096774197</c:v>
                </c:pt>
                <c:pt idx="1">
                  <c:v>7.7453617857142802</c:v>
                </c:pt>
                <c:pt idx="2">
                  <c:v>7.7203283870967701</c:v>
                </c:pt>
                <c:pt idx="3">
                  <c:v>7.7165793333333301</c:v>
                </c:pt>
                <c:pt idx="4">
                  <c:v>7.7149190322580603</c:v>
                </c:pt>
                <c:pt idx="5">
                  <c:v>7.7385159999999997</c:v>
                </c:pt>
                <c:pt idx="6">
                  <c:v>7.7450883870967697</c:v>
                </c:pt>
                <c:pt idx="7">
                  <c:v>7.7383851612903198</c:v>
                </c:pt>
                <c:pt idx="8">
                  <c:v>7.7318636666666603</c:v>
                </c:pt>
                <c:pt idx="9">
                  <c:v>7.7314761290322496</c:v>
                </c:pt>
                <c:pt idx="10">
                  <c:v>7.7313693333333298</c:v>
                </c:pt>
                <c:pt idx="11">
                  <c:v>7.7254141935483798</c:v>
                </c:pt>
                <c:pt idx="12">
                  <c:v>7.7028529032258</c:v>
                </c:pt>
                <c:pt idx="13">
                  <c:v>7.6984914285714199</c:v>
                </c:pt>
                <c:pt idx="14">
                  <c:v>7.6941154838709602</c:v>
                </c:pt>
                <c:pt idx="15">
                  <c:v>7.662973</c:v>
                </c:pt>
                <c:pt idx="16">
                  <c:v>7.6698551612903199</c:v>
                </c:pt>
                <c:pt idx="17">
                  <c:v>7.7350683333333299</c:v>
                </c:pt>
                <c:pt idx="18">
                  <c:v>7.73947580645161</c:v>
                </c:pt>
                <c:pt idx="19">
                  <c:v>7.7313045161290299</c:v>
                </c:pt>
                <c:pt idx="20">
                  <c:v>7.8004169999999897</c:v>
                </c:pt>
                <c:pt idx="21">
                  <c:v>7.8651835483870904</c:v>
                </c:pt>
                <c:pt idx="22">
                  <c:v>7.813936</c:v>
                </c:pt>
                <c:pt idx="23">
                  <c:v>7.8681135483870897</c:v>
                </c:pt>
                <c:pt idx="24">
                  <c:v>7.8489677419354802</c:v>
                </c:pt>
                <c:pt idx="25">
                  <c:v>7.8316503571428502</c:v>
                </c:pt>
                <c:pt idx="26">
                  <c:v>7.8049770967741896</c:v>
                </c:pt>
                <c:pt idx="27">
                  <c:v>7.7993173333333301</c:v>
                </c:pt>
                <c:pt idx="28">
                  <c:v>7.8092606451612898</c:v>
                </c:pt>
                <c:pt idx="29">
                  <c:v>7.8383180000000001</c:v>
                </c:pt>
              </c:numCache>
            </c:numRef>
          </c:val>
          <c:extLst>
            <c:ext xmlns:c16="http://schemas.microsoft.com/office/drawing/2014/chart" uri="{C3380CC4-5D6E-409C-BE32-E72D297353CC}">
              <c16:uniqueId val="{00000001-E79E-4864-B801-32B8B99F3D33}"/>
            </c:ext>
          </c:extLst>
        </c:ser>
        <c:dLbls>
          <c:showLegendKey val="0"/>
          <c:showVal val="0"/>
          <c:showCatName val="0"/>
          <c:showSerName val="0"/>
          <c:showPercent val="0"/>
          <c:showBubbleSize val="0"/>
        </c:dLbls>
        <c:gapWidth val="30"/>
        <c:axId val="2138573679"/>
        <c:axId val="2138586159"/>
      </c:barChart>
      <c:lineChart>
        <c:grouping val="standard"/>
        <c:varyColors val="0"/>
        <c:ser>
          <c:idx val="0"/>
          <c:order val="0"/>
          <c:tx>
            <c:strRef>
              <c:f>tipo_cambio_remesas!$B$1</c:f>
              <c:strCache>
                <c:ptCount val="1"/>
                <c:pt idx="0">
                  <c:v>TCR último-mes</c:v>
                </c:pt>
              </c:strCache>
            </c:strRef>
          </c:tx>
          <c:spPr>
            <a:ln w="28575" cap="rnd">
              <a:solidFill>
                <a:schemeClr val="accent1"/>
              </a:solidFill>
              <a:round/>
            </a:ln>
            <a:effectLst/>
          </c:spPr>
          <c:marker>
            <c:symbol val="none"/>
          </c:marker>
          <c:dLbls>
            <c:dLbl>
              <c:idx val="29"/>
              <c:layout>
                <c:manualLayout>
                  <c:x val="-1.9334453867713743E-2"/>
                  <c:y val="-0.160713877837006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79E-4864-B801-32B8B99F3D3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tipo_cambio_remesas!$A$230:$A$259</c:f>
              <c:numCache>
                <c:formatCode>mmm\-yy</c:formatCode>
                <c:ptCount val="30"/>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pt idx="22">
                  <c:v>44866</c:v>
                </c:pt>
                <c:pt idx="23">
                  <c:v>44896</c:v>
                </c:pt>
                <c:pt idx="24">
                  <c:v>44927</c:v>
                </c:pt>
                <c:pt idx="25">
                  <c:v>44958</c:v>
                </c:pt>
                <c:pt idx="26">
                  <c:v>44986</c:v>
                </c:pt>
                <c:pt idx="27">
                  <c:v>45017</c:v>
                </c:pt>
                <c:pt idx="28">
                  <c:v>45047</c:v>
                </c:pt>
                <c:pt idx="29">
                  <c:v>45078</c:v>
                </c:pt>
              </c:numCache>
            </c:numRef>
          </c:cat>
          <c:val>
            <c:numRef>
              <c:f>tipo_cambio_remesas!$B$230:$B$259</c:f>
              <c:numCache>
                <c:formatCode>_(* #,##0.00_);_(* \(#,##0.00\);_(* "-"??_);_(@_)</c:formatCode>
                <c:ptCount val="30"/>
                <c:pt idx="0">
                  <c:v>7.7863800000000003</c:v>
                </c:pt>
                <c:pt idx="1">
                  <c:v>7.7092200000000002</c:v>
                </c:pt>
                <c:pt idx="2">
                  <c:v>7.7149799999999997</c:v>
                </c:pt>
                <c:pt idx="3">
                  <c:v>7.7181199999999999</c:v>
                </c:pt>
                <c:pt idx="4">
                  <c:v>7.7211699999999999</c:v>
                </c:pt>
                <c:pt idx="5">
                  <c:v>7.74404</c:v>
                </c:pt>
                <c:pt idx="6">
                  <c:v>7.7475100000000001</c:v>
                </c:pt>
                <c:pt idx="7">
                  <c:v>7.7295699999999998</c:v>
                </c:pt>
                <c:pt idx="8">
                  <c:v>7.7336499999999999</c:v>
                </c:pt>
                <c:pt idx="9">
                  <c:v>7.7346399999999997</c:v>
                </c:pt>
                <c:pt idx="10">
                  <c:v>7.7305799999999998</c:v>
                </c:pt>
                <c:pt idx="11">
                  <c:v>7.7191200000000002</c:v>
                </c:pt>
                <c:pt idx="12">
                  <c:v>7.6898099999999996</c:v>
                </c:pt>
                <c:pt idx="13">
                  <c:v>7.7132199999999997</c:v>
                </c:pt>
                <c:pt idx="14">
                  <c:v>7.68025</c:v>
                </c:pt>
                <c:pt idx="15">
                  <c:v>7.6651699999999998</c:v>
                </c:pt>
                <c:pt idx="16">
                  <c:v>7.6843399999999997</c:v>
                </c:pt>
                <c:pt idx="17">
                  <c:v>7.7560799999999999</c:v>
                </c:pt>
                <c:pt idx="18">
                  <c:v>7.7365399999999998</c:v>
                </c:pt>
                <c:pt idx="19">
                  <c:v>7.7381900000000003</c:v>
                </c:pt>
                <c:pt idx="20">
                  <c:v>7.88368</c:v>
                </c:pt>
                <c:pt idx="21">
                  <c:v>7.82857</c:v>
                </c:pt>
                <c:pt idx="22">
                  <c:v>7.8413399999999998</c:v>
                </c:pt>
                <c:pt idx="23">
                  <c:v>7.85222</c:v>
                </c:pt>
                <c:pt idx="24">
                  <c:v>7.8485500000000004</c:v>
                </c:pt>
                <c:pt idx="25">
                  <c:v>7.8149300000000004</c:v>
                </c:pt>
                <c:pt idx="26">
                  <c:v>7.80335</c:v>
                </c:pt>
                <c:pt idx="27">
                  <c:v>7.8082599999999998</c:v>
                </c:pt>
                <c:pt idx="28">
                  <c:v>7.8301400000000001</c:v>
                </c:pt>
                <c:pt idx="29">
                  <c:v>7.8457600000000003</c:v>
                </c:pt>
              </c:numCache>
            </c:numRef>
          </c:val>
          <c:smooth val="0"/>
          <c:extLst>
            <c:ext xmlns:c16="http://schemas.microsoft.com/office/drawing/2014/chart" uri="{C3380CC4-5D6E-409C-BE32-E72D297353CC}">
              <c16:uniqueId val="{00000003-E79E-4864-B801-32B8B99F3D33}"/>
            </c:ext>
          </c:extLst>
        </c:ser>
        <c:dLbls>
          <c:showLegendKey val="0"/>
          <c:showVal val="0"/>
          <c:showCatName val="0"/>
          <c:showSerName val="0"/>
          <c:showPercent val="0"/>
          <c:showBubbleSize val="0"/>
        </c:dLbls>
        <c:marker val="1"/>
        <c:smooth val="0"/>
        <c:axId val="2138573679"/>
        <c:axId val="2138586159"/>
      </c:lineChart>
      <c:dateAx>
        <c:axId val="2138573679"/>
        <c:scaling>
          <c:orientation val="minMax"/>
          <c:max val="45078"/>
          <c:min val="44228"/>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138586159"/>
        <c:crosses val="autoZero"/>
        <c:auto val="1"/>
        <c:lblOffset val="100"/>
        <c:baseTimeUnit val="months"/>
      </c:dateAx>
      <c:valAx>
        <c:axId val="2138586159"/>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a:latin typeface="Times New Roman" panose="02020603050405020304" pitchFamily="18" charset="0"/>
                    <a:cs typeface="Times New Roman" panose="02020603050405020304" pitchFamily="18" charset="0"/>
                  </a:rPr>
                  <a:t>Quetzales</a:t>
                </a:r>
                <a:r>
                  <a:rPr lang="es-GT" baseline="0">
                    <a:latin typeface="Times New Roman" panose="02020603050405020304" pitchFamily="18" charset="0"/>
                    <a:cs typeface="Times New Roman" panose="02020603050405020304" pitchFamily="18" charset="0"/>
                  </a:rPr>
                  <a:t> por Dolar</a:t>
                </a:r>
                <a:endParaRPr lang="es-GT">
                  <a:latin typeface="Times New Roman" panose="02020603050405020304" pitchFamily="18" charset="0"/>
                  <a:cs typeface="Times New Roman" panose="02020603050405020304" pitchFamily="18" charset="0"/>
                </a:endParaRPr>
              </a:p>
            </c:rich>
          </c:tx>
          <c:layout>
            <c:manualLayout>
              <c:xMode val="edge"/>
              <c:yMode val="edge"/>
              <c:x val="1.6284434794409011E-2"/>
              <c:y val="0.2498263765637684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138573679"/>
        <c:crosses val="autoZero"/>
        <c:crossBetween val="between"/>
      </c:valAx>
      <c:spPr>
        <a:noFill/>
        <a:ln>
          <a:noFill/>
        </a:ln>
        <a:effectLst/>
      </c:spPr>
    </c:plotArea>
    <c:legend>
      <c:legendPos val="t"/>
      <c:layout>
        <c:manualLayout>
          <c:xMode val="edge"/>
          <c:yMode val="edge"/>
          <c:x val="0.20608165938817966"/>
          <c:y val="0"/>
          <c:w val="0.58783668122364063"/>
          <c:h val="8.657682838897236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proyecc_fmi!$R$10</c:f>
              <c:strCache>
                <c:ptCount val="1"/>
                <c:pt idx="0">
                  <c:v>Mundo</c:v>
                </c:pt>
              </c:strCache>
            </c:strRef>
          </c:tx>
          <c:spPr>
            <a:solidFill>
              <a:schemeClr val="accent1"/>
            </a:solidFill>
            <a:ln>
              <a:noFill/>
            </a:ln>
            <a:effectLst/>
          </c:spPr>
          <c:invertIfNegative val="0"/>
          <c:cat>
            <c:numRef>
              <c:f>proyecc_fmi!$T$9:$AA$9</c:f>
              <c:numCache>
                <c:formatCode>General</c:formatCode>
                <c:ptCount val="8"/>
                <c:pt idx="0">
                  <c:v>2021</c:v>
                </c:pt>
                <c:pt idx="1">
                  <c:v>2022</c:v>
                </c:pt>
                <c:pt idx="2">
                  <c:v>2023</c:v>
                </c:pt>
                <c:pt idx="3">
                  <c:v>2024</c:v>
                </c:pt>
                <c:pt idx="4">
                  <c:v>2025</c:v>
                </c:pt>
                <c:pt idx="5">
                  <c:v>2026</c:v>
                </c:pt>
                <c:pt idx="6">
                  <c:v>2027</c:v>
                </c:pt>
                <c:pt idx="7">
                  <c:v>2028</c:v>
                </c:pt>
              </c:numCache>
            </c:numRef>
          </c:cat>
          <c:val>
            <c:numRef>
              <c:f>proyecc_fmi!$T$10:$AA$10</c:f>
              <c:numCache>
                <c:formatCode>0.0</c:formatCode>
                <c:ptCount val="8"/>
                <c:pt idx="0">
                  <c:v>6.2750000000000004</c:v>
                </c:pt>
                <c:pt idx="1">
                  <c:v>3.4159999999999999</c:v>
                </c:pt>
                <c:pt idx="2">
                  <c:v>2.831</c:v>
                </c:pt>
                <c:pt idx="3">
                  <c:v>3.0230000000000001</c:v>
                </c:pt>
                <c:pt idx="4">
                  <c:v>3.157</c:v>
                </c:pt>
                <c:pt idx="5">
                  <c:v>3.16</c:v>
                </c:pt>
                <c:pt idx="6">
                  <c:v>3.0649999999999999</c:v>
                </c:pt>
                <c:pt idx="7">
                  <c:v>3.0489999999999999</c:v>
                </c:pt>
              </c:numCache>
            </c:numRef>
          </c:val>
          <c:extLst>
            <c:ext xmlns:c16="http://schemas.microsoft.com/office/drawing/2014/chart" uri="{C3380CC4-5D6E-409C-BE32-E72D297353CC}">
              <c16:uniqueId val="{00000000-B601-4D57-AAA5-247D26F45338}"/>
            </c:ext>
          </c:extLst>
        </c:ser>
        <c:dLbls>
          <c:showLegendKey val="0"/>
          <c:showVal val="0"/>
          <c:showCatName val="0"/>
          <c:showSerName val="0"/>
          <c:showPercent val="0"/>
          <c:showBubbleSize val="0"/>
        </c:dLbls>
        <c:gapWidth val="30"/>
        <c:axId val="1628155327"/>
        <c:axId val="1628153247"/>
      </c:barChart>
      <c:lineChart>
        <c:grouping val="standard"/>
        <c:varyColors val="0"/>
        <c:ser>
          <c:idx val="1"/>
          <c:order val="1"/>
          <c:tx>
            <c:strRef>
              <c:f>proyecc_fmi!$R$11</c:f>
              <c:strCache>
                <c:ptCount val="1"/>
                <c:pt idx="0">
                  <c:v>Economias Avanzadas</c:v>
                </c:pt>
              </c:strCache>
            </c:strRef>
          </c:tx>
          <c:spPr>
            <a:ln w="38100" cap="rnd">
              <a:solidFill>
                <a:schemeClr val="tx2">
                  <a:lumMod val="75000"/>
                </a:schemeClr>
              </a:solidFill>
              <a:prstDash val="dash"/>
              <a:round/>
            </a:ln>
            <a:effectLst/>
          </c:spPr>
          <c:marker>
            <c:symbol val="none"/>
          </c:marker>
          <c:cat>
            <c:numRef>
              <c:f>proyecc_fmi!$T$9:$AA$9</c:f>
              <c:numCache>
                <c:formatCode>General</c:formatCode>
                <c:ptCount val="8"/>
                <c:pt idx="0">
                  <c:v>2021</c:v>
                </c:pt>
                <c:pt idx="1">
                  <c:v>2022</c:v>
                </c:pt>
                <c:pt idx="2">
                  <c:v>2023</c:v>
                </c:pt>
                <c:pt idx="3">
                  <c:v>2024</c:v>
                </c:pt>
                <c:pt idx="4">
                  <c:v>2025</c:v>
                </c:pt>
                <c:pt idx="5">
                  <c:v>2026</c:v>
                </c:pt>
                <c:pt idx="6">
                  <c:v>2027</c:v>
                </c:pt>
                <c:pt idx="7">
                  <c:v>2028</c:v>
                </c:pt>
              </c:numCache>
            </c:numRef>
          </c:cat>
          <c:val>
            <c:numRef>
              <c:f>proyecc_fmi!$T$11:$AA$11</c:f>
              <c:numCache>
                <c:formatCode>0.0</c:formatCode>
                <c:ptCount val="8"/>
                <c:pt idx="0">
                  <c:v>5.4359999999999999</c:v>
                </c:pt>
                <c:pt idx="1">
                  <c:v>2.661</c:v>
                </c:pt>
                <c:pt idx="2">
                  <c:v>1.26</c:v>
                </c:pt>
                <c:pt idx="3">
                  <c:v>1.3520000000000001</c:v>
                </c:pt>
                <c:pt idx="4">
                  <c:v>1.825</c:v>
                </c:pt>
                <c:pt idx="5">
                  <c:v>1.8620000000000001</c:v>
                </c:pt>
                <c:pt idx="6">
                  <c:v>1.782</c:v>
                </c:pt>
                <c:pt idx="7">
                  <c:v>1.7549999999999999</c:v>
                </c:pt>
              </c:numCache>
            </c:numRef>
          </c:val>
          <c:smooth val="0"/>
          <c:extLst>
            <c:ext xmlns:c16="http://schemas.microsoft.com/office/drawing/2014/chart" uri="{C3380CC4-5D6E-409C-BE32-E72D297353CC}">
              <c16:uniqueId val="{00000001-B601-4D57-AAA5-247D26F45338}"/>
            </c:ext>
          </c:extLst>
        </c:ser>
        <c:ser>
          <c:idx val="2"/>
          <c:order val="2"/>
          <c:tx>
            <c:strRef>
              <c:f>proyecc_fmi!$R$12</c:f>
              <c:strCache>
                <c:ptCount val="1"/>
                <c:pt idx="0">
                  <c:v>Zona de Euro</c:v>
                </c:pt>
              </c:strCache>
            </c:strRef>
          </c:tx>
          <c:spPr>
            <a:ln w="38100" cap="rnd">
              <a:solidFill>
                <a:schemeClr val="accent1">
                  <a:lumMod val="60000"/>
                  <a:lumOff val="40000"/>
                </a:schemeClr>
              </a:solidFill>
              <a:prstDash val="lgDash"/>
              <a:round/>
            </a:ln>
            <a:effectLst/>
          </c:spPr>
          <c:marker>
            <c:symbol val="none"/>
          </c:marker>
          <c:cat>
            <c:numRef>
              <c:f>proyecc_fmi!$T$9:$AA$9</c:f>
              <c:numCache>
                <c:formatCode>General</c:formatCode>
                <c:ptCount val="8"/>
                <c:pt idx="0">
                  <c:v>2021</c:v>
                </c:pt>
                <c:pt idx="1">
                  <c:v>2022</c:v>
                </c:pt>
                <c:pt idx="2">
                  <c:v>2023</c:v>
                </c:pt>
                <c:pt idx="3">
                  <c:v>2024</c:v>
                </c:pt>
                <c:pt idx="4">
                  <c:v>2025</c:v>
                </c:pt>
                <c:pt idx="5">
                  <c:v>2026</c:v>
                </c:pt>
                <c:pt idx="6">
                  <c:v>2027</c:v>
                </c:pt>
                <c:pt idx="7">
                  <c:v>2028</c:v>
                </c:pt>
              </c:numCache>
            </c:numRef>
          </c:cat>
          <c:val>
            <c:numRef>
              <c:f>proyecc_fmi!$T$12:$AA$12</c:f>
              <c:numCache>
                <c:formatCode>0.0</c:formatCode>
                <c:ptCount val="8"/>
                <c:pt idx="0">
                  <c:v>5.37</c:v>
                </c:pt>
                <c:pt idx="1">
                  <c:v>3.4729999999999999</c:v>
                </c:pt>
                <c:pt idx="2">
                  <c:v>0.78900000000000003</c:v>
                </c:pt>
                <c:pt idx="3">
                  <c:v>1.367</c:v>
                </c:pt>
                <c:pt idx="4">
                  <c:v>1.883</c:v>
                </c:pt>
                <c:pt idx="5">
                  <c:v>1.724</c:v>
                </c:pt>
                <c:pt idx="6">
                  <c:v>1.4910000000000001</c:v>
                </c:pt>
                <c:pt idx="7">
                  <c:v>1.413</c:v>
                </c:pt>
              </c:numCache>
            </c:numRef>
          </c:val>
          <c:smooth val="0"/>
          <c:extLst>
            <c:ext xmlns:c16="http://schemas.microsoft.com/office/drawing/2014/chart" uri="{C3380CC4-5D6E-409C-BE32-E72D297353CC}">
              <c16:uniqueId val="{00000002-B601-4D57-AAA5-247D26F45338}"/>
            </c:ext>
          </c:extLst>
        </c:ser>
        <c:ser>
          <c:idx val="3"/>
          <c:order val="3"/>
          <c:tx>
            <c:strRef>
              <c:f>proyecc_fmi!$R$13</c:f>
              <c:strCache>
                <c:ptCount val="1"/>
                <c:pt idx="0">
                  <c:v>Economias emergentes y en desarrollo</c:v>
                </c:pt>
              </c:strCache>
            </c:strRef>
          </c:tx>
          <c:spPr>
            <a:ln w="38100" cap="rnd">
              <a:solidFill>
                <a:schemeClr val="accent1">
                  <a:lumMod val="20000"/>
                  <a:lumOff val="80000"/>
                </a:schemeClr>
              </a:solidFill>
              <a:prstDash val="sysDash"/>
              <a:round/>
            </a:ln>
            <a:effectLst/>
          </c:spPr>
          <c:marker>
            <c:symbol val="none"/>
          </c:marker>
          <c:cat>
            <c:numRef>
              <c:f>proyecc_fmi!$T$9:$AA$9</c:f>
              <c:numCache>
                <c:formatCode>General</c:formatCode>
                <c:ptCount val="8"/>
                <c:pt idx="0">
                  <c:v>2021</c:v>
                </c:pt>
                <c:pt idx="1">
                  <c:v>2022</c:v>
                </c:pt>
                <c:pt idx="2">
                  <c:v>2023</c:v>
                </c:pt>
                <c:pt idx="3">
                  <c:v>2024</c:v>
                </c:pt>
                <c:pt idx="4">
                  <c:v>2025</c:v>
                </c:pt>
                <c:pt idx="5">
                  <c:v>2026</c:v>
                </c:pt>
                <c:pt idx="6">
                  <c:v>2027</c:v>
                </c:pt>
                <c:pt idx="7">
                  <c:v>2028</c:v>
                </c:pt>
              </c:numCache>
            </c:numRef>
          </c:cat>
          <c:val>
            <c:numRef>
              <c:f>proyecc_fmi!$T$13:$AA$13</c:f>
              <c:numCache>
                <c:formatCode>0.0</c:formatCode>
                <c:ptCount val="8"/>
                <c:pt idx="0">
                  <c:v>6.8819999999999997</c:v>
                </c:pt>
                <c:pt idx="1">
                  <c:v>3.9569999999999999</c:v>
                </c:pt>
                <c:pt idx="2">
                  <c:v>3.9279999999999999</c:v>
                </c:pt>
                <c:pt idx="3">
                  <c:v>4.1580000000000004</c:v>
                </c:pt>
                <c:pt idx="4">
                  <c:v>4.0430000000000001</c:v>
                </c:pt>
                <c:pt idx="5">
                  <c:v>4.0060000000000002</c:v>
                </c:pt>
                <c:pt idx="6">
                  <c:v>3.8849999999999998</c:v>
                </c:pt>
                <c:pt idx="7">
                  <c:v>3.859</c:v>
                </c:pt>
              </c:numCache>
            </c:numRef>
          </c:val>
          <c:smooth val="0"/>
          <c:extLst>
            <c:ext xmlns:c16="http://schemas.microsoft.com/office/drawing/2014/chart" uri="{C3380CC4-5D6E-409C-BE32-E72D297353CC}">
              <c16:uniqueId val="{00000003-B601-4D57-AAA5-247D26F45338}"/>
            </c:ext>
          </c:extLst>
        </c:ser>
        <c:ser>
          <c:idx val="4"/>
          <c:order val="4"/>
          <c:tx>
            <c:strRef>
              <c:f>proyecc_fmi!$R$14</c:f>
              <c:strCache>
                <c:ptCount val="1"/>
                <c:pt idx="0">
                  <c:v>Latinoamerica y el Caribe</c:v>
                </c:pt>
              </c:strCache>
            </c:strRef>
          </c:tx>
          <c:spPr>
            <a:ln w="28575" cap="rnd">
              <a:solidFill>
                <a:schemeClr val="accent5"/>
              </a:solidFill>
              <a:round/>
            </a:ln>
            <a:effectLst/>
          </c:spPr>
          <c:marker>
            <c:symbol val="none"/>
          </c:marker>
          <c:cat>
            <c:numRef>
              <c:f>proyecc_fmi!$T$9:$AA$9</c:f>
              <c:numCache>
                <c:formatCode>General</c:formatCode>
                <c:ptCount val="8"/>
                <c:pt idx="0">
                  <c:v>2021</c:v>
                </c:pt>
                <c:pt idx="1">
                  <c:v>2022</c:v>
                </c:pt>
                <c:pt idx="2">
                  <c:v>2023</c:v>
                </c:pt>
                <c:pt idx="3">
                  <c:v>2024</c:v>
                </c:pt>
                <c:pt idx="4">
                  <c:v>2025</c:v>
                </c:pt>
                <c:pt idx="5">
                  <c:v>2026</c:v>
                </c:pt>
                <c:pt idx="6">
                  <c:v>2027</c:v>
                </c:pt>
                <c:pt idx="7">
                  <c:v>2028</c:v>
                </c:pt>
              </c:numCache>
            </c:numRef>
          </c:cat>
          <c:val>
            <c:numRef>
              <c:f>proyecc_fmi!$T$14:$AA$14</c:f>
              <c:numCache>
                <c:formatCode>0.0</c:formatCode>
                <c:ptCount val="8"/>
                <c:pt idx="0">
                  <c:v>7.016</c:v>
                </c:pt>
                <c:pt idx="1">
                  <c:v>3.964</c:v>
                </c:pt>
                <c:pt idx="2">
                  <c:v>1.59</c:v>
                </c:pt>
                <c:pt idx="3">
                  <c:v>2.2280000000000002</c:v>
                </c:pt>
                <c:pt idx="4">
                  <c:v>2.298</c:v>
                </c:pt>
                <c:pt idx="5">
                  <c:v>2.5569999999999999</c:v>
                </c:pt>
                <c:pt idx="6">
                  <c:v>2.3260000000000001</c:v>
                </c:pt>
                <c:pt idx="7">
                  <c:v>2.3410000000000002</c:v>
                </c:pt>
              </c:numCache>
            </c:numRef>
          </c:val>
          <c:smooth val="0"/>
          <c:extLst>
            <c:ext xmlns:c16="http://schemas.microsoft.com/office/drawing/2014/chart" uri="{C3380CC4-5D6E-409C-BE32-E72D297353CC}">
              <c16:uniqueId val="{00000004-B601-4D57-AAA5-247D26F45338}"/>
            </c:ext>
          </c:extLst>
        </c:ser>
        <c:dLbls>
          <c:showLegendKey val="0"/>
          <c:showVal val="0"/>
          <c:showCatName val="0"/>
          <c:showSerName val="0"/>
          <c:showPercent val="0"/>
          <c:showBubbleSize val="0"/>
        </c:dLbls>
        <c:marker val="1"/>
        <c:smooth val="0"/>
        <c:axId val="1628155327"/>
        <c:axId val="1628153247"/>
      </c:lineChart>
      <c:catAx>
        <c:axId val="16281553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28153247"/>
        <c:crosses val="autoZero"/>
        <c:auto val="1"/>
        <c:lblAlgn val="ctr"/>
        <c:lblOffset val="100"/>
        <c:noMultiLvlLbl val="0"/>
      </c:catAx>
      <c:valAx>
        <c:axId val="1628153247"/>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28155327"/>
        <c:crosses val="autoZero"/>
        <c:crossBetween val="between"/>
        <c:majorUnit val="4"/>
      </c:valAx>
      <c:spPr>
        <a:noFill/>
        <a:ln>
          <a:noFill/>
        </a:ln>
        <a:effectLst/>
      </c:spPr>
    </c:plotArea>
    <c:legend>
      <c:legendPos val="t"/>
      <c:layout>
        <c:manualLayout>
          <c:xMode val="edge"/>
          <c:yMode val="edge"/>
          <c:x val="0.42889090695413418"/>
          <c:y val="1.6615030430682947E-2"/>
          <c:w val="0.56826803705167794"/>
          <c:h val="0.2488310185185185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noFill/>
      <a:round/>
    </a:ln>
    <a:effectLst/>
  </c:spPr>
  <c:txPr>
    <a:bodyPr/>
    <a:lstStyle/>
    <a:p>
      <a:pPr>
        <a:defRPr sz="1000">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proyecc_fmi!$R$19</c:f>
              <c:strCache>
                <c:ptCount val="1"/>
                <c:pt idx="0">
                  <c:v>Mundo</c:v>
                </c:pt>
              </c:strCache>
            </c:strRef>
          </c:tx>
          <c:spPr>
            <a:solidFill>
              <a:schemeClr val="accent1"/>
            </a:solidFill>
            <a:ln>
              <a:noFill/>
            </a:ln>
            <a:effectLst/>
          </c:spPr>
          <c:invertIfNegative val="0"/>
          <c:cat>
            <c:numRef>
              <c:f>proyecc_fmi!$T$9:$AA$9</c:f>
              <c:numCache>
                <c:formatCode>General</c:formatCode>
                <c:ptCount val="8"/>
                <c:pt idx="0">
                  <c:v>2021</c:v>
                </c:pt>
                <c:pt idx="1">
                  <c:v>2022</c:v>
                </c:pt>
                <c:pt idx="2">
                  <c:v>2023</c:v>
                </c:pt>
                <c:pt idx="3">
                  <c:v>2024</c:v>
                </c:pt>
                <c:pt idx="4">
                  <c:v>2025</c:v>
                </c:pt>
                <c:pt idx="5">
                  <c:v>2026</c:v>
                </c:pt>
                <c:pt idx="6">
                  <c:v>2027</c:v>
                </c:pt>
                <c:pt idx="7">
                  <c:v>2028</c:v>
                </c:pt>
              </c:numCache>
            </c:numRef>
          </c:cat>
          <c:val>
            <c:numRef>
              <c:f>proyecc_fmi!$T$19:$AA$19</c:f>
              <c:numCache>
                <c:formatCode>0.0</c:formatCode>
                <c:ptCount val="8"/>
                <c:pt idx="0">
                  <c:v>6.327</c:v>
                </c:pt>
                <c:pt idx="1">
                  <c:v>8.9060000000000006</c:v>
                </c:pt>
                <c:pt idx="2">
                  <c:v>6.1310000000000002</c:v>
                </c:pt>
                <c:pt idx="3">
                  <c:v>4.1159999999999997</c:v>
                </c:pt>
                <c:pt idx="4">
                  <c:v>3.569</c:v>
                </c:pt>
                <c:pt idx="5">
                  <c:v>3.5609999999999999</c:v>
                </c:pt>
                <c:pt idx="6">
                  <c:v>3.5150000000000001</c:v>
                </c:pt>
                <c:pt idx="7">
                  <c:v>3.31</c:v>
                </c:pt>
              </c:numCache>
            </c:numRef>
          </c:val>
          <c:extLst>
            <c:ext xmlns:c16="http://schemas.microsoft.com/office/drawing/2014/chart" uri="{C3380CC4-5D6E-409C-BE32-E72D297353CC}">
              <c16:uniqueId val="{00000000-08E4-4B46-8B76-8B00BAE92D93}"/>
            </c:ext>
          </c:extLst>
        </c:ser>
        <c:dLbls>
          <c:showLegendKey val="0"/>
          <c:showVal val="0"/>
          <c:showCatName val="0"/>
          <c:showSerName val="0"/>
          <c:showPercent val="0"/>
          <c:showBubbleSize val="0"/>
        </c:dLbls>
        <c:gapWidth val="30"/>
        <c:axId val="1628155327"/>
        <c:axId val="1628153247"/>
      </c:barChart>
      <c:lineChart>
        <c:grouping val="standard"/>
        <c:varyColors val="0"/>
        <c:ser>
          <c:idx val="1"/>
          <c:order val="1"/>
          <c:tx>
            <c:strRef>
              <c:f>proyecc_fmi!$R$20</c:f>
              <c:strCache>
                <c:ptCount val="1"/>
                <c:pt idx="0">
                  <c:v>Economias Avanzadas</c:v>
                </c:pt>
              </c:strCache>
            </c:strRef>
          </c:tx>
          <c:spPr>
            <a:ln w="38100" cap="rnd">
              <a:solidFill>
                <a:schemeClr val="tx2">
                  <a:lumMod val="75000"/>
                </a:schemeClr>
              </a:solidFill>
              <a:prstDash val="dash"/>
              <a:round/>
            </a:ln>
            <a:effectLst/>
          </c:spPr>
          <c:marker>
            <c:symbol val="none"/>
          </c:marker>
          <c:cat>
            <c:numRef>
              <c:f>proyecc_fmi!$T$9:$AA$9</c:f>
              <c:numCache>
                <c:formatCode>General</c:formatCode>
                <c:ptCount val="8"/>
                <c:pt idx="0">
                  <c:v>2021</c:v>
                </c:pt>
                <c:pt idx="1">
                  <c:v>2022</c:v>
                </c:pt>
                <c:pt idx="2">
                  <c:v>2023</c:v>
                </c:pt>
                <c:pt idx="3">
                  <c:v>2024</c:v>
                </c:pt>
                <c:pt idx="4">
                  <c:v>2025</c:v>
                </c:pt>
                <c:pt idx="5">
                  <c:v>2026</c:v>
                </c:pt>
                <c:pt idx="6">
                  <c:v>2027</c:v>
                </c:pt>
                <c:pt idx="7">
                  <c:v>2028</c:v>
                </c:pt>
              </c:numCache>
            </c:numRef>
          </c:cat>
          <c:val>
            <c:numRef>
              <c:f>proyecc_fmi!$T$20:$AA$20</c:f>
              <c:numCache>
                <c:formatCode>0.0</c:formatCode>
                <c:ptCount val="8"/>
                <c:pt idx="0">
                  <c:v>5.2850000000000001</c:v>
                </c:pt>
                <c:pt idx="1">
                  <c:v>7.2949999999999999</c:v>
                </c:pt>
                <c:pt idx="2">
                  <c:v>3.3220000000000001</c:v>
                </c:pt>
                <c:pt idx="3">
                  <c:v>2.2709999999999999</c:v>
                </c:pt>
                <c:pt idx="4">
                  <c:v>2.0369999999999999</c:v>
                </c:pt>
                <c:pt idx="5">
                  <c:v>1.903</c:v>
                </c:pt>
                <c:pt idx="6">
                  <c:v>1.9790000000000001</c:v>
                </c:pt>
                <c:pt idx="7">
                  <c:v>1.62</c:v>
                </c:pt>
              </c:numCache>
            </c:numRef>
          </c:val>
          <c:smooth val="0"/>
          <c:extLst>
            <c:ext xmlns:c16="http://schemas.microsoft.com/office/drawing/2014/chart" uri="{C3380CC4-5D6E-409C-BE32-E72D297353CC}">
              <c16:uniqueId val="{00000001-08E4-4B46-8B76-8B00BAE92D93}"/>
            </c:ext>
          </c:extLst>
        </c:ser>
        <c:ser>
          <c:idx val="2"/>
          <c:order val="2"/>
          <c:tx>
            <c:strRef>
              <c:f>proyecc_fmi!$R$21</c:f>
              <c:strCache>
                <c:ptCount val="1"/>
                <c:pt idx="0">
                  <c:v>Zona de Euro</c:v>
                </c:pt>
              </c:strCache>
            </c:strRef>
          </c:tx>
          <c:spPr>
            <a:ln w="38100" cap="rnd">
              <a:solidFill>
                <a:schemeClr val="accent1">
                  <a:lumMod val="60000"/>
                  <a:lumOff val="40000"/>
                </a:schemeClr>
              </a:solidFill>
              <a:prstDash val="lgDash"/>
              <a:round/>
            </a:ln>
            <a:effectLst/>
          </c:spPr>
          <c:marker>
            <c:symbol val="none"/>
          </c:marker>
          <c:cat>
            <c:numRef>
              <c:f>proyecc_fmi!$T$9:$AA$9</c:f>
              <c:numCache>
                <c:formatCode>General</c:formatCode>
                <c:ptCount val="8"/>
                <c:pt idx="0">
                  <c:v>2021</c:v>
                </c:pt>
                <c:pt idx="1">
                  <c:v>2022</c:v>
                </c:pt>
                <c:pt idx="2">
                  <c:v>2023</c:v>
                </c:pt>
                <c:pt idx="3">
                  <c:v>2024</c:v>
                </c:pt>
                <c:pt idx="4">
                  <c:v>2025</c:v>
                </c:pt>
                <c:pt idx="5">
                  <c:v>2026</c:v>
                </c:pt>
                <c:pt idx="6">
                  <c:v>2027</c:v>
                </c:pt>
                <c:pt idx="7">
                  <c:v>2028</c:v>
                </c:pt>
              </c:numCache>
            </c:numRef>
          </c:cat>
          <c:val>
            <c:numRef>
              <c:f>proyecc_fmi!$T$21:$AA$21</c:f>
              <c:numCache>
                <c:formatCode>0.0</c:formatCode>
                <c:ptCount val="8"/>
                <c:pt idx="0">
                  <c:v>4.9640000000000004</c:v>
                </c:pt>
                <c:pt idx="1">
                  <c:v>9.1959999999999997</c:v>
                </c:pt>
                <c:pt idx="2">
                  <c:v>3.819</c:v>
                </c:pt>
                <c:pt idx="3">
                  <c:v>2.7050000000000001</c:v>
                </c:pt>
                <c:pt idx="4">
                  <c:v>2.161</c:v>
                </c:pt>
                <c:pt idx="5">
                  <c:v>1.89</c:v>
                </c:pt>
                <c:pt idx="6">
                  <c:v>1.899</c:v>
                </c:pt>
                <c:pt idx="7">
                  <c:v>1.5780000000000001</c:v>
                </c:pt>
              </c:numCache>
            </c:numRef>
          </c:val>
          <c:smooth val="0"/>
          <c:extLst>
            <c:ext xmlns:c16="http://schemas.microsoft.com/office/drawing/2014/chart" uri="{C3380CC4-5D6E-409C-BE32-E72D297353CC}">
              <c16:uniqueId val="{00000002-08E4-4B46-8B76-8B00BAE92D93}"/>
            </c:ext>
          </c:extLst>
        </c:ser>
        <c:ser>
          <c:idx val="3"/>
          <c:order val="3"/>
          <c:tx>
            <c:strRef>
              <c:f>proyecc_fmi!$R$22</c:f>
              <c:strCache>
                <c:ptCount val="1"/>
                <c:pt idx="0">
                  <c:v>Economias emergentes y en desarrollo</c:v>
                </c:pt>
              </c:strCache>
            </c:strRef>
          </c:tx>
          <c:spPr>
            <a:ln w="38100" cap="rnd">
              <a:solidFill>
                <a:schemeClr val="accent1">
                  <a:lumMod val="20000"/>
                  <a:lumOff val="80000"/>
                </a:schemeClr>
              </a:solidFill>
              <a:prstDash val="sysDash"/>
              <a:round/>
            </a:ln>
            <a:effectLst/>
          </c:spPr>
          <c:marker>
            <c:symbol val="none"/>
          </c:marker>
          <c:cat>
            <c:numRef>
              <c:f>proyecc_fmi!$T$9:$AA$9</c:f>
              <c:numCache>
                <c:formatCode>General</c:formatCode>
                <c:ptCount val="8"/>
                <c:pt idx="0">
                  <c:v>2021</c:v>
                </c:pt>
                <c:pt idx="1">
                  <c:v>2022</c:v>
                </c:pt>
                <c:pt idx="2">
                  <c:v>2023</c:v>
                </c:pt>
                <c:pt idx="3">
                  <c:v>2024</c:v>
                </c:pt>
                <c:pt idx="4">
                  <c:v>2025</c:v>
                </c:pt>
                <c:pt idx="5">
                  <c:v>2026</c:v>
                </c:pt>
                <c:pt idx="6">
                  <c:v>2027</c:v>
                </c:pt>
                <c:pt idx="7">
                  <c:v>2028</c:v>
                </c:pt>
              </c:numCache>
            </c:numRef>
          </c:cat>
          <c:val>
            <c:numRef>
              <c:f>proyecc_fmi!$T$22:$AA$22</c:f>
              <c:numCache>
                <c:formatCode>0.0</c:formatCode>
                <c:ptCount val="8"/>
                <c:pt idx="0">
                  <c:v>7.109</c:v>
                </c:pt>
                <c:pt idx="1">
                  <c:v>10.102</c:v>
                </c:pt>
                <c:pt idx="2">
                  <c:v>8.1460000000000008</c:v>
                </c:pt>
                <c:pt idx="3">
                  <c:v>5.3929999999999998</c:v>
                </c:pt>
                <c:pt idx="4">
                  <c:v>4.6040000000000001</c:v>
                </c:pt>
                <c:pt idx="5">
                  <c:v>4.657</c:v>
                </c:pt>
                <c:pt idx="6">
                  <c:v>4.5110000000000001</c:v>
                </c:pt>
                <c:pt idx="7">
                  <c:v>4.3840000000000003</c:v>
                </c:pt>
              </c:numCache>
            </c:numRef>
          </c:val>
          <c:smooth val="0"/>
          <c:extLst>
            <c:ext xmlns:c16="http://schemas.microsoft.com/office/drawing/2014/chart" uri="{C3380CC4-5D6E-409C-BE32-E72D297353CC}">
              <c16:uniqueId val="{00000003-08E4-4B46-8B76-8B00BAE92D93}"/>
            </c:ext>
          </c:extLst>
        </c:ser>
        <c:ser>
          <c:idx val="4"/>
          <c:order val="4"/>
          <c:tx>
            <c:strRef>
              <c:f>proyecc_fmi!$R$23</c:f>
              <c:strCache>
                <c:ptCount val="1"/>
                <c:pt idx="0">
                  <c:v>Latinoamerica y el Caribe</c:v>
                </c:pt>
              </c:strCache>
            </c:strRef>
          </c:tx>
          <c:spPr>
            <a:ln w="28575" cap="rnd">
              <a:solidFill>
                <a:schemeClr val="accent5"/>
              </a:solidFill>
              <a:round/>
            </a:ln>
            <a:effectLst/>
          </c:spPr>
          <c:marker>
            <c:symbol val="none"/>
          </c:marker>
          <c:cat>
            <c:numRef>
              <c:f>proyecc_fmi!$T$9:$AA$9</c:f>
              <c:numCache>
                <c:formatCode>General</c:formatCode>
                <c:ptCount val="8"/>
                <c:pt idx="0">
                  <c:v>2021</c:v>
                </c:pt>
                <c:pt idx="1">
                  <c:v>2022</c:v>
                </c:pt>
                <c:pt idx="2">
                  <c:v>2023</c:v>
                </c:pt>
                <c:pt idx="3">
                  <c:v>2024</c:v>
                </c:pt>
                <c:pt idx="4">
                  <c:v>2025</c:v>
                </c:pt>
                <c:pt idx="5">
                  <c:v>2026</c:v>
                </c:pt>
                <c:pt idx="6">
                  <c:v>2027</c:v>
                </c:pt>
                <c:pt idx="7">
                  <c:v>2028</c:v>
                </c:pt>
              </c:numCache>
            </c:numRef>
          </c:cat>
          <c:val>
            <c:numRef>
              <c:f>proyecc_fmi!$T$23:$AA$23</c:f>
              <c:numCache>
                <c:formatCode>0.0</c:formatCode>
                <c:ptCount val="8"/>
                <c:pt idx="0">
                  <c:v>11.555</c:v>
                </c:pt>
                <c:pt idx="1">
                  <c:v>14.653</c:v>
                </c:pt>
                <c:pt idx="2">
                  <c:v>11.829000000000001</c:v>
                </c:pt>
                <c:pt idx="3">
                  <c:v>7.6929999999999996</c:v>
                </c:pt>
                <c:pt idx="4">
                  <c:v>6.7610000000000001</c:v>
                </c:pt>
                <c:pt idx="5">
                  <c:v>6.3090000000000002</c:v>
                </c:pt>
                <c:pt idx="6">
                  <c:v>5.8810000000000002</c:v>
                </c:pt>
                <c:pt idx="7">
                  <c:v>5.4829999999999997</c:v>
                </c:pt>
              </c:numCache>
            </c:numRef>
          </c:val>
          <c:smooth val="0"/>
          <c:extLst>
            <c:ext xmlns:c16="http://schemas.microsoft.com/office/drawing/2014/chart" uri="{C3380CC4-5D6E-409C-BE32-E72D297353CC}">
              <c16:uniqueId val="{00000004-08E4-4B46-8B76-8B00BAE92D93}"/>
            </c:ext>
          </c:extLst>
        </c:ser>
        <c:dLbls>
          <c:showLegendKey val="0"/>
          <c:showVal val="0"/>
          <c:showCatName val="0"/>
          <c:showSerName val="0"/>
          <c:showPercent val="0"/>
          <c:showBubbleSize val="0"/>
        </c:dLbls>
        <c:marker val="1"/>
        <c:smooth val="0"/>
        <c:axId val="1628155327"/>
        <c:axId val="1628153247"/>
      </c:lineChart>
      <c:catAx>
        <c:axId val="16281553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28153247"/>
        <c:crosses val="autoZero"/>
        <c:auto val="1"/>
        <c:lblAlgn val="ctr"/>
        <c:lblOffset val="100"/>
        <c:noMultiLvlLbl val="0"/>
      </c:catAx>
      <c:valAx>
        <c:axId val="1628153247"/>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28155327"/>
        <c:crosses val="autoZero"/>
        <c:crossBetween val="between"/>
        <c:majorUnit val="4"/>
      </c:valAx>
      <c:spPr>
        <a:noFill/>
        <a:ln>
          <a:noFill/>
        </a:ln>
        <a:effectLst/>
      </c:spPr>
    </c:plotArea>
    <c:legend>
      <c:legendPos val="t"/>
      <c:layout>
        <c:manualLayout>
          <c:xMode val="edge"/>
          <c:yMode val="edge"/>
          <c:x val="0.15480683760683761"/>
          <c:y val="3.5277777777777776E-2"/>
          <c:w val="0.82878354700854684"/>
          <c:h val="0.2488310185185185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noFill/>
      <a:round/>
    </a:ln>
    <a:effectLst/>
  </c:spPr>
  <c:txPr>
    <a:bodyPr/>
    <a:lstStyle/>
    <a:p>
      <a:pPr>
        <a:defRPr sz="1000">
          <a:latin typeface="Times New Roman" panose="02020603050405020304" pitchFamily="18" charset="0"/>
          <a:cs typeface="Times New Roman" panose="02020603050405020304" pitchFamily="18" charset="0"/>
        </a:defRPr>
      </a:pPr>
      <a:endParaRPr lang="es-GT"/>
    </a:p>
  </c:txPr>
  <c:externalData r:id="rId3">
    <c:autoUpdate val="0"/>
  </c:externalData>
  <c:userShapes r:id="rId4"/>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9850746268656716E-2"/>
          <c:y val="8.1536926378763086E-2"/>
          <c:w val="0.94029850746268662"/>
          <c:h val="0.79019695457797257"/>
        </c:manualLayout>
      </c:layout>
      <c:barChart>
        <c:barDir val="col"/>
        <c:grouping val="clustered"/>
        <c:varyColors val="0"/>
        <c:ser>
          <c:idx val="0"/>
          <c:order val="0"/>
          <c:tx>
            <c:strRef>
              <c:f>proyecc_fmi!$S$29</c:f>
              <c:strCache>
                <c:ptCount val="1"/>
                <c:pt idx="0">
                  <c:v>FMI</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proyecc_fmi!$U$28:$AA$28</c:f>
              <c:numCache>
                <c:formatCode>General</c:formatCode>
                <c:ptCount val="7"/>
                <c:pt idx="0">
                  <c:v>2022</c:v>
                </c:pt>
                <c:pt idx="1">
                  <c:v>2023</c:v>
                </c:pt>
                <c:pt idx="2">
                  <c:v>2024</c:v>
                </c:pt>
                <c:pt idx="3">
                  <c:v>2025</c:v>
                </c:pt>
                <c:pt idx="4">
                  <c:v>2026</c:v>
                </c:pt>
                <c:pt idx="5">
                  <c:v>2027</c:v>
                </c:pt>
                <c:pt idx="6">
                  <c:v>2028</c:v>
                </c:pt>
              </c:numCache>
            </c:numRef>
          </c:cat>
          <c:val>
            <c:numRef>
              <c:f>proyecc_fmi!$U$29:$AA$29</c:f>
              <c:numCache>
                <c:formatCode>0.0</c:formatCode>
                <c:ptCount val="7"/>
                <c:pt idx="0">
                  <c:v>4.0090000000000003</c:v>
                </c:pt>
                <c:pt idx="1">
                  <c:v>3.4</c:v>
                </c:pt>
                <c:pt idx="2">
                  <c:v>3.5</c:v>
                </c:pt>
                <c:pt idx="3">
                  <c:v>3.6</c:v>
                </c:pt>
                <c:pt idx="4">
                  <c:v>3.7</c:v>
                </c:pt>
                <c:pt idx="5">
                  <c:v>3.8</c:v>
                </c:pt>
                <c:pt idx="6">
                  <c:v>3.9</c:v>
                </c:pt>
              </c:numCache>
            </c:numRef>
          </c:val>
          <c:extLst>
            <c:ext xmlns:c16="http://schemas.microsoft.com/office/drawing/2014/chart" uri="{C3380CC4-5D6E-409C-BE32-E72D297353CC}">
              <c16:uniqueId val="{00000000-1C36-45B0-A19F-03EDABE7EA00}"/>
            </c:ext>
          </c:extLst>
        </c:ser>
        <c:ser>
          <c:idx val="1"/>
          <c:order val="1"/>
          <c:tx>
            <c:strRef>
              <c:f>proyecc_fmi!$S$30</c:f>
              <c:strCache>
                <c:ptCount val="1"/>
                <c:pt idx="0">
                  <c:v>BM</c:v>
                </c:pt>
              </c:strCache>
            </c:strRef>
          </c:tx>
          <c:spPr>
            <a:solidFill>
              <a:schemeClr val="accent5">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proyecc_fmi!$U$28:$AA$28</c:f>
              <c:numCache>
                <c:formatCode>General</c:formatCode>
                <c:ptCount val="7"/>
                <c:pt idx="0">
                  <c:v>2022</c:v>
                </c:pt>
                <c:pt idx="1">
                  <c:v>2023</c:v>
                </c:pt>
                <c:pt idx="2">
                  <c:v>2024</c:v>
                </c:pt>
                <c:pt idx="3">
                  <c:v>2025</c:v>
                </c:pt>
                <c:pt idx="4">
                  <c:v>2026</c:v>
                </c:pt>
                <c:pt idx="5">
                  <c:v>2027</c:v>
                </c:pt>
                <c:pt idx="6">
                  <c:v>2028</c:v>
                </c:pt>
              </c:numCache>
            </c:numRef>
          </c:cat>
          <c:val>
            <c:numRef>
              <c:f>proyecc_fmi!$U$30:$AA$30</c:f>
              <c:numCache>
                <c:formatCode>General</c:formatCode>
                <c:ptCount val="7"/>
                <c:pt idx="0">
                  <c:v>3.4</c:v>
                </c:pt>
                <c:pt idx="1">
                  <c:v>3.1</c:v>
                </c:pt>
                <c:pt idx="2">
                  <c:v>3.5</c:v>
                </c:pt>
              </c:numCache>
            </c:numRef>
          </c:val>
          <c:extLst>
            <c:ext xmlns:c16="http://schemas.microsoft.com/office/drawing/2014/chart" uri="{C3380CC4-5D6E-409C-BE32-E72D297353CC}">
              <c16:uniqueId val="{00000001-1C36-45B0-A19F-03EDABE7EA00}"/>
            </c:ext>
          </c:extLst>
        </c:ser>
        <c:ser>
          <c:idx val="2"/>
          <c:order val="2"/>
          <c:tx>
            <c:strRef>
              <c:f>proyecc_fmi!$S$31</c:f>
              <c:strCache>
                <c:ptCount val="1"/>
                <c:pt idx="0">
                  <c:v>BANGUAT</c:v>
                </c:pt>
              </c:strCache>
            </c:strRef>
          </c:tx>
          <c:spPr>
            <a:solidFill>
              <a:schemeClr val="accent5">
                <a:lumMod val="50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accent5">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proyecc_fmi!$U$28:$AA$28</c:f>
              <c:numCache>
                <c:formatCode>General</c:formatCode>
                <c:ptCount val="7"/>
                <c:pt idx="0">
                  <c:v>2022</c:v>
                </c:pt>
                <c:pt idx="1">
                  <c:v>2023</c:v>
                </c:pt>
                <c:pt idx="2">
                  <c:v>2024</c:v>
                </c:pt>
                <c:pt idx="3">
                  <c:v>2025</c:v>
                </c:pt>
                <c:pt idx="4">
                  <c:v>2026</c:v>
                </c:pt>
                <c:pt idx="5">
                  <c:v>2027</c:v>
                </c:pt>
                <c:pt idx="6">
                  <c:v>2028</c:v>
                </c:pt>
              </c:numCache>
            </c:numRef>
          </c:cat>
          <c:val>
            <c:numRef>
              <c:f>proyecc_fmi!$U$31:$AA$31</c:f>
              <c:numCache>
                <c:formatCode>General</c:formatCode>
                <c:ptCount val="7"/>
                <c:pt idx="0">
                  <c:v>4.0999999999999996</c:v>
                </c:pt>
                <c:pt idx="1">
                  <c:v>3.5</c:v>
                </c:pt>
                <c:pt idx="2">
                  <c:v>2.5</c:v>
                </c:pt>
                <c:pt idx="3">
                  <c:v>2.6</c:v>
                </c:pt>
                <c:pt idx="4">
                  <c:v>2.7</c:v>
                </c:pt>
                <c:pt idx="5">
                  <c:v>2.7</c:v>
                </c:pt>
                <c:pt idx="6">
                  <c:v>2.7</c:v>
                </c:pt>
              </c:numCache>
            </c:numRef>
          </c:val>
          <c:extLst>
            <c:ext xmlns:c16="http://schemas.microsoft.com/office/drawing/2014/chart" uri="{C3380CC4-5D6E-409C-BE32-E72D297353CC}">
              <c16:uniqueId val="{00000002-1C36-45B0-A19F-03EDABE7EA00}"/>
            </c:ext>
          </c:extLst>
        </c:ser>
        <c:dLbls>
          <c:showLegendKey val="0"/>
          <c:showVal val="0"/>
          <c:showCatName val="0"/>
          <c:showSerName val="0"/>
          <c:showPercent val="0"/>
          <c:showBubbleSize val="0"/>
        </c:dLbls>
        <c:gapWidth val="30"/>
        <c:overlap val="-10"/>
        <c:axId val="1203952464"/>
        <c:axId val="1203963280"/>
      </c:barChart>
      <c:catAx>
        <c:axId val="1203952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203963280"/>
        <c:crosses val="autoZero"/>
        <c:auto val="1"/>
        <c:lblAlgn val="ctr"/>
        <c:lblOffset val="100"/>
        <c:noMultiLvlLbl val="0"/>
      </c:catAx>
      <c:valAx>
        <c:axId val="1203963280"/>
        <c:scaling>
          <c:orientation val="minMax"/>
        </c:scaling>
        <c:delete val="1"/>
        <c:axPos val="l"/>
        <c:numFmt formatCode="0.0" sourceLinked="1"/>
        <c:majorTickMark val="none"/>
        <c:minorTickMark val="none"/>
        <c:tickLblPos val="nextTo"/>
        <c:crossAx val="1203952464"/>
        <c:crosses val="autoZero"/>
        <c:crossBetween val="between"/>
      </c:valAx>
      <c:spPr>
        <a:noFill/>
        <a:ln>
          <a:noFill/>
        </a:ln>
        <a:effectLst/>
      </c:spPr>
    </c:plotArea>
    <c:legend>
      <c:legendPos val="t"/>
      <c:layout>
        <c:manualLayout>
          <c:xMode val="edge"/>
          <c:yMode val="edge"/>
          <c:x val="0.31669099028835779"/>
          <c:y val="0"/>
          <c:w val="0.32862616053590316"/>
          <c:h val="9.329817307091244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86295767369236"/>
          <c:y val="0.19323611111111111"/>
          <c:w val="0.88213704232630763"/>
          <c:h val="0.6048768518518518"/>
        </c:manualLayout>
      </c:layout>
      <c:lineChart>
        <c:grouping val="standard"/>
        <c:varyColors val="0"/>
        <c:ser>
          <c:idx val="0"/>
          <c:order val="0"/>
          <c:tx>
            <c:strRef>
              <c:f>USA_2!$B$1</c:f>
              <c:strCache>
                <c:ptCount val="1"/>
                <c:pt idx="0">
                  <c:v>Tasa de politica </c:v>
                </c:pt>
              </c:strCache>
            </c:strRef>
          </c:tx>
          <c:spPr>
            <a:ln w="28575" cap="rnd">
              <a:solidFill>
                <a:srgbClr val="002060"/>
              </a:solidFill>
              <a:round/>
            </a:ln>
            <a:effectLst/>
          </c:spPr>
          <c:marker>
            <c:symbol val="none"/>
          </c:marker>
          <c:dLbls>
            <c:dLbl>
              <c:idx val="0"/>
              <c:layout>
                <c:manualLayout>
                  <c:x val="-6.6145833333333376E-2"/>
                  <c:y val="-3.99842581660763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C56-4AFA-AB14-84E1F77E249F}"/>
                </c:ext>
              </c:extLst>
            </c:dLbl>
            <c:dLbl>
              <c:idx val="23"/>
              <c:layout>
                <c:manualLayout>
                  <c:x val="-1.7361111111111112E-4"/>
                  <c:y val="-2.8287037037037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C56-4AFA-AB14-84E1F77E249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ext>
            </c:extLst>
          </c:dLbls>
          <c:cat>
            <c:numRef>
              <c:f>USA_2!$A$2:$A$25</c:f>
              <c:numCache>
                <c:formatCode>mmm\-yy</c:formatCode>
                <c:ptCount val="24"/>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pt idx="22">
                  <c:v>44866</c:v>
                </c:pt>
                <c:pt idx="23">
                  <c:v>44896</c:v>
                </c:pt>
              </c:numCache>
            </c:numRef>
          </c:cat>
          <c:val>
            <c:numRef>
              <c:f>USA_2!$B$2:$B$25</c:f>
              <c:numCache>
                <c:formatCode>_(* #,##0.00_);_(* \(#,##0.00\);_(* "-"??_);_(@_)</c:formatCode>
                <c:ptCount val="24"/>
                <c:pt idx="0">
                  <c:v>7.0000000000000007E-2</c:v>
                </c:pt>
                <c:pt idx="1">
                  <c:v>7.0000000000000007E-2</c:v>
                </c:pt>
                <c:pt idx="2">
                  <c:v>0.06</c:v>
                </c:pt>
                <c:pt idx="3">
                  <c:v>0.05</c:v>
                </c:pt>
                <c:pt idx="4">
                  <c:v>0.05</c:v>
                </c:pt>
                <c:pt idx="5">
                  <c:v>0.08</c:v>
                </c:pt>
                <c:pt idx="6">
                  <c:v>7.0000000000000007E-2</c:v>
                </c:pt>
                <c:pt idx="7">
                  <c:v>0.06</c:v>
                </c:pt>
                <c:pt idx="8">
                  <c:v>0.06</c:v>
                </c:pt>
                <c:pt idx="9">
                  <c:v>7.0000000000000007E-2</c:v>
                </c:pt>
                <c:pt idx="10">
                  <c:v>7.0000000000000007E-2</c:v>
                </c:pt>
                <c:pt idx="11">
                  <c:v>7.0000000000000007E-2</c:v>
                </c:pt>
                <c:pt idx="12">
                  <c:v>0.08</c:v>
                </c:pt>
                <c:pt idx="13">
                  <c:v>0.08</c:v>
                </c:pt>
                <c:pt idx="14">
                  <c:v>0.33</c:v>
                </c:pt>
                <c:pt idx="15">
                  <c:v>0.33</c:v>
                </c:pt>
                <c:pt idx="16">
                  <c:v>0.83</c:v>
                </c:pt>
                <c:pt idx="17">
                  <c:v>1.58</c:v>
                </c:pt>
                <c:pt idx="18">
                  <c:v>2.3199999999999998</c:v>
                </c:pt>
                <c:pt idx="19">
                  <c:v>2.33</c:v>
                </c:pt>
                <c:pt idx="20">
                  <c:v>3.08</c:v>
                </c:pt>
                <c:pt idx="21">
                  <c:v>3.08</c:v>
                </c:pt>
                <c:pt idx="22">
                  <c:v>3.83</c:v>
                </c:pt>
                <c:pt idx="23">
                  <c:v>4.33</c:v>
                </c:pt>
              </c:numCache>
            </c:numRef>
          </c:val>
          <c:smooth val="0"/>
          <c:extLst>
            <c:ext xmlns:c16="http://schemas.microsoft.com/office/drawing/2014/chart" uri="{C3380CC4-5D6E-409C-BE32-E72D297353CC}">
              <c16:uniqueId val="{00000002-0C56-4AFA-AB14-84E1F77E249F}"/>
            </c:ext>
          </c:extLst>
        </c:ser>
        <c:ser>
          <c:idx val="1"/>
          <c:order val="1"/>
          <c:tx>
            <c:strRef>
              <c:f>USA_2!$C$1</c:f>
              <c:strCache>
                <c:ptCount val="1"/>
                <c:pt idx="0">
                  <c:v>Inflación </c:v>
                </c:pt>
              </c:strCache>
            </c:strRef>
          </c:tx>
          <c:spPr>
            <a:ln w="28575" cap="rnd">
              <a:solidFill>
                <a:schemeClr val="accent1"/>
              </a:solidFill>
              <a:round/>
            </a:ln>
            <a:effectLst/>
          </c:spPr>
          <c:marker>
            <c:symbol val="none"/>
          </c:marker>
          <c:dLbls>
            <c:dLbl>
              <c:idx val="0"/>
              <c:layout>
                <c:manualLayout>
                  <c:x val="-0.1287638888888889"/>
                  <c:y val="-0.168162962962963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C56-4AFA-AB14-84E1F77E249F}"/>
                </c:ext>
              </c:extLst>
            </c:dLbl>
            <c:dLbl>
              <c:idx val="23"/>
              <c:layout>
                <c:manualLayout>
                  <c:x val="0"/>
                  <c:y val="-0.140231481481481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C56-4AFA-AB14-84E1F77E249F}"/>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USA_2!$A$2:$A$25</c:f>
              <c:numCache>
                <c:formatCode>mmm\-yy</c:formatCode>
                <c:ptCount val="24"/>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pt idx="22">
                  <c:v>44866</c:v>
                </c:pt>
                <c:pt idx="23">
                  <c:v>44896</c:v>
                </c:pt>
              </c:numCache>
            </c:numRef>
          </c:cat>
          <c:val>
            <c:numRef>
              <c:f>USA_2!$C$2:$C$25</c:f>
              <c:numCache>
                <c:formatCode>_(* #,##0.00_);_(* \(#,##0.00\);_(* "-"??_);_(@_)</c:formatCode>
                <c:ptCount val="24"/>
                <c:pt idx="0">
                  <c:v>1.3947814404891901</c:v>
                </c:pt>
                <c:pt idx="1">
                  <c:v>1.693359254459037</c:v>
                </c:pt>
                <c:pt idx="2">
                  <c:v>2.6305186654475898</c:v>
                </c:pt>
                <c:pt idx="3">
                  <c:v>4.1305468347312857</c:v>
                </c:pt>
                <c:pt idx="4">
                  <c:v>4.9150343145684561</c:v>
                </c:pt>
                <c:pt idx="5">
                  <c:v>5.2816106713984512</c:v>
                </c:pt>
                <c:pt idx="6">
                  <c:v>5.2215055095672147</c:v>
                </c:pt>
                <c:pt idx="7">
                  <c:v>5.1882919382755466</c:v>
                </c:pt>
                <c:pt idx="8">
                  <c:v>5.3836302873910391</c:v>
                </c:pt>
                <c:pt idx="9">
                  <c:v>6.2377538553744616</c:v>
                </c:pt>
                <c:pt idx="10">
                  <c:v>6.8623879944634814</c:v>
                </c:pt>
                <c:pt idx="11">
                  <c:v>7.1944587555097472</c:v>
                </c:pt>
                <c:pt idx="12">
                  <c:v>7.595278888254331</c:v>
                </c:pt>
                <c:pt idx="13">
                  <c:v>7.954847176810631</c:v>
                </c:pt>
                <c:pt idx="14">
                  <c:v>8.5152162588613578</c:v>
                </c:pt>
                <c:pt idx="15">
                  <c:v>8.2277721528480896</c:v>
                </c:pt>
                <c:pt idx="16">
                  <c:v>8.5023319575032286</c:v>
                </c:pt>
                <c:pt idx="17">
                  <c:v>8.9329868901052869</c:v>
                </c:pt>
                <c:pt idx="18">
                  <c:v>8.4131820255810119</c:v>
                </c:pt>
                <c:pt idx="19">
                  <c:v>8.2273610144024687</c:v>
                </c:pt>
                <c:pt idx="20">
                  <c:v>8.2148539565299661</c:v>
                </c:pt>
                <c:pt idx="21">
                  <c:v>7.7624926768937064</c:v>
                </c:pt>
                <c:pt idx="22">
                  <c:v>7.135348084575055</c:v>
                </c:pt>
                <c:pt idx="23">
                  <c:v>6.444940492084017</c:v>
                </c:pt>
              </c:numCache>
            </c:numRef>
          </c:val>
          <c:smooth val="0"/>
          <c:extLst>
            <c:ext xmlns:c16="http://schemas.microsoft.com/office/drawing/2014/chart" uri="{C3380CC4-5D6E-409C-BE32-E72D297353CC}">
              <c16:uniqueId val="{00000005-0C56-4AFA-AB14-84E1F77E249F}"/>
            </c:ext>
          </c:extLst>
        </c:ser>
        <c:dLbls>
          <c:showLegendKey val="0"/>
          <c:showVal val="0"/>
          <c:showCatName val="0"/>
          <c:showSerName val="0"/>
          <c:showPercent val="0"/>
          <c:showBubbleSize val="0"/>
        </c:dLbls>
        <c:smooth val="0"/>
        <c:axId val="997090992"/>
        <c:axId val="997091408"/>
      </c:lineChart>
      <c:dateAx>
        <c:axId val="997090992"/>
        <c:scaling>
          <c:orientation val="minMax"/>
        </c:scaling>
        <c:delete val="0"/>
        <c:axPos val="b"/>
        <c:numFmt formatCode="mmm\-yy"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97091408"/>
        <c:crosses val="autoZero"/>
        <c:auto val="1"/>
        <c:lblOffset val="100"/>
        <c:baseTimeUnit val="months"/>
      </c:dateAx>
      <c:valAx>
        <c:axId val="997091408"/>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97090992"/>
        <c:crosses val="autoZero"/>
        <c:crossBetween val="between"/>
        <c:majorUnit val="2"/>
      </c:valAx>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1.9677943075751533E-2"/>
          <c:y val="3.1686225440646303E-2"/>
          <c:w val="0.92749717497971218"/>
          <c:h val="0.87799674889366675"/>
        </c:manualLayout>
      </c:layout>
      <c:areaChart>
        <c:grouping val="stacked"/>
        <c:varyColors val="0"/>
        <c:ser>
          <c:idx val="0"/>
          <c:order val="0"/>
          <c:tx>
            <c:strRef>
              <c:f>'Fanchart '!$AA$16</c:f>
              <c:strCache>
                <c:ptCount val="1"/>
                <c:pt idx="0">
                  <c:v>base</c:v>
                </c:pt>
              </c:strCache>
            </c:strRef>
          </c:tx>
          <c:spPr>
            <a:noFill/>
            <a:ln>
              <a:noFill/>
            </a:ln>
            <a:effectLst/>
          </c:spPr>
          <c:cat>
            <c:numRef>
              <c:f>'Fanchart '!$AB$14:$AS$14</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'Fanchart '!$AB$16:$AS$16</c:f>
              <c:numCache>
                <c:formatCode>_-* #,##0.0_-;\-* #,##0.0_-;_-* "-"??_-;_-@_-</c:formatCode>
                <c:ptCount val="18"/>
                <c:pt idx="0">
                  <c:v>7.7891966849314986</c:v>
                </c:pt>
                <c:pt idx="1">
                  <c:v>7.8343970218579297</c:v>
                </c:pt>
                <c:pt idx="2">
                  <c:v>7.8586306575342508</c:v>
                </c:pt>
                <c:pt idx="3">
                  <c:v>7.7342786301369904</c:v>
                </c:pt>
                <c:pt idx="4">
                  <c:v>7.6557419452054738</c:v>
                </c:pt>
                <c:pt idx="5">
                  <c:v>7.6017596174863442</c:v>
                </c:pt>
                <c:pt idx="6">
                  <c:v>7.3503714794520558</c:v>
                </c:pt>
                <c:pt idx="7">
                  <c:v>7.520154356164376</c:v>
                </c:pt>
                <c:pt idx="8">
                  <c:v>7.6982489041095876</c:v>
                </c:pt>
                <c:pt idx="9">
                  <c:v>7.7224768852459027</c:v>
                </c:pt>
                <c:pt idx="10">
                  <c:v>7.7355653698630151</c:v>
                </c:pt>
                <c:pt idx="11">
                  <c:v>7.7489241758241789</c:v>
                </c:pt>
                <c:pt idx="12">
                  <c:v>7.5210292746097052</c:v>
                </c:pt>
                <c:pt idx="13">
                  <c:v>7.3906929432218922</c:v>
                </c:pt>
                <c:pt idx="14">
                  <c:v>7.3481139543093565</c:v>
                </c:pt>
                <c:pt idx="15">
                  <c:v>7.308414206509477</c:v>
                </c:pt>
                <c:pt idx="16">
                  <c:v>7.2704825836743598</c:v>
                </c:pt>
                <c:pt idx="17">
                  <c:v>7.2338444216518454</c:v>
                </c:pt>
              </c:numCache>
            </c:numRef>
          </c:val>
          <c:extLst>
            <c:ext xmlns:c16="http://schemas.microsoft.com/office/drawing/2014/chart" uri="{C3380CC4-5D6E-409C-BE32-E72D297353CC}">
              <c16:uniqueId val="{00000000-AF15-4422-AA8D-3EF5983A0A3C}"/>
            </c:ext>
          </c:extLst>
        </c:ser>
        <c:ser>
          <c:idx val="1"/>
          <c:order val="1"/>
          <c:tx>
            <c:strRef>
              <c:f>'Fanchart '!$AA$17</c:f>
              <c:strCache>
                <c:ptCount val="1"/>
                <c:pt idx="0">
                  <c:v>5-10</c:v>
                </c:pt>
              </c:strCache>
            </c:strRef>
          </c:tx>
          <c:spPr>
            <a:solidFill>
              <a:srgbClr val="F2F7FC"/>
            </a:solidFill>
            <a:ln w="25400">
              <a:noFill/>
            </a:ln>
            <a:effectLst/>
          </c:spPr>
          <c:cat>
            <c:numRef>
              <c:f>'Fanchart '!$AB$14:$AS$14</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'Fanchart '!$AB$17:$AS$17</c:f>
              <c:numCache>
                <c:formatCode>General</c:formatCode>
                <c:ptCount val="18"/>
                <c:pt idx="7" formatCode="_-* #,##0.0_-;\-* #,##0.0_-;_-* &quot;-&quot;??_-;_-@_-">
                  <c:v>0</c:v>
                </c:pt>
                <c:pt idx="8" formatCode="_-* #,##0.0_-;\-* #,##0.0_-;_-* &quot;-&quot;??_-;_-@_-">
                  <c:v>0</c:v>
                </c:pt>
                <c:pt idx="9" formatCode="_-* #,##0.0_-;\-* #,##0.0_-;_-* &quot;-&quot;??_-;_-@_-">
                  <c:v>0</c:v>
                </c:pt>
                <c:pt idx="10" formatCode="_-* #,##0.0_-;\-* #,##0.0_-;_-* &quot;-&quot;??_-;_-@_-">
                  <c:v>0</c:v>
                </c:pt>
                <c:pt idx="11" formatCode="_-* #,##0.0_-;\-* #,##0.0_-;_-* &quot;-&quot;??_-;_-@_-">
                  <c:v>0</c:v>
                </c:pt>
                <c:pt idx="12" formatCode="_-* #,##0.0_-;\-* #,##0.0_-;_-* &quot;-&quot;??_-;_-@_-">
                  <c:v>7.266041228137432E-2</c:v>
                </c:pt>
                <c:pt idx="13" formatCode="_-* #,##0.0_-;\-* #,##0.0_-;_-* &quot;-&quot;??_-;_-@_-">
                  <c:v>8.8990467294812525E-2</c:v>
                </c:pt>
                <c:pt idx="14" formatCode="_-* #,##0.0_-;\-* #,##0.0_-;_-* &quot;-&quot;??_-;_-@_-">
                  <c:v>0.10275734049594032</c:v>
                </c:pt>
                <c:pt idx="15" formatCode="_-* #,##0.0_-;\-* #,##0.0_-;_-* &quot;-&quot;??_-;_-@_-">
                  <c:v>0.11488619926800681</c:v>
                </c:pt>
                <c:pt idx="16" formatCode="_-* #,##0.0_-;\-* #,##0.0_-;_-* &quot;-&quot;??_-;_-@_-">
                  <c:v>0.12585152577024239</c:v>
                </c:pt>
                <c:pt idx="17" formatCode="_-* #,##0.0_-;\-* #,##0.0_-;_-* &quot;-&quot;??_-;_-@_-">
                  <c:v>0.13593518416932238</c:v>
                </c:pt>
              </c:numCache>
            </c:numRef>
          </c:val>
          <c:extLst>
            <c:ext xmlns:c16="http://schemas.microsoft.com/office/drawing/2014/chart" uri="{C3380CC4-5D6E-409C-BE32-E72D297353CC}">
              <c16:uniqueId val="{00000001-AF15-4422-AA8D-3EF5983A0A3C}"/>
            </c:ext>
          </c:extLst>
        </c:ser>
        <c:ser>
          <c:idx val="2"/>
          <c:order val="2"/>
          <c:tx>
            <c:strRef>
              <c:f>'Fanchart '!$AA$18</c:f>
              <c:strCache>
                <c:ptCount val="1"/>
                <c:pt idx="0">
                  <c:v>10-15</c:v>
                </c:pt>
              </c:strCache>
            </c:strRef>
          </c:tx>
          <c:spPr>
            <a:solidFill>
              <a:schemeClr val="accent1">
                <a:lumMod val="20000"/>
                <a:lumOff val="80000"/>
              </a:schemeClr>
            </a:solidFill>
            <a:ln w="25400">
              <a:solidFill>
                <a:schemeClr val="accent1">
                  <a:lumMod val="20000"/>
                  <a:lumOff val="80000"/>
                </a:schemeClr>
              </a:solidFill>
            </a:ln>
            <a:effectLst/>
          </c:spPr>
          <c:cat>
            <c:numRef>
              <c:f>'Fanchart '!$AB$14:$AS$14</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'Fanchart '!$AB$18:$AS$18</c:f>
              <c:numCache>
                <c:formatCode>General</c:formatCode>
                <c:ptCount val="18"/>
                <c:pt idx="7" formatCode="_-* #,##0.0_-;\-* #,##0.0_-;_-* &quot;-&quot;??_-;_-@_-">
                  <c:v>0</c:v>
                </c:pt>
                <c:pt idx="8" formatCode="_-* #,##0.0_-;\-* #,##0.0_-;_-* &quot;-&quot;??_-;_-@_-">
                  <c:v>0</c:v>
                </c:pt>
                <c:pt idx="9" formatCode="_-* #,##0.0_-;\-* #,##0.0_-;_-* &quot;-&quot;??_-;_-@_-">
                  <c:v>0</c:v>
                </c:pt>
                <c:pt idx="10" formatCode="_-* #,##0.0_-;\-* #,##0.0_-;_-* &quot;-&quot;??_-;_-@_-">
                  <c:v>0</c:v>
                </c:pt>
                <c:pt idx="11" formatCode="_-* #,##0.0_-;\-* #,##0.0_-;_-* &quot;-&quot;??_-;_-@_-">
                  <c:v>0</c:v>
                </c:pt>
                <c:pt idx="12" formatCode="_-* #,##0.0_-;\-* #,##0.0_-;_-* &quot;-&quot;??_-;_-@_-">
                  <c:v>4.9023635210161842E-2</c:v>
                </c:pt>
                <c:pt idx="13" formatCode="_-* #,##0.0_-;\-* #,##0.0_-;_-* &quot;-&quot;??_-;_-@_-">
                  <c:v>6.0041445800617765E-2</c:v>
                </c:pt>
                <c:pt idx="14" formatCode="_-* #,##0.0_-;\-* #,##0.0_-;_-* &quot;-&quot;??_-;_-@_-">
                  <c:v>6.9329889791042376E-2</c:v>
                </c:pt>
                <c:pt idx="15" formatCode="_-* #,##0.0_-;\-* #,##0.0_-;_-* &quot;-&quot;??_-;_-@_-">
                  <c:v>7.7513173222669707E-2</c:v>
                </c:pt>
                <c:pt idx="16" formatCode="_-* #,##0.0_-;\-* #,##0.0_-;_-* &quot;-&quot;??_-;_-@_-">
                  <c:v>8.4911426955724068E-2</c:v>
                </c:pt>
                <c:pt idx="17" formatCode="_-* #,##0.0_-;\-* #,##0.0_-;_-* &quot;-&quot;??_-;_-@_-">
                  <c:v>9.1714823405307122E-2</c:v>
                </c:pt>
              </c:numCache>
            </c:numRef>
          </c:val>
          <c:extLst>
            <c:ext xmlns:c16="http://schemas.microsoft.com/office/drawing/2014/chart" uri="{C3380CC4-5D6E-409C-BE32-E72D297353CC}">
              <c16:uniqueId val="{00000002-AF15-4422-AA8D-3EF5983A0A3C}"/>
            </c:ext>
          </c:extLst>
        </c:ser>
        <c:ser>
          <c:idx val="3"/>
          <c:order val="3"/>
          <c:tx>
            <c:strRef>
              <c:f>'Fanchart '!$AA$19</c:f>
              <c:strCache>
                <c:ptCount val="1"/>
                <c:pt idx="0">
                  <c:v>15-20</c:v>
                </c:pt>
              </c:strCache>
            </c:strRef>
          </c:tx>
          <c:spPr>
            <a:solidFill>
              <a:schemeClr val="accent1">
                <a:lumMod val="20000"/>
                <a:lumOff val="80000"/>
              </a:schemeClr>
            </a:solidFill>
            <a:ln w="25400">
              <a:solidFill>
                <a:schemeClr val="accent1">
                  <a:lumMod val="20000"/>
                  <a:lumOff val="80000"/>
                </a:schemeClr>
              </a:solidFill>
            </a:ln>
            <a:effectLst/>
          </c:spPr>
          <c:cat>
            <c:numRef>
              <c:f>'Fanchart '!$AB$14:$AS$14</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'Fanchart '!$AB$19:$AS$19</c:f>
              <c:numCache>
                <c:formatCode>General</c:formatCode>
                <c:ptCount val="18"/>
                <c:pt idx="7" formatCode="_-* #,##0.0_-;\-* #,##0.0_-;_-* &quot;-&quot;??_-;_-@_-">
                  <c:v>0</c:v>
                </c:pt>
                <c:pt idx="8" formatCode="_-* #,##0.0_-;\-* #,##0.0_-;_-* &quot;-&quot;??_-;_-@_-">
                  <c:v>0</c:v>
                </c:pt>
                <c:pt idx="9" formatCode="_-* #,##0.0_-;\-* #,##0.0_-;_-* &quot;-&quot;??_-;_-@_-">
                  <c:v>0</c:v>
                </c:pt>
                <c:pt idx="10" formatCode="_-* #,##0.0_-;\-* #,##0.0_-;_-* &quot;-&quot;??_-;_-@_-">
                  <c:v>0</c:v>
                </c:pt>
                <c:pt idx="11" formatCode="_-* #,##0.0_-;\-* #,##0.0_-;_-* &quot;-&quot;??_-;_-@_-">
                  <c:v>0</c:v>
                </c:pt>
                <c:pt idx="12" formatCode="_-* #,##0.0_-;\-* #,##0.0_-;_-* &quot;-&quot;??_-;_-@_-">
                  <c:v>3.8962431184175195E-2</c:v>
                </c:pt>
                <c:pt idx="13" formatCode="_-* #,##0.0_-;\-* #,##0.0_-;_-* &quot;-&quot;??_-;_-@_-">
                  <c:v>4.7719037769766715E-2</c:v>
                </c:pt>
                <c:pt idx="14" formatCode="_-* #,##0.0_-;\-* #,##0.0_-;_-* &quot;-&quot;??_-;_-@_-">
                  <c:v>5.5101198603689561E-2</c:v>
                </c:pt>
                <c:pt idx="15" formatCode="_-* #,##0.0_-;\-* #,##0.0_-;_-* &quot;-&quot;??_-;_-@_-">
                  <c:v>6.1605012859782704E-2</c:v>
                </c:pt>
                <c:pt idx="16" formatCode="_-* #,##0.0_-;\-* #,##0.0_-;_-* &quot;-&quot;??_-;_-@_-">
                  <c:v>6.7484910397396902E-2</c:v>
                </c:pt>
                <c:pt idx="17" formatCode="_-* #,##0.0_-;\-* #,##0.0_-;_-* &quot;-&quot;??_-;_-@_-">
                  <c:v>7.2892034223469793E-2</c:v>
                </c:pt>
              </c:numCache>
            </c:numRef>
          </c:val>
          <c:extLst>
            <c:ext xmlns:c16="http://schemas.microsoft.com/office/drawing/2014/chart" uri="{C3380CC4-5D6E-409C-BE32-E72D297353CC}">
              <c16:uniqueId val="{00000003-AF15-4422-AA8D-3EF5983A0A3C}"/>
            </c:ext>
          </c:extLst>
        </c:ser>
        <c:ser>
          <c:idx val="4"/>
          <c:order val="4"/>
          <c:tx>
            <c:strRef>
              <c:f>'Fanchart '!$AA$20</c:f>
              <c:strCache>
                <c:ptCount val="1"/>
                <c:pt idx="0">
                  <c:v>20-25</c:v>
                </c:pt>
              </c:strCache>
            </c:strRef>
          </c:tx>
          <c:spPr>
            <a:solidFill>
              <a:schemeClr val="accent1">
                <a:lumMod val="60000"/>
                <a:lumOff val="40000"/>
              </a:schemeClr>
            </a:solidFill>
            <a:ln w="25400">
              <a:solidFill>
                <a:schemeClr val="accent1">
                  <a:lumMod val="60000"/>
                  <a:lumOff val="40000"/>
                </a:schemeClr>
              </a:solidFill>
            </a:ln>
            <a:effectLst/>
          </c:spPr>
          <c:cat>
            <c:numRef>
              <c:f>'Fanchart '!$AB$14:$AS$14</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'Fanchart '!$AB$20:$AS$20</c:f>
              <c:numCache>
                <c:formatCode>General</c:formatCode>
                <c:ptCount val="18"/>
                <c:pt idx="7" formatCode="_-* #,##0.0_-;\-* #,##0.0_-;_-* &quot;-&quot;??_-;_-@_-">
                  <c:v>0</c:v>
                </c:pt>
                <c:pt idx="8" formatCode="_-* #,##0.0_-;\-* #,##0.0_-;_-* &quot;-&quot;??_-;_-@_-">
                  <c:v>0</c:v>
                </c:pt>
                <c:pt idx="9" formatCode="_-* #,##0.0_-;\-* #,##0.0_-;_-* &quot;-&quot;??_-;_-@_-">
                  <c:v>0</c:v>
                </c:pt>
                <c:pt idx="10" formatCode="_-* #,##0.0_-;\-* #,##0.0_-;_-* &quot;-&quot;??_-;_-@_-">
                  <c:v>0</c:v>
                </c:pt>
                <c:pt idx="11" formatCode="_-* #,##0.0_-;\-* #,##0.0_-;_-* &quot;-&quot;??_-;_-@_-">
                  <c:v>0</c:v>
                </c:pt>
                <c:pt idx="12" formatCode="_-* #,##0.0_-;\-* #,##0.0_-;_-* &quot;-&quot;??_-;_-@_-">
                  <c:v>3.3426296675366451E-2</c:v>
                </c:pt>
                <c:pt idx="13" formatCode="_-* #,##0.0_-;\-* #,##0.0_-;_-* &quot;-&quot;??_-;_-@_-">
                  <c:v>4.0938685422768017E-2</c:v>
                </c:pt>
                <c:pt idx="14" formatCode="_-* #,##0.0_-;\-* #,##0.0_-;_-* &quot;-&quot;??_-;_-@_-">
                  <c:v>4.7271922098209629E-2</c:v>
                </c:pt>
                <c:pt idx="15" formatCode="_-* #,##0.0_-;\-* #,##0.0_-;_-* &quot;-&quot;??_-;_-@_-">
                  <c:v>5.2851615619336378E-2</c:v>
                </c:pt>
                <c:pt idx="16" formatCode="_-* #,##0.0_-;\-* #,##0.0_-;_-* &quot;-&quot;??_-;_-@_-">
                  <c:v>5.7896044150605341E-2</c:v>
                </c:pt>
                <c:pt idx="17" formatCode="_-* #,##0.0_-;\-* #,##0.0_-;_-* &quot;-&quot;??_-;_-@_-">
                  <c:v>6.2534874933941609E-2</c:v>
                </c:pt>
              </c:numCache>
            </c:numRef>
          </c:val>
          <c:extLst>
            <c:ext xmlns:c16="http://schemas.microsoft.com/office/drawing/2014/chart" uri="{C3380CC4-5D6E-409C-BE32-E72D297353CC}">
              <c16:uniqueId val="{00000004-AF15-4422-AA8D-3EF5983A0A3C}"/>
            </c:ext>
          </c:extLst>
        </c:ser>
        <c:ser>
          <c:idx val="5"/>
          <c:order val="5"/>
          <c:tx>
            <c:strRef>
              <c:f>'Fanchart '!$AA$21</c:f>
              <c:strCache>
                <c:ptCount val="1"/>
                <c:pt idx="0">
                  <c:v>25-30</c:v>
                </c:pt>
              </c:strCache>
            </c:strRef>
          </c:tx>
          <c:spPr>
            <a:solidFill>
              <a:schemeClr val="accent1">
                <a:lumMod val="60000"/>
                <a:lumOff val="40000"/>
              </a:schemeClr>
            </a:solidFill>
            <a:ln w="25400">
              <a:solidFill>
                <a:schemeClr val="accent1">
                  <a:lumMod val="60000"/>
                  <a:lumOff val="40000"/>
                </a:schemeClr>
              </a:solidFill>
            </a:ln>
            <a:effectLst/>
          </c:spPr>
          <c:cat>
            <c:numRef>
              <c:f>'Fanchart '!$AB$14:$AS$14</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'Fanchart '!$AB$21:$AS$21</c:f>
              <c:numCache>
                <c:formatCode>General</c:formatCode>
                <c:ptCount val="18"/>
                <c:pt idx="7" formatCode="_-* #,##0.0_-;\-* #,##0.0_-;_-* &quot;-&quot;??_-;_-@_-">
                  <c:v>0</c:v>
                </c:pt>
                <c:pt idx="8" formatCode="_-* #,##0.0_-;\-* #,##0.0_-;_-* &quot;-&quot;??_-;_-@_-">
                  <c:v>0</c:v>
                </c:pt>
                <c:pt idx="9" formatCode="_-* #,##0.0_-;\-* #,##0.0_-;_-* &quot;-&quot;??_-;_-@_-">
                  <c:v>0</c:v>
                </c:pt>
                <c:pt idx="10" formatCode="_-* #,##0.0_-;\-* #,##0.0_-;_-* &quot;-&quot;??_-;_-@_-">
                  <c:v>0</c:v>
                </c:pt>
                <c:pt idx="11" formatCode="_-* #,##0.0_-;\-* #,##0.0_-;_-* &quot;-&quot;??_-;_-@_-">
                  <c:v>0</c:v>
                </c:pt>
                <c:pt idx="12" formatCode="_-* #,##0.0_-;\-* #,##0.0_-;_-* &quot;-&quot;??_-;_-@_-">
                  <c:v>3.0017847497608052E-2</c:v>
                </c:pt>
                <c:pt idx="13" formatCode="_-* #,##0.0_-;\-* #,##0.0_-;_-* &quot;-&quot;??_-;_-@_-">
                  <c:v>3.6764204772911313E-2</c:v>
                </c:pt>
                <c:pt idx="14" formatCode="_-* #,##0.0_-;\-* #,##0.0_-;_-* &quot;-&quot;??_-;_-@_-">
                  <c:v>4.2451647044364549E-2</c:v>
                </c:pt>
                <c:pt idx="15" formatCode="_-* #,##0.0_-;\-* #,##0.0_-;_-* &quot;-&quot;??_-;_-@_-">
                  <c:v>4.7462384274013836E-2</c:v>
                </c:pt>
                <c:pt idx="16" formatCode="_-* #,##0.0_-;\-* #,##0.0_-;_-* &quot;-&quot;??_-;_-@_-">
                  <c:v>5.1992436999711344E-2</c:v>
                </c:pt>
                <c:pt idx="17" formatCode="_-* #,##0.0_-;\-* #,##0.0_-;_-* &quot;-&quot;??_-;_-@_-">
                  <c:v>5.6158250412239319E-2</c:v>
                </c:pt>
              </c:numCache>
            </c:numRef>
          </c:val>
          <c:extLst>
            <c:ext xmlns:c16="http://schemas.microsoft.com/office/drawing/2014/chart" uri="{C3380CC4-5D6E-409C-BE32-E72D297353CC}">
              <c16:uniqueId val="{00000005-AF15-4422-AA8D-3EF5983A0A3C}"/>
            </c:ext>
          </c:extLst>
        </c:ser>
        <c:ser>
          <c:idx val="6"/>
          <c:order val="6"/>
          <c:tx>
            <c:strRef>
              <c:f>'Fanchart '!$AA$22</c:f>
              <c:strCache>
                <c:ptCount val="1"/>
                <c:pt idx="0">
                  <c:v>30-35</c:v>
                </c:pt>
              </c:strCache>
            </c:strRef>
          </c:tx>
          <c:spPr>
            <a:solidFill>
              <a:schemeClr val="accent1">
                <a:lumMod val="75000"/>
              </a:schemeClr>
            </a:solidFill>
            <a:ln w="25400">
              <a:solidFill>
                <a:schemeClr val="accent1">
                  <a:lumMod val="75000"/>
                </a:schemeClr>
              </a:solidFill>
            </a:ln>
            <a:effectLst/>
          </c:spPr>
          <c:cat>
            <c:numRef>
              <c:f>'Fanchart '!$AB$14:$AS$14</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'Fanchart '!$AB$22:$AS$22</c:f>
              <c:numCache>
                <c:formatCode>General</c:formatCode>
                <c:ptCount val="18"/>
                <c:pt idx="7" formatCode="_-* #,##0.0_-;\-* #,##0.0_-;_-* &quot;-&quot;??_-;_-@_-">
                  <c:v>0</c:v>
                </c:pt>
                <c:pt idx="8" formatCode="_-* #,##0.0_-;\-* #,##0.0_-;_-* &quot;-&quot;??_-;_-@_-">
                  <c:v>0</c:v>
                </c:pt>
                <c:pt idx="9" formatCode="_-* #,##0.0_-;\-* #,##0.0_-;_-* &quot;-&quot;??_-;_-@_-">
                  <c:v>0</c:v>
                </c:pt>
                <c:pt idx="10" formatCode="_-* #,##0.0_-;\-* #,##0.0_-;_-* &quot;-&quot;??_-;_-@_-">
                  <c:v>0</c:v>
                </c:pt>
                <c:pt idx="11" formatCode="_-* #,##0.0_-;\-* #,##0.0_-;_-* &quot;-&quot;??_-;_-@_-">
                  <c:v>0</c:v>
                </c:pt>
                <c:pt idx="12" formatCode="_-* #,##0.0_-;\-* #,##0.0_-;_-* &quot;-&quot;??_-;_-@_-">
                  <c:v>2.781600926009542E-2</c:v>
                </c:pt>
                <c:pt idx="13" formatCode="_-* #,##0.0_-;\-* #,##0.0_-;_-* &quot;-&quot;??_-;_-@_-">
                  <c:v>3.4067514683881583E-2</c:v>
                </c:pt>
                <c:pt idx="14" formatCode="_-* #,##0.0_-;\-* #,##0.0_-;_-* &quot;-&quot;??_-;_-@_-">
                  <c:v>3.9337777546721853E-2</c:v>
                </c:pt>
                <c:pt idx="15" formatCode="_-* #,##0.0_-;\-* #,##0.0_-;_-* &quot;-&quot;??_-;_-@_-">
                  <c:v>4.398097233911713E-2</c:v>
                </c:pt>
                <c:pt idx="16" formatCode="_-* #,##0.0_-;\-* #,##0.0_-;_-* &quot;-&quot;??_-;_-@_-">
                  <c:v>4.8178741302290717E-2</c:v>
                </c:pt>
                <c:pt idx="17" formatCode="_-* #,##0.0_-;\-* #,##0.0_-;_-* &quot;-&quot;??_-;_-@_-">
                  <c:v>5.2038988259302421E-2</c:v>
                </c:pt>
              </c:numCache>
            </c:numRef>
          </c:val>
          <c:extLst>
            <c:ext xmlns:c16="http://schemas.microsoft.com/office/drawing/2014/chart" uri="{C3380CC4-5D6E-409C-BE32-E72D297353CC}">
              <c16:uniqueId val="{00000006-AF15-4422-AA8D-3EF5983A0A3C}"/>
            </c:ext>
          </c:extLst>
        </c:ser>
        <c:ser>
          <c:idx val="7"/>
          <c:order val="7"/>
          <c:tx>
            <c:strRef>
              <c:f>'Fanchart '!$AA$23</c:f>
              <c:strCache>
                <c:ptCount val="1"/>
                <c:pt idx="0">
                  <c:v>35-40</c:v>
                </c:pt>
              </c:strCache>
            </c:strRef>
          </c:tx>
          <c:spPr>
            <a:solidFill>
              <a:schemeClr val="accent1">
                <a:lumMod val="75000"/>
              </a:schemeClr>
            </a:solidFill>
            <a:ln w="25400">
              <a:solidFill>
                <a:schemeClr val="accent1">
                  <a:lumMod val="75000"/>
                </a:schemeClr>
              </a:solidFill>
            </a:ln>
            <a:effectLst/>
          </c:spPr>
          <c:cat>
            <c:numRef>
              <c:f>'Fanchart '!$AB$14:$AS$14</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'Fanchart '!$AB$23:$AS$23</c:f>
              <c:numCache>
                <c:formatCode>General</c:formatCode>
                <c:ptCount val="18"/>
                <c:pt idx="7" formatCode="_-* #,##0.0_-;\-* #,##0.0_-;_-* &quot;-&quot;??_-;_-@_-">
                  <c:v>0</c:v>
                </c:pt>
                <c:pt idx="8" formatCode="_-* #,##0.0_-;\-* #,##0.0_-;_-* &quot;-&quot;??_-;_-@_-">
                  <c:v>0</c:v>
                </c:pt>
                <c:pt idx="9" formatCode="_-* #,##0.0_-;\-* #,##0.0_-;_-* &quot;-&quot;??_-;_-@_-">
                  <c:v>0</c:v>
                </c:pt>
                <c:pt idx="10" formatCode="_-* #,##0.0_-;\-* #,##0.0_-;_-* &quot;-&quot;??_-;_-@_-">
                  <c:v>0</c:v>
                </c:pt>
                <c:pt idx="11" formatCode="_-* #,##0.0_-;\-* #,##0.0_-;_-* &quot;-&quot;??_-;_-@_-">
                  <c:v>0</c:v>
                </c:pt>
                <c:pt idx="12" formatCode="_-* #,##0.0_-;\-* #,##0.0_-;_-* &quot;-&quot;??_-;_-@_-">
                  <c:v>2.6394672654353357E-2</c:v>
                </c:pt>
                <c:pt idx="13" formatCode="_-* #,##0.0_-;\-* #,##0.0_-;_-* &quot;-&quot;??_-;_-@_-">
                  <c:v>3.2326739965479412E-2</c:v>
                </c:pt>
                <c:pt idx="14" formatCode="_-* #,##0.0_-;\-* #,##0.0_-;_-* &quot;-&quot;??_-;_-@_-">
                  <c:v>3.7327704042184884E-2</c:v>
                </c:pt>
                <c:pt idx="15" formatCode="_-* #,##0.0_-;\-* #,##0.0_-;_-* &quot;-&quot;??_-;_-@_-">
                  <c:v>4.1733641841159574E-2</c:v>
                </c:pt>
                <c:pt idx="16" formatCode="_-* #,##0.0_-;\-* #,##0.0_-;_-* &quot;-&quot;??_-;_-@_-">
                  <c:v>4.5716914086488813E-2</c:v>
                </c:pt>
                <c:pt idx="17" formatCode="_-* #,##0.0_-;\-* #,##0.0_-;_-* &quot;-&quot;??_-;_-@_-">
                  <c:v>4.9379910954321815E-2</c:v>
                </c:pt>
              </c:numCache>
            </c:numRef>
          </c:val>
          <c:extLst>
            <c:ext xmlns:c16="http://schemas.microsoft.com/office/drawing/2014/chart" uri="{C3380CC4-5D6E-409C-BE32-E72D297353CC}">
              <c16:uniqueId val="{00000007-AF15-4422-AA8D-3EF5983A0A3C}"/>
            </c:ext>
          </c:extLst>
        </c:ser>
        <c:ser>
          <c:idx val="8"/>
          <c:order val="8"/>
          <c:tx>
            <c:strRef>
              <c:f>'Fanchart '!$AA$24</c:f>
              <c:strCache>
                <c:ptCount val="1"/>
                <c:pt idx="0">
                  <c:v>40-45</c:v>
                </c:pt>
              </c:strCache>
            </c:strRef>
          </c:tx>
          <c:spPr>
            <a:solidFill>
              <a:srgbClr val="002060"/>
            </a:solidFill>
            <a:ln w="25400">
              <a:solidFill>
                <a:srgbClr val="002060"/>
              </a:solidFill>
            </a:ln>
            <a:effectLst/>
          </c:spPr>
          <c:cat>
            <c:numRef>
              <c:f>'Fanchart '!$AB$14:$AS$14</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'Fanchart '!$AB$24:$AS$24</c:f>
              <c:numCache>
                <c:formatCode>General</c:formatCode>
                <c:ptCount val="18"/>
                <c:pt idx="7" formatCode="_-* #,##0.0_-;\-* #,##0.0_-;_-* &quot;-&quot;??_-;_-@_-">
                  <c:v>0</c:v>
                </c:pt>
                <c:pt idx="8" formatCode="_-* #,##0.0_-;\-* #,##0.0_-;_-* &quot;-&quot;??_-;_-@_-">
                  <c:v>0</c:v>
                </c:pt>
                <c:pt idx="9" formatCode="_-* #,##0.0_-;\-* #,##0.0_-;_-* &quot;-&quot;??_-;_-@_-">
                  <c:v>0</c:v>
                </c:pt>
                <c:pt idx="10" formatCode="_-* #,##0.0_-;\-* #,##0.0_-;_-* &quot;-&quot;??_-;_-@_-">
                  <c:v>0</c:v>
                </c:pt>
                <c:pt idx="11" formatCode="_-* #,##0.0_-;\-* #,##0.0_-;_-* &quot;-&quot;??_-;_-@_-">
                  <c:v>0</c:v>
                </c:pt>
                <c:pt idx="12" formatCode="_-* #,##0.0_-;\-* #,##0.0_-;_-* &quot;-&quot;??_-;_-@_-">
                  <c:v>2.5537151256145307E-2</c:v>
                </c:pt>
                <c:pt idx="13" formatCode="_-* #,##0.0_-;\-* #,##0.0_-;_-* &quot;-&quot;??_-;_-@_-">
                  <c:v>3.1276495030915008E-2</c:v>
                </c:pt>
                <c:pt idx="14" formatCode="_-* #,##0.0_-;\-* #,##0.0_-;_-* &quot;-&quot;??_-;_-@_-">
                  <c:v>3.6114985650813836E-2</c:v>
                </c:pt>
                <c:pt idx="15" formatCode="_-* #,##0.0_-;\-* #,##0.0_-;_-* &quot;-&quot;??_-;_-@_-">
                  <c:v>4.037778146082438E-2</c:v>
                </c:pt>
                <c:pt idx="16" formatCode="_-* #,##0.0_-;\-* #,##0.0_-;_-* &quot;-&quot;??_-;_-@_-">
                  <c:v>4.423164345621533E-2</c:v>
                </c:pt>
                <c:pt idx="17" formatCode="_-* #,##0.0_-;\-* #,##0.0_-;_-* &quot;-&quot;??_-;_-@_-">
                  <c:v>4.7775635317359288E-2</c:v>
                </c:pt>
              </c:numCache>
            </c:numRef>
          </c:val>
          <c:extLst>
            <c:ext xmlns:c16="http://schemas.microsoft.com/office/drawing/2014/chart" uri="{C3380CC4-5D6E-409C-BE32-E72D297353CC}">
              <c16:uniqueId val="{00000008-AF15-4422-AA8D-3EF5983A0A3C}"/>
            </c:ext>
          </c:extLst>
        </c:ser>
        <c:ser>
          <c:idx val="9"/>
          <c:order val="9"/>
          <c:tx>
            <c:strRef>
              <c:f>'Fanchart '!$AA$25</c:f>
              <c:strCache>
                <c:ptCount val="1"/>
                <c:pt idx="0">
                  <c:v>45-50</c:v>
                </c:pt>
              </c:strCache>
            </c:strRef>
          </c:tx>
          <c:spPr>
            <a:solidFill>
              <a:srgbClr val="002060"/>
            </a:solidFill>
            <a:ln w="25400">
              <a:solidFill>
                <a:srgbClr val="002060"/>
              </a:solidFill>
            </a:ln>
            <a:effectLst/>
          </c:spPr>
          <c:cat>
            <c:numRef>
              <c:f>'Fanchart '!$AB$14:$AS$14</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'Fanchart '!$AB$25:$AS$25</c:f>
              <c:numCache>
                <c:formatCode>General</c:formatCode>
                <c:ptCount val="18"/>
                <c:pt idx="7" formatCode="_-* #,##0.0_-;\-* #,##0.0_-;_-* &quot;-&quot;??_-;_-@_-">
                  <c:v>0</c:v>
                </c:pt>
                <c:pt idx="8" formatCode="_-* #,##0.0_-;\-* #,##0.0_-;_-* &quot;-&quot;??_-;_-@_-">
                  <c:v>0</c:v>
                </c:pt>
                <c:pt idx="9" formatCode="_-* #,##0.0_-;\-* #,##0.0_-;_-* &quot;-&quot;??_-;_-@_-">
                  <c:v>0</c:v>
                </c:pt>
                <c:pt idx="10" formatCode="_-* #,##0.0_-;\-* #,##0.0_-;_-* &quot;-&quot;??_-;_-@_-">
                  <c:v>0</c:v>
                </c:pt>
                <c:pt idx="11" formatCode="_-* #,##0.0_-;\-* #,##0.0_-;_-* &quot;-&quot;??_-;_-@_-">
                  <c:v>0</c:v>
                </c:pt>
                <c:pt idx="12" formatCode="_-* #,##0.0_-;\-* #,##0.0_-;_-* &quot;-&quot;??_-;_-@_-">
                  <c:v>2.5132269371014537E-2</c:v>
                </c:pt>
                <c:pt idx="13" formatCode="_-* #,##0.0_-;\-* #,##0.0_-;_-* &quot;-&quot;??_-;_-@_-">
                  <c:v>3.0780618018582118E-2</c:v>
                </c:pt>
                <c:pt idx="14" formatCode="_-* #,##0.0_-;\-* #,##0.0_-;_-* &quot;-&quot;??_-;_-@_-">
                  <c:v>3.5542396197702608E-2</c:v>
                </c:pt>
                <c:pt idx="15" formatCode="_-* #,##0.0_-;\-* #,##0.0_-;_-* &quot;-&quot;??_-;_-@_-">
                  <c:v>3.9737606990646768E-2</c:v>
                </c:pt>
                <c:pt idx="16" formatCode="_-* #,##0.0_-;\-* #,##0.0_-;_-* &quot;-&quot;??_-;_-@_-">
                  <c:v>4.3530367460104635E-2</c:v>
                </c:pt>
                <c:pt idx="17" formatCode="_-* #,##0.0_-;\-* #,##0.0_-;_-* &quot;-&quot;??_-;_-@_-">
                  <c:v>4.7018170669224979E-2</c:v>
                </c:pt>
              </c:numCache>
            </c:numRef>
          </c:val>
          <c:extLst>
            <c:ext xmlns:c16="http://schemas.microsoft.com/office/drawing/2014/chart" uri="{C3380CC4-5D6E-409C-BE32-E72D297353CC}">
              <c16:uniqueId val="{00000009-AF15-4422-AA8D-3EF5983A0A3C}"/>
            </c:ext>
          </c:extLst>
        </c:ser>
        <c:ser>
          <c:idx val="10"/>
          <c:order val="10"/>
          <c:tx>
            <c:strRef>
              <c:f>'Fanchart '!$AA$26</c:f>
              <c:strCache>
                <c:ptCount val="1"/>
                <c:pt idx="0">
                  <c:v>50-55</c:v>
                </c:pt>
              </c:strCache>
            </c:strRef>
          </c:tx>
          <c:spPr>
            <a:solidFill>
              <a:srgbClr val="002060"/>
            </a:solidFill>
            <a:ln>
              <a:solidFill>
                <a:srgbClr val="002060"/>
              </a:solidFill>
            </a:ln>
            <a:effectLst/>
          </c:spPr>
          <c:cat>
            <c:numRef>
              <c:f>'Fanchart '!$AB$14:$AS$14</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'Fanchart '!$AB$26:$AS$26</c:f>
              <c:numCache>
                <c:formatCode>General</c:formatCode>
                <c:ptCount val="18"/>
                <c:pt idx="7" formatCode="_-* #,##0.0_-;\-* #,##0.0_-;_-* &quot;-&quot;??_-;_-@_-">
                  <c:v>0</c:v>
                </c:pt>
                <c:pt idx="8" formatCode="_-* #,##0.0_-;\-* #,##0.0_-;_-* &quot;-&quot;??_-;_-@_-">
                  <c:v>0</c:v>
                </c:pt>
                <c:pt idx="9" formatCode="_-* #,##0.0_-;\-* #,##0.0_-;_-* &quot;-&quot;??_-;_-@_-">
                  <c:v>0</c:v>
                </c:pt>
                <c:pt idx="10" formatCode="_-* #,##0.0_-;\-* #,##0.0_-;_-* &quot;-&quot;??_-;_-@_-">
                  <c:v>0</c:v>
                </c:pt>
                <c:pt idx="11" formatCode="_-* #,##0.0_-;\-* #,##0.0_-;_-* &quot;-&quot;??_-;_-@_-">
                  <c:v>0</c:v>
                </c:pt>
                <c:pt idx="12" formatCode="_-* #,##0.0_-;\-* #,##0.0_-;_-* &quot;-&quot;??_-;_-@_-">
                  <c:v>2.5132269371014537E-2</c:v>
                </c:pt>
                <c:pt idx="13" formatCode="_-* #,##0.0_-;\-* #,##0.0_-;_-* &quot;-&quot;??_-;_-@_-">
                  <c:v>3.0780618018582118E-2</c:v>
                </c:pt>
                <c:pt idx="14" formatCode="_-* #,##0.0_-;\-* #,##0.0_-;_-* &quot;-&quot;??_-;_-@_-">
                  <c:v>3.5542396197702608E-2</c:v>
                </c:pt>
                <c:pt idx="15" formatCode="_-* #,##0.0_-;\-* #,##0.0_-;_-* &quot;-&quot;??_-;_-@_-">
                  <c:v>3.9737606990646768E-2</c:v>
                </c:pt>
                <c:pt idx="16" formatCode="_-* #,##0.0_-;\-* #,##0.0_-;_-* &quot;-&quot;??_-;_-@_-">
                  <c:v>4.3530367460104635E-2</c:v>
                </c:pt>
                <c:pt idx="17" formatCode="_-* #,##0.0_-;\-* #,##0.0_-;_-* &quot;-&quot;??_-;_-@_-">
                  <c:v>4.7018170669224979E-2</c:v>
                </c:pt>
              </c:numCache>
            </c:numRef>
          </c:val>
          <c:extLst>
            <c:ext xmlns:c16="http://schemas.microsoft.com/office/drawing/2014/chart" uri="{C3380CC4-5D6E-409C-BE32-E72D297353CC}">
              <c16:uniqueId val="{0000000A-AF15-4422-AA8D-3EF5983A0A3C}"/>
            </c:ext>
          </c:extLst>
        </c:ser>
        <c:ser>
          <c:idx val="11"/>
          <c:order val="11"/>
          <c:tx>
            <c:strRef>
              <c:f>'Fanchart '!$AA$27</c:f>
              <c:strCache>
                <c:ptCount val="1"/>
                <c:pt idx="0">
                  <c:v>55-60</c:v>
                </c:pt>
              </c:strCache>
            </c:strRef>
          </c:tx>
          <c:spPr>
            <a:solidFill>
              <a:srgbClr val="002060"/>
            </a:solidFill>
            <a:ln>
              <a:solidFill>
                <a:srgbClr val="002060"/>
              </a:solidFill>
            </a:ln>
            <a:effectLst/>
          </c:spPr>
          <c:cat>
            <c:numRef>
              <c:f>'Fanchart '!$AB$14:$AS$14</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'Fanchart '!$AB$27:$AS$27</c:f>
              <c:numCache>
                <c:formatCode>General</c:formatCode>
                <c:ptCount val="18"/>
                <c:pt idx="7" formatCode="_-* #,##0.0_-;\-* #,##0.0_-;_-* &quot;-&quot;??_-;_-@_-">
                  <c:v>0</c:v>
                </c:pt>
                <c:pt idx="8" formatCode="_-* #,##0.0_-;\-* #,##0.0_-;_-* &quot;-&quot;??_-;_-@_-">
                  <c:v>0</c:v>
                </c:pt>
                <c:pt idx="9" formatCode="_-* #,##0.0_-;\-* #,##0.0_-;_-* &quot;-&quot;??_-;_-@_-">
                  <c:v>0</c:v>
                </c:pt>
                <c:pt idx="10" formatCode="_-* #,##0.0_-;\-* #,##0.0_-;_-* &quot;-&quot;??_-;_-@_-">
                  <c:v>0</c:v>
                </c:pt>
                <c:pt idx="11" formatCode="_-* #,##0.0_-;\-* #,##0.0_-;_-* &quot;-&quot;??_-;_-@_-">
                  <c:v>0</c:v>
                </c:pt>
                <c:pt idx="12" formatCode="_-* #,##0.0_-;\-* #,##0.0_-;_-* &quot;-&quot;??_-;_-@_-">
                  <c:v>2.5537151256145307E-2</c:v>
                </c:pt>
                <c:pt idx="13" formatCode="_-* #,##0.0_-;\-* #,##0.0_-;_-* &quot;-&quot;??_-;_-@_-">
                  <c:v>3.1276495030915008E-2</c:v>
                </c:pt>
                <c:pt idx="14" formatCode="_-* #,##0.0_-;\-* #,##0.0_-;_-* &quot;-&quot;??_-;_-@_-">
                  <c:v>3.6114985650813836E-2</c:v>
                </c:pt>
                <c:pt idx="15" formatCode="_-* #,##0.0_-;\-* #,##0.0_-;_-* &quot;-&quot;??_-;_-@_-">
                  <c:v>4.037778146082438E-2</c:v>
                </c:pt>
                <c:pt idx="16" formatCode="_-* #,##0.0_-;\-* #,##0.0_-;_-* &quot;-&quot;??_-;_-@_-">
                  <c:v>4.423164345621533E-2</c:v>
                </c:pt>
                <c:pt idx="17" formatCode="_-* #,##0.0_-;\-* #,##0.0_-;_-* &quot;-&quot;??_-;_-@_-">
                  <c:v>4.7775635317359288E-2</c:v>
                </c:pt>
              </c:numCache>
            </c:numRef>
          </c:val>
          <c:extLst>
            <c:ext xmlns:c16="http://schemas.microsoft.com/office/drawing/2014/chart" uri="{C3380CC4-5D6E-409C-BE32-E72D297353CC}">
              <c16:uniqueId val="{0000000B-AF15-4422-AA8D-3EF5983A0A3C}"/>
            </c:ext>
          </c:extLst>
        </c:ser>
        <c:ser>
          <c:idx val="12"/>
          <c:order val="12"/>
          <c:tx>
            <c:strRef>
              <c:f>'Fanchart '!$AA$28</c:f>
              <c:strCache>
                <c:ptCount val="1"/>
                <c:pt idx="0">
                  <c:v>60-65</c:v>
                </c:pt>
              </c:strCache>
            </c:strRef>
          </c:tx>
          <c:spPr>
            <a:solidFill>
              <a:schemeClr val="accent1">
                <a:lumMod val="75000"/>
              </a:schemeClr>
            </a:solidFill>
            <a:ln>
              <a:solidFill>
                <a:schemeClr val="accent1">
                  <a:lumMod val="75000"/>
                </a:schemeClr>
              </a:solidFill>
            </a:ln>
            <a:effectLst/>
          </c:spPr>
          <c:cat>
            <c:numRef>
              <c:f>'Fanchart '!$AB$14:$AS$14</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'Fanchart '!$AB$28:$AS$28</c:f>
              <c:numCache>
                <c:formatCode>General</c:formatCode>
                <c:ptCount val="18"/>
                <c:pt idx="7" formatCode="_-* #,##0.0_-;\-* #,##0.0_-;_-* &quot;-&quot;??_-;_-@_-">
                  <c:v>0</c:v>
                </c:pt>
                <c:pt idx="8" formatCode="_-* #,##0.0_-;\-* #,##0.0_-;_-* &quot;-&quot;??_-;_-@_-">
                  <c:v>0</c:v>
                </c:pt>
                <c:pt idx="9" formatCode="_-* #,##0.0_-;\-* #,##0.0_-;_-* &quot;-&quot;??_-;_-@_-">
                  <c:v>0</c:v>
                </c:pt>
                <c:pt idx="10" formatCode="_-* #,##0.0_-;\-* #,##0.0_-;_-* &quot;-&quot;??_-;_-@_-">
                  <c:v>0</c:v>
                </c:pt>
                <c:pt idx="11" formatCode="_-* #,##0.0_-;\-* #,##0.0_-;_-* &quot;-&quot;??_-;_-@_-">
                  <c:v>0</c:v>
                </c:pt>
                <c:pt idx="12" formatCode="_-* #,##0.0_-;\-* #,##0.0_-;_-* &quot;-&quot;??_-;_-@_-">
                  <c:v>2.6394672654353357E-2</c:v>
                </c:pt>
                <c:pt idx="13" formatCode="_-* #,##0.0_-;\-* #,##0.0_-;_-* &quot;-&quot;??_-;_-@_-">
                  <c:v>3.2326739965479412E-2</c:v>
                </c:pt>
                <c:pt idx="14" formatCode="_-* #,##0.0_-;\-* #,##0.0_-;_-* &quot;-&quot;??_-;_-@_-">
                  <c:v>3.7327704042185772E-2</c:v>
                </c:pt>
                <c:pt idx="15" formatCode="_-* #,##0.0_-;\-* #,##0.0_-;_-* &quot;-&quot;??_-;_-@_-">
                  <c:v>4.1733641841160463E-2</c:v>
                </c:pt>
                <c:pt idx="16" formatCode="_-* #,##0.0_-;\-* #,##0.0_-;_-* &quot;-&quot;??_-;_-@_-">
                  <c:v>4.5716914086488813E-2</c:v>
                </c:pt>
                <c:pt idx="17" formatCode="_-* #,##0.0_-;\-* #,##0.0_-;_-* &quot;-&quot;??_-;_-@_-">
                  <c:v>4.9379910954320927E-2</c:v>
                </c:pt>
              </c:numCache>
            </c:numRef>
          </c:val>
          <c:extLst>
            <c:ext xmlns:c16="http://schemas.microsoft.com/office/drawing/2014/chart" uri="{C3380CC4-5D6E-409C-BE32-E72D297353CC}">
              <c16:uniqueId val="{0000000C-AF15-4422-AA8D-3EF5983A0A3C}"/>
            </c:ext>
          </c:extLst>
        </c:ser>
        <c:ser>
          <c:idx val="13"/>
          <c:order val="13"/>
          <c:tx>
            <c:strRef>
              <c:f>'Fanchart '!$AA$29</c:f>
              <c:strCache>
                <c:ptCount val="1"/>
                <c:pt idx="0">
                  <c:v>65-70</c:v>
                </c:pt>
              </c:strCache>
            </c:strRef>
          </c:tx>
          <c:spPr>
            <a:solidFill>
              <a:schemeClr val="accent1">
                <a:lumMod val="75000"/>
              </a:schemeClr>
            </a:solidFill>
            <a:ln>
              <a:solidFill>
                <a:schemeClr val="accent1">
                  <a:lumMod val="75000"/>
                </a:schemeClr>
              </a:solidFill>
            </a:ln>
            <a:effectLst/>
          </c:spPr>
          <c:cat>
            <c:numRef>
              <c:f>'Fanchart '!$AB$14:$AS$14</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'Fanchart '!$AB$29:$AS$29</c:f>
              <c:numCache>
                <c:formatCode>General</c:formatCode>
                <c:ptCount val="18"/>
                <c:pt idx="7" formatCode="_-* #,##0.0_-;\-* #,##0.0_-;_-* &quot;-&quot;??_-;_-@_-">
                  <c:v>0</c:v>
                </c:pt>
                <c:pt idx="8" formatCode="_-* #,##0.0_-;\-* #,##0.0_-;_-* &quot;-&quot;??_-;_-@_-">
                  <c:v>0</c:v>
                </c:pt>
                <c:pt idx="9" formatCode="_-* #,##0.0_-;\-* #,##0.0_-;_-* &quot;-&quot;??_-;_-@_-">
                  <c:v>0</c:v>
                </c:pt>
                <c:pt idx="10" formatCode="_-* #,##0.0_-;\-* #,##0.0_-;_-* &quot;-&quot;??_-;_-@_-">
                  <c:v>0</c:v>
                </c:pt>
                <c:pt idx="11" formatCode="_-* #,##0.0_-;\-* #,##0.0_-;_-* &quot;-&quot;??_-;_-@_-">
                  <c:v>0</c:v>
                </c:pt>
                <c:pt idx="12" formatCode="_-* #,##0.0_-;\-* #,##0.0_-;_-* &quot;-&quot;??_-;_-@_-">
                  <c:v>2.7816009260094532E-2</c:v>
                </c:pt>
                <c:pt idx="13" formatCode="_-* #,##0.0_-;\-* #,##0.0_-;_-* &quot;-&quot;??_-;_-@_-">
                  <c:v>3.4067514683881583E-2</c:v>
                </c:pt>
                <c:pt idx="14" formatCode="_-* #,##0.0_-;\-* #,##0.0_-;_-* &quot;-&quot;??_-;_-@_-">
                  <c:v>3.9337777546720964E-2</c:v>
                </c:pt>
                <c:pt idx="15" formatCode="_-* #,##0.0_-;\-* #,##0.0_-;_-* &quot;-&quot;??_-;_-@_-">
                  <c:v>4.3980972339116242E-2</c:v>
                </c:pt>
                <c:pt idx="16" formatCode="_-* #,##0.0_-;\-* #,##0.0_-;_-* &quot;-&quot;??_-;_-@_-">
                  <c:v>4.8178741302289829E-2</c:v>
                </c:pt>
                <c:pt idx="17" formatCode="_-* #,##0.0_-;\-* #,##0.0_-;_-* &quot;-&quot;??_-;_-@_-">
                  <c:v>5.2038988259302421E-2</c:v>
                </c:pt>
              </c:numCache>
            </c:numRef>
          </c:val>
          <c:extLst>
            <c:ext xmlns:c16="http://schemas.microsoft.com/office/drawing/2014/chart" uri="{C3380CC4-5D6E-409C-BE32-E72D297353CC}">
              <c16:uniqueId val="{0000000D-AF15-4422-AA8D-3EF5983A0A3C}"/>
            </c:ext>
          </c:extLst>
        </c:ser>
        <c:ser>
          <c:idx val="14"/>
          <c:order val="14"/>
          <c:tx>
            <c:strRef>
              <c:f>'Fanchart '!$AA$30</c:f>
              <c:strCache>
                <c:ptCount val="1"/>
                <c:pt idx="0">
                  <c:v>70-75</c:v>
                </c:pt>
              </c:strCache>
            </c:strRef>
          </c:tx>
          <c:spPr>
            <a:solidFill>
              <a:schemeClr val="accent1">
                <a:lumMod val="60000"/>
                <a:lumOff val="40000"/>
              </a:schemeClr>
            </a:solidFill>
            <a:ln>
              <a:solidFill>
                <a:schemeClr val="accent1">
                  <a:lumMod val="60000"/>
                  <a:lumOff val="40000"/>
                </a:schemeClr>
              </a:solidFill>
            </a:ln>
            <a:effectLst/>
          </c:spPr>
          <c:cat>
            <c:numRef>
              <c:f>'Fanchart '!$AB$14:$AS$14</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'Fanchart '!$AB$30:$AS$30</c:f>
              <c:numCache>
                <c:formatCode>General</c:formatCode>
                <c:ptCount val="18"/>
                <c:pt idx="7" formatCode="_-* #,##0.0_-;\-* #,##0.0_-;_-* &quot;-&quot;??_-;_-@_-">
                  <c:v>0</c:v>
                </c:pt>
                <c:pt idx="8" formatCode="_-* #,##0.0_-;\-* #,##0.0_-;_-* &quot;-&quot;??_-;_-@_-">
                  <c:v>0</c:v>
                </c:pt>
                <c:pt idx="9" formatCode="_-* #,##0.0_-;\-* #,##0.0_-;_-* &quot;-&quot;??_-;_-@_-">
                  <c:v>0</c:v>
                </c:pt>
                <c:pt idx="10" formatCode="_-* #,##0.0_-;\-* #,##0.0_-;_-* &quot;-&quot;??_-;_-@_-">
                  <c:v>0</c:v>
                </c:pt>
                <c:pt idx="11" formatCode="_-* #,##0.0_-;\-* #,##0.0_-;_-* &quot;-&quot;??_-;_-@_-">
                  <c:v>0</c:v>
                </c:pt>
                <c:pt idx="12" formatCode="_-* #,##0.0_-;\-* #,##0.0_-;_-* &quot;-&quot;??_-;_-@_-">
                  <c:v>3.001784749760894E-2</c:v>
                </c:pt>
                <c:pt idx="13" formatCode="_-* #,##0.0_-;\-* #,##0.0_-;_-* &quot;-&quot;??_-;_-@_-">
                  <c:v>3.6764204772911313E-2</c:v>
                </c:pt>
                <c:pt idx="14" formatCode="_-* #,##0.0_-;\-* #,##0.0_-;_-* &quot;-&quot;??_-;_-@_-">
                  <c:v>4.2451647044364549E-2</c:v>
                </c:pt>
                <c:pt idx="15" formatCode="_-* #,##0.0_-;\-* #,##0.0_-;_-* &quot;-&quot;??_-;_-@_-">
                  <c:v>4.7462384274014724E-2</c:v>
                </c:pt>
                <c:pt idx="16" formatCode="_-* #,##0.0_-;\-* #,##0.0_-;_-* &quot;-&quot;??_-;_-@_-">
                  <c:v>5.1992436999713121E-2</c:v>
                </c:pt>
                <c:pt idx="17" formatCode="_-* #,##0.0_-;\-* #,##0.0_-;_-* &quot;-&quot;??_-;_-@_-">
                  <c:v>5.6158250412240207E-2</c:v>
                </c:pt>
              </c:numCache>
            </c:numRef>
          </c:val>
          <c:extLst>
            <c:ext xmlns:c16="http://schemas.microsoft.com/office/drawing/2014/chart" uri="{C3380CC4-5D6E-409C-BE32-E72D297353CC}">
              <c16:uniqueId val="{0000000E-AF15-4422-AA8D-3EF5983A0A3C}"/>
            </c:ext>
          </c:extLst>
        </c:ser>
        <c:ser>
          <c:idx val="15"/>
          <c:order val="15"/>
          <c:tx>
            <c:strRef>
              <c:f>'Fanchart '!$AA$31</c:f>
              <c:strCache>
                <c:ptCount val="1"/>
                <c:pt idx="0">
                  <c:v>75-80</c:v>
                </c:pt>
              </c:strCache>
            </c:strRef>
          </c:tx>
          <c:spPr>
            <a:solidFill>
              <a:schemeClr val="accent1">
                <a:lumMod val="60000"/>
                <a:lumOff val="40000"/>
              </a:schemeClr>
            </a:solidFill>
            <a:ln>
              <a:solidFill>
                <a:schemeClr val="accent1">
                  <a:lumMod val="60000"/>
                  <a:lumOff val="40000"/>
                </a:schemeClr>
              </a:solidFill>
            </a:ln>
            <a:effectLst/>
          </c:spPr>
          <c:cat>
            <c:numRef>
              <c:f>'Fanchart '!$AB$14:$AS$14</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'Fanchart '!$AB$31:$AS$31</c:f>
              <c:numCache>
                <c:formatCode>General</c:formatCode>
                <c:ptCount val="18"/>
                <c:pt idx="7" formatCode="_-* #,##0.0_-;\-* #,##0.0_-;_-* &quot;-&quot;??_-;_-@_-">
                  <c:v>0</c:v>
                </c:pt>
                <c:pt idx="8" formatCode="_-* #,##0.0_-;\-* #,##0.0_-;_-* &quot;-&quot;??_-;_-@_-">
                  <c:v>0</c:v>
                </c:pt>
                <c:pt idx="9" formatCode="_-* #,##0.0_-;\-* #,##0.0_-;_-* &quot;-&quot;??_-;_-@_-">
                  <c:v>0</c:v>
                </c:pt>
                <c:pt idx="10" formatCode="_-* #,##0.0_-;\-* #,##0.0_-;_-* &quot;-&quot;??_-;_-@_-">
                  <c:v>0</c:v>
                </c:pt>
                <c:pt idx="11" formatCode="_-* #,##0.0_-;\-* #,##0.0_-;_-* &quot;-&quot;??_-;_-@_-">
                  <c:v>0</c:v>
                </c:pt>
                <c:pt idx="12" formatCode="_-* #,##0.0_-;\-* #,##0.0_-;_-* &quot;-&quot;??_-;_-@_-">
                  <c:v>3.3426296675366451E-2</c:v>
                </c:pt>
                <c:pt idx="13" formatCode="_-* #,##0.0_-;\-* #,##0.0_-;_-* &quot;-&quot;??_-;_-@_-">
                  <c:v>4.0938685422768017E-2</c:v>
                </c:pt>
                <c:pt idx="14" formatCode="_-* #,##0.0_-;\-* #,##0.0_-;_-* &quot;-&quot;??_-;_-@_-">
                  <c:v>4.7271922098209629E-2</c:v>
                </c:pt>
                <c:pt idx="15" formatCode="_-* #,##0.0_-;\-* #,##0.0_-;_-* &quot;-&quot;??_-;_-@_-">
                  <c:v>5.285161561933549E-2</c:v>
                </c:pt>
                <c:pt idx="16" formatCode="_-* #,##0.0_-;\-* #,##0.0_-;_-* &quot;-&quot;??_-;_-@_-">
                  <c:v>5.7896044150604453E-2</c:v>
                </c:pt>
                <c:pt idx="17" formatCode="_-* #,##0.0_-;\-* #,##0.0_-;_-* &quot;-&quot;??_-;_-@_-">
                  <c:v>6.2534874933941609E-2</c:v>
                </c:pt>
              </c:numCache>
            </c:numRef>
          </c:val>
          <c:extLst>
            <c:ext xmlns:c16="http://schemas.microsoft.com/office/drawing/2014/chart" uri="{C3380CC4-5D6E-409C-BE32-E72D297353CC}">
              <c16:uniqueId val="{0000000F-AF15-4422-AA8D-3EF5983A0A3C}"/>
            </c:ext>
          </c:extLst>
        </c:ser>
        <c:ser>
          <c:idx val="16"/>
          <c:order val="16"/>
          <c:tx>
            <c:strRef>
              <c:f>'Fanchart '!$AA$32</c:f>
              <c:strCache>
                <c:ptCount val="1"/>
                <c:pt idx="0">
                  <c:v>80-85</c:v>
                </c:pt>
              </c:strCache>
            </c:strRef>
          </c:tx>
          <c:spPr>
            <a:solidFill>
              <a:schemeClr val="accent1">
                <a:lumMod val="20000"/>
                <a:lumOff val="80000"/>
              </a:schemeClr>
            </a:solidFill>
            <a:ln>
              <a:solidFill>
                <a:schemeClr val="accent1">
                  <a:lumMod val="20000"/>
                  <a:lumOff val="80000"/>
                </a:schemeClr>
              </a:solidFill>
            </a:ln>
            <a:effectLst/>
          </c:spPr>
          <c:cat>
            <c:numRef>
              <c:f>'Fanchart '!$AB$14:$AS$14</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'Fanchart '!$AB$32:$AS$32</c:f>
              <c:numCache>
                <c:formatCode>General</c:formatCode>
                <c:ptCount val="18"/>
                <c:pt idx="7" formatCode="_-* #,##0.0_-;\-* #,##0.0_-;_-* &quot;-&quot;??_-;_-@_-">
                  <c:v>0</c:v>
                </c:pt>
                <c:pt idx="8" formatCode="_-* #,##0.0_-;\-* #,##0.0_-;_-* &quot;-&quot;??_-;_-@_-">
                  <c:v>0</c:v>
                </c:pt>
                <c:pt idx="9" formatCode="_-* #,##0.0_-;\-* #,##0.0_-;_-* &quot;-&quot;??_-;_-@_-">
                  <c:v>0</c:v>
                </c:pt>
                <c:pt idx="10" formatCode="_-* #,##0.0_-;\-* #,##0.0_-;_-* &quot;-&quot;??_-;_-@_-">
                  <c:v>0</c:v>
                </c:pt>
                <c:pt idx="11" formatCode="_-* #,##0.0_-;\-* #,##0.0_-;_-* &quot;-&quot;??_-;_-@_-">
                  <c:v>0</c:v>
                </c:pt>
                <c:pt idx="12" formatCode="_-* #,##0.0_-;\-* #,##0.0_-;_-* &quot;-&quot;??_-;_-@_-">
                  <c:v>3.8962431184174307E-2</c:v>
                </c:pt>
                <c:pt idx="13" formatCode="_-* #,##0.0_-;\-* #,##0.0_-;_-* &quot;-&quot;??_-;_-@_-">
                  <c:v>4.7719037769766715E-2</c:v>
                </c:pt>
                <c:pt idx="14" formatCode="_-* #,##0.0_-;\-* #,##0.0_-;_-* &quot;-&quot;??_-;_-@_-">
                  <c:v>5.5101198603688673E-2</c:v>
                </c:pt>
                <c:pt idx="15" formatCode="_-* #,##0.0_-;\-* #,##0.0_-;_-* &quot;-&quot;??_-;_-@_-">
                  <c:v>6.1605012859782704E-2</c:v>
                </c:pt>
                <c:pt idx="16" formatCode="_-* #,##0.0_-;\-* #,##0.0_-;_-* &quot;-&quot;??_-;_-@_-">
                  <c:v>6.7484910397396902E-2</c:v>
                </c:pt>
                <c:pt idx="17" formatCode="_-* #,##0.0_-;\-* #,##0.0_-;_-* &quot;-&quot;??_-;_-@_-">
                  <c:v>7.2892034223469793E-2</c:v>
                </c:pt>
              </c:numCache>
            </c:numRef>
          </c:val>
          <c:extLst>
            <c:ext xmlns:c16="http://schemas.microsoft.com/office/drawing/2014/chart" uri="{C3380CC4-5D6E-409C-BE32-E72D297353CC}">
              <c16:uniqueId val="{00000010-AF15-4422-AA8D-3EF5983A0A3C}"/>
            </c:ext>
          </c:extLst>
        </c:ser>
        <c:ser>
          <c:idx val="17"/>
          <c:order val="17"/>
          <c:tx>
            <c:strRef>
              <c:f>'Fanchart '!$AA$33</c:f>
              <c:strCache>
                <c:ptCount val="1"/>
                <c:pt idx="0">
                  <c:v>85-90</c:v>
                </c:pt>
              </c:strCache>
            </c:strRef>
          </c:tx>
          <c:spPr>
            <a:solidFill>
              <a:schemeClr val="accent1">
                <a:lumMod val="20000"/>
                <a:lumOff val="80000"/>
              </a:schemeClr>
            </a:solidFill>
            <a:ln>
              <a:solidFill>
                <a:schemeClr val="accent1">
                  <a:lumMod val="20000"/>
                  <a:lumOff val="80000"/>
                </a:schemeClr>
              </a:solidFill>
            </a:ln>
            <a:effectLst/>
          </c:spPr>
          <c:cat>
            <c:numRef>
              <c:f>'Fanchart '!$AB$14:$AS$14</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'Fanchart '!$AB$33:$AS$33</c:f>
              <c:numCache>
                <c:formatCode>General</c:formatCode>
                <c:ptCount val="18"/>
                <c:pt idx="7" formatCode="_-* #,##0.0_-;\-* #,##0.0_-;_-* &quot;-&quot;??_-;_-@_-">
                  <c:v>0</c:v>
                </c:pt>
                <c:pt idx="8" formatCode="_-* #,##0.0_-;\-* #,##0.0_-;_-* &quot;-&quot;??_-;_-@_-">
                  <c:v>0</c:v>
                </c:pt>
                <c:pt idx="9" formatCode="_-* #,##0.0_-;\-* #,##0.0_-;_-* &quot;-&quot;??_-;_-@_-">
                  <c:v>0</c:v>
                </c:pt>
                <c:pt idx="10" formatCode="_-* #,##0.0_-;\-* #,##0.0_-;_-* &quot;-&quot;??_-;_-@_-">
                  <c:v>0</c:v>
                </c:pt>
                <c:pt idx="11" formatCode="_-* #,##0.0_-;\-* #,##0.0_-;_-* &quot;-&quot;??_-;_-@_-">
                  <c:v>0</c:v>
                </c:pt>
                <c:pt idx="12" formatCode="_-* #,##0.0_-;\-* #,##0.0_-;_-* &quot;-&quot;??_-;_-@_-">
                  <c:v>4.9023635210161842E-2</c:v>
                </c:pt>
                <c:pt idx="13" formatCode="_-* #,##0.0_-;\-* #,##0.0_-;_-* &quot;-&quot;??_-;_-@_-">
                  <c:v>6.0041445800617765E-2</c:v>
                </c:pt>
                <c:pt idx="14" formatCode="_-* #,##0.0_-;\-* #,##0.0_-;_-* &quot;-&quot;??_-;_-@_-">
                  <c:v>6.9329889791044153E-2</c:v>
                </c:pt>
                <c:pt idx="15" formatCode="_-* #,##0.0_-;\-* #,##0.0_-;_-* &quot;-&quot;??_-;_-@_-">
                  <c:v>7.7513173222669707E-2</c:v>
                </c:pt>
                <c:pt idx="16" formatCode="_-* #,##0.0_-;\-* #,##0.0_-;_-* &quot;-&quot;??_-;_-@_-">
                  <c:v>8.4911426955724068E-2</c:v>
                </c:pt>
                <c:pt idx="17" formatCode="_-* #,##0.0_-;\-* #,##0.0_-;_-* &quot;-&quot;??_-;_-@_-">
                  <c:v>9.1714823405306234E-2</c:v>
                </c:pt>
              </c:numCache>
            </c:numRef>
          </c:val>
          <c:extLst>
            <c:ext xmlns:c16="http://schemas.microsoft.com/office/drawing/2014/chart" uri="{C3380CC4-5D6E-409C-BE32-E72D297353CC}">
              <c16:uniqueId val="{00000011-AF15-4422-AA8D-3EF5983A0A3C}"/>
            </c:ext>
          </c:extLst>
        </c:ser>
        <c:ser>
          <c:idx val="18"/>
          <c:order val="18"/>
          <c:tx>
            <c:strRef>
              <c:f>'Fanchart '!$AA$34</c:f>
              <c:strCache>
                <c:ptCount val="1"/>
                <c:pt idx="0">
                  <c:v>90-95</c:v>
                </c:pt>
              </c:strCache>
            </c:strRef>
          </c:tx>
          <c:spPr>
            <a:solidFill>
              <a:srgbClr val="F5F9FD"/>
            </a:solidFill>
            <a:ln>
              <a:solidFill>
                <a:srgbClr val="F5F9FD"/>
              </a:solidFill>
            </a:ln>
            <a:effectLst/>
          </c:spPr>
          <c:cat>
            <c:numRef>
              <c:f>'Fanchart '!$AB$14:$AS$14</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'Fanchart '!$AB$34:$AS$34</c:f>
              <c:numCache>
                <c:formatCode>General</c:formatCode>
                <c:ptCount val="18"/>
                <c:pt idx="7" formatCode="_-* #,##0.0_-;\-* #,##0.0_-;_-* &quot;-&quot;??_-;_-@_-">
                  <c:v>0</c:v>
                </c:pt>
                <c:pt idx="8" formatCode="_-* #,##0.0_-;\-* #,##0.0_-;_-* &quot;-&quot;??_-;_-@_-">
                  <c:v>0</c:v>
                </c:pt>
                <c:pt idx="9" formatCode="_-* #,##0.0_-;\-* #,##0.0_-;_-* &quot;-&quot;??_-;_-@_-">
                  <c:v>0</c:v>
                </c:pt>
                <c:pt idx="10" formatCode="_-* #,##0.0_-;\-* #,##0.0_-;_-* &quot;-&quot;??_-;_-@_-">
                  <c:v>0</c:v>
                </c:pt>
                <c:pt idx="11" formatCode="_-* #,##0.0_-;\-* #,##0.0_-;_-* &quot;-&quot;??_-;_-@_-">
                  <c:v>0</c:v>
                </c:pt>
                <c:pt idx="12" formatCode="_-* #,##0.0_-;\-* #,##0.0_-;_-* &quot;-&quot;??_-;_-@_-">
                  <c:v>7.266041228137432E-2</c:v>
                </c:pt>
                <c:pt idx="13" formatCode="_-* #,##0.0_-;\-* #,##0.0_-;_-* &quot;-&quot;??_-;_-@_-">
                  <c:v>8.8990467294811637E-2</c:v>
                </c:pt>
                <c:pt idx="14" formatCode="_-* #,##0.0_-;\-* #,##0.0_-;_-* &quot;-&quot;??_-;_-@_-">
                  <c:v>0.10275734049593943</c:v>
                </c:pt>
                <c:pt idx="15" formatCode="_-* #,##0.0_-;\-* #,##0.0_-;_-* &quot;-&quot;??_-;_-@_-">
                  <c:v>0.11488619926800681</c:v>
                </c:pt>
                <c:pt idx="16" formatCode="_-* #,##0.0_-;\-* #,##0.0_-;_-* &quot;-&quot;??_-;_-@_-">
                  <c:v>0.12585152577024239</c:v>
                </c:pt>
                <c:pt idx="17" formatCode="_-* #,##0.0_-;\-* #,##0.0_-;_-* &quot;-&quot;??_-;_-@_-">
                  <c:v>0.13593518416932326</c:v>
                </c:pt>
              </c:numCache>
            </c:numRef>
          </c:val>
          <c:extLst>
            <c:ext xmlns:c16="http://schemas.microsoft.com/office/drawing/2014/chart" uri="{C3380CC4-5D6E-409C-BE32-E72D297353CC}">
              <c16:uniqueId val="{00000012-AF15-4422-AA8D-3EF5983A0A3C}"/>
            </c:ext>
          </c:extLst>
        </c:ser>
        <c:dLbls>
          <c:showLegendKey val="0"/>
          <c:showVal val="0"/>
          <c:showCatName val="0"/>
          <c:showSerName val="0"/>
          <c:showPercent val="0"/>
          <c:showBubbleSize val="0"/>
        </c:dLbls>
        <c:axId val="85952192"/>
        <c:axId val="85960928"/>
      </c:areaChart>
      <c:lineChart>
        <c:grouping val="standard"/>
        <c:varyColors val="0"/>
        <c:ser>
          <c:idx val="19"/>
          <c:order val="19"/>
          <c:tx>
            <c:strRef>
              <c:f>'Fanchart '!$AA$35</c:f>
              <c:strCache>
                <c:ptCount val="1"/>
                <c:pt idx="0">
                  <c:v>Escenario base</c:v>
                </c:pt>
              </c:strCache>
            </c:strRef>
          </c:tx>
          <c:spPr>
            <a:ln w="22225" cap="rnd">
              <a:solidFill>
                <a:srgbClr val="C00000"/>
              </a:solidFill>
              <a:round/>
            </a:ln>
            <a:effectLst/>
          </c:spPr>
          <c:marker>
            <c:symbol val="none"/>
          </c:marker>
          <c:cat>
            <c:numRef>
              <c:f>'Fanchart '!$AB$14:$AS$14</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'Fanchart '!$AB$35:$AS$35</c:f>
              <c:numCache>
                <c:formatCode>_-* #,##0.0_-;\-* #,##0.0_-;_-* "-"??_-;_-@_-</c:formatCode>
                <c:ptCount val="18"/>
                <c:pt idx="0">
                  <c:v>7.7891966849314986</c:v>
                </c:pt>
                <c:pt idx="1">
                  <c:v>7.8343970218579297</c:v>
                </c:pt>
                <c:pt idx="2">
                  <c:v>7.8586306575342508</c:v>
                </c:pt>
                <c:pt idx="3">
                  <c:v>7.7342786301369904</c:v>
                </c:pt>
                <c:pt idx="4">
                  <c:v>7.6557419452054738</c:v>
                </c:pt>
                <c:pt idx="5">
                  <c:v>7.6017596174863442</c:v>
                </c:pt>
                <c:pt idx="6">
                  <c:v>7.3503714794520558</c:v>
                </c:pt>
                <c:pt idx="7">
                  <c:v>7.520154356164376</c:v>
                </c:pt>
                <c:pt idx="8">
                  <c:v>7.6982489041095876</c:v>
                </c:pt>
                <c:pt idx="9">
                  <c:v>7.7224768852459027</c:v>
                </c:pt>
                <c:pt idx="10">
                  <c:v>7.7355653698630151</c:v>
                </c:pt>
                <c:pt idx="11">
                  <c:v>7.7489241758241789</c:v>
                </c:pt>
                <c:pt idx="12">
                  <c:v>7.85</c:v>
                </c:pt>
                <c:pt idx="13">
                  <c:v>7.7935981519816266</c:v>
                </c:pt>
                <c:pt idx="14">
                  <c:v>7.8133488157800262</c:v>
                </c:pt>
                <c:pt idx="15">
                  <c:v>7.8285625943850343</c:v>
                </c:pt>
                <c:pt idx="16">
                  <c:v>7.8402765942531394</c:v>
                </c:pt>
                <c:pt idx="17">
                  <c:v>7.8492922939963341</c:v>
                </c:pt>
              </c:numCache>
            </c:numRef>
          </c:val>
          <c:smooth val="0"/>
          <c:extLst>
            <c:ext xmlns:c16="http://schemas.microsoft.com/office/drawing/2014/chart" uri="{C3380CC4-5D6E-409C-BE32-E72D297353CC}">
              <c16:uniqueId val="{00000013-AF15-4422-AA8D-3EF5983A0A3C}"/>
            </c:ext>
          </c:extLst>
        </c:ser>
        <c:dLbls>
          <c:showLegendKey val="0"/>
          <c:showVal val="0"/>
          <c:showCatName val="0"/>
          <c:showSerName val="0"/>
          <c:showPercent val="0"/>
          <c:showBubbleSize val="0"/>
        </c:dLbls>
        <c:marker val="1"/>
        <c:smooth val="0"/>
        <c:axId val="85952192"/>
        <c:axId val="85960928"/>
      </c:lineChart>
      <c:catAx>
        <c:axId val="85952192"/>
        <c:scaling>
          <c:orientation val="minMax"/>
        </c:scaling>
        <c:delete val="0"/>
        <c:axPos val="b"/>
        <c:numFmt formatCode="General" sourceLinked="1"/>
        <c:majorTickMark val="out"/>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85960928"/>
        <c:crosses val="autoZero"/>
        <c:auto val="1"/>
        <c:lblAlgn val="ctr"/>
        <c:lblOffset val="100"/>
        <c:noMultiLvlLbl val="0"/>
      </c:catAx>
      <c:valAx>
        <c:axId val="85960928"/>
        <c:scaling>
          <c:orientation val="minMax"/>
          <c:max val="10.5"/>
          <c:min val="5.5"/>
        </c:scaling>
        <c:delete val="0"/>
        <c:axPos val="l"/>
        <c:numFmt formatCode="_-* #,##0.0_-;\-* #,##0.0_-;_-* &quot;-&quot;??_-;_-@_-" sourceLinked="1"/>
        <c:majorTickMark val="none"/>
        <c:minorTickMark val="none"/>
        <c:tickLblPos val="high"/>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85952192"/>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legendEntry>
        <c:idx val="4"/>
        <c:delete val="1"/>
      </c:legendEntry>
      <c:legendEntry>
        <c:idx val="5"/>
        <c:delete val="1"/>
      </c:legendEntry>
      <c:legendEntry>
        <c:idx val="6"/>
        <c:delete val="1"/>
      </c:legendEntry>
      <c:legendEntry>
        <c:idx val="7"/>
        <c:delete val="1"/>
      </c:legendEntry>
      <c:legendEntry>
        <c:idx val="8"/>
        <c:delete val="1"/>
      </c:legendEntry>
      <c:legendEntry>
        <c:idx val="9"/>
        <c:delete val="1"/>
      </c:legendEntry>
      <c:legendEntry>
        <c:idx val="10"/>
        <c:delete val="1"/>
      </c:legendEntry>
      <c:legendEntry>
        <c:idx val="11"/>
        <c:delete val="1"/>
      </c:legendEntry>
      <c:legendEntry>
        <c:idx val="12"/>
        <c:delete val="1"/>
      </c:legendEntry>
      <c:legendEntry>
        <c:idx val="13"/>
        <c:delete val="1"/>
      </c:legendEntry>
      <c:legendEntry>
        <c:idx val="14"/>
        <c:delete val="1"/>
      </c:legendEntry>
      <c:legendEntry>
        <c:idx val="15"/>
        <c:delete val="1"/>
      </c:legendEntry>
      <c:legendEntry>
        <c:idx val="16"/>
        <c:delete val="1"/>
      </c:legendEntry>
      <c:legendEntry>
        <c:idx val="17"/>
        <c:delete val="1"/>
      </c:legendEntry>
      <c:legendEntry>
        <c:idx val="18"/>
        <c:delete val="1"/>
      </c:legendEntry>
      <c:layout>
        <c:manualLayout>
          <c:xMode val="edge"/>
          <c:yMode val="edge"/>
          <c:x val="0.38555319124212362"/>
          <c:y val="0.8276734669103829"/>
          <c:w val="0.2068672889422454"/>
          <c:h val="8.338410755263595E-2"/>
        </c:manualLayout>
      </c:layout>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s-GT"/>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n>
            <a:noFill/>
          </a:ln>
        </a:defRPr>
      </a:pPr>
      <a:endParaRPr lang="es-GT"/>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522309844346361E-2"/>
          <c:y val="7.7611111111111117E-2"/>
          <c:w val="0.88572043860953331"/>
          <c:h val="0.82016555555555559"/>
        </c:manualLayout>
      </c:layout>
      <c:areaChart>
        <c:grouping val="stacked"/>
        <c:varyColors val="0"/>
        <c:ser>
          <c:idx val="1"/>
          <c:order val="1"/>
          <c:tx>
            <c:strRef>
              <c:f>'PIB real'!$B$77</c:f>
              <c:strCache>
                <c:ptCount val="1"/>
                <c:pt idx="0">
                  <c:v>95%</c:v>
                </c:pt>
              </c:strCache>
            </c:strRef>
          </c:tx>
          <c:spPr>
            <a:noFill/>
            <a:ln>
              <a:noFill/>
            </a:ln>
            <a:effectLst/>
          </c:spPr>
          <c:cat>
            <c:numRef>
              <c:f>'PIB real'!$C$75:$T$75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'PIB real'!$C$77:$T$77</c:f>
              <c:numCache>
                <c:formatCode>_(* #,##0.0_);_(* \(#,##0.0\);_(* "-"??_);_(@_)</c:formatCode>
                <c:ptCount val="18"/>
                <c:pt idx="0">
                  <c:v>4.1620489461922716</c:v>
                </c:pt>
                <c:pt idx="1">
                  <c:v>2.9698574268847437</c:v>
                </c:pt>
                <c:pt idx="2">
                  <c:v>3.6975855779096634</c:v>
                </c:pt>
                <c:pt idx="3">
                  <c:v>4.174169136581753</c:v>
                </c:pt>
                <c:pt idx="4">
                  <c:v>4.1400443582547837</c:v>
                </c:pt>
                <c:pt idx="5">
                  <c:v>3.0924825576909001</c:v>
                </c:pt>
                <c:pt idx="6">
                  <c:v>2.7603384836662173</c:v>
                </c:pt>
                <c:pt idx="7">
                  <c:v>3.1450345781208995</c:v>
                </c:pt>
                <c:pt idx="8">
                  <c:v>4.0178979271631192</c:v>
                </c:pt>
                <c:pt idx="9">
                  <c:v>-1.791857686209164</c:v>
                </c:pt>
                <c:pt idx="10">
                  <c:v>8.002408017800299</c:v>
                </c:pt>
                <c:pt idx="11">
                  <c:v>4.1180041818460245</c:v>
                </c:pt>
                <c:pt idx="12">
                  <c:v>-0.75063880334640287</c:v>
                </c:pt>
                <c:pt idx="13">
                  <c:v>-1.6688290799015146</c:v>
                </c:pt>
                <c:pt idx="14">
                  <c:v>-1.6128418586179021</c:v>
                </c:pt>
                <c:pt idx="15">
                  <c:v>-1.639227114376439</c:v>
                </c:pt>
                <c:pt idx="16">
                  <c:v>-1.6362727433360114</c:v>
                </c:pt>
                <c:pt idx="17">
                  <c:v>-1.9034860456419649</c:v>
                </c:pt>
              </c:numCache>
            </c:numRef>
          </c:val>
          <c:extLst>
            <c:ext xmlns:c16="http://schemas.microsoft.com/office/drawing/2014/chart" uri="{C3380CC4-5D6E-409C-BE32-E72D297353CC}">
              <c16:uniqueId val="{00000000-2710-4781-B663-989A15BFEFCD}"/>
            </c:ext>
          </c:extLst>
        </c:ser>
        <c:ser>
          <c:idx val="2"/>
          <c:order val="2"/>
          <c:tx>
            <c:strRef>
              <c:f>'PIB real'!$B$78</c:f>
              <c:strCache>
                <c:ptCount val="1"/>
                <c:pt idx="0">
                  <c:v>90%</c:v>
                </c:pt>
              </c:strCache>
            </c:strRef>
          </c:tx>
          <c:spPr>
            <a:solidFill>
              <a:schemeClr val="accent1">
                <a:lumMod val="20000"/>
                <a:lumOff val="80000"/>
              </a:schemeClr>
            </a:solidFill>
            <a:ln>
              <a:solidFill>
                <a:schemeClr val="accent1">
                  <a:lumMod val="20000"/>
                  <a:lumOff val="80000"/>
                </a:schemeClr>
              </a:solidFill>
            </a:ln>
            <a:effectLst/>
          </c:spPr>
          <c:cat>
            <c:numRef>
              <c:f>'PIB real'!$C$75:$T$75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'PIB real'!$C$78:$T$78</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1.0883338817676531</c:v>
                </c:pt>
                <c:pt idx="13">
                  <c:v>1.0574192369698201</c:v>
                </c:pt>
                <c:pt idx="14">
                  <c:v>1.046596048053853</c:v>
                </c:pt>
                <c:pt idx="15">
                  <c:v>1.0779939294954684</c:v>
                </c:pt>
                <c:pt idx="16">
                  <c:v>1.0779939294954684</c:v>
                </c:pt>
                <c:pt idx="17">
                  <c:v>1.1436437598017428</c:v>
                </c:pt>
              </c:numCache>
            </c:numRef>
          </c:val>
          <c:extLst>
            <c:ext xmlns:c16="http://schemas.microsoft.com/office/drawing/2014/chart" uri="{C3380CC4-5D6E-409C-BE32-E72D297353CC}">
              <c16:uniqueId val="{00000001-2710-4781-B663-989A15BFEFCD}"/>
            </c:ext>
          </c:extLst>
        </c:ser>
        <c:ser>
          <c:idx val="3"/>
          <c:order val="3"/>
          <c:tx>
            <c:strRef>
              <c:f>'PIB real'!$B$79</c:f>
              <c:strCache>
                <c:ptCount val="1"/>
                <c:pt idx="0">
                  <c:v>80%</c:v>
                </c:pt>
              </c:strCache>
            </c:strRef>
          </c:tx>
          <c:spPr>
            <a:solidFill>
              <a:schemeClr val="accent1">
                <a:lumMod val="40000"/>
                <a:lumOff val="60000"/>
              </a:schemeClr>
            </a:solidFill>
            <a:ln>
              <a:solidFill>
                <a:schemeClr val="accent1">
                  <a:lumMod val="40000"/>
                  <a:lumOff val="60000"/>
                </a:schemeClr>
              </a:solidFill>
            </a:ln>
            <a:effectLst/>
          </c:spPr>
          <c:cat>
            <c:numRef>
              <c:f>'PIB real'!$C$75:$T$75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'PIB real'!$C$79:$T$79</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1.218971108195436</c:v>
                </c:pt>
                <c:pt idx="13">
                  <c:v>1.1843456504567889</c:v>
                </c:pt>
                <c:pt idx="14">
                  <c:v>1.1722233093185377</c:v>
                </c:pt>
                <c:pt idx="15">
                  <c:v>1.207390008598094</c:v>
                </c:pt>
                <c:pt idx="16">
                  <c:v>1.207390008598094</c:v>
                </c:pt>
                <c:pt idx="17">
                  <c:v>1.2809200601217179</c:v>
                </c:pt>
              </c:numCache>
            </c:numRef>
          </c:val>
          <c:extLst>
            <c:ext xmlns:c16="http://schemas.microsoft.com/office/drawing/2014/chart" uri="{C3380CC4-5D6E-409C-BE32-E72D297353CC}">
              <c16:uniqueId val="{00000002-2710-4781-B663-989A15BFEFCD}"/>
            </c:ext>
          </c:extLst>
        </c:ser>
        <c:ser>
          <c:idx val="4"/>
          <c:order val="4"/>
          <c:tx>
            <c:strRef>
              <c:f>'PIB real'!$B$80</c:f>
              <c:strCache>
                <c:ptCount val="1"/>
                <c:pt idx="0">
                  <c:v>70%</c:v>
                </c:pt>
              </c:strCache>
            </c:strRef>
          </c:tx>
          <c:spPr>
            <a:solidFill>
              <a:schemeClr val="accent1">
                <a:lumMod val="60000"/>
                <a:lumOff val="40000"/>
              </a:schemeClr>
            </a:solidFill>
            <a:ln>
              <a:solidFill>
                <a:schemeClr val="accent1">
                  <a:lumMod val="60000"/>
                  <a:lumOff val="40000"/>
                </a:schemeClr>
              </a:solidFill>
            </a:ln>
            <a:effectLst/>
          </c:spPr>
          <c:cat>
            <c:numRef>
              <c:f>'PIB real'!$C$75:$T$75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'PIB real'!$C$80:$T$80</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0.83434906759465433</c:v>
                </c:pt>
                <c:pt idx="13">
                  <c:v>0.81064898300278454</c:v>
                </c:pt>
                <c:pt idx="14">
                  <c:v>0.80235160502740532</c:v>
                </c:pt>
                <c:pt idx="15">
                  <c:v>0.82642215317822743</c:v>
                </c:pt>
                <c:pt idx="16">
                  <c:v>0.82642215317822743</c:v>
                </c:pt>
                <c:pt idx="17">
                  <c:v>0.87675126230678169</c:v>
                </c:pt>
              </c:numCache>
            </c:numRef>
          </c:val>
          <c:extLst>
            <c:ext xmlns:c16="http://schemas.microsoft.com/office/drawing/2014/chart" uri="{C3380CC4-5D6E-409C-BE32-E72D297353CC}">
              <c16:uniqueId val="{00000003-2710-4781-B663-989A15BFEFCD}"/>
            </c:ext>
          </c:extLst>
        </c:ser>
        <c:ser>
          <c:idx val="5"/>
          <c:order val="5"/>
          <c:tx>
            <c:strRef>
              <c:f>'PIB real'!$B$81</c:f>
              <c:strCache>
                <c:ptCount val="1"/>
                <c:pt idx="0">
                  <c:v>60%</c:v>
                </c:pt>
              </c:strCache>
            </c:strRef>
          </c:tx>
          <c:spPr>
            <a:solidFill>
              <a:schemeClr val="accent1">
                <a:lumMod val="75000"/>
              </a:schemeClr>
            </a:solidFill>
            <a:ln>
              <a:solidFill>
                <a:schemeClr val="accent1">
                  <a:lumMod val="75000"/>
                </a:schemeClr>
              </a:solidFill>
            </a:ln>
            <a:effectLst/>
          </c:spPr>
          <c:cat>
            <c:numRef>
              <c:f>'PIB real'!$C$75:$T$75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'PIB real'!$C$81:$T$81</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0.69545993100280112</c:v>
                </c:pt>
                <c:pt idx="13">
                  <c:v>0.67570505880939136</c:v>
                </c:pt>
                <c:pt idx="14">
                  <c:v>0.668788896092392</c:v>
                </c:pt>
                <c:pt idx="15">
                  <c:v>0.68885256297516406</c:v>
                </c:pt>
                <c:pt idx="16">
                  <c:v>0.68885256297516406</c:v>
                </c:pt>
                <c:pt idx="17">
                  <c:v>0.73080368406035134</c:v>
                </c:pt>
              </c:numCache>
            </c:numRef>
          </c:val>
          <c:extLst>
            <c:ext xmlns:c16="http://schemas.microsoft.com/office/drawing/2014/chart" uri="{C3380CC4-5D6E-409C-BE32-E72D297353CC}">
              <c16:uniqueId val="{00000004-2710-4781-B663-989A15BFEFCD}"/>
            </c:ext>
          </c:extLst>
        </c:ser>
        <c:ser>
          <c:idx val="6"/>
          <c:order val="6"/>
          <c:tx>
            <c:strRef>
              <c:f>'PIB real'!$B$82</c:f>
              <c:strCache>
                <c:ptCount val="1"/>
                <c:pt idx="0">
                  <c:v>60%</c:v>
                </c:pt>
              </c:strCache>
            </c:strRef>
          </c:tx>
          <c:spPr>
            <a:solidFill>
              <a:schemeClr val="accent1">
                <a:lumMod val="50000"/>
              </a:schemeClr>
            </a:solidFill>
            <a:ln>
              <a:solidFill>
                <a:schemeClr val="accent1">
                  <a:lumMod val="50000"/>
                </a:schemeClr>
              </a:solidFill>
            </a:ln>
            <a:effectLst/>
          </c:spPr>
          <c:cat>
            <c:numRef>
              <c:f>'PIB real'!$C$75:$T$75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'PIB real'!$C$82:$T$82</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1.2863159131552151</c:v>
                </c:pt>
                <c:pt idx="13">
                  <c:v>1.2497774939998667</c:v>
                </c:pt>
                <c:pt idx="14">
                  <c:v>1.2369854268163278</c:v>
                </c:pt>
                <c:pt idx="15">
                  <c:v>1.2740949896208171</c:v>
                </c:pt>
                <c:pt idx="16">
                  <c:v>1.2740949896208171</c:v>
                </c:pt>
                <c:pt idx="17">
                  <c:v>1.3516873744887254</c:v>
                </c:pt>
              </c:numCache>
            </c:numRef>
          </c:val>
          <c:extLst>
            <c:ext xmlns:c16="http://schemas.microsoft.com/office/drawing/2014/chart" uri="{C3380CC4-5D6E-409C-BE32-E72D297353CC}">
              <c16:uniqueId val="{00000005-2710-4781-B663-989A15BFEFCD}"/>
            </c:ext>
          </c:extLst>
        </c:ser>
        <c:ser>
          <c:idx val="7"/>
          <c:order val="7"/>
          <c:tx>
            <c:strRef>
              <c:f>'PIB real'!$B$83</c:f>
              <c:strCache>
                <c:ptCount val="1"/>
                <c:pt idx="0">
                  <c:v>70%</c:v>
                </c:pt>
              </c:strCache>
            </c:strRef>
          </c:tx>
          <c:spPr>
            <a:solidFill>
              <a:schemeClr val="accent1">
                <a:lumMod val="75000"/>
              </a:schemeClr>
            </a:solidFill>
            <a:ln>
              <a:solidFill>
                <a:schemeClr val="accent1">
                  <a:lumMod val="75000"/>
                </a:schemeClr>
              </a:solidFill>
            </a:ln>
            <a:effectLst/>
          </c:spPr>
          <c:cat>
            <c:numRef>
              <c:f>'PIB real'!$C$75:$T$75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'PIB real'!$C$83:$T$83</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0.69545993100280068</c:v>
                </c:pt>
                <c:pt idx="13">
                  <c:v>0.67570505880939136</c:v>
                </c:pt>
                <c:pt idx="14">
                  <c:v>0.668788896092392</c:v>
                </c:pt>
                <c:pt idx="15">
                  <c:v>0.68885256297516406</c:v>
                </c:pt>
                <c:pt idx="16">
                  <c:v>0.68885256297516406</c:v>
                </c:pt>
                <c:pt idx="17">
                  <c:v>0.7308036840603509</c:v>
                </c:pt>
              </c:numCache>
            </c:numRef>
          </c:val>
          <c:extLst>
            <c:ext xmlns:c16="http://schemas.microsoft.com/office/drawing/2014/chart" uri="{C3380CC4-5D6E-409C-BE32-E72D297353CC}">
              <c16:uniqueId val="{00000006-2710-4781-B663-989A15BFEFCD}"/>
            </c:ext>
          </c:extLst>
        </c:ser>
        <c:ser>
          <c:idx val="8"/>
          <c:order val="8"/>
          <c:tx>
            <c:strRef>
              <c:f>'PIB real'!$B$84</c:f>
              <c:strCache>
                <c:ptCount val="1"/>
                <c:pt idx="0">
                  <c:v>80%</c:v>
                </c:pt>
              </c:strCache>
            </c:strRef>
          </c:tx>
          <c:spPr>
            <a:solidFill>
              <a:schemeClr val="accent1">
                <a:lumMod val="60000"/>
                <a:lumOff val="40000"/>
              </a:schemeClr>
            </a:solidFill>
            <a:ln>
              <a:solidFill>
                <a:schemeClr val="accent1">
                  <a:lumMod val="60000"/>
                  <a:lumOff val="40000"/>
                </a:schemeClr>
              </a:solidFill>
            </a:ln>
            <a:effectLst/>
          </c:spPr>
          <c:cat>
            <c:numRef>
              <c:f>'PIB real'!$C$75:$T$75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'PIB real'!$C$84:$T$84</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0.83434906759465477</c:v>
                </c:pt>
                <c:pt idx="13">
                  <c:v>0.81064898300278498</c:v>
                </c:pt>
                <c:pt idx="14">
                  <c:v>0.80235160502740532</c:v>
                </c:pt>
                <c:pt idx="15">
                  <c:v>0.82642215317822743</c:v>
                </c:pt>
                <c:pt idx="16">
                  <c:v>0.82642215317822743</c:v>
                </c:pt>
                <c:pt idx="17">
                  <c:v>0.87675126230678213</c:v>
                </c:pt>
              </c:numCache>
            </c:numRef>
          </c:val>
          <c:extLst>
            <c:ext xmlns:c16="http://schemas.microsoft.com/office/drawing/2014/chart" uri="{C3380CC4-5D6E-409C-BE32-E72D297353CC}">
              <c16:uniqueId val="{00000007-2710-4781-B663-989A15BFEFCD}"/>
            </c:ext>
          </c:extLst>
        </c:ser>
        <c:ser>
          <c:idx val="9"/>
          <c:order val="9"/>
          <c:tx>
            <c:strRef>
              <c:f>'PIB real'!$B$85</c:f>
              <c:strCache>
                <c:ptCount val="1"/>
                <c:pt idx="0">
                  <c:v>90%</c:v>
                </c:pt>
              </c:strCache>
            </c:strRef>
          </c:tx>
          <c:spPr>
            <a:solidFill>
              <a:schemeClr val="accent1">
                <a:lumMod val="40000"/>
                <a:lumOff val="60000"/>
              </a:schemeClr>
            </a:solidFill>
            <a:ln>
              <a:solidFill>
                <a:schemeClr val="accent1">
                  <a:lumMod val="40000"/>
                  <a:lumOff val="60000"/>
                </a:schemeClr>
              </a:solidFill>
            </a:ln>
            <a:effectLst/>
          </c:spPr>
          <c:cat>
            <c:numRef>
              <c:f>'PIB real'!$C$75:$T$75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'PIB real'!$C$85:$T$85</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1.2189711081954355</c:v>
                </c:pt>
                <c:pt idx="13">
                  <c:v>1.1843456504567884</c:v>
                </c:pt>
                <c:pt idx="14">
                  <c:v>1.1722233093185377</c:v>
                </c:pt>
                <c:pt idx="15">
                  <c:v>1.207390008598094</c:v>
                </c:pt>
                <c:pt idx="16">
                  <c:v>1.207390008598094</c:v>
                </c:pt>
                <c:pt idx="17">
                  <c:v>1.2809200601217183</c:v>
                </c:pt>
              </c:numCache>
            </c:numRef>
          </c:val>
          <c:extLst>
            <c:ext xmlns:c16="http://schemas.microsoft.com/office/drawing/2014/chart" uri="{C3380CC4-5D6E-409C-BE32-E72D297353CC}">
              <c16:uniqueId val="{00000008-2710-4781-B663-989A15BFEFCD}"/>
            </c:ext>
          </c:extLst>
        </c:ser>
        <c:ser>
          <c:idx val="10"/>
          <c:order val="10"/>
          <c:tx>
            <c:strRef>
              <c:f>'PIB real'!$B$86</c:f>
              <c:strCache>
                <c:ptCount val="1"/>
                <c:pt idx="0">
                  <c:v>95%</c:v>
                </c:pt>
              </c:strCache>
            </c:strRef>
          </c:tx>
          <c:spPr>
            <a:solidFill>
              <a:schemeClr val="accent1">
                <a:lumMod val="20000"/>
                <a:lumOff val="80000"/>
              </a:schemeClr>
            </a:solidFill>
            <a:ln>
              <a:solidFill>
                <a:schemeClr val="accent1">
                  <a:lumMod val="20000"/>
                  <a:lumOff val="80000"/>
                </a:schemeClr>
              </a:solidFill>
            </a:ln>
            <a:effectLst/>
          </c:spPr>
          <c:cat>
            <c:numRef>
              <c:f>'PIB real'!$C$75:$T$75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'PIB real'!$C$86:$T$86</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1.0883338817676531</c:v>
                </c:pt>
                <c:pt idx="13">
                  <c:v>1.0574192369698201</c:v>
                </c:pt>
                <c:pt idx="14">
                  <c:v>1.0465960480538525</c:v>
                </c:pt>
                <c:pt idx="15">
                  <c:v>1.0779939294954684</c:v>
                </c:pt>
                <c:pt idx="16">
                  <c:v>1.0779939294954684</c:v>
                </c:pt>
                <c:pt idx="17">
                  <c:v>1.1436437598017424</c:v>
                </c:pt>
              </c:numCache>
            </c:numRef>
          </c:val>
          <c:extLst>
            <c:ext xmlns:c16="http://schemas.microsoft.com/office/drawing/2014/chart" uri="{C3380CC4-5D6E-409C-BE32-E72D297353CC}">
              <c16:uniqueId val="{00000009-2710-4781-B663-989A15BFEFCD}"/>
            </c:ext>
          </c:extLst>
        </c:ser>
        <c:dLbls>
          <c:showLegendKey val="0"/>
          <c:showVal val="0"/>
          <c:showCatName val="0"/>
          <c:showSerName val="0"/>
          <c:showPercent val="0"/>
          <c:showBubbleSize val="0"/>
        </c:dLbls>
        <c:axId val="214458128"/>
        <c:axId val="116332096"/>
      </c:areaChart>
      <c:lineChart>
        <c:grouping val="standard"/>
        <c:varyColors val="0"/>
        <c:ser>
          <c:idx val="0"/>
          <c:order val="0"/>
          <c:tx>
            <c:v>Escenario base</c:v>
          </c:tx>
          <c:spPr>
            <a:ln w="22225" cap="rnd">
              <a:solidFill>
                <a:schemeClr val="tx1">
                  <a:lumMod val="95000"/>
                  <a:lumOff val="5000"/>
                </a:schemeClr>
              </a:solidFill>
              <a:round/>
            </a:ln>
            <a:effectLst/>
          </c:spPr>
          <c:marker>
            <c:symbol val="none"/>
          </c:marker>
          <c:cat>
            <c:numRef>
              <c:f>'PIB real'!$C$75:$T$75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'PIB real'!$C$76:$T$76</c:f>
              <c:numCache>
                <c:formatCode>_(* #,##0.0_);_(* \(#,##0.0\);_(* "-"??_);_(@_)</c:formatCode>
                <c:ptCount val="18"/>
                <c:pt idx="0">
                  <c:v>4.1620489461922716</c:v>
                </c:pt>
                <c:pt idx="1">
                  <c:v>2.9698574268847437</c:v>
                </c:pt>
                <c:pt idx="2">
                  <c:v>3.6975855779096634</c:v>
                </c:pt>
                <c:pt idx="3">
                  <c:v>4.174169136581753</c:v>
                </c:pt>
                <c:pt idx="4">
                  <c:v>4.1400443582547837</c:v>
                </c:pt>
                <c:pt idx="5">
                  <c:v>3.0924825576909001</c:v>
                </c:pt>
                <c:pt idx="6">
                  <c:v>2.7603384836662173</c:v>
                </c:pt>
                <c:pt idx="7">
                  <c:v>3.1450345781208995</c:v>
                </c:pt>
                <c:pt idx="8">
                  <c:v>4.0178979271631192</c:v>
                </c:pt>
                <c:pt idx="9">
                  <c:v>-1.791857686209164</c:v>
                </c:pt>
                <c:pt idx="10">
                  <c:v>8.002408017800299</c:v>
                </c:pt>
                <c:pt idx="11">
                  <c:v>4.1180041818460245</c:v>
                </c:pt>
                <c:pt idx="12">
                  <c:v>3.5</c:v>
                </c:pt>
                <c:pt idx="13">
                  <c:v>2.5</c:v>
                </c:pt>
                <c:pt idx="14">
                  <c:v>2.6</c:v>
                </c:pt>
                <c:pt idx="15">
                  <c:v>2.7</c:v>
                </c:pt>
                <c:pt idx="16">
                  <c:v>2.7</c:v>
                </c:pt>
                <c:pt idx="17">
                  <c:v>2.7</c:v>
                </c:pt>
              </c:numCache>
            </c:numRef>
          </c:val>
          <c:smooth val="0"/>
          <c:extLst>
            <c:ext xmlns:c16="http://schemas.microsoft.com/office/drawing/2014/chart" uri="{C3380CC4-5D6E-409C-BE32-E72D297353CC}">
              <c16:uniqueId val="{0000000A-2710-4781-B663-989A15BFEFCD}"/>
            </c:ext>
          </c:extLst>
        </c:ser>
        <c:dLbls>
          <c:showLegendKey val="0"/>
          <c:showVal val="0"/>
          <c:showCatName val="0"/>
          <c:showSerName val="0"/>
          <c:showPercent val="0"/>
          <c:showBubbleSize val="0"/>
        </c:dLbls>
        <c:marker val="1"/>
        <c:smooth val="0"/>
        <c:axId val="214458128"/>
        <c:axId val="116332096"/>
      </c:lineChart>
      <c:catAx>
        <c:axId val="21445812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16332096"/>
        <c:crosses val="autoZero"/>
        <c:auto val="1"/>
        <c:lblAlgn val="ctr"/>
        <c:lblOffset val="100"/>
        <c:noMultiLvlLbl val="0"/>
      </c:catAx>
      <c:valAx>
        <c:axId val="116332096"/>
        <c:scaling>
          <c:orientation val="minMax"/>
          <c:max val="20"/>
          <c:min val="-10"/>
        </c:scaling>
        <c:delete val="0"/>
        <c:axPos val="l"/>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14458128"/>
        <c:crosses val="autoZero"/>
        <c:crossBetween val="between"/>
        <c:majorUnit val="5"/>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legendEntry>
        <c:idx val="4"/>
        <c:delete val="1"/>
      </c:legendEntry>
      <c:layout>
        <c:manualLayout>
          <c:xMode val="edge"/>
          <c:yMode val="edge"/>
          <c:x val="8.0532476107374518E-2"/>
          <c:y val="5.9977222222222203E-2"/>
          <c:w val="0.91946752389262543"/>
          <c:h val="0.21553263888888888"/>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43449499489557"/>
          <c:y val="9.7013888888888886E-2"/>
          <c:w val="0.8647423880908216"/>
          <c:h val="0.77520694444444449"/>
        </c:manualLayout>
      </c:layout>
      <c:areaChart>
        <c:grouping val="stacked"/>
        <c:varyColors val="0"/>
        <c:ser>
          <c:idx val="1"/>
          <c:order val="1"/>
          <c:spPr>
            <a:noFill/>
            <a:ln>
              <a:noFill/>
            </a:ln>
            <a:effectLst/>
          </c:spPr>
          <c:cat>
            <c:numRef>
              <c:f>'PIB nominal'!$C$75:$T$75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'PIB nominal'!$C$77:$T$77</c:f>
              <c:numCache>
                <c:formatCode>_(* #,##0.0_);_(* \(#,##0.0\);_(* "-"??_);_(@_)</c:formatCode>
                <c:ptCount val="18"/>
                <c:pt idx="0">
                  <c:v>11.383638254960516</c:v>
                </c:pt>
                <c:pt idx="1">
                  <c:v>6.3910390426584911</c:v>
                </c:pt>
                <c:pt idx="2">
                  <c:v>7.1885072620506207</c:v>
                </c:pt>
                <c:pt idx="3">
                  <c:v>7.3162788400640721</c:v>
                </c:pt>
                <c:pt idx="4">
                  <c:v>7.5047337065699651</c:v>
                </c:pt>
                <c:pt idx="5">
                  <c:v>6.9056995258272735</c:v>
                </c:pt>
                <c:pt idx="6">
                  <c:v>6.4794108932931636</c:v>
                </c:pt>
                <c:pt idx="7">
                  <c:v>6.1749316216046992</c:v>
                </c:pt>
                <c:pt idx="8">
                  <c:v>7.7269503142947542</c:v>
                </c:pt>
                <c:pt idx="9">
                  <c:v>1.0299177839315377</c:v>
                </c:pt>
                <c:pt idx="10">
                  <c:v>10.911455545849776</c:v>
                </c:pt>
                <c:pt idx="11">
                  <c:v>10.59862473080176</c:v>
                </c:pt>
                <c:pt idx="12">
                  <c:v>1.491736443590491</c:v>
                </c:pt>
                <c:pt idx="13">
                  <c:v>-4.6308838537926666E-2</c:v>
                </c:pt>
                <c:pt idx="14">
                  <c:v>-0.23335986171286638</c:v>
                </c:pt>
                <c:pt idx="15">
                  <c:v>-0.19636065756425297</c:v>
                </c:pt>
                <c:pt idx="16">
                  <c:v>-0.20984384097120423</c:v>
                </c:pt>
                <c:pt idx="17">
                  <c:v>-0.53717902160991704</c:v>
                </c:pt>
              </c:numCache>
            </c:numRef>
          </c:val>
          <c:extLst>
            <c:ext xmlns:c16="http://schemas.microsoft.com/office/drawing/2014/chart" uri="{C3380CC4-5D6E-409C-BE32-E72D297353CC}">
              <c16:uniqueId val="{00000000-7A4E-4B85-99FE-406D099694D0}"/>
            </c:ext>
          </c:extLst>
        </c:ser>
        <c:ser>
          <c:idx val="2"/>
          <c:order val="2"/>
          <c:spPr>
            <a:solidFill>
              <a:schemeClr val="accent1">
                <a:lumMod val="20000"/>
                <a:lumOff val="80000"/>
              </a:schemeClr>
            </a:solidFill>
            <a:ln>
              <a:solidFill>
                <a:schemeClr val="accent1">
                  <a:lumMod val="20000"/>
                  <a:lumOff val="80000"/>
                </a:schemeClr>
              </a:solidFill>
            </a:ln>
            <a:effectLst/>
          </c:spPr>
          <c:cat>
            <c:numRef>
              <c:f>'PIB nominal'!$C$75:$T$75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'PIB nominal'!$C$78:$T$78</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1.3673671864671588</c:v>
                </c:pt>
                <c:pt idx="13">
                  <c:v>1.3766090293929434</c:v>
                </c:pt>
                <c:pt idx="14">
                  <c:v>1.2138585155918196</c:v>
                </c:pt>
                <c:pt idx="15">
                  <c:v>1.2502742710595744</c:v>
                </c:pt>
                <c:pt idx="16">
                  <c:v>1.2502742710595744</c:v>
                </c:pt>
                <c:pt idx="17">
                  <c:v>1.3264159741671024</c:v>
                </c:pt>
              </c:numCache>
            </c:numRef>
          </c:val>
          <c:extLst>
            <c:ext xmlns:c16="http://schemas.microsoft.com/office/drawing/2014/chart" uri="{C3380CC4-5D6E-409C-BE32-E72D297353CC}">
              <c16:uniqueId val="{00000001-7A4E-4B85-99FE-406D099694D0}"/>
            </c:ext>
          </c:extLst>
        </c:ser>
        <c:ser>
          <c:idx val="3"/>
          <c:order val="3"/>
          <c:spPr>
            <a:solidFill>
              <a:schemeClr val="accent1">
                <a:lumMod val="40000"/>
                <a:lumOff val="60000"/>
              </a:schemeClr>
            </a:solidFill>
            <a:ln>
              <a:solidFill>
                <a:schemeClr val="accent1">
                  <a:lumMod val="40000"/>
                  <a:lumOff val="60000"/>
                </a:schemeClr>
              </a:solidFill>
            </a:ln>
            <a:effectLst/>
          </c:spPr>
          <c:cat>
            <c:numRef>
              <c:f>'PIB nominal'!$C$75:$T$75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'PIB nominal'!$C$79:$T$79</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1.5314979369114115</c:v>
                </c:pt>
                <c:pt idx="13">
                  <c:v>1.5418491165463912</c:v>
                </c:pt>
                <c:pt idx="14">
                  <c:v>1.3595629840542967</c:v>
                </c:pt>
                <c:pt idx="15">
                  <c:v>1.4003498735759261</c:v>
                </c:pt>
                <c:pt idx="16">
                  <c:v>1.4003498735759261</c:v>
                </c:pt>
                <c:pt idx="17">
                  <c:v>1.4856311808767004</c:v>
                </c:pt>
              </c:numCache>
            </c:numRef>
          </c:val>
          <c:extLst>
            <c:ext xmlns:c16="http://schemas.microsoft.com/office/drawing/2014/chart" uri="{C3380CC4-5D6E-409C-BE32-E72D297353CC}">
              <c16:uniqueId val="{00000002-7A4E-4B85-99FE-406D099694D0}"/>
            </c:ext>
          </c:extLst>
        </c:ser>
        <c:ser>
          <c:idx val="4"/>
          <c:order val="4"/>
          <c:spPr>
            <a:solidFill>
              <a:schemeClr val="accent1">
                <a:lumMod val="60000"/>
                <a:lumOff val="40000"/>
              </a:schemeClr>
            </a:solidFill>
            <a:ln>
              <a:solidFill>
                <a:schemeClr val="accent1">
                  <a:lumMod val="60000"/>
                  <a:lumOff val="40000"/>
                </a:schemeClr>
              </a:solidFill>
            </a:ln>
            <a:effectLst/>
          </c:spPr>
          <c:cat>
            <c:numRef>
              <c:f>'PIB nominal'!$C$75:$T$75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'PIB nominal'!$C$80:$T$80</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1.0482642837834222</c:v>
                </c:pt>
                <c:pt idx="13">
                  <c:v>1.0553493549708239</c:v>
                </c:pt>
                <c:pt idx="14">
                  <c:v>0.93057997884888444</c:v>
                </c:pt>
                <c:pt idx="15">
                  <c:v>0.95849737821435044</c:v>
                </c:pt>
                <c:pt idx="16">
                  <c:v>0.95849737821435044</c:v>
                </c:pt>
                <c:pt idx="17">
                  <c:v>1.0168698685476047</c:v>
                </c:pt>
              </c:numCache>
            </c:numRef>
          </c:val>
          <c:extLst>
            <c:ext xmlns:c16="http://schemas.microsoft.com/office/drawing/2014/chart" uri="{C3380CC4-5D6E-409C-BE32-E72D297353CC}">
              <c16:uniqueId val="{00000003-7A4E-4B85-99FE-406D099694D0}"/>
            </c:ext>
          </c:extLst>
        </c:ser>
        <c:ser>
          <c:idx val="5"/>
          <c:order val="5"/>
          <c:spPr>
            <a:solidFill>
              <a:schemeClr val="accent1">
                <a:lumMod val="75000"/>
              </a:schemeClr>
            </a:solidFill>
            <a:ln>
              <a:solidFill>
                <a:schemeClr val="accent1">
                  <a:lumMod val="75000"/>
                </a:schemeClr>
              </a:solidFill>
            </a:ln>
            <a:effectLst/>
          </c:spPr>
          <c:cat>
            <c:numRef>
              <c:f>'PIB nominal'!$C$75:$T$75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'PIB nominal'!$C$81:$T$81</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0.87376595095195331</c:v>
                </c:pt>
                <c:pt idx="13">
                  <c:v>0.87967161239572444</c:v>
                </c:pt>
                <c:pt idx="14">
                  <c:v>0.77567185368660052</c:v>
                </c:pt>
                <c:pt idx="15">
                  <c:v>0.79894200929719839</c:v>
                </c:pt>
                <c:pt idx="16">
                  <c:v>0.79894200929719839</c:v>
                </c:pt>
                <c:pt idx="17">
                  <c:v>0.84759757766339838</c:v>
                </c:pt>
              </c:numCache>
            </c:numRef>
          </c:val>
          <c:extLst>
            <c:ext xmlns:c16="http://schemas.microsoft.com/office/drawing/2014/chart" uri="{C3380CC4-5D6E-409C-BE32-E72D297353CC}">
              <c16:uniqueId val="{00000004-7A4E-4B85-99FE-406D099694D0}"/>
            </c:ext>
          </c:extLst>
        </c:ser>
        <c:ser>
          <c:idx val="6"/>
          <c:order val="6"/>
          <c:tx>
            <c:strRef>
              <c:f>'PIB nominal'!$B$68</c:f>
              <c:strCache>
                <c:ptCount val="1"/>
                <c:pt idx="0">
                  <c:v>60%</c:v>
                </c:pt>
              </c:strCache>
            </c:strRef>
          </c:tx>
          <c:spPr>
            <a:solidFill>
              <a:schemeClr val="accent1">
                <a:lumMod val="50000"/>
              </a:schemeClr>
            </a:solidFill>
            <a:ln>
              <a:solidFill>
                <a:schemeClr val="accent1">
                  <a:lumMod val="50000"/>
                </a:schemeClr>
              </a:solidFill>
            </a:ln>
            <a:effectLst/>
          </c:spPr>
          <c:cat>
            <c:numRef>
              <c:f>'PIB nominal'!$C$75:$T$75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'PIB nominal'!$C$82:$T$82</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1.6161089905813295</c:v>
                </c:pt>
                <c:pt idx="13">
                  <c:v>1.6270320444542907</c:v>
                </c:pt>
                <c:pt idx="14">
                  <c:v>1.4346751039200552</c:v>
                </c:pt>
                <c:pt idx="15">
                  <c:v>1.477715357037658</c:v>
                </c:pt>
                <c:pt idx="16">
                  <c:v>1.477715357037658</c:v>
                </c:pt>
                <c:pt idx="17">
                  <c:v>1.5677082222812508</c:v>
                </c:pt>
              </c:numCache>
            </c:numRef>
          </c:val>
          <c:extLst>
            <c:ext xmlns:c16="http://schemas.microsoft.com/office/drawing/2014/chart" uri="{C3380CC4-5D6E-409C-BE32-E72D297353CC}">
              <c16:uniqueId val="{00000005-7A4E-4B85-99FE-406D099694D0}"/>
            </c:ext>
          </c:extLst>
        </c:ser>
        <c:ser>
          <c:idx val="7"/>
          <c:order val="7"/>
          <c:tx>
            <c:strRef>
              <c:f>'PIB nominal'!$B$69</c:f>
              <c:strCache>
                <c:ptCount val="1"/>
                <c:pt idx="0">
                  <c:v>70%</c:v>
                </c:pt>
              </c:strCache>
            </c:strRef>
          </c:tx>
          <c:spPr>
            <a:solidFill>
              <a:schemeClr val="accent1">
                <a:lumMod val="75000"/>
              </a:schemeClr>
            </a:solidFill>
            <a:ln>
              <a:solidFill>
                <a:schemeClr val="accent1">
                  <a:lumMod val="75000"/>
                </a:schemeClr>
              </a:solidFill>
            </a:ln>
            <a:effectLst/>
          </c:spPr>
          <c:cat>
            <c:numRef>
              <c:f>'PIB nominal'!$C$75:$T$75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'PIB nominal'!$C$83:$T$83</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0.87376595095195242</c:v>
                </c:pt>
                <c:pt idx="13">
                  <c:v>0.87967161239572444</c:v>
                </c:pt>
                <c:pt idx="14">
                  <c:v>0.77567185368660052</c:v>
                </c:pt>
                <c:pt idx="15">
                  <c:v>0.79894200929719883</c:v>
                </c:pt>
                <c:pt idx="16">
                  <c:v>0.79894200929719883</c:v>
                </c:pt>
                <c:pt idx="17">
                  <c:v>0.84759757766339838</c:v>
                </c:pt>
              </c:numCache>
            </c:numRef>
          </c:val>
          <c:extLst>
            <c:ext xmlns:c16="http://schemas.microsoft.com/office/drawing/2014/chart" uri="{C3380CC4-5D6E-409C-BE32-E72D297353CC}">
              <c16:uniqueId val="{00000006-7A4E-4B85-99FE-406D099694D0}"/>
            </c:ext>
          </c:extLst>
        </c:ser>
        <c:ser>
          <c:idx val="8"/>
          <c:order val="8"/>
          <c:tx>
            <c:strRef>
              <c:f>'PIB nominal'!$B$70</c:f>
              <c:strCache>
                <c:ptCount val="1"/>
                <c:pt idx="0">
                  <c:v>80%</c:v>
                </c:pt>
              </c:strCache>
            </c:strRef>
          </c:tx>
          <c:spPr>
            <a:solidFill>
              <a:schemeClr val="accent1">
                <a:lumMod val="60000"/>
                <a:lumOff val="40000"/>
              </a:schemeClr>
            </a:solidFill>
            <a:ln>
              <a:solidFill>
                <a:schemeClr val="accent1">
                  <a:lumMod val="60000"/>
                  <a:lumOff val="40000"/>
                </a:schemeClr>
              </a:solidFill>
            </a:ln>
            <a:effectLst/>
          </c:spPr>
          <c:cat>
            <c:numRef>
              <c:f>'PIB nominal'!$C$75:$T$75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'PIB nominal'!$C$84:$T$84</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1.0482642837834231</c:v>
                </c:pt>
                <c:pt idx="13">
                  <c:v>1.0553493549708239</c:v>
                </c:pt>
                <c:pt idx="14">
                  <c:v>0.93057997884888444</c:v>
                </c:pt>
                <c:pt idx="15">
                  <c:v>0.95849737821434999</c:v>
                </c:pt>
                <c:pt idx="16">
                  <c:v>0.95849737821434999</c:v>
                </c:pt>
                <c:pt idx="17">
                  <c:v>1.0168698685476052</c:v>
                </c:pt>
              </c:numCache>
            </c:numRef>
          </c:val>
          <c:extLst>
            <c:ext xmlns:c16="http://schemas.microsoft.com/office/drawing/2014/chart" uri="{C3380CC4-5D6E-409C-BE32-E72D297353CC}">
              <c16:uniqueId val="{00000007-7A4E-4B85-99FE-406D099694D0}"/>
            </c:ext>
          </c:extLst>
        </c:ser>
        <c:ser>
          <c:idx val="9"/>
          <c:order val="9"/>
          <c:tx>
            <c:strRef>
              <c:f>'PIB nominal'!$B$71</c:f>
              <c:strCache>
                <c:ptCount val="1"/>
                <c:pt idx="0">
                  <c:v>90%</c:v>
                </c:pt>
              </c:strCache>
            </c:strRef>
          </c:tx>
          <c:spPr>
            <a:solidFill>
              <a:schemeClr val="accent1">
                <a:lumMod val="40000"/>
                <a:lumOff val="60000"/>
              </a:schemeClr>
            </a:solidFill>
            <a:ln>
              <a:solidFill>
                <a:schemeClr val="accent1">
                  <a:lumMod val="40000"/>
                  <a:lumOff val="60000"/>
                </a:schemeClr>
              </a:solidFill>
            </a:ln>
            <a:effectLst/>
          </c:spPr>
          <c:cat>
            <c:numRef>
              <c:f>'PIB nominal'!$C$75:$T$75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'PIB nominal'!$C$85:$T$85</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1.5314979369114123</c:v>
                </c:pt>
                <c:pt idx="13">
                  <c:v>1.5418491165463912</c:v>
                </c:pt>
                <c:pt idx="14">
                  <c:v>1.3595629840542971</c:v>
                </c:pt>
                <c:pt idx="15">
                  <c:v>1.4003498735759266</c:v>
                </c:pt>
                <c:pt idx="16">
                  <c:v>1.4003498735759266</c:v>
                </c:pt>
                <c:pt idx="17">
                  <c:v>1.4856311808767</c:v>
                </c:pt>
              </c:numCache>
            </c:numRef>
          </c:val>
          <c:extLst>
            <c:ext xmlns:c16="http://schemas.microsoft.com/office/drawing/2014/chart" uri="{C3380CC4-5D6E-409C-BE32-E72D297353CC}">
              <c16:uniqueId val="{00000008-7A4E-4B85-99FE-406D099694D0}"/>
            </c:ext>
          </c:extLst>
        </c:ser>
        <c:ser>
          <c:idx val="10"/>
          <c:order val="10"/>
          <c:tx>
            <c:strRef>
              <c:f>'PIB nominal'!$B$72</c:f>
              <c:strCache>
                <c:ptCount val="1"/>
                <c:pt idx="0">
                  <c:v>95%</c:v>
                </c:pt>
              </c:strCache>
            </c:strRef>
          </c:tx>
          <c:spPr>
            <a:solidFill>
              <a:schemeClr val="accent1">
                <a:lumMod val="20000"/>
                <a:lumOff val="80000"/>
              </a:schemeClr>
            </a:solidFill>
            <a:ln>
              <a:solidFill>
                <a:schemeClr val="accent1">
                  <a:lumMod val="20000"/>
                  <a:lumOff val="80000"/>
                </a:schemeClr>
              </a:solidFill>
            </a:ln>
            <a:effectLst/>
          </c:spPr>
          <c:cat>
            <c:numRef>
              <c:f>'PIB nominal'!$C$75:$T$75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'PIB nominal'!$C$86:$T$86</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1.3673671864671579</c:v>
                </c:pt>
                <c:pt idx="13">
                  <c:v>1.3766090293929434</c:v>
                </c:pt>
                <c:pt idx="14">
                  <c:v>1.21385851559182</c:v>
                </c:pt>
                <c:pt idx="15">
                  <c:v>1.250274271059574</c:v>
                </c:pt>
                <c:pt idx="16">
                  <c:v>1.250274271059574</c:v>
                </c:pt>
                <c:pt idx="17">
                  <c:v>1.3264159741671016</c:v>
                </c:pt>
              </c:numCache>
            </c:numRef>
          </c:val>
          <c:extLst>
            <c:ext xmlns:c16="http://schemas.microsoft.com/office/drawing/2014/chart" uri="{C3380CC4-5D6E-409C-BE32-E72D297353CC}">
              <c16:uniqueId val="{00000009-7A4E-4B85-99FE-406D099694D0}"/>
            </c:ext>
          </c:extLst>
        </c:ser>
        <c:dLbls>
          <c:showLegendKey val="0"/>
          <c:showVal val="0"/>
          <c:showCatName val="0"/>
          <c:showSerName val="0"/>
          <c:showPercent val="0"/>
          <c:showBubbleSize val="0"/>
        </c:dLbls>
        <c:axId val="214458128"/>
        <c:axId val="116332096"/>
      </c:areaChart>
      <c:lineChart>
        <c:grouping val="standard"/>
        <c:varyColors val="0"/>
        <c:ser>
          <c:idx val="0"/>
          <c:order val="0"/>
          <c:tx>
            <c:v>Escenario base</c:v>
          </c:tx>
          <c:spPr>
            <a:ln w="28575" cap="rnd">
              <a:solidFill>
                <a:schemeClr val="tx1">
                  <a:lumMod val="95000"/>
                  <a:lumOff val="5000"/>
                </a:schemeClr>
              </a:solidFill>
              <a:round/>
            </a:ln>
            <a:effectLst/>
          </c:spPr>
          <c:marker>
            <c:symbol val="none"/>
          </c:marker>
          <c:cat>
            <c:numRef>
              <c:f>'PIB nominal'!$C$75:$T$75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'PIB nominal'!$C$76:$T$76</c:f>
              <c:numCache>
                <c:formatCode>_(* #,##0.0_);_(* \(#,##0.0\);_(* "-"??_);_(@_)</c:formatCode>
                <c:ptCount val="18"/>
                <c:pt idx="0">
                  <c:v>11.383638254960516</c:v>
                </c:pt>
                <c:pt idx="1">
                  <c:v>6.3910390426584911</c:v>
                </c:pt>
                <c:pt idx="2">
                  <c:v>7.1885072620506207</c:v>
                </c:pt>
                <c:pt idx="3">
                  <c:v>7.3162788400640721</c:v>
                </c:pt>
                <c:pt idx="4">
                  <c:v>7.5047337065699651</c:v>
                </c:pt>
                <c:pt idx="5">
                  <c:v>6.9056995258272735</c:v>
                </c:pt>
                <c:pt idx="6">
                  <c:v>6.4794108932931636</c:v>
                </c:pt>
                <c:pt idx="7">
                  <c:v>6.1749316216046992</c:v>
                </c:pt>
                <c:pt idx="8">
                  <c:v>7.7269503142947542</c:v>
                </c:pt>
                <c:pt idx="9">
                  <c:v>1.0299177839315377</c:v>
                </c:pt>
                <c:pt idx="10">
                  <c:v>10.911455545849776</c:v>
                </c:pt>
                <c:pt idx="11">
                  <c:v>10.59862473080176</c:v>
                </c:pt>
                <c:pt idx="12">
                  <c:v>7.2</c:v>
                </c:pt>
                <c:pt idx="13">
                  <c:v>5.9</c:v>
                </c:pt>
                <c:pt idx="14">
                  <c:v>5.2</c:v>
                </c:pt>
                <c:pt idx="15">
                  <c:v>5.4</c:v>
                </c:pt>
                <c:pt idx="16">
                  <c:v>5.4</c:v>
                </c:pt>
                <c:pt idx="17">
                  <c:v>5.4</c:v>
                </c:pt>
              </c:numCache>
            </c:numRef>
          </c:val>
          <c:smooth val="0"/>
          <c:extLst>
            <c:ext xmlns:c16="http://schemas.microsoft.com/office/drawing/2014/chart" uri="{C3380CC4-5D6E-409C-BE32-E72D297353CC}">
              <c16:uniqueId val="{0000000A-7A4E-4B85-99FE-406D099694D0}"/>
            </c:ext>
          </c:extLst>
        </c:ser>
        <c:dLbls>
          <c:showLegendKey val="0"/>
          <c:showVal val="0"/>
          <c:showCatName val="0"/>
          <c:showSerName val="0"/>
          <c:showPercent val="0"/>
          <c:showBubbleSize val="0"/>
        </c:dLbls>
        <c:marker val="1"/>
        <c:smooth val="0"/>
        <c:axId val="214458128"/>
        <c:axId val="116332096"/>
      </c:lineChart>
      <c:catAx>
        <c:axId val="21445812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16332096"/>
        <c:crosses val="autoZero"/>
        <c:auto val="1"/>
        <c:lblAlgn val="ctr"/>
        <c:lblOffset val="100"/>
        <c:noMultiLvlLbl val="0"/>
      </c:catAx>
      <c:valAx>
        <c:axId val="116332096"/>
        <c:scaling>
          <c:orientation val="minMax"/>
          <c:max val="30"/>
          <c:min val="-5"/>
        </c:scaling>
        <c:delete val="0"/>
        <c:axPos val="l"/>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14458128"/>
        <c:crosses val="autoZero"/>
        <c:crossBetween val="between"/>
        <c:majorUnit val="5"/>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legendEntry>
        <c:idx val="4"/>
        <c:delete val="1"/>
      </c:legendEntry>
      <c:layout>
        <c:manualLayout>
          <c:xMode val="edge"/>
          <c:yMode val="edge"/>
          <c:x val="0.16222727111643126"/>
          <c:y val="8.1143750000000014E-2"/>
          <c:w val="0.80278507329865623"/>
          <c:h val="0.3090187500000000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832699506508723"/>
          <c:y val="9.7013888888888886E-2"/>
          <c:w val="0.84360516726077583"/>
          <c:h val="0.74891111111111108"/>
        </c:manualLayout>
      </c:layout>
      <c:areaChart>
        <c:grouping val="stacked"/>
        <c:varyColors val="0"/>
        <c:ser>
          <c:idx val="1"/>
          <c:order val="1"/>
          <c:spPr>
            <a:noFill/>
            <a:ln>
              <a:noFill/>
            </a:ln>
            <a:effectLst/>
          </c:spPr>
          <c:cat>
            <c:numRef>
              <c:f>Inf!$C$75:$T$75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Inf!$C$77:$T$77</c:f>
              <c:numCache>
                <c:formatCode>_(* #,##0.0_);_(* \(#,##0.0\);_(* "-"??_);_(@_)</c:formatCode>
                <c:ptCount val="18"/>
                <c:pt idx="0">
                  <c:v>6.2</c:v>
                </c:pt>
                <c:pt idx="1">
                  <c:v>3.45</c:v>
                </c:pt>
                <c:pt idx="2">
                  <c:v>4.3899999999999997</c:v>
                </c:pt>
                <c:pt idx="3">
                  <c:v>2.95</c:v>
                </c:pt>
                <c:pt idx="4">
                  <c:v>3.07</c:v>
                </c:pt>
                <c:pt idx="5">
                  <c:v>4.2300000000000004</c:v>
                </c:pt>
                <c:pt idx="6">
                  <c:v>5.68</c:v>
                </c:pt>
                <c:pt idx="7">
                  <c:v>2.31</c:v>
                </c:pt>
                <c:pt idx="8">
                  <c:v>3.41</c:v>
                </c:pt>
                <c:pt idx="9">
                  <c:v>4.82</c:v>
                </c:pt>
                <c:pt idx="10">
                  <c:v>3.07</c:v>
                </c:pt>
                <c:pt idx="11">
                  <c:v>9.24</c:v>
                </c:pt>
                <c:pt idx="12">
                  <c:v>0.26129335567818501</c:v>
                </c:pt>
                <c:pt idx="13">
                  <c:v>-0.3935123309586418</c:v>
                </c:pt>
                <c:pt idx="14">
                  <c:v>-0.91725347127299539</c:v>
                </c:pt>
                <c:pt idx="15">
                  <c:v>-1.034771075411185</c:v>
                </c:pt>
                <c:pt idx="16">
                  <c:v>-1.0157057754111849</c:v>
                </c:pt>
                <c:pt idx="17">
                  <c:v>-1.2804886339037258</c:v>
                </c:pt>
              </c:numCache>
            </c:numRef>
          </c:val>
          <c:extLst>
            <c:ext xmlns:c16="http://schemas.microsoft.com/office/drawing/2014/chart" uri="{C3380CC4-5D6E-409C-BE32-E72D297353CC}">
              <c16:uniqueId val="{00000000-689A-4EDB-BEFF-6920484FDBDA}"/>
            </c:ext>
          </c:extLst>
        </c:ser>
        <c:ser>
          <c:idx val="2"/>
          <c:order val="2"/>
          <c:spPr>
            <a:solidFill>
              <a:schemeClr val="accent1">
                <a:lumMod val="20000"/>
                <a:lumOff val="80000"/>
              </a:schemeClr>
            </a:solidFill>
            <a:ln>
              <a:solidFill>
                <a:schemeClr val="accent1">
                  <a:lumMod val="20000"/>
                  <a:lumOff val="80000"/>
                </a:schemeClr>
              </a:solidFill>
            </a:ln>
            <a:effectLst/>
          </c:spPr>
          <c:cat>
            <c:numRef>
              <c:f>Inf!$C$75:$T$75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Inf!$C$78:$T$78</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1.0521786057379034</c:v>
                </c:pt>
                <c:pt idx="13">
                  <c:v>0.97053340046327596</c:v>
                </c:pt>
                <c:pt idx="14">
                  <c:v>1.1014469080753151</c:v>
                </c:pt>
                <c:pt idx="15">
                  <c:v>1.1344903153175743</c:v>
                </c:pt>
                <c:pt idx="16">
                  <c:v>1.1344903153175743</c:v>
                </c:pt>
                <c:pt idx="17">
                  <c:v>1.2035807755204142</c:v>
                </c:pt>
              </c:numCache>
            </c:numRef>
          </c:val>
          <c:extLst>
            <c:ext xmlns:c16="http://schemas.microsoft.com/office/drawing/2014/chart" uri="{C3380CC4-5D6E-409C-BE32-E72D297353CC}">
              <c16:uniqueId val="{00000001-689A-4EDB-BEFF-6920484FDBDA}"/>
            </c:ext>
          </c:extLst>
        </c:ser>
        <c:ser>
          <c:idx val="3"/>
          <c:order val="3"/>
          <c:spPr>
            <a:solidFill>
              <a:schemeClr val="accent1">
                <a:lumMod val="40000"/>
                <a:lumOff val="60000"/>
              </a:schemeClr>
            </a:solidFill>
            <a:ln>
              <a:solidFill>
                <a:schemeClr val="accent1">
                  <a:lumMod val="40000"/>
                  <a:lumOff val="60000"/>
                </a:schemeClr>
              </a:solidFill>
            </a:ln>
            <a:effectLst/>
          </c:spPr>
          <c:cat>
            <c:numRef>
              <c:f>Inf!$C$75:$T$75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Inf!$C$79:$T$79</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1.178475964538312</c:v>
                </c:pt>
                <c:pt idx="13">
                  <c:v>1.087030546896061</c:v>
                </c:pt>
                <c:pt idx="14">
                  <c:v>1.2336581453977371</c:v>
                </c:pt>
                <c:pt idx="15">
                  <c:v>1.270667889759669</c:v>
                </c:pt>
                <c:pt idx="16">
                  <c:v>1.270667889759669</c:v>
                </c:pt>
                <c:pt idx="17">
                  <c:v>1.3480515642460329</c:v>
                </c:pt>
              </c:numCache>
            </c:numRef>
          </c:val>
          <c:extLst>
            <c:ext xmlns:c16="http://schemas.microsoft.com/office/drawing/2014/chart" uri="{C3380CC4-5D6E-409C-BE32-E72D297353CC}">
              <c16:uniqueId val="{00000002-689A-4EDB-BEFF-6920484FDBDA}"/>
            </c:ext>
          </c:extLst>
        </c:ser>
        <c:ser>
          <c:idx val="4"/>
          <c:order val="4"/>
          <c:spPr>
            <a:solidFill>
              <a:schemeClr val="accent1">
                <a:lumMod val="60000"/>
                <a:lumOff val="40000"/>
              </a:schemeClr>
            </a:solidFill>
            <a:ln>
              <a:solidFill>
                <a:schemeClr val="accent1">
                  <a:lumMod val="60000"/>
                  <a:lumOff val="40000"/>
                </a:schemeClr>
              </a:solidFill>
            </a:ln>
            <a:effectLst/>
          </c:spPr>
          <c:cat>
            <c:numRef>
              <c:f>Inf!$C$75:$T$75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Inf!$C$80:$T$80</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0.80663135950028408</c:v>
                </c:pt>
                <c:pt idx="13">
                  <c:v>0.74403972100069171</c:v>
                </c:pt>
                <c:pt idx="14">
                  <c:v>0.84440190290230133</c:v>
                </c:pt>
                <c:pt idx="15">
                  <c:v>0.86973395998937053</c:v>
                </c:pt>
                <c:pt idx="16">
                  <c:v>0.86973395998937053</c:v>
                </c:pt>
                <c:pt idx="17">
                  <c:v>0.92270075815272312</c:v>
                </c:pt>
              </c:numCache>
            </c:numRef>
          </c:val>
          <c:extLst>
            <c:ext xmlns:c16="http://schemas.microsoft.com/office/drawing/2014/chart" uri="{C3380CC4-5D6E-409C-BE32-E72D297353CC}">
              <c16:uniqueId val="{00000003-689A-4EDB-BEFF-6920484FDBDA}"/>
            </c:ext>
          </c:extLst>
        </c:ser>
        <c:ser>
          <c:idx val="5"/>
          <c:order val="5"/>
          <c:spPr>
            <a:solidFill>
              <a:schemeClr val="accent1">
                <a:lumMod val="75000"/>
              </a:schemeClr>
            </a:solidFill>
            <a:ln>
              <a:solidFill>
                <a:schemeClr val="accent1">
                  <a:lumMod val="75000"/>
                </a:schemeClr>
              </a:solidFill>
            </a:ln>
            <a:effectLst/>
          </c:spPr>
          <c:cat>
            <c:numRef>
              <c:f>Inf!$C$75:$T$75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Inf!$C$81:$T$81</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0.6723562252427655</c:v>
                </c:pt>
                <c:pt idx="13">
                  <c:v>0.62018384526064185</c:v>
                </c:pt>
                <c:pt idx="14">
                  <c:v>0.7038393304903483</c:v>
                </c:pt>
                <c:pt idx="15">
                  <c:v>0.72495451040505876</c:v>
                </c:pt>
                <c:pt idx="16">
                  <c:v>0.72495451040505876</c:v>
                </c:pt>
                <c:pt idx="17">
                  <c:v>0.76910424008872713</c:v>
                </c:pt>
              </c:numCache>
            </c:numRef>
          </c:val>
          <c:extLst>
            <c:ext xmlns:c16="http://schemas.microsoft.com/office/drawing/2014/chart" uri="{C3380CC4-5D6E-409C-BE32-E72D297353CC}">
              <c16:uniqueId val="{00000004-689A-4EDB-BEFF-6920484FDBDA}"/>
            </c:ext>
          </c:extLst>
        </c:ser>
        <c:ser>
          <c:idx val="6"/>
          <c:order val="6"/>
          <c:tx>
            <c:strRef>
              <c:f>Inf!$B$68</c:f>
              <c:strCache>
                <c:ptCount val="1"/>
                <c:pt idx="0">
                  <c:v>60%</c:v>
                </c:pt>
              </c:strCache>
            </c:strRef>
          </c:tx>
          <c:spPr>
            <a:solidFill>
              <a:schemeClr val="accent1">
                <a:lumMod val="50000"/>
              </a:schemeClr>
            </a:solidFill>
            <a:ln>
              <a:solidFill>
                <a:schemeClr val="accent1">
                  <a:lumMod val="50000"/>
                </a:schemeClr>
              </a:solidFill>
            </a:ln>
            <a:effectLst/>
          </c:spPr>
          <c:cat>
            <c:numRef>
              <c:f>Inf!$C$75:$T$75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Inf!$C$82:$T$82</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1.243583524059646</c:v>
                </c:pt>
                <c:pt idx="13">
                  <c:v>1.1470859983123063</c:v>
                </c:pt>
                <c:pt idx="14">
                  <c:v>1.3018143688145871</c:v>
                </c:pt>
                <c:pt idx="15">
                  <c:v>1.3408687998790247</c:v>
                </c:pt>
                <c:pt idx="16">
                  <c:v>1.3408687998790247</c:v>
                </c:pt>
                <c:pt idx="17">
                  <c:v>1.4225277097916571</c:v>
                </c:pt>
              </c:numCache>
            </c:numRef>
          </c:val>
          <c:extLst>
            <c:ext xmlns:c16="http://schemas.microsoft.com/office/drawing/2014/chart" uri="{C3380CC4-5D6E-409C-BE32-E72D297353CC}">
              <c16:uniqueId val="{00000005-689A-4EDB-BEFF-6920484FDBDA}"/>
            </c:ext>
          </c:extLst>
        </c:ser>
        <c:ser>
          <c:idx val="7"/>
          <c:order val="7"/>
          <c:tx>
            <c:strRef>
              <c:f>Inf!$B$69</c:f>
              <c:strCache>
                <c:ptCount val="1"/>
                <c:pt idx="0">
                  <c:v>70%</c:v>
                </c:pt>
              </c:strCache>
            </c:strRef>
          </c:tx>
          <c:spPr>
            <a:solidFill>
              <a:schemeClr val="accent1">
                <a:lumMod val="75000"/>
              </a:schemeClr>
            </a:solidFill>
            <a:ln>
              <a:solidFill>
                <a:schemeClr val="accent1">
                  <a:lumMod val="75000"/>
                </a:schemeClr>
              </a:solidFill>
            </a:ln>
            <a:effectLst/>
          </c:spPr>
          <c:cat>
            <c:numRef>
              <c:f>Inf!$C$75:$T$75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Inf!$C$83:$T$83</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0.67235622524276462</c:v>
                </c:pt>
                <c:pt idx="13">
                  <c:v>0.62018384526064185</c:v>
                </c:pt>
                <c:pt idx="14">
                  <c:v>0.70383933049034786</c:v>
                </c:pt>
                <c:pt idx="15">
                  <c:v>0.72495451040505854</c:v>
                </c:pt>
                <c:pt idx="16">
                  <c:v>0.72495451040505854</c:v>
                </c:pt>
                <c:pt idx="17">
                  <c:v>0.76910424008872713</c:v>
                </c:pt>
              </c:numCache>
            </c:numRef>
          </c:val>
          <c:extLst>
            <c:ext xmlns:c16="http://schemas.microsoft.com/office/drawing/2014/chart" uri="{C3380CC4-5D6E-409C-BE32-E72D297353CC}">
              <c16:uniqueId val="{00000006-689A-4EDB-BEFF-6920484FDBDA}"/>
            </c:ext>
          </c:extLst>
        </c:ser>
        <c:ser>
          <c:idx val="8"/>
          <c:order val="8"/>
          <c:tx>
            <c:strRef>
              <c:f>Inf!$B$70</c:f>
              <c:strCache>
                <c:ptCount val="1"/>
                <c:pt idx="0">
                  <c:v>80%</c:v>
                </c:pt>
              </c:strCache>
            </c:strRef>
          </c:tx>
          <c:spPr>
            <a:solidFill>
              <a:schemeClr val="accent1">
                <a:lumMod val="60000"/>
                <a:lumOff val="40000"/>
              </a:schemeClr>
            </a:solidFill>
            <a:ln>
              <a:solidFill>
                <a:schemeClr val="accent1">
                  <a:lumMod val="60000"/>
                  <a:lumOff val="40000"/>
                </a:schemeClr>
              </a:solidFill>
            </a:ln>
            <a:effectLst/>
          </c:spPr>
          <c:cat>
            <c:numRef>
              <c:f>Inf!$C$75:$T$75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Inf!$C$84:$T$84</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0.80663135950028497</c:v>
                </c:pt>
                <c:pt idx="13">
                  <c:v>0.74403972100069193</c:v>
                </c:pt>
                <c:pt idx="14">
                  <c:v>0.84440190290230177</c:v>
                </c:pt>
                <c:pt idx="15">
                  <c:v>0.86973395998937075</c:v>
                </c:pt>
                <c:pt idx="16">
                  <c:v>0.86973395998937075</c:v>
                </c:pt>
                <c:pt idx="17">
                  <c:v>0.92270075815272357</c:v>
                </c:pt>
              </c:numCache>
            </c:numRef>
          </c:val>
          <c:extLst>
            <c:ext xmlns:c16="http://schemas.microsoft.com/office/drawing/2014/chart" uri="{C3380CC4-5D6E-409C-BE32-E72D297353CC}">
              <c16:uniqueId val="{00000007-689A-4EDB-BEFF-6920484FDBDA}"/>
            </c:ext>
          </c:extLst>
        </c:ser>
        <c:ser>
          <c:idx val="9"/>
          <c:order val="9"/>
          <c:tx>
            <c:strRef>
              <c:f>Inf!$B$71</c:f>
              <c:strCache>
                <c:ptCount val="1"/>
                <c:pt idx="0">
                  <c:v>90%</c:v>
                </c:pt>
              </c:strCache>
            </c:strRef>
          </c:tx>
          <c:spPr>
            <a:solidFill>
              <a:schemeClr val="accent1">
                <a:lumMod val="40000"/>
                <a:lumOff val="60000"/>
              </a:schemeClr>
            </a:solidFill>
            <a:ln>
              <a:solidFill>
                <a:schemeClr val="accent1">
                  <a:lumMod val="40000"/>
                  <a:lumOff val="60000"/>
                </a:schemeClr>
              </a:solidFill>
            </a:ln>
            <a:effectLst/>
          </c:spPr>
          <c:cat>
            <c:numRef>
              <c:f>Inf!$C$75:$T$75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Inf!$C$85:$T$85</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1.1784759645383112</c:v>
                </c:pt>
                <c:pt idx="13">
                  <c:v>1.0870305468960613</c:v>
                </c:pt>
                <c:pt idx="14">
                  <c:v>1.2336581453977367</c:v>
                </c:pt>
                <c:pt idx="15">
                  <c:v>1.270667889759669</c:v>
                </c:pt>
                <c:pt idx="16">
                  <c:v>1.270667889759669</c:v>
                </c:pt>
                <c:pt idx="17">
                  <c:v>1.3480515642460329</c:v>
                </c:pt>
              </c:numCache>
            </c:numRef>
          </c:val>
          <c:extLst>
            <c:ext xmlns:c16="http://schemas.microsoft.com/office/drawing/2014/chart" uri="{C3380CC4-5D6E-409C-BE32-E72D297353CC}">
              <c16:uniqueId val="{00000008-689A-4EDB-BEFF-6920484FDBDA}"/>
            </c:ext>
          </c:extLst>
        </c:ser>
        <c:ser>
          <c:idx val="10"/>
          <c:order val="10"/>
          <c:tx>
            <c:strRef>
              <c:f>Inf!$B$72</c:f>
              <c:strCache>
                <c:ptCount val="1"/>
                <c:pt idx="0">
                  <c:v>95%</c:v>
                </c:pt>
              </c:strCache>
            </c:strRef>
          </c:tx>
          <c:spPr>
            <a:solidFill>
              <a:schemeClr val="accent1">
                <a:lumMod val="20000"/>
                <a:lumOff val="80000"/>
              </a:schemeClr>
            </a:solidFill>
            <a:ln>
              <a:solidFill>
                <a:schemeClr val="accent1">
                  <a:lumMod val="20000"/>
                  <a:lumOff val="80000"/>
                </a:schemeClr>
              </a:solidFill>
            </a:ln>
            <a:effectLst/>
          </c:spPr>
          <c:cat>
            <c:numRef>
              <c:f>Inf!$C$75:$T$75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Inf!$C$86:$T$86</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1.0521786057379039</c:v>
                </c:pt>
                <c:pt idx="13">
                  <c:v>0.97053340046327552</c:v>
                </c:pt>
                <c:pt idx="14">
                  <c:v>1.1014469080753155</c:v>
                </c:pt>
                <c:pt idx="15">
                  <c:v>1.1344903153175743</c:v>
                </c:pt>
                <c:pt idx="16">
                  <c:v>1.1344903153175743</c:v>
                </c:pt>
                <c:pt idx="17">
                  <c:v>1.2035807755204138</c:v>
                </c:pt>
              </c:numCache>
            </c:numRef>
          </c:val>
          <c:extLst>
            <c:ext xmlns:c16="http://schemas.microsoft.com/office/drawing/2014/chart" uri="{C3380CC4-5D6E-409C-BE32-E72D297353CC}">
              <c16:uniqueId val="{00000009-689A-4EDB-BEFF-6920484FDBDA}"/>
            </c:ext>
          </c:extLst>
        </c:ser>
        <c:dLbls>
          <c:showLegendKey val="0"/>
          <c:showVal val="0"/>
          <c:showCatName val="0"/>
          <c:showSerName val="0"/>
          <c:showPercent val="0"/>
          <c:showBubbleSize val="0"/>
        </c:dLbls>
        <c:axId val="214458128"/>
        <c:axId val="116332096"/>
      </c:areaChart>
      <c:lineChart>
        <c:grouping val="standard"/>
        <c:varyColors val="0"/>
        <c:ser>
          <c:idx val="0"/>
          <c:order val="0"/>
          <c:tx>
            <c:v>Escenario base</c:v>
          </c:tx>
          <c:spPr>
            <a:ln w="22225" cap="rnd">
              <a:solidFill>
                <a:schemeClr val="tx1">
                  <a:lumMod val="95000"/>
                  <a:lumOff val="5000"/>
                </a:schemeClr>
              </a:solidFill>
              <a:round/>
            </a:ln>
            <a:effectLst/>
          </c:spPr>
          <c:marker>
            <c:symbol val="none"/>
          </c:marker>
          <c:cat>
            <c:numRef>
              <c:f>Inf!$C$75:$T$75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Inf!$C$76:$T$76</c:f>
              <c:numCache>
                <c:formatCode>_(* #,##0.0_);_(* \(#,##0.0\);_(* "-"??_);_(@_)</c:formatCode>
                <c:ptCount val="18"/>
                <c:pt idx="0">
                  <c:v>6.2</c:v>
                </c:pt>
                <c:pt idx="1">
                  <c:v>3.45</c:v>
                </c:pt>
                <c:pt idx="2">
                  <c:v>4.3899999999999997</c:v>
                </c:pt>
                <c:pt idx="3">
                  <c:v>2.95</c:v>
                </c:pt>
                <c:pt idx="4">
                  <c:v>3.07</c:v>
                </c:pt>
                <c:pt idx="5">
                  <c:v>4.2300000000000004</c:v>
                </c:pt>
                <c:pt idx="6">
                  <c:v>5.68</c:v>
                </c:pt>
                <c:pt idx="7">
                  <c:v>2.31</c:v>
                </c:pt>
                <c:pt idx="8">
                  <c:v>3.41</c:v>
                </c:pt>
                <c:pt idx="9">
                  <c:v>4.82</c:v>
                </c:pt>
                <c:pt idx="10">
                  <c:v>3.07</c:v>
                </c:pt>
                <c:pt idx="11">
                  <c:v>9.24</c:v>
                </c:pt>
                <c:pt idx="12">
                  <c:v>4</c:v>
                </c:pt>
                <c:pt idx="13">
                  <c:v>3</c:v>
                </c:pt>
                <c:pt idx="14">
                  <c:v>3</c:v>
                </c:pt>
                <c:pt idx="15">
                  <c:v>3</c:v>
                </c:pt>
                <c:pt idx="16">
                  <c:v>3</c:v>
                </c:pt>
                <c:pt idx="17">
                  <c:v>3</c:v>
                </c:pt>
              </c:numCache>
            </c:numRef>
          </c:val>
          <c:smooth val="0"/>
          <c:extLst>
            <c:ext xmlns:c16="http://schemas.microsoft.com/office/drawing/2014/chart" uri="{C3380CC4-5D6E-409C-BE32-E72D297353CC}">
              <c16:uniqueId val="{0000000A-689A-4EDB-BEFF-6920484FDBDA}"/>
            </c:ext>
          </c:extLst>
        </c:ser>
        <c:dLbls>
          <c:showLegendKey val="0"/>
          <c:showVal val="0"/>
          <c:showCatName val="0"/>
          <c:showSerName val="0"/>
          <c:showPercent val="0"/>
          <c:showBubbleSize val="0"/>
        </c:dLbls>
        <c:marker val="1"/>
        <c:smooth val="0"/>
        <c:axId val="214458128"/>
        <c:axId val="116332096"/>
      </c:lineChart>
      <c:catAx>
        <c:axId val="21445812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16332096"/>
        <c:crosses val="autoZero"/>
        <c:auto val="1"/>
        <c:lblAlgn val="ctr"/>
        <c:lblOffset val="100"/>
        <c:noMultiLvlLbl val="0"/>
      </c:catAx>
      <c:valAx>
        <c:axId val="116332096"/>
        <c:scaling>
          <c:orientation val="minMax"/>
          <c:max val="20"/>
          <c:min val="-5"/>
        </c:scaling>
        <c:delete val="0"/>
        <c:axPos val="l"/>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14458128"/>
        <c:crosses val="autoZero"/>
        <c:crossBetween val="between"/>
        <c:majorUnit val="10"/>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legendEntry>
        <c:idx val="4"/>
        <c:delete val="1"/>
      </c:legendEntry>
      <c:legendEntry>
        <c:idx val="7"/>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Entry>
      <c:layout>
        <c:manualLayout>
          <c:xMode val="edge"/>
          <c:yMode val="edge"/>
          <c:x val="0.14723137203818007"/>
          <c:y val="3.7046527777777782E-2"/>
          <c:w val="0.84852273386175014"/>
          <c:h val="0.2737409722222222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40861048296474"/>
          <c:y val="9.7013888888888886E-2"/>
          <c:w val="0.85327178930219927"/>
          <c:h val="0.72533333333333339"/>
        </c:manualLayout>
      </c:layout>
      <c:areaChart>
        <c:grouping val="stacked"/>
        <c:varyColors val="0"/>
        <c:ser>
          <c:idx val="1"/>
          <c:order val="1"/>
          <c:spPr>
            <a:noFill/>
            <a:ln>
              <a:noFill/>
            </a:ln>
            <a:effectLst/>
          </c:spPr>
          <c:cat>
            <c:numRef>
              <c:f>Imp!$C$75:$T$75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Imp!$C$77:$T$77</c:f>
              <c:numCache>
                <c:formatCode>_(* #,##0.0_);_(* \(#,##0.0\);_(* "-"??_);_(@_)</c:formatCode>
                <c:ptCount val="18"/>
                <c:pt idx="0">
                  <c:v>20.461646168025055</c:v>
                </c:pt>
                <c:pt idx="1">
                  <c:v>4.8864875749832208</c:v>
                </c:pt>
                <c:pt idx="2">
                  <c:v>2.6938886052153066</c:v>
                </c:pt>
                <c:pt idx="3">
                  <c:v>4.8355690447013444</c:v>
                </c:pt>
                <c:pt idx="4">
                  <c:v>-3.9199556870762677</c:v>
                </c:pt>
                <c:pt idx="5">
                  <c:v>-3.0561022894384706</c:v>
                </c:pt>
                <c:pt idx="6">
                  <c:v>9.25205143793697</c:v>
                </c:pt>
                <c:pt idx="7">
                  <c:v>7.218382798525667</c:v>
                </c:pt>
                <c:pt idx="8">
                  <c:v>1.4554530282143219</c:v>
                </c:pt>
                <c:pt idx="9">
                  <c:v>-8.0770533129297917</c:v>
                </c:pt>
                <c:pt idx="10">
                  <c:v>41.653902259036983</c:v>
                </c:pt>
                <c:pt idx="11">
                  <c:v>22.236388772299676</c:v>
                </c:pt>
                <c:pt idx="12">
                  <c:v>-16.376990975306345</c:v>
                </c:pt>
                <c:pt idx="13">
                  <c:v>-19.743945803926248</c:v>
                </c:pt>
                <c:pt idx="14">
                  <c:v>-19.747560137827211</c:v>
                </c:pt>
                <c:pt idx="15">
                  <c:v>-20.004986941962027</c:v>
                </c:pt>
                <c:pt idx="16">
                  <c:v>-19.987397040773484</c:v>
                </c:pt>
                <c:pt idx="17">
                  <c:v>-21.588690646727514</c:v>
                </c:pt>
              </c:numCache>
            </c:numRef>
          </c:val>
          <c:extLst>
            <c:ext xmlns:c16="http://schemas.microsoft.com/office/drawing/2014/chart" uri="{C3380CC4-5D6E-409C-BE32-E72D297353CC}">
              <c16:uniqueId val="{00000000-F69F-4CA2-AF36-1D7FEF3B8904}"/>
            </c:ext>
          </c:extLst>
        </c:ser>
        <c:ser>
          <c:idx val="2"/>
          <c:order val="2"/>
          <c:spPr>
            <a:solidFill>
              <a:schemeClr val="accent1">
                <a:lumMod val="20000"/>
                <a:lumOff val="80000"/>
              </a:schemeClr>
            </a:solidFill>
            <a:ln>
              <a:solidFill>
                <a:schemeClr val="accent1">
                  <a:lumMod val="20000"/>
                  <a:lumOff val="80000"/>
                </a:schemeClr>
              </a:solidFill>
            </a:ln>
            <a:effectLst/>
          </c:spPr>
          <c:cat>
            <c:numRef>
              <c:f>Imp!$C$75:$T$75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Imp!$C$78:$T$78</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6.0182869653241156</c:v>
                </c:pt>
                <c:pt idx="13">
                  <c:v>6.4276351769015037</c:v>
                </c:pt>
                <c:pt idx="14">
                  <c:v>6.2713407176319258</c:v>
                </c:pt>
                <c:pt idx="15">
                  <c:v>6.4594809391608798</c:v>
                </c:pt>
                <c:pt idx="16">
                  <c:v>6.4594809391608798</c:v>
                </c:pt>
                <c:pt idx="17">
                  <c:v>6.8528633283557774</c:v>
                </c:pt>
              </c:numCache>
            </c:numRef>
          </c:val>
          <c:extLst>
            <c:ext xmlns:c16="http://schemas.microsoft.com/office/drawing/2014/chart" uri="{C3380CC4-5D6E-409C-BE32-E72D297353CC}">
              <c16:uniqueId val="{00000001-F69F-4CA2-AF36-1D7FEF3B8904}"/>
            </c:ext>
          </c:extLst>
        </c:ser>
        <c:ser>
          <c:idx val="3"/>
          <c:order val="3"/>
          <c:spPr>
            <a:solidFill>
              <a:schemeClr val="accent1">
                <a:lumMod val="40000"/>
                <a:lumOff val="60000"/>
              </a:schemeClr>
            </a:solidFill>
            <a:ln>
              <a:solidFill>
                <a:schemeClr val="accent1">
                  <a:lumMod val="40000"/>
                  <a:lumOff val="60000"/>
                </a:schemeClr>
              </a:solidFill>
            </a:ln>
            <a:effectLst/>
          </c:spPr>
          <c:cat>
            <c:numRef>
              <c:f>Imp!$C$75:$T$75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Imp!$C$79:$T$79</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6.7406868925591894</c:v>
                </c:pt>
                <c:pt idx="13">
                  <c:v>7.1991708665156633</c:v>
                </c:pt>
                <c:pt idx="14">
                  <c:v>7.0241157355376487</c:v>
                </c:pt>
                <c:pt idx="15">
                  <c:v>7.2348392076037804</c:v>
                </c:pt>
                <c:pt idx="16">
                  <c:v>7.2348392076037804</c:v>
                </c:pt>
                <c:pt idx="17">
                  <c:v>7.6754409153468508</c:v>
                </c:pt>
              </c:numCache>
            </c:numRef>
          </c:val>
          <c:extLst>
            <c:ext xmlns:c16="http://schemas.microsoft.com/office/drawing/2014/chart" uri="{C3380CC4-5D6E-409C-BE32-E72D297353CC}">
              <c16:uniqueId val="{00000002-F69F-4CA2-AF36-1D7FEF3B8904}"/>
            </c:ext>
          </c:extLst>
        </c:ser>
        <c:ser>
          <c:idx val="4"/>
          <c:order val="4"/>
          <c:spPr>
            <a:solidFill>
              <a:schemeClr val="accent1">
                <a:lumMod val="60000"/>
                <a:lumOff val="40000"/>
              </a:schemeClr>
            </a:solidFill>
            <a:ln>
              <a:solidFill>
                <a:schemeClr val="accent1">
                  <a:lumMod val="60000"/>
                  <a:lumOff val="40000"/>
                </a:schemeClr>
              </a:solidFill>
            </a:ln>
            <a:effectLst/>
          </c:spPr>
          <c:cat>
            <c:numRef>
              <c:f>Imp!$C$75:$T$75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Imp!$C$80:$T$80</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4.6137974771856296</c:v>
                </c:pt>
                <c:pt idx="13">
                  <c:v>4.9276159701800859</c:v>
                </c:pt>
                <c:pt idx="14">
                  <c:v>4.8077959971493973</c:v>
                </c:pt>
                <c:pt idx="15">
                  <c:v>4.9520298770638798</c:v>
                </c:pt>
                <c:pt idx="16">
                  <c:v>4.9520298770638798</c:v>
                </c:pt>
                <c:pt idx="17">
                  <c:v>5.2536084965770709</c:v>
                </c:pt>
              </c:numCache>
            </c:numRef>
          </c:val>
          <c:extLst>
            <c:ext xmlns:c16="http://schemas.microsoft.com/office/drawing/2014/chart" uri="{C3380CC4-5D6E-409C-BE32-E72D297353CC}">
              <c16:uniqueId val="{00000003-F69F-4CA2-AF36-1D7FEF3B8904}"/>
            </c:ext>
          </c:extLst>
        </c:ser>
        <c:ser>
          <c:idx val="5"/>
          <c:order val="5"/>
          <c:spPr>
            <a:solidFill>
              <a:schemeClr val="accent1">
                <a:lumMod val="75000"/>
              </a:schemeClr>
            </a:solidFill>
            <a:ln>
              <a:solidFill>
                <a:schemeClr val="accent1">
                  <a:lumMod val="75000"/>
                </a:schemeClr>
              </a:solidFill>
            </a:ln>
            <a:effectLst/>
          </c:spPr>
          <c:cat>
            <c:numRef>
              <c:f>Imp!$C$75:$T$75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Imp!$C$81:$T$81</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3.8457659986302968</c:v>
                </c:pt>
                <c:pt idx="13">
                  <c:v>4.1073449899204961</c:v>
                </c:pt>
                <c:pt idx="14">
                  <c:v>4.0074707365496476</c:v>
                </c:pt>
                <c:pt idx="15">
                  <c:v>4.1276948586461355</c:v>
                </c:pt>
                <c:pt idx="16">
                  <c:v>4.1276948586461355</c:v>
                </c:pt>
                <c:pt idx="17">
                  <c:v>4.3790714755376863</c:v>
                </c:pt>
              </c:numCache>
            </c:numRef>
          </c:val>
          <c:extLst>
            <c:ext xmlns:c16="http://schemas.microsoft.com/office/drawing/2014/chart" uri="{C3380CC4-5D6E-409C-BE32-E72D297353CC}">
              <c16:uniqueId val="{00000004-F69F-4CA2-AF36-1D7FEF3B8904}"/>
            </c:ext>
          </c:extLst>
        </c:ser>
        <c:ser>
          <c:idx val="6"/>
          <c:order val="6"/>
          <c:tx>
            <c:strRef>
              <c:f>Imp!$B$68</c:f>
              <c:strCache>
                <c:ptCount val="1"/>
                <c:pt idx="0">
                  <c:v>60%</c:v>
                </c:pt>
              </c:strCache>
            </c:strRef>
          </c:tx>
          <c:spPr>
            <a:solidFill>
              <a:schemeClr val="accent1">
                <a:lumMod val="50000"/>
              </a:schemeClr>
            </a:solidFill>
            <a:ln>
              <a:solidFill>
                <a:schemeClr val="accent1">
                  <a:lumMod val="50000"/>
                </a:schemeClr>
              </a:solidFill>
            </a:ln>
            <a:effectLst/>
          </c:spPr>
          <c:cat>
            <c:numRef>
              <c:f>Imp!$C$75:$T$75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Imp!$C$82:$T$82</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7.113091325299493</c:v>
                </c:pt>
                <c:pt idx="13">
                  <c:v>7.5969052792659042</c:v>
                </c:pt>
                <c:pt idx="14">
                  <c:v>7.412178833214333</c:v>
                </c:pt>
                <c:pt idx="15">
                  <c:v>7.6345441982107616</c:v>
                </c:pt>
                <c:pt idx="16">
                  <c:v>7.6345441982107616</c:v>
                </c:pt>
                <c:pt idx="17">
                  <c:v>8.0994879398817972</c:v>
                </c:pt>
              </c:numCache>
            </c:numRef>
          </c:val>
          <c:extLst>
            <c:ext xmlns:c16="http://schemas.microsoft.com/office/drawing/2014/chart" uri="{C3380CC4-5D6E-409C-BE32-E72D297353CC}">
              <c16:uniqueId val="{00000005-F69F-4CA2-AF36-1D7FEF3B8904}"/>
            </c:ext>
          </c:extLst>
        </c:ser>
        <c:ser>
          <c:idx val="7"/>
          <c:order val="7"/>
          <c:tx>
            <c:strRef>
              <c:f>Imp!$B$69</c:f>
              <c:strCache>
                <c:ptCount val="1"/>
                <c:pt idx="0">
                  <c:v>70%</c:v>
                </c:pt>
              </c:strCache>
            </c:strRef>
          </c:tx>
          <c:spPr>
            <a:solidFill>
              <a:schemeClr val="accent1">
                <a:lumMod val="75000"/>
              </a:schemeClr>
            </a:solidFill>
            <a:ln>
              <a:solidFill>
                <a:schemeClr val="accent1">
                  <a:lumMod val="75000"/>
                </a:schemeClr>
              </a:solidFill>
            </a:ln>
            <a:effectLst/>
          </c:spPr>
          <c:cat>
            <c:numRef>
              <c:f>Imp!$C$75:$T$75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Imp!$C$83:$T$83</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3.8457659986302968</c:v>
                </c:pt>
                <c:pt idx="13">
                  <c:v>4.1073449899204952</c:v>
                </c:pt>
                <c:pt idx="14">
                  <c:v>4.0074707365496458</c:v>
                </c:pt>
                <c:pt idx="15">
                  <c:v>4.1276948586461373</c:v>
                </c:pt>
                <c:pt idx="16">
                  <c:v>4.1276948586461373</c:v>
                </c:pt>
                <c:pt idx="17">
                  <c:v>4.3790714755376872</c:v>
                </c:pt>
              </c:numCache>
            </c:numRef>
          </c:val>
          <c:extLst>
            <c:ext xmlns:c16="http://schemas.microsoft.com/office/drawing/2014/chart" uri="{C3380CC4-5D6E-409C-BE32-E72D297353CC}">
              <c16:uniqueId val="{00000006-F69F-4CA2-AF36-1D7FEF3B8904}"/>
            </c:ext>
          </c:extLst>
        </c:ser>
        <c:ser>
          <c:idx val="8"/>
          <c:order val="8"/>
          <c:tx>
            <c:strRef>
              <c:f>Imp!$B$70</c:f>
              <c:strCache>
                <c:ptCount val="1"/>
                <c:pt idx="0">
                  <c:v>80%</c:v>
                </c:pt>
              </c:strCache>
            </c:strRef>
          </c:tx>
          <c:spPr>
            <a:solidFill>
              <a:schemeClr val="accent1">
                <a:lumMod val="60000"/>
                <a:lumOff val="40000"/>
              </a:schemeClr>
            </a:solidFill>
            <a:ln>
              <a:solidFill>
                <a:schemeClr val="accent1">
                  <a:lumMod val="60000"/>
                  <a:lumOff val="40000"/>
                </a:schemeClr>
              </a:solidFill>
            </a:ln>
            <a:effectLst/>
          </c:spPr>
          <c:cat>
            <c:numRef>
              <c:f>Imp!$C$75:$T$75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Imp!$C$84:$T$84</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4.6137974771856296</c:v>
                </c:pt>
                <c:pt idx="13">
                  <c:v>4.927615970180085</c:v>
                </c:pt>
                <c:pt idx="14">
                  <c:v>4.8077959971493982</c:v>
                </c:pt>
                <c:pt idx="15">
                  <c:v>4.9520298770638789</c:v>
                </c:pt>
                <c:pt idx="16">
                  <c:v>4.9520298770638789</c:v>
                </c:pt>
                <c:pt idx="17">
                  <c:v>5.2536084965770709</c:v>
                </c:pt>
              </c:numCache>
            </c:numRef>
          </c:val>
          <c:extLst>
            <c:ext xmlns:c16="http://schemas.microsoft.com/office/drawing/2014/chart" uri="{C3380CC4-5D6E-409C-BE32-E72D297353CC}">
              <c16:uniqueId val="{00000007-F69F-4CA2-AF36-1D7FEF3B8904}"/>
            </c:ext>
          </c:extLst>
        </c:ser>
        <c:ser>
          <c:idx val="9"/>
          <c:order val="9"/>
          <c:tx>
            <c:strRef>
              <c:f>Imp!$B$71</c:f>
              <c:strCache>
                <c:ptCount val="1"/>
                <c:pt idx="0">
                  <c:v>90%</c:v>
                </c:pt>
              </c:strCache>
            </c:strRef>
          </c:tx>
          <c:spPr>
            <a:solidFill>
              <a:schemeClr val="accent1">
                <a:lumMod val="40000"/>
                <a:lumOff val="60000"/>
              </a:schemeClr>
            </a:solidFill>
            <a:ln>
              <a:solidFill>
                <a:schemeClr val="accent1">
                  <a:lumMod val="40000"/>
                  <a:lumOff val="60000"/>
                </a:schemeClr>
              </a:solidFill>
            </a:ln>
            <a:effectLst/>
          </c:spPr>
          <c:cat>
            <c:numRef>
              <c:f>Imp!$C$75:$T$75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Imp!$C$85:$T$85</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6.7406868925591894</c:v>
                </c:pt>
                <c:pt idx="13">
                  <c:v>7.1991708665156651</c:v>
                </c:pt>
                <c:pt idx="14">
                  <c:v>7.0241157355376487</c:v>
                </c:pt>
                <c:pt idx="15">
                  <c:v>7.2348392076037804</c:v>
                </c:pt>
                <c:pt idx="16">
                  <c:v>7.2348392076037804</c:v>
                </c:pt>
                <c:pt idx="17">
                  <c:v>7.6754409153468508</c:v>
                </c:pt>
              </c:numCache>
            </c:numRef>
          </c:val>
          <c:extLst>
            <c:ext xmlns:c16="http://schemas.microsoft.com/office/drawing/2014/chart" uri="{C3380CC4-5D6E-409C-BE32-E72D297353CC}">
              <c16:uniqueId val="{00000008-F69F-4CA2-AF36-1D7FEF3B8904}"/>
            </c:ext>
          </c:extLst>
        </c:ser>
        <c:ser>
          <c:idx val="10"/>
          <c:order val="10"/>
          <c:tx>
            <c:strRef>
              <c:f>Imp!$B$72</c:f>
              <c:strCache>
                <c:ptCount val="1"/>
                <c:pt idx="0">
                  <c:v>95%</c:v>
                </c:pt>
              </c:strCache>
            </c:strRef>
          </c:tx>
          <c:spPr>
            <a:solidFill>
              <a:schemeClr val="accent1">
                <a:lumMod val="20000"/>
                <a:lumOff val="80000"/>
              </a:schemeClr>
            </a:solidFill>
            <a:ln>
              <a:solidFill>
                <a:schemeClr val="accent1">
                  <a:lumMod val="20000"/>
                  <a:lumOff val="80000"/>
                </a:schemeClr>
              </a:solidFill>
            </a:ln>
            <a:effectLst/>
          </c:spPr>
          <c:cat>
            <c:numRef>
              <c:f>Imp!$C$75:$T$75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Imp!$C$86:$T$86</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6.0182869653241156</c:v>
                </c:pt>
                <c:pt idx="13">
                  <c:v>6.4276351769015037</c:v>
                </c:pt>
                <c:pt idx="14">
                  <c:v>6.2713407176319258</c:v>
                </c:pt>
                <c:pt idx="15">
                  <c:v>6.4594809391608798</c:v>
                </c:pt>
                <c:pt idx="16">
                  <c:v>6.4594809391608798</c:v>
                </c:pt>
                <c:pt idx="17">
                  <c:v>6.8528633283557774</c:v>
                </c:pt>
              </c:numCache>
            </c:numRef>
          </c:val>
          <c:extLst>
            <c:ext xmlns:c16="http://schemas.microsoft.com/office/drawing/2014/chart" uri="{C3380CC4-5D6E-409C-BE32-E72D297353CC}">
              <c16:uniqueId val="{00000009-F69F-4CA2-AF36-1D7FEF3B8904}"/>
            </c:ext>
          </c:extLst>
        </c:ser>
        <c:dLbls>
          <c:showLegendKey val="0"/>
          <c:showVal val="0"/>
          <c:showCatName val="0"/>
          <c:showSerName val="0"/>
          <c:showPercent val="0"/>
          <c:showBubbleSize val="0"/>
        </c:dLbls>
        <c:axId val="214458128"/>
        <c:axId val="116332096"/>
      </c:areaChart>
      <c:lineChart>
        <c:grouping val="standard"/>
        <c:varyColors val="0"/>
        <c:ser>
          <c:idx val="0"/>
          <c:order val="0"/>
          <c:tx>
            <c:v>Escenario base</c:v>
          </c:tx>
          <c:spPr>
            <a:ln w="22225" cap="rnd">
              <a:solidFill>
                <a:schemeClr val="tx1">
                  <a:lumMod val="95000"/>
                  <a:lumOff val="5000"/>
                </a:schemeClr>
              </a:solidFill>
              <a:round/>
            </a:ln>
            <a:effectLst/>
          </c:spPr>
          <c:marker>
            <c:symbol val="none"/>
          </c:marker>
          <c:cat>
            <c:numRef>
              <c:f>Imp!$C$75:$T$75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Imp!$C$76:$T$76</c:f>
              <c:numCache>
                <c:formatCode>_(* #,##0.0_);_(* \(#,##0.0\);_(* "-"??_);_(@_)</c:formatCode>
                <c:ptCount val="18"/>
                <c:pt idx="0">
                  <c:v>20.461646168025055</c:v>
                </c:pt>
                <c:pt idx="1">
                  <c:v>4.8864875749832208</c:v>
                </c:pt>
                <c:pt idx="2">
                  <c:v>2.6938886052153066</c:v>
                </c:pt>
                <c:pt idx="3">
                  <c:v>4.8355690447013444</c:v>
                </c:pt>
                <c:pt idx="4">
                  <c:v>-3.9199556870762677</c:v>
                </c:pt>
                <c:pt idx="5">
                  <c:v>-3.0561022894384706</c:v>
                </c:pt>
                <c:pt idx="6">
                  <c:v>9.25205143793697</c:v>
                </c:pt>
                <c:pt idx="7">
                  <c:v>7.218382798525667</c:v>
                </c:pt>
                <c:pt idx="8">
                  <c:v>1.4554530282143219</c:v>
                </c:pt>
                <c:pt idx="9">
                  <c:v>-8.0770533129297917</c:v>
                </c:pt>
                <c:pt idx="10">
                  <c:v>41.653902259036983</c:v>
                </c:pt>
                <c:pt idx="11">
                  <c:v>22.236388772299676</c:v>
                </c:pt>
                <c:pt idx="12">
                  <c:v>8</c:v>
                </c:pt>
                <c:pt idx="13">
                  <c:v>6</c:v>
                </c:pt>
                <c:pt idx="14">
                  <c:v>5.5</c:v>
                </c:pt>
                <c:pt idx="15">
                  <c:v>6</c:v>
                </c:pt>
                <c:pt idx="16">
                  <c:v>6</c:v>
                </c:pt>
                <c:pt idx="17">
                  <c:v>6</c:v>
                </c:pt>
              </c:numCache>
            </c:numRef>
          </c:val>
          <c:smooth val="0"/>
          <c:extLst>
            <c:ext xmlns:c16="http://schemas.microsoft.com/office/drawing/2014/chart" uri="{C3380CC4-5D6E-409C-BE32-E72D297353CC}">
              <c16:uniqueId val="{0000000A-F69F-4CA2-AF36-1D7FEF3B8904}"/>
            </c:ext>
          </c:extLst>
        </c:ser>
        <c:dLbls>
          <c:showLegendKey val="0"/>
          <c:showVal val="0"/>
          <c:showCatName val="0"/>
          <c:showSerName val="0"/>
          <c:showPercent val="0"/>
          <c:showBubbleSize val="0"/>
        </c:dLbls>
        <c:marker val="1"/>
        <c:smooth val="0"/>
        <c:axId val="214458128"/>
        <c:axId val="116332096"/>
      </c:lineChart>
      <c:catAx>
        <c:axId val="21445812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16332096"/>
        <c:crosses val="autoZero"/>
        <c:auto val="1"/>
        <c:lblAlgn val="ctr"/>
        <c:lblOffset val="100"/>
        <c:noMultiLvlLbl val="0"/>
      </c:catAx>
      <c:valAx>
        <c:axId val="116332096"/>
        <c:scaling>
          <c:orientation val="minMax"/>
          <c:max val="70"/>
          <c:min val="-40"/>
        </c:scaling>
        <c:delete val="0"/>
        <c:axPos val="l"/>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14458128"/>
        <c:crosses val="autoZero"/>
        <c:crossBetween val="between"/>
        <c:majorUnit val="15"/>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legendEntry>
        <c:idx val="4"/>
        <c:delete val="1"/>
      </c:legendEntry>
      <c:layout>
        <c:manualLayout>
          <c:xMode val="edge"/>
          <c:yMode val="edge"/>
          <c:x val="0.13204313913429191"/>
          <c:y val="4.5865972222222225E-2"/>
          <c:w val="0.86346369654036259"/>
          <c:h val="0.2296437500000000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632099599288239"/>
          <c:y val="9.7013888888888886E-2"/>
          <c:w val="0.84637828849271945"/>
          <c:h val="0.75244955871473274"/>
        </c:manualLayout>
      </c:layout>
      <c:areaChart>
        <c:grouping val="stacked"/>
        <c:varyColors val="0"/>
        <c:ser>
          <c:idx val="1"/>
          <c:order val="1"/>
          <c:spPr>
            <a:noFill/>
            <a:ln>
              <a:noFill/>
            </a:ln>
            <a:effectLst/>
          </c:spPr>
          <c:cat>
            <c:numRef>
              <c:f>Exp!$C$75:$T$75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Exp!$C$77:$T$77</c:f>
              <c:numCache>
                <c:formatCode>_(* #,##0.0_);_(* \(#,##0.0\);_(* "-"??_);_(@_)</c:formatCode>
                <c:ptCount val="18"/>
                <c:pt idx="0">
                  <c:v>0</c:v>
                </c:pt>
                <c:pt idx="1">
                  <c:v>-4.3379671850234871</c:v>
                </c:pt>
                <c:pt idx="2">
                  <c:v>0.97285508696491263</c:v>
                </c:pt>
                <c:pt idx="3">
                  <c:v>8.2213346497232607</c:v>
                </c:pt>
                <c:pt idx="4">
                  <c:v>-3.0979923741458038</c:v>
                </c:pt>
                <c:pt idx="5">
                  <c:v>-1.2365684787066016</c:v>
                </c:pt>
                <c:pt idx="6">
                  <c:v>7.5564071125509855</c:v>
                </c:pt>
                <c:pt idx="7">
                  <c:v>-6.6963064049247123E-2</c:v>
                </c:pt>
                <c:pt idx="8">
                  <c:v>2.8457011961292125</c:v>
                </c:pt>
                <c:pt idx="9">
                  <c:v>2.0982006020369539</c:v>
                </c:pt>
                <c:pt idx="10">
                  <c:v>22.068803645706552</c:v>
                </c:pt>
                <c:pt idx="11">
                  <c:v>15.53380582154989</c:v>
                </c:pt>
                <c:pt idx="12">
                  <c:v>-12.779098671665691</c:v>
                </c:pt>
                <c:pt idx="13">
                  <c:v>-13.55317325893337</c:v>
                </c:pt>
                <c:pt idx="14">
                  <c:v>-11.781501610506103</c:v>
                </c:pt>
                <c:pt idx="15">
                  <c:v>-11.739946658821285</c:v>
                </c:pt>
                <c:pt idx="16">
                  <c:v>-11.783220303650205</c:v>
                </c:pt>
                <c:pt idx="17">
                  <c:v>-12.698509410343503</c:v>
                </c:pt>
              </c:numCache>
            </c:numRef>
          </c:val>
          <c:extLst>
            <c:ext xmlns:c16="http://schemas.microsoft.com/office/drawing/2014/chart" uri="{C3380CC4-5D6E-409C-BE32-E72D297353CC}">
              <c16:uniqueId val="{00000000-07C3-4178-BDE5-70C3629D8F52}"/>
            </c:ext>
          </c:extLst>
        </c:ser>
        <c:ser>
          <c:idx val="2"/>
          <c:order val="2"/>
          <c:spPr>
            <a:solidFill>
              <a:schemeClr val="accent1">
                <a:lumMod val="20000"/>
                <a:lumOff val="80000"/>
              </a:schemeClr>
            </a:solidFill>
            <a:ln>
              <a:solidFill>
                <a:schemeClr val="accent1">
                  <a:lumMod val="20000"/>
                  <a:lumOff val="80000"/>
                </a:schemeClr>
              </a:solidFill>
            </a:ln>
            <a:effectLst/>
          </c:spPr>
          <c:cat>
            <c:numRef>
              <c:f>Exp!$C$75:$T$75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Exp!$C$78:$T$78</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3.9314492673024724</c:v>
                </c:pt>
                <c:pt idx="13">
                  <c:v>3.8544848041072921</c:v>
                </c:pt>
                <c:pt idx="14">
                  <c:v>3.3719444111424153</c:v>
                </c:pt>
                <c:pt idx="15">
                  <c:v>3.4731027434766872</c:v>
                </c:pt>
                <c:pt idx="16">
                  <c:v>3.4731027434766872</c:v>
                </c:pt>
                <c:pt idx="17">
                  <c:v>3.6846147005544179</c:v>
                </c:pt>
              </c:numCache>
            </c:numRef>
          </c:val>
          <c:extLst>
            <c:ext xmlns:c16="http://schemas.microsoft.com/office/drawing/2014/chart" uri="{C3380CC4-5D6E-409C-BE32-E72D297353CC}">
              <c16:uniqueId val="{00000001-07C3-4178-BDE5-70C3629D8F52}"/>
            </c:ext>
          </c:extLst>
        </c:ser>
        <c:ser>
          <c:idx val="3"/>
          <c:order val="3"/>
          <c:spPr>
            <a:solidFill>
              <a:schemeClr val="accent1">
                <a:lumMod val="40000"/>
                <a:lumOff val="60000"/>
              </a:schemeClr>
            </a:solidFill>
            <a:ln>
              <a:solidFill>
                <a:schemeClr val="accent1">
                  <a:lumMod val="40000"/>
                  <a:lumOff val="60000"/>
                </a:schemeClr>
              </a:solidFill>
            </a:ln>
            <a:effectLst/>
          </c:spPr>
          <c:cat>
            <c:numRef>
              <c:f>Exp!$C$75:$T$75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Exp!$C$79:$T$79</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4.403357416746247</c:v>
                </c:pt>
                <c:pt idx="13">
                  <c:v>4.3171545900545718</c:v>
                </c:pt>
                <c:pt idx="14">
                  <c:v>3.7766928738337109</c:v>
                </c:pt>
                <c:pt idx="15">
                  <c:v>3.8899936600487219</c:v>
                </c:pt>
                <c:pt idx="16">
                  <c:v>3.8899936600487219</c:v>
                </c:pt>
                <c:pt idx="17">
                  <c:v>4.1268942739456902</c:v>
                </c:pt>
              </c:numCache>
            </c:numRef>
          </c:val>
          <c:extLst>
            <c:ext xmlns:c16="http://schemas.microsoft.com/office/drawing/2014/chart" uri="{C3380CC4-5D6E-409C-BE32-E72D297353CC}">
              <c16:uniqueId val="{00000002-07C3-4178-BDE5-70C3629D8F52}"/>
            </c:ext>
          </c:extLst>
        </c:ser>
        <c:ser>
          <c:idx val="4"/>
          <c:order val="4"/>
          <c:spPr>
            <a:solidFill>
              <a:schemeClr val="accent1">
                <a:lumMod val="60000"/>
                <a:lumOff val="40000"/>
              </a:schemeClr>
            </a:solidFill>
            <a:ln>
              <a:solidFill>
                <a:schemeClr val="accent1">
                  <a:lumMod val="60000"/>
                  <a:lumOff val="40000"/>
                </a:schemeClr>
              </a:solidFill>
            </a:ln>
            <a:effectLst/>
          </c:spPr>
          <c:cat>
            <c:numRef>
              <c:f>Exp!$C$75:$T$75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Exp!$C$80:$T$80</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3.0139657373726729</c:v>
                </c:pt>
                <c:pt idx="13">
                  <c:v>2.954962494727571</c:v>
                </c:pt>
                <c:pt idx="14">
                  <c:v>2.5850327023249893</c:v>
                </c:pt>
                <c:pt idx="15">
                  <c:v>2.6625836833947387</c:v>
                </c:pt>
                <c:pt idx="16">
                  <c:v>2.6625836833947387</c:v>
                </c:pt>
                <c:pt idx="17">
                  <c:v>2.8247350297134792</c:v>
                </c:pt>
              </c:numCache>
            </c:numRef>
          </c:val>
          <c:extLst>
            <c:ext xmlns:c16="http://schemas.microsoft.com/office/drawing/2014/chart" uri="{C3380CC4-5D6E-409C-BE32-E72D297353CC}">
              <c16:uniqueId val="{00000003-07C3-4178-BDE5-70C3629D8F52}"/>
            </c:ext>
          </c:extLst>
        </c:ser>
        <c:ser>
          <c:idx val="5"/>
          <c:order val="5"/>
          <c:spPr>
            <a:solidFill>
              <a:schemeClr val="accent1">
                <a:lumMod val="75000"/>
              </a:schemeClr>
            </a:solidFill>
            <a:ln>
              <a:solidFill>
                <a:schemeClr val="accent1">
                  <a:lumMod val="75000"/>
                </a:schemeClr>
              </a:solidFill>
            </a:ln>
            <a:effectLst/>
          </c:spPr>
          <c:cat>
            <c:numRef>
              <c:f>Exp!$C$75:$T$75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Exp!$C$81:$T$81</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2.5122487519532197</c:v>
                </c:pt>
                <c:pt idx="13">
                  <c:v>2.4630674288683845</c:v>
                </c:pt>
                <c:pt idx="14">
                  <c:v>2.154717653106224</c:v>
                </c:pt>
                <c:pt idx="15">
                  <c:v>2.219359182699411</c:v>
                </c:pt>
                <c:pt idx="16">
                  <c:v>2.219359182699411</c:v>
                </c:pt>
                <c:pt idx="17">
                  <c:v>2.3545181569258049</c:v>
                </c:pt>
              </c:numCache>
            </c:numRef>
          </c:val>
          <c:extLst>
            <c:ext xmlns:c16="http://schemas.microsoft.com/office/drawing/2014/chart" uri="{C3380CC4-5D6E-409C-BE32-E72D297353CC}">
              <c16:uniqueId val="{00000004-07C3-4178-BDE5-70C3629D8F52}"/>
            </c:ext>
          </c:extLst>
        </c:ser>
        <c:ser>
          <c:idx val="6"/>
          <c:order val="6"/>
          <c:tx>
            <c:strRef>
              <c:f>Exp!$B$82</c:f>
              <c:strCache>
                <c:ptCount val="1"/>
                <c:pt idx="0">
                  <c:v>60%</c:v>
                </c:pt>
              </c:strCache>
            </c:strRef>
          </c:tx>
          <c:spPr>
            <a:solidFill>
              <a:schemeClr val="accent1">
                <a:lumMod val="50000"/>
              </a:schemeClr>
            </a:solidFill>
            <a:ln>
              <a:solidFill>
                <a:schemeClr val="accent1">
                  <a:lumMod val="50000"/>
                </a:schemeClr>
              </a:solidFill>
            </a:ln>
            <a:effectLst/>
          </c:spPr>
          <c:cat>
            <c:numRef>
              <c:f>Exp!$C$75:$T$75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Exp!$C$82:$T$82</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4.6466308170797284</c:v>
                </c:pt>
                <c:pt idx="13">
                  <c:v>4.555665521030491</c:v>
                </c:pt>
                <c:pt idx="14">
                  <c:v>3.9853447797495498</c:v>
                </c:pt>
                <c:pt idx="15">
                  <c:v>4.1049051231420357</c:v>
                </c:pt>
                <c:pt idx="16">
                  <c:v>4.1049051231420357</c:v>
                </c:pt>
                <c:pt idx="17">
                  <c:v>4.3548938451413868</c:v>
                </c:pt>
              </c:numCache>
            </c:numRef>
          </c:val>
          <c:extLst>
            <c:ext xmlns:c16="http://schemas.microsoft.com/office/drawing/2014/chart" uri="{C3380CC4-5D6E-409C-BE32-E72D297353CC}">
              <c16:uniqueId val="{00000005-07C3-4178-BDE5-70C3629D8F52}"/>
            </c:ext>
          </c:extLst>
        </c:ser>
        <c:ser>
          <c:idx val="7"/>
          <c:order val="7"/>
          <c:tx>
            <c:strRef>
              <c:f>Exp!$B$83</c:f>
              <c:strCache>
                <c:ptCount val="1"/>
                <c:pt idx="0">
                  <c:v>70%</c:v>
                </c:pt>
              </c:strCache>
            </c:strRef>
          </c:tx>
          <c:spPr>
            <a:solidFill>
              <a:schemeClr val="accent1">
                <a:lumMod val="75000"/>
              </a:schemeClr>
            </a:solidFill>
            <a:ln>
              <a:solidFill>
                <a:schemeClr val="accent1">
                  <a:lumMod val="75000"/>
                </a:schemeClr>
              </a:solidFill>
            </a:ln>
            <a:effectLst/>
          </c:spPr>
          <c:cat>
            <c:numRef>
              <c:f>Exp!$C$75:$T$75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Exp!$C$83:$T$83</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2.5122487519532193</c:v>
                </c:pt>
                <c:pt idx="13">
                  <c:v>2.4630674288683849</c:v>
                </c:pt>
                <c:pt idx="14">
                  <c:v>2.154717653106224</c:v>
                </c:pt>
                <c:pt idx="15">
                  <c:v>2.2193591826994119</c:v>
                </c:pt>
                <c:pt idx="16">
                  <c:v>2.2193591826994119</c:v>
                </c:pt>
                <c:pt idx="17">
                  <c:v>2.3545181569258045</c:v>
                </c:pt>
              </c:numCache>
            </c:numRef>
          </c:val>
          <c:extLst>
            <c:ext xmlns:c16="http://schemas.microsoft.com/office/drawing/2014/chart" uri="{C3380CC4-5D6E-409C-BE32-E72D297353CC}">
              <c16:uniqueId val="{00000006-07C3-4178-BDE5-70C3629D8F52}"/>
            </c:ext>
          </c:extLst>
        </c:ser>
        <c:ser>
          <c:idx val="8"/>
          <c:order val="8"/>
          <c:tx>
            <c:strRef>
              <c:f>Exp!$B$84</c:f>
              <c:strCache>
                <c:ptCount val="1"/>
                <c:pt idx="0">
                  <c:v>80%</c:v>
                </c:pt>
              </c:strCache>
            </c:strRef>
          </c:tx>
          <c:spPr>
            <a:solidFill>
              <a:schemeClr val="accent1">
                <a:lumMod val="60000"/>
                <a:lumOff val="40000"/>
              </a:schemeClr>
            </a:solidFill>
            <a:ln>
              <a:solidFill>
                <a:schemeClr val="accent1">
                  <a:lumMod val="60000"/>
                  <a:lumOff val="40000"/>
                </a:schemeClr>
              </a:solidFill>
            </a:ln>
            <a:effectLst/>
          </c:spPr>
          <c:cat>
            <c:numRef>
              <c:f>Exp!$C$75:$T$75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Exp!$C$84:$T$84</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3.0139657373726738</c:v>
                </c:pt>
                <c:pt idx="13">
                  <c:v>2.954962494727571</c:v>
                </c:pt>
                <c:pt idx="14">
                  <c:v>2.5850327023249902</c:v>
                </c:pt>
                <c:pt idx="15">
                  <c:v>2.6625836833947378</c:v>
                </c:pt>
                <c:pt idx="16">
                  <c:v>2.6625836833947378</c:v>
                </c:pt>
                <c:pt idx="17">
                  <c:v>2.8247350297134801</c:v>
                </c:pt>
              </c:numCache>
            </c:numRef>
          </c:val>
          <c:extLst>
            <c:ext xmlns:c16="http://schemas.microsoft.com/office/drawing/2014/chart" uri="{C3380CC4-5D6E-409C-BE32-E72D297353CC}">
              <c16:uniqueId val="{00000007-07C3-4178-BDE5-70C3629D8F52}"/>
            </c:ext>
          </c:extLst>
        </c:ser>
        <c:ser>
          <c:idx val="9"/>
          <c:order val="9"/>
          <c:tx>
            <c:strRef>
              <c:f>Exp!$B$85</c:f>
              <c:strCache>
                <c:ptCount val="1"/>
                <c:pt idx="0">
                  <c:v>90%</c:v>
                </c:pt>
              </c:strCache>
            </c:strRef>
          </c:tx>
          <c:spPr>
            <a:solidFill>
              <a:schemeClr val="accent1">
                <a:lumMod val="40000"/>
                <a:lumOff val="60000"/>
              </a:schemeClr>
            </a:solidFill>
            <a:ln>
              <a:solidFill>
                <a:schemeClr val="accent1">
                  <a:lumMod val="40000"/>
                  <a:lumOff val="60000"/>
                </a:schemeClr>
              </a:solidFill>
            </a:ln>
            <a:effectLst/>
          </c:spPr>
          <c:cat>
            <c:numRef>
              <c:f>Exp!$C$75:$T$75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Exp!$C$85:$T$85</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4.4033574167462461</c:v>
                </c:pt>
                <c:pt idx="13">
                  <c:v>4.3171545900545709</c:v>
                </c:pt>
                <c:pt idx="14">
                  <c:v>3.77669287383371</c:v>
                </c:pt>
                <c:pt idx="15">
                  <c:v>3.8899936600487219</c:v>
                </c:pt>
                <c:pt idx="16">
                  <c:v>3.8899936600487219</c:v>
                </c:pt>
                <c:pt idx="17">
                  <c:v>4.1268942739456893</c:v>
                </c:pt>
              </c:numCache>
            </c:numRef>
          </c:val>
          <c:extLst>
            <c:ext xmlns:c16="http://schemas.microsoft.com/office/drawing/2014/chart" uri="{C3380CC4-5D6E-409C-BE32-E72D297353CC}">
              <c16:uniqueId val="{00000008-07C3-4178-BDE5-70C3629D8F52}"/>
            </c:ext>
          </c:extLst>
        </c:ser>
        <c:ser>
          <c:idx val="10"/>
          <c:order val="10"/>
          <c:tx>
            <c:strRef>
              <c:f>Exp!$B$86</c:f>
              <c:strCache>
                <c:ptCount val="1"/>
                <c:pt idx="0">
                  <c:v>95%</c:v>
                </c:pt>
              </c:strCache>
            </c:strRef>
          </c:tx>
          <c:spPr>
            <a:solidFill>
              <a:schemeClr val="accent1">
                <a:lumMod val="20000"/>
                <a:lumOff val="80000"/>
              </a:schemeClr>
            </a:solidFill>
            <a:ln>
              <a:solidFill>
                <a:schemeClr val="accent1">
                  <a:lumMod val="20000"/>
                  <a:lumOff val="80000"/>
                </a:schemeClr>
              </a:solidFill>
            </a:ln>
            <a:effectLst/>
          </c:spPr>
          <c:cat>
            <c:numRef>
              <c:f>Exp!$C$75:$T$75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Exp!$C$86:$T$86</c:f>
              <c:numCache>
                <c:formatCode>_(* #,##0.0_);_(* \(#,##0.0\);_(* "-"??_);_(@_)</c:formatCode>
                <c:ptCount val="18"/>
                <c:pt idx="0">
                  <c:v>0</c:v>
                </c:pt>
                <c:pt idx="1">
                  <c:v>0</c:v>
                </c:pt>
                <c:pt idx="2">
                  <c:v>0</c:v>
                </c:pt>
                <c:pt idx="3">
                  <c:v>0</c:v>
                </c:pt>
                <c:pt idx="4">
                  <c:v>0</c:v>
                </c:pt>
                <c:pt idx="5">
                  <c:v>0</c:v>
                </c:pt>
                <c:pt idx="6">
                  <c:v>0</c:v>
                </c:pt>
                <c:pt idx="7">
                  <c:v>0</c:v>
                </c:pt>
                <c:pt idx="8">
                  <c:v>0</c:v>
                </c:pt>
                <c:pt idx="9">
                  <c:v>0</c:v>
                </c:pt>
                <c:pt idx="10">
                  <c:v>0</c:v>
                </c:pt>
                <c:pt idx="11">
                  <c:v>0</c:v>
                </c:pt>
                <c:pt idx="12">
                  <c:v>3.9314492673024724</c:v>
                </c:pt>
                <c:pt idx="13">
                  <c:v>3.8544848041072903</c:v>
                </c:pt>
                <c:pt idx="14">
                  <c:v>3.3719444111424153</c:v>
                </c:pt>
                <c:pt idx="15">
                  <c:v>3.4731027434766872</c:v>
                </c:pt>
                <c:pt idx="16">
                  <c:v>3.4731027434766872</c:v>
                </c:pt>
                <c:pt idx="17">
                  <c:v>3.6846147005544179</c:v>
                </c:pt>
              </c:numCache>
            </c:numRef>
          </c:val>
          <c:extLst>
            <c:ext xmlns:c16="http://schemas.microsoft.com/office/drawing/2014/chart" uri="{C3380CC4-5D6E-409C-BE32-E72D297353CC}">
              <c16:uniqueId val="{00000009-07C3-4178-BDE5-70C3629D8F52}"/>
            </c:ext>
          </c:extLst>
        </c:ser>
        <c:dLbls>
          <c:showLegendKey val="0"/>
          <c:showVal val="0"/>
          <c:showCatName val="0"/>
          <c:showSerName val="0"/>
          <c:showPercent val="0"/>
          <c:showBubbleSize val="0"/>
        </c:dLbls>
        <c:axId val="214458128"/>
        <c:axId val="116332096"/>
      </c:areaChart>
      <c:lineChart>
        <c:grouping val="standard"/>
        <c:varyColors val="0"/>
        <c:ser>
          <c:idx val="0"/>
          <c:order val="0"/>
          <c:tx>
            <c:v>Escenario base</c:v>
          </c:tx>
          <c:spPr>
            <a:ln w="22225" cap="rnd">
              <a:solidFill>
                <a:schemeClr val="tx1">
                  <a:lumMod val="95000"/>
                  <a:lumOff val="5000"/>
                </a:schemeClr>
              </a:solidFill>
              <a:round/>
            </a:ln>
            <a:effectLst/>
          </c:spPr>
          <c:marker>
            <c:symbol val="none"/>
          </c:marker>
          <c:cat>
            <c:numRef>
              <c:f>Exp!$C$75:$T$75</c:f>
              <c:numCache>
                <c:formatCode>General</c:formatCode>
                <c:ptCount val="18"/>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pt idx="17">
                  <c:v>2028</c:v>
                </c:pt>
              </c:numCache>
            </c:numRef>
          </c:cat>
          <c:val>
            <c:numRef>
              <c:f>Exp!$C$76:$T$76</c:f>
              <c:numCache>
                <c:formatCode>_(* #,##0.0_);_(* \(#,##0.0\);_(* "-"??_);_(@_)</c:formatCode>
                <c:ptCount val="18"/>
                <c:pt idx="0">
                  <c:v>0</c:v>
                </c:pt>
                <c:pt idx="1">
                  <c:v>-4.3379671850234871</c:v>
                </c:pt>
                <c:pt idx="2">
                  <c:v>0.97285508696491263</c:v>
                </c:pt>
                <c:pt idx="3">
                  <c:v>8.2213346497232607</c:v>
                </c:pt>
                <c:pt idx="4">
                  <c:v>-3.0979923741458038</c:v>
                </c:pt>
                <c:pt idx="5">
                  <c:v>-1.2365684787066016</c:v>
                </c:pt>
                <c:pt idx="6">
                  <c:v>7.5564071125509855</c:v>
                </c:pt>
                <c:pt idx="7">
                  <c:v>-6.6963064049247123E-2</c:v>
                </c:pt>
                <c:pt idx="8">
                  <c:v>2.8457011961292125</c:v>
                </c:pt>
                <c:pt idx="9">
                  <c:v>2.0982006020369539</c:v>
                </c:pt>
                <c:pt idx="10">
                  <c:v>22.068803645706552</c:v>
                </c:pt>
                <c:pt idx="11">
                  <c:v>15.53380582154989</c:v>
                </c:pt>
                <c:pt idx="12">
                  <c:v>6</c:v>
                </c:pt>
                <c:pt idx="13">
                  <c:v>4</c:v>
                </c:pt>
                <c:pt idx="14">
                  <c:v>3.5</c:v>
                </c:pt>
                <c:pt idx="15">
                  <c:v>4</c:v>
                </c:pt>
                <c:pt idx="16">
                  <c:v>4</c:v>
                </c:pt>
                <c:pt idx="17">
                  <c:v>4</c:v>
                </c:pt>
              </c:numCache>
            </c:numRef>
          </c:val>
          <c:smooth val="0"/>
          <c:extLst>
            <c:ext xmlns:c16="http://schemas.microsoft.com/office/drawing/2014/chart" uri="{C3380CC4-5D6E-409C-BE32-E72D297353CC}">
              <c16:uniqueId val="{0000000A-07C3-4178-BDE5-70C3629D8F52}"/>
            </c:ext>
          </c:extLst>
        </c:ser>
        <c:dLbls>
          <c:showLegendKey val="0"/>
          <c:showVal val="0"/>
          <c:showCatName val="0"/>
          <c:showSerName val="0"/>
          <c:showPercent val="0"/>
          <c:showBubbleSize val="0"/>
        </c:dLbls>
        <c:marker val="1"/>
        <c:smooth val="0"/>
        <c:axId val="214458128"/>
        <c:axId val="116332096"/>
      </c:lineChart>
      <c:catAx>
        <c:axId val="21445812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16332096"/>
        <c:crosses val="autoZero"/>
        <c:auto val="1"/>
        <c:lblAlgn val="ctr"/>
        <c:lblOffset val="100"/>
        <c:noMultiLvlLbl val="0"/>
      </c:catAx>
      <c:valAx>
        <c:axId val="116332096"/>
        <c:scaling>
          <c:orientation val="minMax"/>
          <c:max val="60"/>
          <c:min val="-40"/>
        </c:scaling>
        <c:delete val="0"/>
        <c:axPos val="l"/>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14458128"/>
        <c:crosses val="autoZero"/>
        <c:crossBetween val="between"/>
        <c:majorUnit val="10"/>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legendEntry>
        <c:idx val="4"/>
        <c:delete val="1"/>
      </c:legendEntry>
      <c:layout>
        <c:manualLayout>
          <c:xMode val="edge"/>
          <c:yMode val="edge"/>
          <c:x val="0.16184689775201705"/>
          <c:y val="8.996319444444438E-2"/>
          <c:w val="0.76277874846673588"/>
          <c:h val="0.2296437500000000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4">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40149572649573"/>
          <c:y val="7.7333312666831258E-2"/>
          <c:w val="0.785279700854701"/>
          <c:h val="0.68126939560445643"/>
        </c:manualLayout>
      </c:layout>
      <c:lineChart>
        <c:grouping val="standard"/>
        <c:varyColors val="0"/>
        <c:ser>
          <c:idx val="0"/>
          <c:order val="0"/>
          <c:tx>
            <c:strRef>
              <c:f>Hoja2!$B$3</c:f>
              <c:strCache>
                <c:ptCount val="1"/>
                <c:pt idx="0">
                  <c:v>IPC</c:v>
                </c:pt>
              </c:strCache>
            </c:strRef>
          </c:tx>
          <c:spPr>
            <a:ln w="22225" cap="rnd">
              <a:solidFill>
                <a:schemeClr val="accent5">
                  <a:lumMod val="50000"/>
                </a:schemeClr>
              </a:solidFill>
              <a:round/>
            </a:ln>
            <a:effectLst/>
          </c:spPr>
          <c:marker>
            <c:symbol val="none"/>
          </c:marker>
          <c:cat>
            <c:numRef>
              <c:f>Hoja2!$A$4:$A$225</c:f>
              <c:numCache>
                <c:formatCode>mmm\-yy</c:formatCode>
                <c:ptCount val="222"/>
                <c:pt idx="0">
                  <c:v>38353</c:v>
                </c:pt>
                <c:pt idx="1">
                  <c:v>38384</c:v>
                </c:pt>
                <c:pt idx="2">
                  <c:v>38412</c:v>
                </c:pt>
                <c:pt idx="3">
                  <c:v>38443</c:v>
                </c:pt>
                <c:pt idx="4">
                  <c:v>38473</c:v>
                </c:pt>
                <c:pt idx="5">
                  <c:v>38504</c:v>
                </c:pt>
                <c:pt idx="6">
                  <c:v>38534</c:v>
                </c:pt>
                <c:pt idx="7">
                  <c:v>38565</c:v>
                </c:pt>
                <c:pt idx="8">
                  <c:v>38596</c:v>
                </c:pt>
                <c:pt idx="9">
                  <c:v>38626</c:v>
                </c:pt>
                <c:pt idx="10">
                  <c:v>38657</c:v>
                </c:pt>
                <c:pt idx="11">
                  <c:v>38687</c:v>
                </c:pt>
                <c:pt idx="12">
                  <c:v>38718</c:v>
                </c:pt>
                <c:pt idx="13">
                  <c:v>38749</c:v>
                </c:pt>
                <c:pt idx="14">
                  <c:v>38777</c:v>
                </c:pt>
                <c:pt idx="15">
                  <c:v>38808</c:v>
                </c:pt>
                <c:pt idx="16">
                  <c:v>38838</c:v>
                </c:pt>
                <c:pt idx="17">
                  <c:v>38869</c:v>
                </c:pt>
                <c:pt idx="18">
                  <c:v>38899</c:v>
                </c:pt>
                <c:pt idx="19">
                  <c:v>38930</c:v>
                </c:pt>
                <c:pt idx="20">
                  <c:v>38961</c:v>
                </c:pt>
                <c:pt idx="21">
                  <c:v>38991</c:v>
                </c:pt>
                <c:pt idx="22">
                  <c:v>39022</c:v>
                </c:pt>
                <c:pt idx="23">
                  <c:v>39052</c:v>
                </c:pt>
                <c:pt idx="24">
                  <c:v>39083</c:v>
                </c:pt>
                <c:pt idx="25">
                  <c:v>39114</c:v>
                </c:pt>
                <c:pt idx="26">
                  <c:v>39142</c:v>
                </c:pt>
                <c:pt idx="27">
                  <c:v>39173</c:v>
                </c:pt>
                <c:pt idx="28">
                  <c:v>39203</c:v>
                </c:pt>
                <c:pt idx="29">
                  <c:v>39234</c:v>
                </c:pt>
                <c:pt idx="30">
                  <c:v>39264</c:v>
                </c:pt>
                <c:pt idx="31">
                  <c:v>39295</c:v>
                </c:pt>
                <c:pt idx="32">
                  <c:v>39326</c:v>
                </c:pt>
                <c:pt idx="33">
                  <c:v>39356</c:v>
                </c:pt>
                <c:pt idx="34">
                  <c:v>39387</c:v>
                </c:pt>
                <c:pt idx="35">
                  <c:v>39417</c:v>
                </c:pt>
                <c:pt idx="36">
                  <c:v>39448</c:v>
                </c:pt>
                <c:pt idx="37">
                  <c:v>39479</c:v>
                </c:pt>
                <c:pt idx="38">
                  <c:v>39508</c:v>
                </c:pt>
                <c:pt idx="39">
                  <c:v>39539</c:v>
                </c:pt>
                <c:pt idx="40">
                  <c:v>39569</c:v>
                </c:pt>
                <c:pt idx="41">
                  <c:v>39600</c:v>
                </c:pt>
                <c:pt idx="42">
                  <c:v>39630</c:v>
                </c:pt>
                <c:pt idx="43">
                  <c:v>39661</c:v>
                </c:pt>
                <c:pt idx="44">
                  <c:v>39692</c:v>
                </c:pt>
                <c:pt idx="45">
                  <c:v>39722</c:v>
                </c:pt>
                <c:pt idx="46">
                  <c:v>39753</c:v>
                </c:pt>
                <c:pt idx="47">
                  <c:v>39783</c:v>
                </c:pt>
                <c:pt idx="48">
                  <c:v>39814</c:v>
                </c:pt>
                <c:pt idx="49">
                  <c:v>39845</c:v>
                </c:pt>
                <c:pt idx="50">
                  <c:v>39873</c:v>
                </c:pt>
                <c:pt idx="51">
                  <c:v>39904</c:v>
                </c:pt>
                <c:pt idx="52">
                  <c:v>39934</c:v>
                </c:pt>
                <c:pt idx="53">
                  <c:v>39965</c:v>
                </c:pt>
                <c:pt idx="54">
                  <c:v>39995</c:v>
                </c:pt>
                <c:pt idx="55">
                  <c:v>40026</c:v>
                </c:pt>
                <c:pt idx="56">
                  <c:v>40057</c:v>
                </c:pt>
                <c:pt idx="57">
                  <c:v>40087</c:v>
                </c:pt>
                <c:pt idx="58">
                  <c:v>40118</c:v>
                </c:pt>
                <c:pt idx="59">
                  <c:v>40148</c:v>
                </c:pt>
                <c:pt idx="60">
                  <c:v>40179</c:v>
                </c:pt>
                <c:pt idx="61">
                  <c:v>40210</c:v>
                </c:pt>
                <c:pt idx="62">
                  <c:v>40238</c:v>
                </c:pt>
                <c:pt idx="63">
                  <c:v>40269</c:v>
                </c:pt>
                <c:pt idx="64">
                  <c:v>40299</c:v>
                </c:pt>
                <c:pt idx="65">
                  <c:v>40330</c:v>
                </c:pt>
                <c:pt idx="66">
                  <c:v>40360</c:v>
                </c:pt>
                <c:pt idx="67">
                  <c:v>40391</c:v>
                </c:pt>
                <c:pt idx="68">
                  <c:v>40422</c:v>
                </c:pt>
                <c:pt idx="69">
                  <c:v>40452</c:v>
                </c:pt>
                <c:pt idx="70">
                  <c:v>40483</c:v>
                </c:pt>
                <c:pt idx="71">
                  <c:v>40513</c:v>
                </c:pt>
                <c:pt idx="72">
                  <c:v>40544</c:v>
                </c:pt>
                <c:pt idx="73">
                  <c:v>40575</c:v>
                </c:pt>
                <c:pt idx="74">
                  <c:v>40603</c:v>
                </c:pt>
                <c:pt idx="75">
                  <c:v>40634</c:v>
                </c:pt>
                <c:pt idx="76">
                  <c:v>40664</c:v>
                </c:pt>
                <c:pt idx="77">
                  <c:v>40695</c:v>
                </c:pt>
                <c:pt idx="78">
                  <c:v>40725</c:v>
                </c:pt>
                <c:pt idx="79">
                  <c:v>40756</c:v>
                </c:pt>
                <c:pt idx="80">
                  <c:v>40787</c:v>
                </c:pt>
                <c:pt idx="81">
                  <c:v>40817</c:v>
                </c:pt>
                <c:pt idx="82">
                  <c:v>40848</c:v>
                </c:pt>
                <c:pt idx="83">
                  <c:v>40878</c:v>
                </c:pt>
                <c:pt idx="84">
                  <c:v>40909</c:v>
                </c:pt>
                <c:pt idx="85">
                  <c:v>40940</c:v>
                </c:pt>
                <c:pt idx="86">
                  <c:v>40969</c:v>
                </c:pt>
                <c:pt idx="87">
                  <c:v>41000</c:v>
                </c:pt>
                <c:pt idx="88">
                  <c:v>41030</c:v>
                </c:pt>
                <c:pt idx="89">
                  <c:v>41061</c:v>
                </c:pt>
                <c:pt idx="90">
                  <c:v>41091</c:v>
                </c:pt>
                <c:pt idx="91">
                  <c:v>41122</c:v>
                </c:pt>
                <c:pt idx="92">
                  <c:v>41153</c:v>
                </c:pt>
                <c:pt idx="93">
                  <c:v>41183</c:v>
                </c:pt>
                <c:pt idx="94">
                  <c:v>41214</c:v>
                </c:pt>
                <c:pt idx="95">
                  <c:v>41244</c:v>
                </c:pt>
                <c:pt idx="96">
                  <c:v>41275</c:v>
                </c:pt>
                <c:pt idx="97">
                  <c:v>41306</c:v>
                </c:pt>
                <c:pt idx="98">
                  <c:v>41334</c:v>
                </c:pt>
                <c:pt idx="99">
                  <c:v>41365</c:v>
                </c:pt>
                <c:pt idx="100">
                  <c:v>41395</c:v>
                </c:pt>
                <c:pt idx="101">
                  <c:v>41426</c:v>
                </c:pt>
                <c:pt idx="102">
                  <c:v>41456</c:v>
                </c:pt>
                <c:pt idx="103">
                  <c:v>41487</c:v>
                </c:pt>
                <c:pt idx="104">
                  <c:v>41518</c:v>
                </c:pt>
                <c:pt idx="105">
                  <c:v>41548</c:v>
                </c:pt>
                <c:pt idx="106">
                  <c:v>41579</c:v>
                </c:pt>
                <c:pt idx="107">
                  <c:v>41609</c:v>
                </c:pt>
                <c:pt idx="108">
                  <c:v>41640</c:v>
                </c:pt>
                <c:pt idx="109">
                  <c:v>41671</c:v>
                </c:pt>
                <c:pt idx="110">
                  <c:v>41699</c:v>
                </c:pt>
                <c:pt idx="111">
                  <c:v>41730</c:v>
                </c:pt>
                <c:pt idx="112">
                  <c:v>41760</c:v>
                </c:pt>
                <c:pt idx="113">
                  <c:v>41791</c:v>
                </c:pt>
                <c:pt idx="114">
                  <c:v>41821</c:v>
                </c:pt>
                <c:pt idx="115">
                  <c:v>41852</c:v>
                </c:pt>
                <c:pt idx="116">
                  <c:v>41883</c:v>
                </c:pt>
                <c:pt idx="117">
                  <c:v>41913</c:v>
                </c:pt>
                <c:pt idx="118">
                  <c:v>41944</c:v>
                </c:pt>
                <c:pt idx="119">
                  <c:v>41974</c:v>
                </c:pt>
                <c:pt idx="120">
                  <c:v>42005</c:v>
                </c:pt>
                <c:pt idx="121">
                  <c:v>42036</c:v>
                </c:pt>
                <c:pt idx="122">
                  <c:v>42064</c:v>
                </c:pt>
                <c:pt idx="123">
                  <c:v>42095</c:v>
                </c:pt>
                <c:pt idx="124">
                  <c:v>42125</c:v>
                </c:pt>
                <c:pt idx="125">
                  <c:v>42156</c:v>
                </c:pt>
                <c:pt idx="126">
                  <c:v>42186</c:v>
                </c:pt>
                <c:pt idx="127">
                  <c:v>42217</c:v>
                </c:pt>
                <c:pt idx="128">
                  <c:v>42248</c:v>
                </c:pt>
                <c:pt idx="129">
                  <c:v>42278</c:v>
                </c:pt>
                <c:pt idx="130">
                  <c:v>42309</c:v>
                </c:pt>
                <c:pt idx="131">
                  <c:v>42339</c:v>
                </c:pt>
                <c:pt idx="132">
                  <c:v>42370</c:v>
                </c:pt>
                <c:pt idx="133">
                  <c:v>42401</c:v>
                </c:pt>
                <c:pt idx="134">
                  <c:v>42430</c:v>
                </c:pt>
                <c:pt idx="135">
                  <c:v>42461</c:v>
                </c:pt>
                <c:pt idx="136">
                  <c:v>42491</c:v>
                </c:pt>
                <c:pt idx="137">
                  <c:v>42522</c:v>
                </c:pt>
                <c:pt idx="138">
                  <c:v>42552</c:v>
                </c:pt>
                <c:pt idx="139">
                  <c:v>42583</c:v>
                </c:pt>
                <c:pt idx="140">
                  <c:v>42614</c:v>
                </c:pt>
                <c:pt idx="141">
                  <c:v>42644</c:v>
                </c:pt>
                <c:pt idx="142">
                  <c:v>42675</c:v>
                </c:pt>
                <c:pt idx="143">
                  <c:v>42705</c:v>
                </c:pt>
                <c:pt idx="144">
                  <c:v>42736</c:v>
                </c:pt>
                <c:pt idx="145">
                  <c:v>42767</c:v>
                </c:pt>
                <c:pt idx="146">
                  <c:v>42795</c:v>
                </c:pt>
                <c:pt idx="147">
                  <c:v>42826</c:v>
                </c:pt>
                <c:pt idx="148">
                  <c:v>42856</c:v>
                </c:pt>
                <c:pt idx="149">
                  <c:v>42887</c:v>
                </c:pt>
                <c:pt idx="150">
                  <c:v>42917</c:v>
                </c:pt>
                <c:pt idx="151">
                  <c:v>42948</c:v>
                </c:pt>
                <c:pt idx="152">
                  <c:v>42979</c:v>
                </c:pt>
                <c:pt idx="153">
                  <c:v>43009</c:v>
                </c:pt>
                <c:pt idx="154">
                  <c:v>43040</c:v>
                </c:pt>
                <c:pt idx="155">
                  <c:v>43070</c:v>
                </c:pt>
                <c:pt idx="156">
                  <c:v>43101</c:v>
                </c:pt>
                <c:pt idx="157">
                  <c:v>43132</c:v>
                </c:pt>
                <c:pt idx="158">
                  <c:v>43160</c:v>
                </c:pt>
                <c:pt idx="159">
                  <c:v>43191</c:v>
                </c:pt>
                <c:pt idx="160">
                  <c:v>43221</c:v>
                </c:pt>
                <c:pt idx="161">
                  <c:v>43252</c:v>
                </c:pt>
                <c:pt idx="162">
                  <c:v>43282</c:v>
                </c:pt>
                <c:pt idx="163">
                  <c:v>43313</c:v>
                </c:pt>
                <c:pt idx="164">
                  <c:v>43344</c:v>
                </c:pt>
                <c:pt idx="165">
                  <c:v>43374</c:v>
                </c:pt>
                <c:pt idx="166">
                  <c:v>43405</c:v>
                </c:pt>
                <c:pt idx="167">
                  <c:v>43435</c:v>
                </c:pt>
                <c:pt idx="168">
                  <c:v>43466</c:v>
                </c:pt>
                <c:pt idx="169">
                  <c:v>43497</c:v>
                </c:pt>
                <c:pt idx="170">
                  <c:v>43525</c:v>
                </c:pt>
                <c:pt idx="171">
                  <c:v>43556</c:v>
                </c:pt>
                <c:pt idx="172">
                  <c:v>43586</c:v>
                </c:pt>
                <c:pt idx="173">
                  <c:v>43617</c:v>
                </c:pt>
                <c:pt idx="174">
                  <c:v>43647</c:v>
                </c:pt>
                <c:pt idx="175">
                  <c:v>43678</c:v>
                </c:pt>
                <c:pt idx="176">
                  <c:v>43709</c:v>
                </c:pt>
                <c:pt idx="177">
                  <c:v>43739</c:v>
                </c:pt>
                <c:pt idx="178">
                  <c:v>43770</c:v>
                </c:pt>
                <c:pt idx="179">
                  <c:v>43800</c:v>
                </c:pt>
                <c:pt idx="180">
                  <c:v>43831</c:v>
                </c:pt>
                <c:pt idx="181">
                  <c:v>43862</c:v>
                </c:pt>
                <c:pt idx="182">
                  <c:v>43891</c:v>
                </c:pt>
                <c:pt idx="183">
                  <c:v>43922</c:v>
                </c:pt>
                <c:pt idx="184">
                  <c:v>43952</c:v>
                </c:pt>
                <c:pt idx="185">
                  <c:v>43983</c:v>
                </c:pt>
                <c:pt idx="186">
                  <c:v>44013</c:v>
                </c:pt>
                <c:pt idx="187">
                  <c:v>44044</c:v>
                </c:pt>
                <c:pt idx="188">
                  <c:v>44075</c:v>
                </c:pt>
                <c:pt idx="189">
                  <c:v>44105</c:v>
                </c:pt>
                <c:pt idx="190">
                  <c:v>44136</c:v>
                </c:pt>
                <c:pt idx="191">
                  <c:v>44166</c:v>
                </c:pt>
                <c:pt idx="192">
                  <c:v>44197</c:v>
                </c:pt>
                <c:pt idx="193">
                  <c:v>44228</c:v>
                </c:pt>
                <c:pt idx="194">
                  <c:v>44256</c:v>
                </c:pt>
                <c:pt idx="195">
                  <c:v>44287</c:v>
                </c:pt>
                <c:pt idx="196">
                  <c:v>44317</c:v>
                </c:pt>
                <c:pt idx="197">
                  <c:v>44348</c:v>
                </c:pt>
                <c:pt idx="198">
                  <c:v>44378</c:v>
                </c:pt>
                <c:pt idx="199">
                  <c:v>44409</c:v>
                </c:pt>
                <c:pt idx="200">
                  <c:v>44440</c:v>
                </c:pt>
                <c:pt idx="201">
                  <c:v>44470</c:v>
                </c:pt>
                <c:pt idx="202">
                  <c:v>44501</c:v>
                </c:pt>
                <c:pt idx="203">
                  <c:v>44531</c:v>
                </c:pt>
                <c:pt idx="204">
                  <c:v>44562</c:v>
                </c:pt>
                <c:pt idx="205">
                  <c:v>44593</c:v>
                </c:pt>
                <c:pt idx="206">
                  <c:v>44621</c:v>
                </c:pt>
                <c:pt idx="207">
                  <c:v>44652</c:v>
                </c:pt>
                <c:pt idx="208">
                  <c:v>44682</c:v>
                </c:pt>
                <c:pt idx="209">
                  <c:v>44713</c:v>
                </c:pt>
                <c:pt idx="210">
                  <c:v>44743</c:v>
                </c:pt>
                <c:pt idx="211">
                  <c:v>44774</c:v>
                </c:pt>
                <c:pt idx="212">
                  <c:v>44805</c:v>
                </c:pt>
                <c:pt idx="213">
                  <c:v>44835</c:v>
                </c:pt>
                <c:pt idx="214">
                  <c:v>44866</c:v>
                </c:pt>
                <c:pt idx="215">
                  <c:v>44896</c:v>
                </c:pt>
                <c:pt idx="216">
                  <c:v>44927</c:v>
                </c:pt>
                <c:pt idx="217">
                  <c:v>44958</c:v>
                </c:pt>
                <c:pt idx="218">
                  <c:v>44986</c:v>
                </c:pt>
                <c:pt idx="219">
                  <c:v>45017</c:v>
                </c:pt>
                <c:pt idx="220">
                  <c:v>45047</c:v>
                </c:pt>
                <c:pt idx="221">
                  <c:v>45078</c:v>
                </c:pt>
              </c:numCache>
            </c:numRef>
          </c:cat>
          <c:val>
            <c:numRef>
              <c:f>Hoja2!$B$4:$B$225</c:f>
              <c:numCache>
                <c:formatCode>0.00</c:formatCode>
                <c:ptCount val="222"/>
                <c:pt idx="0">
                  <c:v>9.0399999999999991</c:v>
                </c:pt>
                <c:pt idx="1">
                  <c:v>9.0399999999999991</c:v>
                </c:pt>
                <c:pt idx="2">
                  <c:v>8.77</c:v>
                </c:pt>
                <c:pt idx="3">
                  <c:v>8.8800000000000008</c:v>
                </c:pt>
                <c:pt idx="4">
                  <c:v>8.52</c:v>
                </c:pt>
                <c:pt idx="5">
                  <c:v>8.8000000000000007</c:v>
                </c:pt>
                <c:pt idx="6">
                  <c:v>9.3000000000000007</c:v>
                </c:pt>
                <c:pt idx="7">
                  <c:v>9.3699999999999992</c:v>
                </c:pt>
                <c:pt idx="8">
                  <c:v>9.4499999999999993</c:v>
                </c:pt>
                <c:pt idx="9">
                  <c:v>10.29</c:v>
                </c:pt>
                <c:pt idx="10">
                  <c:v>9.25</c:v>
                </c:pt>
                <c:pt idx="11">
                  <c:v>8.57</c:v>
                </c:pt>
                <c:pt idx="12">
                  <c:v>8.08</c:v>
                </c:pt>
                <c:pt idx="13">
                  <c:v>7.26</c:v>
                </c:pt>
                <c:pt idx="14">
                  <c:v>7.28</c:v>
                </c:pt>
                <c:pt idx="15">
                  <c:v>7.48</c:v>
                </c:pt>
                <c:pt idx="16">
                  <c:v>7.62</c:v>
                </c:pt>
                <c:pt idx="17">
                  <c:v>7.55</c:v>
                </c:pt>
                <c:pt idx="18">
                  <c:v>7.04</c:v>
                </c:pt>
                <c:pt idx="19">
                  <c:v>7</c:v>
                </c:pt>
                <c:pt idx="20">
                  <c:v>5.7</c:v>
                </c:pt>
                <c:pt idx="21">
                  <c:v>3.85</c:v>
                </c:pt>
                <c:pt idx="22">
                  <c:v>4.4000000000000004</c:v>
                </c:pt>
                <c:pt idx="23">
                  <c:v>5.79</c:v>
                </c:pt>
                <c:pt idx="24">
                  <c:v>6.22</c:v>
                </c:pt>
                <c:pt idx="25">
                  <c:v>6.62</c:v>
                </c:pt>
                <c:pt idx="26">
                  <c:v>7.02</c:v>
                </c:pt>
                <c:pt idx="27">
                  <c:v>6.4</c:v>
                </c:pt>
                <c:pt idx="28">
                  <c:v>5.47</c:v>
                </c:pt>
                <c:pt idx="29">
                  <c:v>5.31</c:v>
                </c:pt>
                <c:pt idx="30">
                  <c:v>5.59</c:v>
                </c:pt>
                <c:pt idx="31">
                  <c:v>6.21</c:v>
                </c:pt>
                <c:pt idx="32">
                  <c:v>7.33</c:v>
                </c:pt>
                <c:pt idx="33">
                  <c:v>7.72</c:v>
                </c:pt>
                <c:pt idx="34">
                  <c:v>9.1300000000000008</c:v>
                </c:pt>
                <c:pt idx="35">
                  <c:v>8.75</c:v>
                </c:pt>
                <c:pt idx="36">
                  <c:v>8.39</c:v>
                </c:pt>
                <c:pt idx="37">
                  <c:v>8.76</c:v>
                </c:pt>
                <c:pt idx="38">
                  <c:v>9.1</c:v>
                </c:pt>
                <c:pt idx="39">
                  <c:v>10.37</c:v>
                </c:pt>
                <c:pt idx="40">
                  <c:v>12.24</c:v>
                </c:pt>
                <c:pt idx="41">
                  <c:v>13.56</c:v>
                </c:pt>
                <c:pt idx="42">
                  <c:v>14.16</c:v>
                </c:pt>
                <c:pt idx="43">
                  <c:v>13.69</c:v>
                </c:pt>
                <c:pt idx="44">
                  <c:v>12.75</c:v>
                </c:pt>
                <c:pt idx="45">
                  <c:v>12.93</c:v>
                </c:pt>
                <c:pt idx="46">
                  <c:v>10.85</c:v>
                </c:pt>
                <c:pt idx="47">
                  <c:v>9.4</c:v>
                </c:pt>
                <c:pt idx="48">
                  <c:v>7.88</c:v>
                </c:pt>
                <c:pt idx="49">
                  <c:v>6.5</c:v>
                </c:pt>
                <c:pt idx="50">
                  <c:v>5</c:v>
                </c:pt>
                <c:pt idx="51">
                  <c:v>3.62</c:v>
                </c:pt>
                <c:pt idx="52">
                  <c:v>2.29</c:v>
                </c:pt>
                <c:pt idx="53">
                  <c:v>0.62</c:v>
                </c:pt>
                <c:pt idx="54">
                  <c:v>-0.3</c:v>
                </c:pt>
                <c:pt idx="55">
                  <c:v>-0.73</c:v>
                </c:pt>
                <c:pt idx="56">
                  <c:v>0.03</c:v>
                </c:pt>
                <c:pt idx="57">
                  <c:v>-0.65</c:v>
                </c:pt>
                <c:pt idx="58">
                  <c:v>-0.61</c:v>
                </c:pt>
                <c:pt idx="59">
                  <c:v>-0.28000000000000003</c:v>
                </c:pt>
                <c:pt idx="60">
                  <c:v>1.43</c:v>
                </c:pt>
                <c:pt idx="61">
                  <c:v>2.48</c:v>
                </c:pt>
                <c:pt idx="62">
                  <c:v>3.93</c:v>
                </c:pt>
                <c:pt idx="63">
                  <c:v>3.75</c:v>
                </c:pt>
                <c:pt idx="64">
                  <c:v>3.51</c:v>
                </c:pt>
                <c:pt idx="65">
                  <c:v>4.07</c:v>
                </c:pt>
                <c:pt idx="66">
                  <c:v>4.12</c:v>
                </c:pt>
                <c:pt idx="67">
                  <c:v>4.0999999999999996</c:v>
                </c:pt>
                <c:pt idx="68">
                  <c:v>3.76</c:v>
                </c:pt>
                <c:pt idx="69">
                  <c:v>4.51</c:v>
                </c:pt>
                <c:pt idx="70">
                  <c:v>5.25</c:v>
                </c:pt>
                <c:pt idx="71">
                  <c:v>5.39</c:v>
                </c:pt>
                <c:pt idx="72">
                  <c:v>4.9000000000000004</c:v>
                </c:pt>
                <c:pt idx="73">
                  <c:v>5.24</c:v>
                </c:pt>
                <c:pt idx="74">
                  <c:v>4.99</c:v>
                </c:pt>
                <c:pt idx="75">
                  <c:v>5.7611481291645248</c:v>
                </c:pt>
                <c:pt idx="76">
                  <c:v>6.3930220625962022</c:v>
                </c:pt>
                <c:pt idx="77">
                  <c:v>6.4222993669593791</c:v>
                </c:pt>
                <c:pt idx="78">
                  <c:v>7.0396744659206405</c:v>
                </c:pt>
                <c:pt idx="79">
                  <c:v>7.625826131164203</c:v>
                </c:pt>
                <c:pt idx="80">
                  <c:v>7.2493156240494869</c:v>
                </c:pt>
                <c:pt idx="81">
                  <c:v>6.65</c:v>
                </c:pt>
                <c:pt idx="82">
                  <c:v>6.0548438751000617</c:v>
                </c:pt>
                <c:pt idx="83">
                  <c:v>6.2000000000000028</c:v>
                </c:pt>
                <c:pt idx="84">
                  <c:v>5.44</c:v>
                </c:pt>
                <c:pt idx="85">
                  <c:v>5.17</c:v>
                </c:pt>
                <c:pt idx="86">
                  <c:v>4.55</c:v>
                </c:pt>
                <c:pt idx="87">
                  <c:v>4.2699999999999996</c:v>
                </c:pt>
                <c:pt idx="88">
                  <c:v>3.9</c:v>
                </c:pt>
                <c:pt idx="89">
                  <c:v>3.47</c:v>
                </c:pt>
                <c:pt idx="90">
                  <c:v>2.86</c:v>
                </c:pt>
                <c:pt idx="91">
                  <c:v>2.71</c:v>
                </c:pt>
                <c:pt idx="92">
                  <c:v>3.28</c:v>
                </c:pt>
                <c:pt idx="93">
                  <c:v>3.35</c:v>
                </c:pt>
                <c:pt idx="94">
                  <c:v>3.11</c:v>
                </c:pt>
                <c:pt idx="95">
                  <c:v>3.45</c:v>
                </c:pt>
                <c:pt idx="96">
                  <c:v>3.86</c:v>
                </c:pt>
                <c:pt idx="97">
                  <c:v>4.18</c:v>
                </c:pt>
                <c:pt idx="98">
                  <c:v>4.34</c:v>
                </c:pt>
                <c:pt idx="99">
                  <c:v>4.13</c:v>
                </c:pt>
                <c:pt idx="100">
                  <c:v>4.2699999999999996</c:v>
                </c:pt>
                <c:pt idx="101">
                  <c:v>4.79</c:v>
                </c:pt>
                <c:pt idx="102">
                  <c:v>4.74</c:v>
                </c:pt>
                <c:pt idx="103">
                  <c:v>4.42</c:v>
                </c:pt>
                <c:pt idx="104">
                  <c:v>4.21</c:v>
                </c:pt>
                <c:pt idx="105">
                  <c:v>4.1500000000000004</c:v>
                </c:pt>
                <c:pt idx="106">
                  <c:v>4.63</c:v>
                </c:pt>
                <c:pt idx="107">
                  <c:v>4.3899999999999997</c:v>
                </c:pt>
                <c:pt idx="108">
                  <c:v>4.1399999999999997</c:v>
                </c:pt>
                <c:pt idx="109">
                  <c:v>3.5</c:v>
                </c:pt>
                <c:pt idx="110">
                  <c:v>3.25</c:v>
                </c:pt>
                <c:pt idx="111">
                  <c:v>3.27</c:v>
                </c:pt>
                <c:pt idx="112">
                  <c:v>3.22</c:v>
                </c:pt>
                <c:pt idx="113">
                  <c:v>3.13</c:v>
                </c:pt>
                <c:pt idx="114">
                  <c:v>3.41</c:v>
                </c:pt>
                <c:pt idx="115">
                  <c:v>3.7</c:v>
                </c:pt>
                <c:pt idx="116">
                  <c:v>3.45</c:v>
                </c:pt>
                <c:pt idx="117">
                  <c:v>3.64</c:v>
                </c:pt>
                <c:pt idx="118">
                  <c:v>3.38</c:v>
                </c:pt>
                <c:pt idx="119">
                  <c:v>2.95</c:v>
                </c:pt>
                <c:pt idx="120">
                  <c:v>2.3199999999999998</c:v>
                </c:pt>
                <c:pt idx="121">
                  <c:v>2.44</c:v>
                </c:pt>
                <c:pt idx="122">
                  <c:v>2.4300000000000002</c:v>
                </c:pt>
                <c:pt idx="123">
                  <c:v>2.58</c:v>
                </c:pt>
                <c:pt idx="124">
                  <c:v>2.5499999999999998</c:v>
                </c:pt>
                <c:pt idx="125">
                  <c:v>2.39</c:v>
                </c:pt>
                <c:pt idx="126">
                  <c:v>2.3199999999999998</c:v>
                </c:pt>
                <c:pt idx="127">
                  <c:v>1.96</c:v>
                </c:pt>
                <c:pt idx="128">
                  <c:v>1.88</c:v>
                </c:pt>
                <c:pt idx="129">
                  <c:v>2.23</c:v>
                </c:pt>
                <c:pt idx="130">
                  <c:v>2.5099999999999998</c:v>
                </c:pt>
                <c:pt idx="131">
                  <c:v>3.07</c:v>
                </c:pt>
                <c:pt idx="132">
                  <c:v>4.38</c:v>
                </c:pt>
                <c:pt idx="133">
                  <c:v>4.2699999999999996</c:v>
                </c:pt>
                <c:pt idx="134">
                  <c:v>4.26</c:v>
                </c:pt>
                <c:pt idx="135">
                  <c:v>4.09</c:v>
                </c:pt>
                <c:pt idx="136">
                  <c:v>4.3600000000000003</c:v>
                </c:pt>
                <c:pt idx="137">
                  <c:v>4.43</c:v>
                </c:pt>
                <c:pt idx="138">
                  <c:v>4.62</c:v>
                </c:pt>
                <c:pt idx="139">
                  <c:v>4.74</c:v>
                </c:pt>
                <c:pt idx="140">
                  <c:v>4.5599999999999996</c:v>
                </c:pt>
                <c:pt idx="141">
                  <c:v>4.76</c:v>
                </c:pt>
                <c:pt idx="142">
                  <c:v>4.67</c:v>
                </c:pt>
                <c:pt idx="143">
                  <c:v>4.2300000000000004</c:v>
                </c:pt>
                <c:pt idx="144">
                  <c:v>3.83</c:v>
                </c:pt>
                <c:pt idx="145">
                  <c:v>3.96</c:v>
                </c:pt>
                <c:pt idx="146">
                  <c:v>4</c:v>
                </c:pt>
                <c:pt idx="147">
                  <c:v>4.09</c:v>
                </c:pt>
                <c:pt idx="148">
                  <c:v>3.93</c:v>
                </c:pt>
                <c:pt idx="149">
                  <c:v>4.3600000000000003</c:v>
                </c:pt>
                <c:pt idx="150">
                  <c:v>5.22</c:v>
                </c:pt>
                <c:pt idx="151">
                  <c:v>4.72</c:v>
                </c:pt>
                <c:pt idx="152">
                  <c:v>4.3600000000000003</c:v>
                </c:pt>
                <c:pt idx="153">
                  <c:v>4.2</c:v>
                </c:pt>
                <c:pt idx="154">
                  <c:v>4.6900000000000004</c:v>
                </c:pt>
                <c:pt idx="155">
                  <c:v>5.68</c:v>
                </c:pt>
                <c:pt idx="156">
                  <c:v>4.71</c:v>
                </c:pt>
                <c:pt idx="157">
                  <c:v>4.1500000000000004</c:v>
                </c:pt>
                <c:pt idx="158">
                  <c:v>4.1399999999999997</c:v>
                </c:pt>
                <c:pt idx="159">
                  <c:v>3.92</c:v>
                </c:pt>
                <c:pt idx="160">
                  <c:v>4.09</c:v>
                </c:pt>
                <c:pt idx="161">
                  <c:v>3.79</c:v>
                </c:pt>
                <c:pt idx="162">
                  <c:v>2.61</c:v>
                </c:pt>
                <c:pt idx="163">
                  <c:v>3.36</c:v>
                </c:pt>
                <c:pt idx="164">
                  <c:v>4.55</c:v>
                </c:pt>
                <c:pt idx="165">
                  <c:v>4.34</c:v>
                </c:pt>
                <c:pt idx="166">
                  <c:v>3.15</c:v>
                </c:pt>
                <c:pt idx="167">
                  <c:v>2.31</c:v>
                </c:pt>
                <c:pt idx="168">
                  <c:v>4.0999999999999996</c:v>
                </c:pt>
                <c:pt idx="169">
                  <c:v>4.46</c:v>
                </c:pt>
                <c:pt idx="170">
                  <c:v>4.17</c:v>
                </c:pt>
                <c:pt idx="171">
                  <c:v>4.75</c:v>
                </c:pt>
                <c:pt idx="172">
                  <c:v>4.54</c:v>
                </c:pt>
                <c:pt idx="173">
                  <c:v>4.8</c:v>
                </c:pt>
                <c:pt idx="174">
                  <c:v>4.37</c:v>
                </c:pt>
                <c:pt idx="175">
                  <c:v>3.01</c:v>
                </c:pt>
                <c:pt idx="176">
                  <c:v>1.8</c:v>
                </c:pt>
                <c:pt idx="177">
                  <c:v>2.17</c:v>
                </c:pt>
                <c:pt idx="178">
                  <c:v>2.92</c:v>
                </c:pt>
                <c:pt idx="179">
                  <c:v>3.41</c:v>
                </c:pt>
                <c:pt idx="180">
                  <c:v>1.78</c:v>
                </c:pt>
                <c:pt idx="181">
                  <c:v>1.24</c:v>
                </c:pt>
                <c:pt idx="182">
                  <c:v>1.77</c:v>
                </c:pt>
                <c:pt idx="183">
                  <c:v>1.88</c:v>
                </c:pt>
                <c:pt idx="184">
                  <c:v>1.8</c:v>
                </c:pt>
                <c:pt idx="185">
                  <c:v>2.39</c:v>
                </c:pt>
                <c:pt idx="186">
                  <c:v>2.88</c:v>
                </c:pt>
                <c:pt idx="187">
                  <c:v>4.1900000000000004</c:v>
                </c:pt>
                <c:pt idx="188">
                  <c:v>4.97</c:v>
                </c:pt>
                <c:pt idx="189">
                  <c:v>5.34</c:v>
                </c:pt>
                <c:pt idx="190">
                  <c:v>5.46</c:v>
                </c:pt>
                <c:pt idx="191">
                  <c:v>4.82</c:v>
                </c:pt>
                <c:pt idx="192">
                  <c:v>5.24</c:v>
                </c:pt>
                <c:pt idx="193">
                  <c:v>6</c:v>
                </c:pt>
                <c:pt idx="194">
                  <c:v>5.84</c:v>
                </c:pt>
                <c:pt idx="195">
                  <c:v>5.2</c:v>
                </c:pt>
                <c:pt idx="196">
                  <c:v>5.17</c:v>
                </c:pt>
                <c:pt idx="197">
                  <c:v>3.91</c:v>
                </c:pt>
                <c:pt idx="198">
                  <c:v>3.82</c:v>
                </c:pt>
                <c:pt idx="199">
                  <c:v>3.62</c:v>
                </c:pt>
                <c:pt idx="200">
                  <c:v>3.67</c:v>
                </c:pt>
                <c:pt idx="201">
                  <c:v>2.96</c:v>
                </c:pt>
                <c:pt idx="202">
                  <c:v>2.89</c:v>
                </c:pt>
                <c:pt idx="203">
                  <c:v>3.07</c:v>
                </c:pt>
                <c:pt idx="204">
                  <c:v>2.87</c:v>
                </c:pt>
                <c:pt idx="205">
                  <c:v>2.98</c:v>
                </c:pt>
                <c:pt idx="206">
                  <c:v>4.17</c:v>
                </c:pt>
                <c:pt idx="207">
                  <c:v>4.62</c:v>
                </c:pt>
                <c:pt idx="208">
                  <c:v>5.82</c:v>
                </c:pt>
                <c:pt idx="209">
                  <c:v>7.55</c:v>
                </c:pt>
                <c:pt idx="210">
                  <c:v>8.36</c:v>
                </c:pt>
                <c:pt idx="211">
                  <c:v>8.8699999999999992</c:v>
                </c:pt>
                <c:pt idx="212">
                  <c:v>9.0299999999999994</c:v>
                </c:pt>
                <c:pt idx="213">
                  <c:v>9.6999999999999993</c:v>
                </c:pt>
                <c:pt idx="214">
                  <c:v>9.17</c:v>
                </c:pt>
                <c:pt idx="215">
                  <c:v>9.24</c:v>
                </c:pt>
                <c:pt idx="216">
                  <c:v>9.69</c:v>
                </c:pt>
                <c:pt idx="217">
                  <c:v>9.92</c:v>
                </c:pt>
                <c:pt idx="218">
                  <c:v>8.7100000000000009</c:v>
                </c:pt>
                <c:pt idx="219">
                  <c:v>8.32</c:v>
                </c:pt>
                <c:pt idx="220">
                  <c:v>6.54</c:v>
                </c:pt>
                <c:pt idx="221">
                  <c:v>4.93</c:v>
                </c:pt>
              </c:numCache>
            </c:numRef>
          </c:val>
          <c:smooth val="0"/>
          <c:extLst>
            <c:ext xmlns:c16="http://schemas.microsoft.com/office/drawing/2014/chart" uri="{C3380CC4-5D6E-409C-BE32-E72D297353CC}">
              <c16:uniqueId val="{00000000-C29A-4038-8B7A-485BD91A4735}"/>
            </c:ext>
          </c:extLst>
        </c:ser>
        <c:dLbls>
          <c:showLegendKey val="0"/>
          <c:showVal val="0"/>
          <c:showCatName val="0"/>
          <c:showSerName val="0"/>
          <c:showPercent val="0"/>
          <c:showBubbleSize val="0"/>
        </c:dLbls>
        <c:marker val="1"/>
        <c:smooth val="0"/>
        <c:axId val="965366320"/>
        <c:axId val="965368400"/>
      </c:lineChart>
      <c:lineChart>
        <c:grouping val="standard"/>
        <c:varyColors val="0"/>
        <c:ser>
          <c:idx val="1"/>
          <c:order val="1"/>
          <c:tx>
            <c:strRef>
              <c:f>Hoja2!$C$3</c:f>
              <c:strCache>
                <c:ptCount val="1"/>
                <c:pt idx="0">
                  <c:v>Índice global de materias prima</c:v>
                </c:pt>
              </c:strCache>
            </c:strRef>
          </c:tx>
          <c:spPr>
            <a:ln w="22225" cap="rnd">
              <a:solidFill>
                <a:schemeClr val="accent5"/>
              </a:solidFill>
              <a:round/>
            </a:ln>
            <a:effectLst/>
          </c:spPr>
          <c:marker>
            <c:symbol val="none"/>
          </c:marker>
          <c:cat>
            <c:numRef>
              <c:f>Hoja2!$A$4:$A$225</c:f>
              <c:numCache>
                <c:formatCode>mmm\-yy</c:formatCode>
                <c:ptCount val="222"/>
                <c:pt idx="0">
                  <c:v>38353</c:v>
                </c:pt>
                <c:pt idx="1">
                  <c:v>38384</c:v>
                </c:pt>
                <c:pt idx="2">
                  <c:v>38412</c:v>
                </c:pt>
                <c:pt idx="3">
                  <c:v>38443</c:v>
                </c:pt>
                <c:pt idx="4">
                  <c:v>38473</c:v>
                </c:pt>
                <c:pt idx="5">
                  <c:v>38504</c:v>
                </c:pt>
                <c:pt idx="6">
                  <c:v>38534</c:v>
                </c:pt>
                <c:pt idx="7">
                  <c:v>38565</c:v>
                </c:pt>
                <c:pt idx="8">
                  <c:v>38596</c:v>
                </c:pt>
                <c:pt idx="9">
                  <c:v>38626</c:v>
                </c:pt>
                <c:pt idx="10">
                  <c:v>38657</c:v>
                </c:pt>
                <c:pt idx="11">
                  <c:v>38687</c:v>
                </c:pt>
                <c:pt idx="12">
                  <c:v>38718</c:v>
                </c:pt>
                <c:pt idx="13">
                  <c:v>38749</c:v>
                </c:pt>
                <c:pt idx="14">
                  <c:v>38777</c:v>
                </c:pt>
                <c:pt idx="15">
                  <c:v>38808</c:v>
                </c:pt>
                <c:pt idx="16">
                  <c:v>38838</c:v>
                </c:pt>
                <c:pt idx="17">
                  <c:v>38869</c:v>
                </c:pt>
                <c:pt idx="18">
                  <c:v>38899</c:v>
                </c:pt>
                <c:pt idx="19">
                  <c:v>38930</c:v>
                </c:pt>
                <c:pt idx="20">
                  <c:v>38961</c:v>
                </c:pt>
                <c:pt idx="21">
                  <c:v>38991</c:v>
                </c:pt>
                <c:pt idx="22">
                  <c:v>39022</c:v>
                </c:pt>
                <c:pt idx="23">
                  <c:v>39052</c:v>
                </c:pt>
                <c:pt idx="24">
                  <c:v>39083</c:v>
                </c:pt>
                <c:pt idx="25">
                  <c:v>39114</c:v>
                </c:pt>
                <c:pt idx="26">
                  <c:v>39142</c:v>
                </c:pt>
                <c:pt idx="27">
                  <c:v>39173</c:v>
                </c:pt>
                <c:pt idx="28">
                  <c:v>39203</c:v>
                </c:pt>
                <c:pt idx="29">
                  <c:v>39234</c:v>
                </c:pt>
                <c:pt idx="30">
                  <c:v>39264</c:v>
                </c:pt>
                <c:pt idx="31">
                  <c:v>39295</c:v>
                </c:pt>
                <c:pt idx="32">
                  <c:v>39326</c:v>
                </c:pt>
                <c:pt idx="33">
                  <c:v>39356</c:v>
                </c:pt>
                <c:pt idx="34">
                  <c:v>39387</c:v>
                </c:pt>
                <c:pt idx="35">
                  <c:v>39417</c:v>
                </c:pt>
                <c:pt idx="36">
                  <c:v>39448</c:v>
                </c:pt>
                <c:pt idx="37">
                  <c:v>39479</c:v>
                </c:pt>
                <c:pt idx="38">
                  <c:v>39508</c:v>
                </c:pt>
                <c:pt idx="39">
                  <c:v>39539</c:v>
                </c:pt>
                <c:pt idx="40">
                  <c:v>39569</c:v>
                </c:pt>
                <c:pt idx="41">
                  <c:v>39600</c:v>
                </c:pt>
                <c:pt idx="42">
                  <c:v>39630</c:v>
                </c:pt>
                <c:pt idx="43">
                  <c:v>39661</c:v>
                </c:pt>
                <c:pt idx="44">
                  <c:v>39692</c:v>
                </c:pt>
                <c:pt idx="45">
                  <c:v>39722</c:v>
                </c:pt>
                <c:pt idx="46">
                  <c:v>39753</c:v>
                </c:pt>
                <c:pt idx="47">
                  <c:v>39783</c:v>
                </c:pt>
                <c:pt idx="48">
                  <c:v>39814</c:v>
                </c:pt>
                <c:pt idx="49">
                  <c:v>39845</c:v>
                </c:pt>
                <c:pt idx="50">
                  <c:v>39873</c:v>
                </c:pt>
                <c:pt idx="51">
                  <c:v>39904</c:v>
                </c:pt>
                <c:pt idx="52">
                  <c:v>39934</c:v>
                </c:pt>
                <c:pt idx="53">
                  <c:v>39965</c:v>
                </c:pt>
                <c:pt idx="54">
                  <c:v>39995</c:v>
                </c:pt>
                <c:pt idx="55">
                  <c:v>40026</c:v>
                </c:pt>
                <c:pt idx="56">
                  <c:v>40057</c:v>
                </c:pt>
                <c:pt idx="57">
                  <c:v>40087</c:v>
                </c:pt>
                <c:pt idx="58">
                  <c:v>40118</c:v>
                </c:pt>
                <c:pt idx="59">
                  <c:v>40148</c:v>
                </c:pt>
                <c:pt idx="60">
                  <c:v>40179</c:v>
                </c:pt>
                <c:pt idx="61">
                  <c:v>40210</c:v>
                </c:pt>
                <c:pt idx="62">
                  <c:v>40238</c:v>
                </c:pt>
                <c:pt idx="63">
                  <c:v>40269</c:v>
                </c:pt>
                <c:pt idx="64">
                  <c:v>40299</c:v>
                </c:pt>
                <c:pt idx="65">
                  <c:v>40330</c:v>
                </c:pt>
                <c:pt idx="66">
                  <c:v>40360</c:v>
                </c:pt>
                <c:pt idx="67">
                  <c:v>40391</c:v>
                </c:pt>
                <c:pt idx="68">
                  <c:v>40422</c:v>
                </c:pt>
                <c:pt idx="69">
                  <c:v>40452</c:v>
                </c:pt>
                <c:pt idx="70">
                  <c:v>40483</c:v>
                </c:pt>
                <c:pt idx="71">
                  <c:v>40513</c:v>
                </c:pt>
                <c:pt idx="72">
                  <c:v>40544</c:v>
                </c:pt>
                <c:pt idx="73">
                  <c:v>40575</c:v>
                </c:pt>
                <c:pt idx="74">
                  <c:v>40603</c:v>
                </c:pt>
                <c:pt idx="75">
                  <c:v>40634</c:v>
                </c:pt>
                <c:pt idx="76">
                  <c:v>40664</c:v>
                </c:pt>
                <c:pt idx="77">
                  <c:v>40695</c:v>
                </c:pt>
                <c:pt idx="78">
                  <c:v>40725</c:v>
                </c:pt>
                <c:pt idx="79">
                  <c:v>40756</c:v>
                </c:pt>
                <c:pt idx="80">
                  <c:v>40787</c:v>
                </c:pt>
                <c:pt idx="81">
                  <c:v>40817</c:v>
                </c:pt>
                <c:pt idx="82">
                  <c:v>40848</c:v>
                </c:pt>
                <c:pt idx="83">
                  <c:v>40878</c:v>
                </c:pt>
                <c:pt idx="84">
                  <c:v>40909</c:v>
                </c:pt>
                <c:pt idx="85">
                  <c:v>40940</c:v>
                </c:pt>
                <c:pt idx="86">
                  <c:v>40969</c:v>
                </c:pt>
                <c:pt idx="87">
                  <c:v>41000</c:v>
                </c:pt>
                <c:pt idx="88">
                  <c:v>41030</c:v>
                </c:pt>
                <c:pt idx="89">
                  <c:v>41061</c:v>
                </c:pt>
                <c:pt idx="90">
                  <c:v>41091</c:v>
                </c:pt>
                <c:pt idx="91">
                  <c:v>41122</c:v>
                </c:pt>
                <c:pt idx="92">
                  <c:v>41153</c:v>
                </c:pt>
                <c:pt idx="93">
                  <c:v>41183</c:v>
                </c:pt>
                <c:pt idx="94">
                  <c:v>41214</c:v>
                </c:pt>
                <c:pt idx="95">
                  <c:v>41244</c:v>
                </c:pt>
                <c:pt idx="96">
                  <c:v>41275</c:v>
                </c:pt>
                <c:pt idx="97">
                  <c:v>41306</c:v>
                </c:pt>
                <c:pt idx="98">
                  <c:v>41334</c:v>
                </c:pt>
                <c:pt idx="99">
                  <c:v>41365</c:v>
                </c:pt>
                <c:pt idx="100">
                  <c:v>41395</c:v>
                </c:pt>
                <c:pt idx="101">
                  <c:v>41426</c:v>
                </c:pt>
                <c:pt idx="102">
                  <c:v>41456</c:v>
                </c:pt>
                <c:pt idx="103">
                  <c:v>41487</c:v>
                </c:pt>
                <c:pt idx="104">
                  <c:v>41518</c:v>
                </c:pt>
                <c:pt idx="105">
                  <c:v>41548</c:v>
                </c:pt>
                <c:pt idx="106">
                  <c:v>41579</c:v>
                </c:pt>
                <c:pt idx="107">
                  <c:v>41609</c:v>
                </c:pt>
                <c:pt idx="108">
                  <c:v>41640</c:v>
                </c:pt>
                <c:pt idx="109">
                  <c:v>41671</c:v>
                </c:pt>
                <c:pt idx="110">
                  <c:v>41699</c:v>
                </c:pt>
                <c:pt idx="111">
                  <c:v>41730</c:v>
                </c:pt>
                <c:pt idx="112">
                  <c:v>41760</c:v>
                </c:pt>
                <c:pt idx="113">
                  <c:v>41791</c:v>
                </c:pt>
                <c:pt idx="114">
                  <c:v>41821</c:v>
                </c:pt>
                <c:pt idx="115">
                  <c:v>41852</c:v>
                </c:pt>
                <c:pt idx="116">
                  <c:v>41883</c:v>
                </c:pt>
                <c:pt idx="117">
                  <c:v>41913</c:v>
                </c:pt>
                <c:pt idx="118">
                  <c:v>41944</c:v>
                </c:pt>
                <c:pt idx="119">
                  <c:v>41974</c:v>
                </c:pt>
                <c:pt idx="120">
                  <c:v>42005</c:v>
                </c:pt>
                <c:pt idx="121">
                  <c:v>42036</c:v>
                </c:pt>
                <c:pt idx="122">
                  <c:v>42064</c:v>
                </c:pt>
                <c:pt idx="123">
                  <c:v>42095</c:v>
                </c:pt>
                <c:pt idx="124">
                  <c:v>42125</c:v>
                </c:pt>
                <c:pt idx="125">
                  <c:v>42156</c:v>
                </c:pt>
                <c:pt idx="126">
                  <c:v>42186</c:v>
                </c:pt>
                <c:pt idx="127">
                  <c:v>42217</c:v>
                </c:pt>
                <c:pt idx="128">
                  <c:v>42248</c:v>
                </c:pt>
                <c:pt idx="129">
                  <c:v>42278</c:v>
                </c:pt>
                <c:pt idx="130">
                  <c:v>42309</c:v>
                </c:pt>
                <c:pt idx="131">
                  <c:v>42339</c:v>
                </c:pt>
                <c:pt idx="132">
                  <c:v>42370</c:v>
                </c:pt>
                <c:pt idx="133">
                  <c:v>42401</c:v>
                </c:pt>
                <c:pt idx="134">
                  <c:v>42430</c:v>
                </c:pt>
                <c:pt idx="135">
                  <c:v>42461</c:v>
                </c:pt>
                <c:pt idx="136">
                  <c:v>42491</c:v>
                </c:pt>
                <c:pt idx="137">
                  <c:v>42522</c:v>
                </c:pt>
                <c:pt idx="138">
                  <c:v>42552</c:v>
                </c:pt>
                <c:pt idx="139">
                  <c:v>42583</c:v>
                </c:pt>
                <c:pt idx="140">
                  <c:v>42614</c:v>
                </c:pt>
                <c:pt idx="141">
                  <c:v>42644</c:v>
                </c:pt>
                <c:pt idx="142">
                  <c:v>42675</c:v>
                </c:pt>
                <c:pt idx="143">
                  <c:v>42705</c:v>
                </c:pt>
                <c:pt idx="144">
                  <c:v>42736</c:v>
                </c:pt>
                <c:pt idx="145">
                  <c:v>42767</c:v>
                </c:pt>
                <c:pt idx="146">
                  <c:v>42795</c:v>
                </c:pt>
                <c:pt idx="147">
                  <c:v>42826</c:v>
                </c:pt>
                <c:pt idx="148">
                  <c:v>42856</c:v>
                </c:pt>
                <c:pt idx="149">
                  <c:v>42887</c:v>
                </c:pt>
                <c:pt idx="150">
                  <c:v>42917</c:v>
                </c:pt>
                <c:pt idx="151">
                  <c:v>42948</c:v>
                </c:pt>
                <c:pt idx="152">
                  <c:v>42979</c:v>
                </c:pt>
                <c:pt idx="153">
                  <c:v>43009</c:v>
                </c:pt>
                <c:pt idx="154">
                  <c:v>43040</c:v>
                </c:pt>
                <c:pt idx="155">
                  <c:v>43070</c:v>
                </c:pt>
                <c:pt idx="156">
                  <c:v>43101</c:v>
                </c:pt>
                <c:pt idx="157">
                  <c:v>43132</c:v>
                </c:pt>
                <c:pt idx="158">
                  <c:v>43160</c:v>
                </c:pt>
                <c:pt idx="159">
                  <c:v>43191</c:v>
                </c:pt>
                <c:pt idx="160">
                  <c:v>43221</c:v>
                </c:pt>
                <c:pt idx="161">
                  <c:v>43252</c:v>
                </c:pt>
                <c:pt idx="162">
                  <c:v>43282</c:v>
                </c:pt>
                <c:pt idx="163">
                  <c:v>43313</c:v>
                </c:pt>
                <c:pt idx="164">
                  <c:v>43344</c:v>
                </c:pt>
                <c:pt idx="165">
                  <c:v>43374</c:v>
                </c:pt>
                <c:pt idx="166">
                  <c:v>43405</c:v>
                </c:pt>
                <c:pt idx="167">
                  <c:v>43435</c:v>
                </c:pt>
                <c:pt idx="168">
                  <c:v>43466</c:v>
                </c:pt>
                <c:pt idx="169">
                  <c:v>43497</c:v>
                </c:pt>
                <c:pt idx="170">
                  <c:v>43525</c:v>
                </c:pt>
                <c:pt idx="171">
                  <c:v>43556</c:v>
                </c:pt>
                <c:pt idx="172">
                  <c:v>43586</c:v>
                </c:pt>
                <c:pt idx="173">
                  <c:v>43617</c:v>
                </c:pt>
                <c:pt idx="174">
                  <c:v>43647</c:v>
                </c:pt>
                <c:pt idx="175">
                  <c:v>43678</c:v>
                </c:pt>
                <c:pt idx="176">
                  <c:v>43709</c:v>
                </c:pt>
                <c:pt idx="177">
                  <c:v>43739</c:v>
                </c:pt>
                <c:pt idx="178">
                  <c:v>43770</c:v>
                </c:pt>
                <c:pt idx="179">
                  <c:v>43800</c:v>
                </c:pt>
                <c:pt idx="180">
                  <c:v>43831</c:v>
                </c:pt>
                <c:pt idx="181">
                  <c:v>43862</c:v>
                </c:pt>
                <c:pt idx="182">
                  <c:v>43891</c:v>
                </c:pt>
                <c:pt idx="183">
                  <c:v>43922</c:v>
                </c:pt>
                <c:pt idx="184">
                  <c:v>43952</c:v>
                </c:pt>
                <c:pt idx="185">
                  <c:v>43983</c:v>
                </c:pt>
                <c:pt idx="186">
                  <c:v>44013</c:v>
                </c:pt>
                <c:pt idx="187">
                  <c:v>44044</c:v>
                </c:pt>
                <c:pt idx="188">
                  <c:v>44075</c:v>
                </c:pt>
                <c:pt idx="189">
                  <c:v>44105</c:v>
                </c:pt>
                <c:pt idx="190">
                  <c:v>44136</c:v>
                </c:pt>
                <c:pt idx="191">
                  <c:v>44166</c:v>
                </c:pt>
                <c:pt idx="192">
                  <c:v>44197</c:v>
                </c:pt>
                <c:pt idx="193">
                  <c:v>44228</c:v>
                </c:pt>
                <c:pt idx="194">
                  <c:v>44256</c:v>
                </c:pt>
                <c:pt idx="195">
                  <c:v>44287</c:v>
                </c:pt>
                <c:pt idx="196">
                  <c:v>44317</c:v>
                </c:pt>
                <c:pt idx="197">
                  <c:v>44348</c:v>
                </c:pt>
                <c:pt idx="198">
                  <c:v>44378</c:v>
                </c:pt>
                <c:pt idx="199">
                  <c:v>44409</c:v>
                </c:pt>
                <c:pt idx="200">
                  <c:v>44440</c:v>
                </c:pt>
                <c:pt idx="201">
                  <c:v>44470</c:v>
                </c:pt>
                <c:pt idx="202">
                  <c:v>44501</c:v>
                </c:pt>
                <c:pt idx="203">
                  <c:v>44531</c:v>
                </c:pt>
                <c:pt idx="204">
                  <c:v>44562</c:v>
                </c:pt>
                <c:pt idx="205">
                  <c:v>44593</c:v>
                </c:pt>
                <c:pt idx="206">
                  <c:v>44621</c:v>
                </c:pt>
                <c:pt idx="207">
                  <c:v>44652</c:v>
                </c:pt>
                <c:pt idx="208">
                  <c:v>44682</c:v>
                </c:pt>
                <c:pt idx="209">
                  <c:v>44713</c:v>
                </c:pt>
                <c:pt idx="210">
                  <c:v>44743</c:v>
                </c:pt>
                <c:pt idx="211">
                  <c:v>44774</c:v>
                </c:pt>
                <c:pt idx="212">
                  <c:v>44805</c:v>
                </c:pt>
                <c:pt idx="213">
                  <c:v>44835</c:v>
                </c:pt>
                <c:pt idx="214">
                  <c:v>44866</c:v>
                </c:pt>
                <c:pt idx="215">
                  <c:v>44896</c:v>
                </c:pt>
                <c:pt idx="216">
                  <c:v>44927</c:v>
                </c:pt>
                <c:pt idx="217">
                  <c:v>44958</c:v>
                </c:pt>
                <c:pt idx="218">
                  <c:v>44986</c:v>
                </c:pt>
                <c:pt idx="219">
                  <c:v>45017</c:v>
                </c:pt>
                <c:pt idx="220">
                  <c:v>45047</c:v>
                </c:pt>
                <c:pt idx="221">
                  <c:v>45078</c:v>
                </c:pt>
              </c:numCache>
            </c:numRef>
          </c:cat>
          <c:val>
            <c:numRef>
              <c:f>Hoja2!$C$4:$C$225</c:f>
              <c:numCache>
                <c:formatCode>General</c:formatCode>
                <c:ptCount val="222"/>
                <c:pt idx="0">
                  <c:v>16.809815395783673</c:v>
                </c:pt>
                <c:pt idx="1">
                  <c:v>19.832902828959575</c:v>
                </c:pt>
                <c:pt idx="2">
                  <c:v>25.419154019935647</c:v>
                </c:pt>
                <c:pt idx="3">
                  <c:v>23.052407488814254</c:v>
                </c:pt>
                <c:pt idx="4">
                  <c:v>15.134577612512871</c:v>
                </c:pt>
                <c:pt idx="5">
                  <c:v>21.828226125218492</c:v>
                </c:pt>
                <c:pt idx="6">
                  <c:v>22.571948868406693</c:v>
                </c:pt>
                <c:pt idx="7">
                  <c:v>28.184224763736523</c:v>
                </c:pt>
                <c:pt idx="8">
                  <c:v>33.362744787581761</c:v>
                </c:pt>
                <c:pt idx="9">
                  <c:v>23.735691009949562</c:v>
                </c:pt>
                <c:pt idx="10">
                  <c:v>20.496770466068213</c:v>
                </c:pt>
                <c:pt idx="11">
                  <c:v>28.459765278942939</c:v>
                </c:pt>
                <c:pt idx="12">
                  <c:v>26.134605909012535</c:v>
                </c:pt>
                <c:pt idx="13">
                  <c:v>21.352139173099658</c:v>
                </c:pt>
                <c:pt idx="14">
                  <c:v>13.061346043213788</c:v>
                </c:pt>
                <c:pt idx="15">
                  <c:v>22.737430600503089</c:v>
                </c:pt>
                <c:pt idx="16">
                  <c:v>30.601265392524397</c:v>
                </c:pt>
                <c:pt idx="17">
                  <c:v>22.573599910108967</c:v>
                </c:pt>
                <c:pt idx="18">
                  <c:v>24.235494315227228</c:v>
                </c:pt>
                <c:pt idx="19">
                  <c:v>17.855330471256707</c:v>
                </c:pt>
                <c:pt idx="20">
                  <c:v>4.4647232063408353</c:v>
                </c:pt>
                <c:pt idx="21">
                  <c:v>3.4448336955721572</c:v>
                </c:pt>
                <c:pt idx="22">
                  <c:v>12.298232610017806</c:v>
                </c:pt>
                <c:pt idx="23">
                  <c:v>8.7391312835492414</c:v>
                </c:pt>
                <c:pt idx="24">
                  <c:v>2.8635595840841574</c:v>
                </c:pt>
                <c:pt idx="25">
                  <c:v>10.188342335936596</c:v>
                </c:pt>
                <c:pt idx="26">
                  <c:v>11.83826046747609</c:v>
                </c:pt>
                <c:pt idx="27">
                  <c:v>9.3614773430636262</c:v>
                </c:pt>
                <c:pt idx="28">
                  <c:v>5.800228661437302</c:v>
                </c:pt>
                <c:pt idx="29">
                  <c:v>8.551795959915637</c:v>
                </c:pt>
                <c:pt idx="30">
                  <c:v>6.7067686611892725</c:v>
                </c:pt>
                <c:pt idx="31">
                  <c:v>2.8218369138294861</c:v>
                </c:pt>
                <c:pt idx="32">
                  <c:v>17.218233778973357</c:v>
                </c:pt>
                <c:pt idx="33">
                  <c:v>25.970119337450498</c:v>
                </c:pt>
                <c:pt idx="34">
                  <c:v>30.083912847902184</c:v>
                </c:pt>
                <c:pt idx="35">
                  <c:v>28.043122104763654</c:v>
                </c:pt>
                <c:pt idx="36">
                  <c:v>39.218746229622411</c:v>
                </c:pt>
                <c:pt idx="37">
                  <c:v>38.068162139865848</c:v>
                </c:pt>
                <c:pt idx="38">
                  <c:v>43.107385350309556</c:v>
                </c:pt>
                <c:pt idx="39">
                  <c:v>40.631455544951876</c:v>
                </c:pt>
                <c:pt idx="40">
                  <c:v>50.075628926067907</c:v>
                </c:pt>
                <c:pt idx="41">
                  <c:v>56.772725396283448</c:v>
                </c:pt>
                <c:pt idx="42">
                  <c:v>54.921961054343569</c:v>
                </c:pt>
                <c:pt idx="43">
                  <c:v>43.173326078750364</c:v>
                </c:pt>
                <c:pt idx="44">
                  <c:v>25.125563909024365</c:v>
                </c:pt>
                <c:pt idx="45">
                  <c:v>-3.3408994966128631</c:v>
                </c:pt>
                <c:pt idx="46">
                  <c:v>-22.527162907378525</c:v>
                </c:pt>
                <c:pt idx="47">
                  <c:v>-31.031480356426698</c:v>
                </c:pt>
                <c:pt idx="48">
                  <c:v>-32.358355003028635</c:v>
                </c:pt>
                <c:pt idx="49">
                  <c:v>-37.47544955909494</c:v>
                </c:pt>
                <c:pt idx="50">
                  <c:v>-41.030367111220599</c:v>
                </c:pt>
                <c:pt idx="51">
                  <c:v>-42.122112263914204</c:v>
                </c:pt>
                <c:pt idx="52">
                  <c:v>-41.232602514462577</c:v>
                </c:pt>
                <c:pt idx="53">
                  <c:v>-39.513809912448551</c:v>
                </c:pt>
                <c:pt idx="54">
                  <c:v>-42.069666458610421</c:v>
                </c:pt>
                <c:pt idx="55">
                  <c:v>-31.697113218484901</c:v>
                </c:pt>
                <c:pt idx="56">
                  <c:v>-27.734395220102243</c:v>
                </c:pt>
                <c:pt idx="57">
                  <c:v>-6.0407741076716377</c:v>
                </c:pt>
                <c:pt idx="58">
                  <c:v>14.996344047800619</c:v>
                </c:pt>
                <c:pt idx="59">
                  <c:v>31.540343095515254</c:v>
                </c:pt>
                <c:pt idx="60">
                  <c:v>33.910678201023529</c:v>
                </c:pt>
                <c:pt idx="61">
                  <c:v>35.303240384560155</c:v>
                </c:pt>
                <c:pt idx="62">
                  <c:v>40.200138744911584</c:v>
                </c:pt>
                <c:pt idx="63">
                  <c:v>45.098576905177822</c:v>
                </c:pt>
                <c:pt idx="64">
                  <c:v>25.586528181652596</c:v>
                </c:pt>
                <c:pt idx="65">
                  <c:v>14.287287242676271</c:v>
                </c:pt>
                <c:pt idx="66">
                  <c:v>18.494439973231607</c:v>
                </c:pt>
                <c:pt idx="67">
                  <c:v>15.348972653085681</c:v>
                </c:pt>
                <c:pt idx="68">
                  <c:v>21.234306839291733</c:v>
                </c:pt>
                <c:pt idx="69">
                  <c:v>20.183404143960288</c:v>
                </c:pt>
                <c:pt idx="70">
                  <c:v>19.432533599072983</c:v>
                </c:pt>
                <c:pt idx="71">
                  <c:v>23.95911933000643</c:v>
                </c:pt>
                <c:pt idx="72">
                  <c:v>23.326060786547444</c:v>
                </c:pt>
                <c:pt idx="73">
                  <c:v>30.868444445236719</c:v>
                </c:pt>
                <c:pt idx="74">
                  <c:v>30.565911251640898</c:v>
                </c:pt>
                <c:pt idx="75">
                  <c:v>30.13326364985079</c:v>
                </c:pt>
                <c:pt idx="76">
                  <c:v>33.094265374710687</c:v>
                </c:pt>
                <c:pt idx="77">
                  <c:v>34.268513146546638</c:v>
                </c:pt>
                <c:pt idx="78">
                  <c:v>36.302038286546264</c:v>
                </c:pt>
                <c:pt idx="79">
                  <c:v>29.346059770898506</c:v>
                </c:pt>
                <c:pt idx="80">
                  <c:v>25.077363894262788</c:v>
                </c:pt>
                <c:pt idx="81">
                  <c:v>14.907932776706787</c:v>
                </c:pt>
                <c:pt idx="82">
                  <c:v>12.570177486929282</c:v>
                </c:pt>
                <c:pt idx="83">
                  <c:v>4.3502431550000296</c:v>
                </c:pt>
                <c:pt idx="84">
                  <c:v>2.3180102868661407</c:v>
                </c:pt>
                <c:pt idx="85">
                  <c:v>1.7985110981024093</c:v>
                </c:pt>
                <c:pt idx="86">
                  <c:v>0.45896607004031864</c:v>
                </c:pt>
                <c:pt idx="87">
                  <c:v>-6.0261696019514375</c:v>
                </c:pt>
                <c:pt idx="88">
                  <c:v>-7.9891394232582229</c:v>
                </c:pt>
                <c:pt idx="89">
                  <c:v>-12.975264948490306</c:v>
                </c:pt>
                <c:pt idx="90">
                  <c:v>-11.388473174005824</c:v>
                </c:pt>
                <c:pt idx="91">
                  <c:v>-6.4591585044733932</c:v>
                </c:pt>
                <c:pt idx="92">
                  <c:v>-4.2242509799210666</c:v>
                </c:pt>
                <c:pt idx="93">
                  <c:v>-2.0939308250677158</c:v>
                </c:pt>
                <c:pt idx="94">
                  <c:v>-4.3710386952331248</c:v>
                </c:pt>
                <c:pt idx="95">
                  <c:v>-1.976453488977441</c:v>
                </c:pt>
                <c:pt idx="96">
                  <c:v>-1.376293873057989</c:v>
                </c:pt>
                <c:pt idx="97">
                  <c:v>-3.526036269282514</c:v>
                </c:pt>
                <c:pt idx="98">
                  <c:v>-7.7725126492618841</c:v>
                </c:pt>
                <c:pt idx="99">
                  <c:v>-8.0930061955006636</c:v>
                </c:pt>
                <c:pt idx="100">
                  <c:v>-3.0214935635703029</c:v>
                </c:pt>
                <c:pt idx="101">
                  <c:v>1.9509818504749319</c:v>
                </c:pt>
                <c:pt idx="102">
                  <c:v>-0.2954474966663696</c:v>
                </c:pt>
                <c:pt idx="103">
                  <c:v>-1.6289658373371481</c:v>
                </c:pt>
                <c:pt idx="104">
                  <c:v>-2.9246107023546983</c:v>
                </c:pt>
                <c:pt idx="105">
                  <c:v>-3.4099567849627874</c:v>
                </c:pt>
                <c:pt idx="106">
                  <c:v>-3.2611697615612059</c:v>
                </c:pt>
                <c:pt idx="107">
                  <c:v>-1.6404876823792023</c:v>
                </c:pt>
                <c:pt idx="108">
                  <c:v>-4.8850142065905828</c:v>
                </c:pt>
                <c:pt idx="109">
                  <c:v>-3.5062942002860922</c:v>
                </c:pt>
                <c:pt idx="110">
                  <c:v>-1.5030448826660034</c:v>
                </c:pt>
                <c:pt idx="111">
                  <c:v>1.3623483895685951</c:v>
                </c:pt>
                <c:pt idx="112">
                  <c:v>0.79605599620340683</c:v>
                </c:pt>
                <c:pt idx="113">
                  <c:v>2.6158065366067831</c:v>
                </c:pt>
                <c:pt idx="114">
                  <c:v>-0.72094289363407427</c:v>
                </c:pt>
                <c:pt idx="115">
                  <c:v>-5.5351157513853764</c:v>
                </c:pt>
                <c:pt idx="116">
                  <c:v>-8.2127549606793337</c:v>
                </c:pt>
                <c:pt idx="117">
                  <c:v>-11.869452258721239</c:v>
                </c:pt>
                <c:pt idx="118">
                  <c:v>-14.946128817354463</c:v>
                </c:pt>
                <c:pt idx="119">
                  <c:v>-24.673529987367445</c:v>
                </c:pt>
                <c:pt idx="120">
                  <c:v>-31.144117429092375</c:v>
                </c:pt>
                <c:pt idx="121">
                  <c:v>-30.794984805889101</c:v>
                </c:pt>
                <c:pt idx="122">
                  <c:v>-32.842081119872049</c:v>
                </c:pt>
                <c:pt idx="123">
                  <c:v>-32.641594922255706</c:v>
                </c:pt>
                <c:pt idx="124">
                  <c:v>-29.720461937250647</c:v>
                </c:pt>
                <c:pt idx="125">
                  <c:v>-31.249336204476947</c:v>
                </c:pt>
                <c:pt idx="126">
                  <c:v>-33.659524646718026</c:v>
                </c:pt>
                <c:pt idx="127">
                  <c:v>-35.728562578380874</c:v>
                </c:pt>
                <c:pt idx="128">
                  <c:v>-33.915027201489437</c:v>
                </c:pt>
                <c:pt idx="129">
                  <c:v>-29.996599073301866</c:v>
                </c:pt>
                <c:pt idx="130">
                  <c:v>-30.987559869695204</c:v>
                </c:pt>
                <c:pt idx="131">
                  <c:v>-28.075226578908357</c:v>
                </c:pt>
                <c:pt idx="132">
                  <c:v>-25.182394676811043</c:v>
                </c:pt>
                <c:pt idx="133">
                  <c:v>-25.754335336618752</c:v>
                </c:pt>
                <c:pt idx="134">
                  <c:v>-17.352665846544596</c:v>
                </c:pt>
                <c:pt idx="135">
                  <c:v>-15.40615576712753</c:v>
                </c:pt>
                <c:pt idx="136">
                  <c:v>-14.635262303504945</c:v>
                </c:pt>
                <c:pt idx="137">
                  <c:v>-10.564460186394797</c:v>
                </c:pt>
                <c:pt idx="138">
                  <c:v>-5.975686546193046</c:v>
                </c:pt>
                <c:pt idx="139">
                  <c:v>0.78314205763092559</c:v>
                </c:pt>
                <c:pt idx="140">
                  <c:v>1.2736453179884535</c:v>
                </c:pt>
                <c:pt idx="141">
                  <c:v>4.5860886453191512</c:v>
                </c:pt>
                <c:pt idx="142">
                  <c:v>9.911866748089551</c:v>
                </c:pt>
                <c:pt idx="143">
                  <c:v>23.0650809720307</c:v>
                </c:pt>
                <c:pt idx="144">
                  <c:v>35.687285383031366</c:v>
                </c:pt>
                <c:pt idx="145">
                  <c:v>33.691135968012759</c:v>
                </c:pt>
                <c:pt idx="146">
                  <c:v>18.425414509498623</c:v>
                </c:pt>
                <c:pt idx="147">
                  <c:v>14.634425835164876</c:v>
                </c:pt>
                <c:pt idx="148">
                  <c:v>8.0285669646552407</c:v>
                </c:pt>
                <c:pt idx="149">
                  <c:v>2.0868276302633149</c:v>
                </c:pt>
                <c:pt idx="150">
                  <c:v>5.2862393574397686</c:v>
                </c:pt>
                <c:pt idx="151">
                  <c:v>7.6466518908487728</c:v>
                </c:pt>
                <c:pt idx="152">
                  <c:v>10.577713048481073</c:v>
                </c:pt>
                <c:pt idx="153">
                  <c:v>8.2854800584025554</c:v>
                </c:pt>
                <c:pt idx="154">
                  <c:v>14.190513155448485</c:v>
                </c:pt>
                <c:pt idx="155">
                  <c:v>9.4458578785368275</c:v>
                </c:pt>
                <c:pt idx="156">
                  <c:v>11.025292254496378</c:v>
                </c:pt>
                <c:pt idx="157">
                  <c:v>8.6112478781308539</c:v>
                </c:pt>
                <c:pt idx="158">
                  <c:v>13.780283889536122</c:v>
                </c:pt>
                <c:pt idx="159">
                  <c:v>15.273550226016638</c:v>
                </c:pt>
                <c:pt idx="160">
                  <c:v>21.948811974167953</c:v>
                </c:pt>
                <c:pt idx="161">
                  <c:v>24.57613107759326</c:v>
                </c:pt>
                <c:pt idx="162">
                  <c:v>19.969353739849367</c:v>
                </c:pt>
                <c:pt idx="163">
                  <c:v>14.819858708809349</c:v>
                </c:pt>
                <c:pt idx="164">
                  <c:v>15.449479074104303</c:v>
                </c:pt>
                <c:pt idx="165">
                  <c:v>14.931149957499514</c:v>
                </c:pt>
                <c:pt idx="166">
                  <c:v>0.79209622666729729</c:v>
                </c:pt>
                <c:pt idx="167">
                  <c:v>-4.9938551061291037</c:v>
                </c:pt>
                <c:pt idx="168">
                  <c:v>-8.9075045681592684</c:v>
                </c:pt>
                <c:pt idx="169">
                  <c:v>-6.0188918369001385</c:v>
                </c:pt>
                <c:pt idx="170">
                  <c:v>-5.3540094241361942</c:v>
                </c:pt>
                <c:pt idx="171">
                  <c:v>-4.1407920714522248</c:v>
                </c:pt>
                <c:pt idx="172">
                  <c:v>-9.9341983941033476</c:v>
                </c:pt>
                <c:pt idx="173">
                  <c:v>-12.745615060757572</c:v>
                </c:pt>
                <c:pt idx="174">
                  <c:v>-9.6008552811058223</c:v>
                </c:pt>
                <c:pt idx="175">
                  <c:v>-12.126066781695698</c:v>
                </c:pt>
                <c:pt idx="176">
                  <c:v>-13.397049698215326</c:v>
                </c:pt>
                <c:pt idx="177">
                  <c:v>-15.182740943202916</c:v>
                </c:pt>
                <c:pt idx="178">
                  <c:v>-4.1392760961388575</c:v>
                </c:pt>
                <c:pt idx="179">
                  <c:v>2.9323211500298214</c:v>
                </c:pt>
                <c:pt idx="180">
                  <c:v>1.5320233322701426</c:v>
                </c:pt>
                <c:pt idx="181">
                  <c:v>-7.2480442003596295</c:v>
                </c:pt>
                <c:pt idx="182">
                  <c:v>-21.94441759684625</c:v>
                </c:pt>
                <c:pt idx="183">
                  <c:v>-30.730538511287079</c:v>
                </c:pt>
                <c:pt idx="184">
                  <c:v>-23.338676316249774</c:v>
                </c:pt>
                <c:pt idx="185">
                  <c:v>-13.036683538060217</c:v>
                </c:pt>
                <c:pt idx="186">
                  <c:v>-12.343270726941284</c:v>
                </c:pt>
                <c:pt idx="187">
                  <c:v>-2.9989718157570877</c:v>
                </c:pt>
                <c:pt idx="188">
                  <c:v>-5.0363552581127067</c:v>
                </c:pt>
                <c:pt idx="189">
                  <c:v>-1.2476954451684179</c:v>
                </c:pt>
                <c:pt idx="190">
                  <c:v>-1.0272974376702138</c:v>
                </c:pt>
                <c:pt idx="191">
                  <c:v>4.9907759613941209</c:v>
                </c:pt>
                <c:pt idx="192">
                  <c:v>15.273021807915683</c:v>
                </c:pt>
                <c:pt idx="193">
                  <c:v>25.277988416551864</c:v>
                </c:pt>
                <c:pt idx="194">
                  <c:v>51.339619235937448</c:v>
                </c:pt>
                <c:pt idx="195">
                  <c:v>70.774227073112797</c:v>
                </c:pt>
                <c:pt idx="196">
                  <c:v>69.209422978109416</c:v>
                </c:pt>
                <c:pt idx="197">
                  <c:v>60.935986583501801</c:v>
                </c:pt>
                <c:pt idx="198">
                  <c:v>60.201729980223519</c:v>
                </c:pt>
                <c:pt idx="199">
                  <c:v>50.146141983261003</c:v>
                </c:pt>
                <c:pt idx="200">
                  <c:v>58.380396456549875</c:v>
                </c:pt>
                <c:pt idx="201">
                  <c:v>72.141398661217636</c:v>
                </c:pt>
                <c:pt idx="202">
                  <c:v>58.887434357995829</c:v>
                </c:pt>
                <c:pt idx="203">
                  <c:v>49.05179804517914</c:v>
                </c:pt>
                <c:pt idx="204">
                  <c:v>40.371706557809688</c:v>
                </c:pt>
                <c:pt idx="205">
                  <c:v>47.491270827254056</c:v>
                </c:pt>
                <c:pt idx="206">
                  <c:v>70.110181393499545</c:v>
                </c:pt>
                <c:pt idx="207">
                  <c:v>57.162126332513111</c:v>
                </c:pt>
                <c:pt idx="208">
                  <c:v>45.840969615021578</c:v>
                </c:pt>
                <c:pt idx="209">
                  <c:v>44.065522817403149</c:v>
                </c:pt>
                <c:pt idx="210">
                  <c:v>39.20424980919779</c:v>
                </c:pt>
                <c:pt idx="211">
                  <c:v>48.25382052590075</c:v>
                </c:pt>
                <c:pt idx="212">
                  <c:v>28.237554386959232</c:v>
                </c:pt>
                <c:pt idx="213">
                  <c:v>-7.0594188956036419E-2</c:v>
                </c:pt>
                <c:pt idx="214">
                  <c:v>4.9124101867039656</c:v>
                </c:pt>
                <c:pt idx="215">
                  <c:v>4.1014288735095903</c:v>
                </c:pt>
                <c:pt idx="216">
                  <c:v>-5.0006612492591245</c:v>
                </c:pt>
                <c:pt idx="217">
                  <c:v>-14.221200046775081</c:v>
                </c:pt>
                <c:pt idx="218">
                  <c:v>-29.837070376150649</c:v>
                </c:pt>
                <c:pt idx="219">
                  <c:v>-25.099143366823427</c:v>
                </c:pt>
                <c:pt idx="220">
                  <c:v>-30.505378124345512</c:v>
                </c:pt>
                <c:pt idx="221">
                  <c:v>-33.206716049904699</c:v>
                </c:pt>
              </c:numCache>
            </c:numRef>
          </c:val>
          <c:smooth val="0"/>
          <c:extLst>
            <c:ext xmlns:c16="http://schemas.microsoft.com/office/drawing/2014/chart" uri="{C3380CC4-5D6E-409C-BE32-E72D297353CC}">
              <c16:uniqueId val="{00000001-C29A-4038-8B7A-485BD91A4735}"/>
            </c:ext>
          </c:extLst>
        </c:ser>
        <c:dLbls>
          <c:showLegendKey val="0"/>
          <c:showVal val="0"/>
          <c:showCatName val="0"/>
          <c:showSerName val="0"/>
          <c:showPercent val="0"/>
          <c:showBubbleSize val="0"/>
        </c:dLbls>
        <c:marker val="1"/>
        <c:smooth val="0"/>
        <c:axId val="136384960"/>
        <c:axId val="136379552"/>
      </c:lineChart>
      <c:dateAx>
        <c:axId val="965366320"/>
        <c:scaling>
          <c:orientation val="minMax"/>
          <c:min val="38504"/>
        </c:scaling>
        <c:delete val="0"/>
        <c:axPos val="b"/>
        <c:numFmt formatCode="mmm\-yy" sourceLinked="1"/>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65368400"/>
        <c:crosses val="autoZero"/>
        <c:auto val="1"/>
        <c:lblOffset val="100"/>
        <c:baseTimeUnit val="months"/>
        <c:majorUnit val="1"/>
        <c:majorTimeUnit val="years"/>
      </c:dateAx>
      <c:valAx>
        <c:axId val="965368400"/>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800"/>
                  <a:t>IPC </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65366320"/>
        <c:crosses val="autoZero"/>
        <c:crossBetween val="between"/>
      </c:valAx>
      <c:valAx>
        <c:axId val="136379552"/>
        <c:scaling>
          <c:orientation val="minMax"/>
        </c:scaling>
        <c:delete val="0"/>
        <c:axPos val="r"/>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800"/>
                  <a:t>Índice de commodities</a:t>
                </a:r>
                <a:r>
                  <a:rPr lang="es-GT" sz="800" baseline="0"/>
                  <a:t> (%)</a:t>
                </a:r>
                <a:endParaRPr lang="es-GT" sz="800"/>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36384960"/>
        <c:crosses val="max"/>
        <c:crossBetween val="between"/>
      </c:valAx>
      <c:dateAx>
        <c:axId val="136384960"/>
        <c:scaling>
          <c:orientation val="minMax"/>
        </c:scaling>
        <c:delete val="1"/>
        <c:axPos val="b"/>
        <c:numFmt formatCode="mmm\-yy" sourceLinked="1"/>
        <c:majorTickMark val="out"/>
        <c:minorTickMark val="none"/>
        <c:tickLblPos val="nextTo"/>
        <c:crossAx val="136379552"/>
        <c:crosses val="autoZero"/>
        <c:auto val="1"/>
        <c:lblOffset val="100"/>
        <c:baseTimeUnit val="months"/>
      </c:dateAx>
      <c:spPr>
        <a:noFill/>
        <a:ln>
          <a:noFill/>
        </a:ln>
        <a:effectLst/>
      </c:spPr>
    </c:plotArea>
    <c:legend>
      <c:legendPos val="b"/>
      <c:layout>
        <c:manualLayout>
          <c:xMode val="edge"/>
          <c:yMode val="edge"/>
          <c:x val="0.20327109667735843"/>
          <c:y val="3.0765040692711597E-2"/>
          <c:w val="0.62429222910593307"/>
          <c:h val="0.1115382188206143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935829817158931E-2"/>
          <c:y val="7.5497189796800687E-2"/>
          <c:w val="0.72645218002812939"/>
          <c:h val="0.6841807176826632"/>
        </c:manualLayout>
      </c:layout>
      <c:areaChart>
        <c:grouping val="stacked"/>
        <c:varyColors val="0"/>
        <c:ser>
          <c:idx val="0"/>
          <c:order val="0"/>
          <c:spPr>
            <a:noFill/>
            <a:ln w="25400">
              <a:noFill/>
            </a:ln>
          </c:spPr>
          <c:cat>
            <c:strRef>
              <c:f>DatosChart!$A$25:$A$45</c:f>
              <c:strCache>
                <c:ptCount val="21"/>
                <c:pt idx="0">
                  <c:v>III 2020 </c:v>
                </c:pt>
                <c:pt idx="1">
                  <c:v>IV 2020 </c:v>
                </c:pt>
                <c:pt idx="2">
                  <c:v>I 2021 </c:v>
                </c:pt>
                <c:pt idx="3">
                  <c:v>II 2021 </c:v>
                </c:pt>
                <c:pt idx="4">
                  <c:v>III 2021 </c:v>
                </c:pt>
                <c:pt idx="5">
                  <c:v>IV 2021 </c:v>
                </c:pt>
                <c:pt idx="6">
                  <c:v>I 2022 </c:v>
                </c:pt>
                <c:pt idx="7">
                  <c:v>II 2022 </c:v>
                </c:pt>
                <c:pt idx="8">
                  <c:v>III 2022 </c:v>
                </c:pt>
                <c:pt idx="9">
                  <c:v>IV 2022 </c:v>
                </c:pt>
                <c:pt idx="10">
                  <c:v>I 2023 </c:v>
                </c:pt>
                <c:pt idx="11">
                  <c:v>II 2023 </c:v>
                </c:pt>
                <c:pt idx="12">
                  <c:v>III 2023 </c:v>
                </c:pt>
                <c:pt idx="13">
                  <c:v>IV 2023 </c:v>
                </c:pt>
                <c:pt idx="14">
                  <c:v>I 2024 </c:v>
                </c:pt>
                <c:pt idx="15">
                  <c:v>II 2024 </c:v>
                </c:pt>
                <c:pt idx="16">
                  <c:v>III 2024 </c:v>
                </c:pt>
                <c:pt idx="17">
                  <c:v>IV 2024 </c:v>
                </c:pt>
                <c:pt idx="18">
                  <c:v>I 2025 </c:v>
                </c:pt>
                <c:pt idx="19">
                  <c:v>II 2025 </c:v>
                </c:pt>
                <c:pt idx="20">
                  <c:v>III 2025 </c:v>
                </c:pt>
              </c:strCache>
            </c:strRef>
          </c:cat>
          <c:val>
            <c:numRef>
              <c:f>DatosChart!$B$25:$B$45</c:f>
              <c:numCache>
                <c:formatCode>General</c:formatCode>
                <c:ptCount val="21"/>
                <c:pt idx="0">
                  <c:v>3.9271879377730019</c:v>
                </c:pt>
                <c:pt idx="1">
                  <c:v>5.0782622275230338</c:v>
                </c:pt>
                <c:pt idx="2">
                  <c:v>5.5360075145720167</c:v>
                </c:pt>
                <c:pt idx="3">
                  <c:v>4.6475647109920359</c:v>
                </c:pt>
                <c:pt idx="4">
                  <c:v>3.6170527589895194</c:v>
                </c:pt>
                <c:pt idx="5">
                  <c:v>2.9102872683544554</c:v>
                </c:pt>
                <c:pt idx="6">
                  <c:v>3.2700931004644715</c:v>
                </c:pt>
                <c:pt idx="7">
                  <c:v>5.8092702444864805</c:v>
                </c:pt>
                <c:pt idx="8">
                  <c:v>8.3767632811284685</c:v>
                </c:pt>
                <c:pt idx="9">
                  <c:v>8.9389075059865206</c:v>
                </c:pt>
                <c:pt idx="10">
                  <c:v>9.002384773006483</c:v>
                </c:pt>
                <c:pt idx="11">
                  <c:v>6.3523422955234885</c:v>
                </c:pt>
                <c:pt idx="12">
                  <c:v>4.2733962648764026</c:v>
                </c:pt>
                <c:pt idx="13">
                  <c:v>3.5705683911783037</c:v>
                </c:pt>
                <c:pt idx="14">
                  <c:v>2.8348245718280816</c:v>
                </c:pt>
                <c:pt idx="15">
                  <c:v>2.0544243416321519</c:v>
                </c:pt>
                <c:pt idx="16">
                  <c:v>1.726201630534447</c:v>
                </c:pt>
                <c:pt idx="17">
                  <c:v>1.3538563086969835</c:v>
                </c:pt>
                <c:pt idx="18">
                  <c:v>0.9445714988029259</c:v>
                </c:pt>
                <c:pt idx="19">
                  <c:v>0.53305478185456667</c:v>
                </c:pt>
                <c:pt idx="20">
                  <c:v>0.15332289535292665</c:v>
                </c:pt>
              </c:numCache>
            </c:numRef>
          </c:val>
          <c:extLst>
            <c:ext xmlns:c16="http://schemas.microsoft.com/office/drawing/2014/chart" uri="{C3380CC4-5D6E-409C-BE32-E72D297353CC}">
              <c16:uniqueId val="{00000000-88F2-46F8-A1D9-A14BA381C120}"/>
            </c:ext>
          </c:extLst>
        </c:ser>
        <c:ser>
          <c:idx val="1"/>
          <c:order val="1"/>
          <c:spPr>
            <a:solidFill>
              <a:srgbClr val="FDD7D7"/>
            </a:solidFill>
            <a:ln w="25400">
              <a:noFill/>
            </a:ln>
          </c:spPr>
          <c:cat>
            <c:strRef>
              <c:f>DatosChart!$A$25:$A$45</c:f>
              <c:strCache>
                <c:ptCount val="21"/>
                <c:pt idx="0">
                  <c:v>III 2020 </c:v>
                </c:pt>
                <c:pt idx="1">
                  <c:v>IV 2020 </c:v>
                </c:pt>
                <c:pt idx="2">
                  <c:v>I 2021 </c:v>
                </c:pt>
                <c:pt idx="3">
                  <c:v>II 2021 </c:v>
                </c:pt>
                <c:pt idx="4">
                  <c:v>III 2021 </c:v>
                </c:pt>
                <c:pt idx="5">
                  <c:v>IV 2021 </c:v>
                </c:pt>
                <c:pt idx="6">
                  <c:v>I 2022 </c:v>
                </c:pt>
                <c:pt idx="7">
                  <c:v>II 2022 </c:v>
                </c:pt>
                <c:pt idx="8">
                  <c:v>III 2022 </c:v>
                </c:pt>
                <c:pt idx="9">
                  <c:v>IV 2022 </c:v>
                </c:pt>
                <c:pt idx="10">
                  <c:v>I 2023 </c:v>
                </c:pt>
                <c:pt idx="11">
                  <c:v>II 2023 </c:v>
                </c:pt>
                <c:pt idx="12">
                  <c:v>III 2023 </c:v>
                </c:pt>
                <c:pt idx="13">
                  <c:v>IV 2023 </c:v>
                </c:pt>
                <c:pt idx="14">
                  <c:v>I 2024 </c:v>
                </c:pt>
                <c:pt idx="15">
                  <c:v>II 2024 </c:v>
                </c:pt>
                <c:pt idx="16">
                  <c:v>III 2024 </c:v>
                </c:pt>
                <c:pt idx="17">
                  <c:v>IV 2024 </c:v>
                </c:pt>
                <c:pt idx="18">
                  <c:v>I 2025 </c:v>
                </c:pt>
                <c:pt idx="19">
                  <c:v>II 2025 </c:v>
                </c:pt>
                <c:pt idx="20">
                  <c:v>III 2025 </c:v>
                </c:pt>
              </c:strCache>
            </c:strRef>
          </c:cat>
          <c:val>
            <c:numRef>
              <c:f>DatosChart!$C$25:$C$45</c:f>
              <c:numCache>
                <c:formatCode>General</c:formatCode>
                <c:ptCount val="21"/>
                <c:pt idx="0">
                  <c:v>0</c:v>
                </c:pt>
                <c:pt idx="1">
                  <c:v>0</c:v>
                </c:pt>
                <c:pt idx="2">
                  <c:v>0</c:v>
                </c:pt>
                <c:pt idx="3">
                  <c:v>0</c:v>
                </c:pt>
                <c:pt idx="4">
                  <c:v>3.6330206140684496E-3</c:v>
                </c:pt>
                <c:pt idx="5">
                  <c:v>3.6330206140684496E-3</c:v>
                </c:pt>
                <c:pt idx="6">
                  <c:v>3.6330206140684496E-3</c:v>
                </c:pt>
                <c:pt idx="7">
                  <c:v>3.6330206140684496E-3</c:v>
                </c:pt>
                <c:pt idx="8">
                  <c:v>3.6330206140693377E-3</c:v>
                </c:pt>
                <c:pt idx="9">
                  <c:v>3.6330206140693377E-3</c:v>
                </c:pt>
                <c:pt idx="10">
                  <c:v>3.6330206140693377E-3</c:v>
                </c:pt>
                <c:pt idx="11">
                  <c:v>3.6330206140684496E-3</c:v>
                </c:pt>
                <c:pt idx="12">
                  <c:v>6.2031116190071955E-2</c:v>
                </c:pt>
                <c:pt idx="13">
                  <c:v>0.12392344808866351</c:v>
                </c:pt>
                <c:pt idx="14">
                  <c:v>0.18586472812265287</c:v>
                </c:pt>
                <c:pt idx="15">
                  <c:v>0.24944560630819357</c:v>
                </c:pt>
                <c:pt idx="16">
                  <c:v>0.31751188070210556</c:v>
                </c:pt>
                <c:pt idx="17">
                  <c:v>0.39160700141360949</c:v>
                </c:pt>
                <c:pt idx="18">
                  <c:v>0.47164684435997395</c:v>
                </c:pt>
                <c:pt idx="19">
                  <c:v>0.55332886878541221</c:v>
                </c:pt>
                <c:pt idx="20">
                  <c:v>0.6315843707710026</c:v>
                </c:pt>
              </c:numCache>
            </c:numRef>
          </c:val>
          <c:extLst>
            <c:ext xmlns:c16="http://schemas.microsoft.com/office/drawing/2014/chart" uri="{C3380CC4-5D6E-409C-BE32-E72D297353CC}">
              <c16:uniqueId val="{00000001-88F2-46F8-A1D9-A14BA381C120}"/>
            </c:ext>
          </c:extLst>
        </c:ser>
        <c:ser>
          <c:idx val="2"/>
          <c:order val="2"/>
          <c:spPr>
            <a:solidFill>
              <a:srgbClr val="FFC5C8"/>
            </a:solidFill>
            <a:ln w="25400">
              <a:noFill/>
            </a:ln>
          </c:spPr>
          <c:cat>
            <c:strRef>
              <c:f>DatosChart!$A$25:$A$45</c:f>
              <c:strCache>
                <c:ptCount val="21"/>
                <c:pt idx="0">
                  <c:v>III 2020 </c:v>
                </c:pt>
                <c:pt idx="1">
                  <c:v>IV 2020 </c:v>
                </c:pt>
                <c:pt idx="2">
                  <c:v>I 2021 </c:v>
                </c:pt>
                <c:pt idx="3">
                  <c:v>II 2021 </c:v>
                </c:pt>
                <c:pt idx="4">
                  <c:v>III 2021 </c:v>
                </c:pt>
                <c:pt idx="5">
                  <c:v>IV 2021 </c:v>
                </c:pt>
                <c:pt idx="6">
                  <c:v>I 2022 </c:v>
                </c:pt>
                <c:pt idx="7">
                  <c:v>II 2022 </c:v>
                </c:pt>
                <c:pt idx="8">
                  <c:v>III 2022 </c:v>
                </c:pt>
                <c:pt idx="9">
                  <c:v>IV 2022 </c:v>
                </c:pt>
                <c:pt idx="10">
                  <c:v>I 2023 </c:v>
                </c:pt>
                <c:pt idx="11">
                  <c:v>II 2023 </c:v>
                </c:pt>
                <c:pt idx="12">
                  <c:v>III 2023 </c:v>
                </c:pt>
                <c:pt idx="13">
                  <c:v>IV 2023 </c:v>
                </c:pt>
                <c:pt idx="14">
                  <c:v>I 2024 </c:v>
                </c:pt>
                <c:pt idx="15">
                  <c:v>II 2024 </c:v>
                </c:pt>
                <c:pt idx="16">
                  <c:v>III 2024 </c:v>
                </c:pt>
                <c:pt idx="17">
                  <c:v>IV 2024 </c:v>
                </c:pt>
                <c:pt idx="18">
                  <c:v>I 2025 </c:v>
                </c:pt>
                <c:pt idx="19">
                  <c:v>II 2025 </c:v>
                </c:pt>
                <c:pt idx="20">
                  <c:v>III 2025 </c:v>
                </c:pt>
              </c:strCache>
            </c:strRef>
          </c:cat>
          <c:val>
            <c:numRef>
              <c:f>DatosChart!$D$25:$D$45</c:f>
              <c:numCache>
                <c:formatCode>General</c:formatCode>
                <c:ptCount val="21"/>
                <c:pt idx="0">
                  <c:v>0</c:v>
                </c:pt>
                <c:pt idx="1">
                  <c:v>0</c:v>
                </c:pt>
                <c:pt idx="2">
                  <c:v>0</c:v>
                </c:pt>
                <c:pt idx="3">
                  <c:v>0</c:v>
                </c:pt>
                <c:pt idx="4">
                  <c:v>2.4511817605081809E-3</c:v>
                </c:pt>
                <c:pt idx="5">
                  <c:v>2.4511817605081809E-3</c:v>
                </c:pt>
                <c:pt idx="6">
                  <c:v>2.4511817605081809E-3</c:v>
                </c:pt>
                <c:pt idx="7">
                  <c:v>2.451181760508625E-3</c:v>
                </c:pt>
                <c:pt idx="8">
                  <c:v>2.4511817605077368E-3</c:v>
                </c:pt>
                <c:pt idx="9">
                  <c:v>2.4511817605077368E-3</c:v>
                </c:pt>
                <c:pt idx="10">
                  <c:v>2.4511817605077368E-3</c:v>
                </c:pt>
                <c:pt idx="11">
                  <c:v>2.451181760508625E-3</c:v>
                </c:pt>
                <c:pt idx="12">
                  <c:v>4.3097391380443995E-2</c:v>
                </c:pt>
                <c:pt idx="13">
                  <c:v>8.6793848287440412E-2</c:v>
                </c:pt>
                <c:pt idx="14">
                  <c:v>0.12953284798015829</c:v>
                </c:pt>
                <c:pt idx="15">
                  <c:v>0.17236850624368749</c:v>
                </c:pt>
                <c:pt idx="16">
                  <c:v>0.21765241109109956</c:v>
                </c:pt>
                <c:pt idx="17">
                  <c:v>0.2667530394633213</c:v>
                </c:pt>
                <c:pt idx="18">
                  <c:v>0.31976183643546907</c:v>
                </c:pt>
                <c:pt idx="19">
                  <c:v>0.37405082071478502</c:v>
                </c:pt>
                <c:pt idx="20">
                  <c:v>0.42636664985466555</c:v>
                </c:pt>
              </c:numCache>
            </c:numRef>
          </c:val>
          <c:extLst>
            <c:ext xmlns:c16="http://schemas.microsoft.com/office/drawing/2014/chart" uri="{C3380CC4-5D6E-409C-BE32-E72D297353CC}">
              <c16:uniqueId val="{00000002-88F2-46F8-A1D9-A14BA381C120}"/>
            </c:ext>
          </c:extLst>
        </c:ser>
        <c:ser>
          <c:idx val="3"/>
          <c:order val="3"/>
          <c:spPr>
            <a:solidFill>
              <a:srgbClr val="FCAAAA"/>
            </a:solidFill>
            <a:ln w="25400">
              <a:noFill/>
            </a:ln>
          </c:spPr>
          <c:cat>
            <c:strRef>
              <c:f>DatosChart!$A$25:$A$45</c:f>
              <c:strCache>
                <c:ptCount val="21"/>
                <c:pt idx="0">
                  <c:v>III 2020 </c:v>
                </c:pt>
                <c:pt idx="1">
                  <c:v>IV 2020 </c:v>
                </c:pt>
                <c:pt idx="2">
                  <c:v>I 2021 </c:v>
                </c:pt>
                <c:pt idx="3">
                  <c:v>II 2021 </c:v>
                </c:pt>
                <c:pt idx="4">
                  <c:v>III 2021 </c:v>
                </c:pt>
                <c:pt idx="5">
                  <c:v>IV 2021 </c:v>
                </c:pt>
                <c:pt idx="6">
                  <c:v>I 2022 </c:v>
                </c:pt>
                <c:pt idx="7">
                  <c:v>II 2022 </c:v>
                </c:pt>
                <c:pt idx="8">
                  <c:v>III 2022 </c:v>
                </c:pt>
                <c:pt idx="9">
                  <c:v>IV 2022 </c:v>
                </c:pt>
                <c:pt idx="10">
                  <c:v>I 2023 </c:v>
                </c:pt>
                <c:pt idx="11">
                  <c:v>II 2023 </c:v>
                </c:pt>
                <c:pt idx="12">
                  <c:v>III 2023 </c:v>
                </c:pt>
                <c:pt idx="13">
                  <c:v>IV 2023 </c:v>
                </c:pt>
                <c:pt idx="14">
                  <c:v>I 2024 </c:v>
                </c:pt>
                <c:pt idx="15">
                  <c:v>II 2024 </c:v>
                </c:pt>
                <c:pt idx="16">
                  <c:v>III 2024 </c:v>
                </c:pt>
                <c:pt idx="17">
                  <c:v>IV 2024 </c:v>
                </c:pt>
                <c:pt idx="18">
                  <c:v>I 2025 </c:v>
                </c:pt>
                <c:pt idx="19">
                  <c:v>II 2025 </c:v>
                </c:pt>
                <c:pt idx="20">
                  <c:v>III 2025 </c:v>
                </c:pt>
              </c:strCache>
            </c:strRef>
          </c:cat>
          <c:val>
            <c:numRef>
              <c:f>DatosChart!$E$25:$E$45</c:f>
              <c:numCache>
                <c:formatCode>General</c:formatCode>
                <c:ptCount val="21"/>
                <c:pt idx="0">
                  <c:v>0</c:v>
                </c:pt>
                <c:pt idx="1">
                  <c:v>0</c:v>
                </c:pt>
                <c:pt idx="2">
                  <c:v>0</c:v>
                </c:pt>
                <c:pt idx="3">
                  <c:v>0</c:v>
                </c:pt>
                <c:pt idx="4">
                  <c:v>1.9481215592089818E-3</c:v>
                </c:pt>
                <c:pt idx="5">
                  <c:v>1.9481215592089818E-3</c:v>
                </c:pt>
                <c:pt idx="6">
                  <c:v>1.9481215592089818E-3</c:v>
                </c:pt>
                <c:pt idx="7">
                  <c:v>1.9481215592085377E-3</c:v>
                </c:pt>
                <c:pt idx="8">
                  <c:v>1.9481215592076495E-3</c:v>
                </c:pt>
                <c:pt idx="9">
                  <c:v>1.9481215592076495E-3</c:v>
                </c:pt>
                <c:pt idx="10">
                  <c:v>1.9481215592076495E-3</c:v>
                </c:pt>
                <c:pt idx="11">
                  <c:v>1.9481215592085377E-3</c:v>
                </c:pt>
                <c:pt idx="12">
                  <c:v>3.5298435788323701E-2</c:v>
                </c:pt>
                <c:pt idx="13">
                  <c:v>7.1712053044624025E-2</c:v>
                </c:pt>
                <c:pt idx="14">
                  <c:v>0.1064465340773153</c:v>
                </c:pt>
                <c:pt idx="15">
                  <c:v>0.14036252302971741</c:v>
                </c:pt>
                <c:pt idx="16">
                  <c:v>0.17576445905018367</c:v>
                </c:pt>
                <c:pt idx="17">
                  <c:v>0.21403227161551008</c:v>
                </c:pt>
                <c:pt idx="18">
                  <c:v>0.25535415677120854</c:v>
                </c:pt>
                <c:pt idx="19">
                  <c:v>0.29784929974371988</c:v>
                </c:pt>
                <c:pt idx="20">
                  <c:v>0.33904967251783935</c:v>
                </c:pt>
              </c:numCache>
            </c:numRef>
          </c:val>
          <c:extLst>
            <c:ext xmlns:c16="http://schemas.microsoft.com/office/drawing/2014/chart" uri="{C3380CC4-5D6E-409C-BE32-E72D297353CC}">
              <c16:uniqueId val="{00000003-88F2-46F8-A1D9-A14BA381C120}"/>
            </c:ext>
          </c:extLst>
        </c:ser>
        <c:ser>
          <c:idx val="4"/>
          <c:order val="4"/>
          <c:spPr>
            <a:solidFill>
              <a:srgbClr val="FC9C9C"/>
            </a:solidFill>
            <a:ln w="25400">
              <a:noFill/>
            </a:ln>
          </c:spPr>
          <c:cat>
            <c:strRef>
              <c:f>DatosChart!$A$25:$A$45</c:f>
              <c:strCache>
                <c:ptCount val="21"/>
                <c:pt idx="0">
                  <c:v>III 2020 </c:v>
                </c:pt>
                <c:pt idx="1">
                  <c:v>IV 2020 </c:v>
                </c:pt>
                <c:pt idx="2">
                  <c:v>I 2021 </c:v>
                </c:pt>
                <c:pt idx="3">
                  <c:v>II 2021 </c:v>
                </c:pt>
                <c:pt idx="4">
                  <c:v>III 2021 </c:v>
                </c:pt>
                <c:pt idx="5">
                  <c:v>IV 2021 </c:v>
                </c:pt>
                <c:pt idx="6">
                  <c:v>I 2022 </c:v>
                </c:pt>
                <c:pt idx="7">
                  <c:v>II 2022 </c:v>
                </c:pt>
                <c:pt idx="8">
                  <c:v>III 2022 </c:v>
                </c:pt>
                <c:pt idx="9">
                  <c:v>IV 2022 </c:v>
                </c:pt>
                <c:pt idx="10">
                  <c:v>I 2023 </c:v>
                </c:pt>
                <c:pt idx="11">
                  <c:v>II 2023 </c:v>
                </c:pt>
                <c:pt idx="12">
                  <c:v>III 2023 </c:v>
                </c:pt>
                <c:pt idx="13">
                  <c:v>IV 2023 </c:v>
                </c:pt>
                <c:pt idx="14">
                  <c:v>I 2024 </c:v>
                </c:pt>
                <c:pt idx="15">
                  <c:v>II 2024 </c:v>
                </c:pt>
                <c:pt idx="16">
                  <c:v>III 2024 </c:v>
                </c:pt>
                <c:pt idx="17">
                  <c:v>IV 2024 </c:v>
                </c:pt>
                <c:pt idx="18">
                  <c:v>I 2025 </c:v>
                </c:pt>
                <c:pt idx="19">
                  <c:v>II 2025 </c:v>
                </c:pt>
                <c:pt idx="20">
                  <c:v>III 2025 </c:v>
                </c:pt>
              </c:strCache>
            </c:strRef>
          </c:cat>
          <c:val>
            <c:numRef>
              <c:f>DatosChart!$F$25:$F$45</c:f>
              <c:numCache>
                <c:formatCode>General</c:formatCode>
                <c:ptCount val="21"/>
                <c:pt idx="0">
                  <c:v>0</c:v>
                </c:pt>
                <c:pt idx="1">
                  <c:v>0</c:v>
                </c:pt>
                <c:pt idx="2">
                  <c:v>0</c:v>
                </c:pt>
                <c:pt idx="3">
                  <c:v>0</c:v>
                </c:pt>
                <c:pt idx="4">
                  <c:v>1.671314833768367E-3</c:v>
                </c:pt>
                <c:pt idx="5">
                  <c:v>1.671314833768367E-3</c:v>
                </c:pt>
                <c:pt idx="6">
                  <c:v>1.671314833768367E-3</c:v>
                </c:pt>
                <c:pt idx="7">
                  <c:v>1.6713148337679229E-3</c:v>
                </c:pt>
                <c:pt idx="8">
                  <c:v>1.6713148337696992E-3</c:v>
                </c:pt>
                <c:pt idx="9">
                  <c:v>1.6713148337696992E-3</c:v>
                </c:pt>
                <c:pt idx="10">
                  <c:v>1.6713148337696992E-3</c:v>
                </c:pt>
                <c:pt idx="11">
                  <c:v>1.6713148337679229E-3</c:v>
                </c:pt>
                <c:pt idx="12">
                  <c:v>3.1305280807463198E-2</c:v>
                </c:pt>
                <c:pt idx="13">
                  <c:v>6.4255563633073276E-2</c:v>
                </c:pt>
                <c:pt idx="14">
                  <c:v>9.4771270158080512E-2</c:v>
                </c:pt>
                <c:pt idx="15">
                  <c:v>0.12366153916340616</c:v>
                </c:pt>
                <c:pt idx="16">
                  <c:v>0.15340869031150461</c:v>
                </c:pt>
                <c:pt idx="17">
                  <c:v>0.18549563893059329</c:v>
                </c:pt>
                <c:pt idx="18">
                  <c:v>0.2201845440076402</c:v>
                </c:pt>
                <c:pt idx="19">
                  <c:v>0.2560415224027035</c:v>
                </c:pt>
                <c:pt idx="20">
                  <c:v>0.2910435514960199</c:v>
                </c:pt>
              </c:numCache>
            </c:numRef>
          </c:val>
          <c:extLst>
            <c:ext xmlns:c16="http://schemas.microsoft.com/office/drawing/2014/chart" uri="{C3380CC4-5D6E-409C-BE32-E72D297353CC}">
              <c16:uniqueId val="{00000004-88F2-46F8-A1D9-A14BA381C120}"/>
            </c:ext>
          </c:extLst>
        </c:ser>
        <c:ser>
          <c:idx val="5"/>
          <c:order val="5"/>
          <c:spPr>
            <a:solidFill>
              <a:srgbClr val="FC8888"/>
            </a:solidFill>
            <a:ln w="25400">
              <a:noFill/>
            </a:ln>
          </c:spPr>
          <c:cat>
            <c:strRef>
              <c:f>DatosChart!$A$25:$A$45</c:f>
              <c:strCache>
                <c:ptCount val="21"/>
                <c:pt idx="0">
                  <c:v>III 2020 </c:v>
                </c:pt>
                <c:pt idx="1">
                  <c:v>IV 2020 </c:v>
                </c:pt>
                <c:pt idx="2">
                  <c:v>I 2021 </c:v>
                </c:pt>
                <c:pt idx="3">
                  <c:v>II 2021 </c:v>
                </c:pt>
                <c:pt idx="4">
                  <c:v>III 2021 </c:v>
                </c:pt>
                <c:pt idx="5">
                  <c:v>IV 2021 </c:v>
                </c:pt>
                <c:pt idx="6">
                  <c:v>I 2022 </c:v>
                </c:pt>
                <c:pt idx="7">
                  <c:v>II 2022 </c:v>
                </c:pt>
                <c:pt idx="8">
                  <c:v>III 2022 </c:v>
                </c:pt>
                <c:pt idx="9">
                  <c:v>IV 2022 </c:v>
                </c:pt>
                <c:pt idx="10">
                  <c:v>I 2023 </c:v>
                </c:pt>
                <c:pt idx="11">
                  <c:v>II 2023 </c:v>
                </c:pt>
                <c:pt idx="12">
                  <c:v>III 2023 </c:v>
                </c:pt>
                <c:pt idx="13">
                  <c:v>IV 2023 </c:v>
                </c:pt>
                <c:pt idx="14">
                  <c:v>I 2024 </c:v>
                </c:pt>
                <c:pt idx="15">
                  <c:v>II 2024 </c:v>
                </c:pt>
                <c:pt idx="16">
                  <c:v>III 2024 </c:v>
                </c:pt>
                <c:pt idx="17">
                  <c:v>IV 2024 </c:v>
                </c:pt>
                <c:pt idx="18">
                  <c:v>I 2025 </c:v>
                </c:pt>
                <c:pt idx="19">
                  <c:v>II 2025 </c:v>
                </c:pt>
                <c:pt idx="20">
                  <c:v>III 2025 </c:v>
                </c:pt>
              </c:strCache>
            </c:strRef>
          </c:cat>
          <c:val>
            <c:numRef>
              <c:f>DatosChart!$G$25:$G$45</c:f>
              <c:numCache>
                <c:formatCode>General</c:formatCode>
                <c:ptCount val="21"/>
                <c:pt idx="0">
                  <c:v>0</c:v>
                </c:pt>
                <c:pt idx="1">
                  <c:v>0</c:v>
                </c:pt>
                <c:pt idx="2">
                  <c:v>0</c:v>
                </c:pt>
                <c:pt idx="3">
                  <c:v>0</c:v>
                </c:pt>
                <c:pt idx="4">
                  <c:v>1.5008923748802694E-3</c:v>
                </c:pt>
                <c:pt idx="5">
                  <c:v>1.5008923748802694E-3</c:v>
                </c:pt>
                <c:pt idx="6">
                  <c:v>1.5008923748802694E-3</c:v>
                </c:pt>
                <c:pt idx="7">
                  <c:v>1.5008923748807135E-3</c:v>
                </c:pt>
                <c:pt idx="8">
                  <c:v>1.5008923748798253E-3</c:v>
                </c:pt>
                <c:pt idx="9">
                  <c:v>1.5008923748798253E-3</c:v>
                </c:pt>
                <c:pt idx="10">
                  <c:v>1.5008923748798253E-3</c:v>
                </c:pt>
                <c:pt idx="11">
                  <c:v>1.5008923748807135E-3</c:v>
                </c:pt>
                <c:pt idx="12">
                  <c:v>2.920729238268116E-2</c:v>
                </c:pt>
                <c:pt idx="13">
                  <c:v>6.0711624096818184E-2</c:v>
                </c:pt>
                <c:pt idx="14">
                  <c:v>8.8838576107852063E-2</c:v>
                </c:pt>
                <c:pt idx="15">
                  <c:v>0.11446116570119091</c:v>
                </c:pt>
                <c:pt idx="16">
                  <c:v>0.140450566153834</c:v>
                </c:pt>
                <c:pt idx="17">
                  <c:v>0.16846790213218465</c:v>
                </c:pt>
                <c:pt idx="18">
                  <c:v>0.19883828107944446</c:v>
                </c:pt>
                <c:pt idx="19">
                  <c:v>0.23043896342152514</c:v>
                </c:pt>
                <c:pt idx="20">
                  <c:v>0.26153211293181267</c:v>
                </c:pt>
              </c:numCache>
            </c:numRef>
          </c:val>
          <c:extLst>
            <c:ext xmlns:c16="http://schemas.microsoft.com/office/drawing/2014/chart" uri="{C3380CC4-5D6E-409C-BE32-E72D297353CC}">
              <c16:uniqueId val="{00000005-88F2-46F8-A1D9-A14BA381C120}"/>
            </c:ext>
          </c:extLst>
        </c:ser>
        <c:ser>
          <c:idx val="6"/>
          <c:order val="6"/>
          <c:spPr>
            <a:solidFill>
              <a:srgbClr val="F97B7B"/>
            </a:solidFill>
            <a:ln w="25400">
              <a:noFill/>
            </a:ln>
          </c:spPr>
          <c:cat>
            <c:strRef>
              <c:f>DatosChart!$A$25:$A$45</c:f>
              <c:strCache>
                <c:ptCount val="21"/>
                <c:pt idx="0">
                  <c:v>III 2020 </c:v>
                </c:pt>
                <c:pt idx="1">
                  <c:v>IV 2020 </c:v>
                </c:pt>
                <c:pt idx="2">
                  <c:v>I 2021 </c:v>
                </c:pt>
                <c:pt idx="3">
                  <c:v>II 2021 </c:v>
                </c:pt>
                <c:pt idx="4">
                  <c:v>III 2021 </c:v>
                </c:pt>
                <c:pt idx="5">
                  <c:v>IV 2021 </c:v>
                </c:pt>
                <c:pt idx="6">
                  <c:v>I 2022 </c:v>
                </c:pt>
                <c:pt idx="7">
                  <c:v>II 2022 </c:v>
                </c:pt>
                <c:pt idx="8">
                  <c:v>III 2022 </c:v>
                </c:pt>
                <c:pt idx="9">
                  <c:v>IV 2022 </c:v>
                </c:pt>
                <c:pt idx="10">
                  <c:v>I 2023 </c:v>
                </c:pt>
                <c:pt idx="11">
                  <c:v>II 2023 </c:v>
                </c:pt>
                <c:pt idx="12">
                  <c:v>III 2023 </c:v>
                </c:pt>
                <c:pt idx="13">
                  <c:v>IV 2023 </c:v>
                </c:pt>
                <c:pt idx="14">
                  <c:v>I 2024 </c:v>
                </c:pt>
                <c:pt idx="15">
                  <c:v>II 2024 </c:v>
                </c:pt>
                <c:pt idx="16">
                  <c:v>III 2024 </c:v>
                </c:pt>
                <c:pt idx="17">
                  <c:v>IV 2024 </c:v>
                </c:pt>
                <c:pt idx="18">
                  <c:v>I 2025 </c:v>
                </c:pt>
                <c:pt idx="19">
                  <c:v>II 2025 </c:v>
                </c:pt>
                <c:pt idx="20">
                  <c:v>III 2025 </c:v>
                </c:pt>
              </c:strCache>
            </c:strRef>
          </c:cat>
          <c:val>
            <c:numRef>
              <c:f>DatosChart!$H$25:$H$45</c:f>
              <c:numCache>
                <c:formatCode>General</c:formatCode>
                <c:ptCount val="21"/>
                <c:pt idx="0">
                  <c:v>0</c:v>
                </c:pt>
                <c:pt idx="1">
                  <c:v>0</c:v>
                </c:pt>
                <c:pt idx="2">
                  <c:v>0</c:v>
                </c:pt>
                <c:pt idx="3">
                  <c:v>0</c:v>
                </c:pt>
                <c:pt idx="4">
                  <c:v>1.390800463004549E-3</c:v>
                </c:pt>
                <c:pt idx="5">
                  <c:v>1.390800463004549E-3</c:v>
                </c:pt>
                <c:pt idx="6">
                  <c:v>1.390800463004549E-3</c:v>
                </c:pt>
                <c:pt idx="7">
                  <c:v>1.390800463004993E-3</c:v>
                </c:pt>
                <c:pt idx="8">
                  <c:v>1.390800463004993E-3</c:v>
                </c:pt>
                <c:pt idx="9">
                  <c:v>1.390800463004993E-3</c:v>
                </c:pt>
                <c:pt idx="10">
                  <c:v>1.390800463004993E-3</c:v>
                </c:pt>
                <c:pt idx="11">
                  <c:v>1.390800463004993E-3</c:v>
                </c:pt>
                <c:pt idx="12">
                  <c:v>2.8320578266474605E-2</c:v>
                </c:pt>
                <c:pt idx="13">
                  <c:v>5.9757371952093408E-2</c:v>
                </c:pt>
                <c:pt idx="14">
                  <c:v>8.6648798783361958E-2</c:v>
                </c:pt>
                <c:pt idx="15">
                  <c:v>0.10989423095053086</c:v>
                </c:pt>
                <c:pt idx="16">
                  <c:v>0.13307626641247339</c:v>
                </c:pt>
                <c:pt idx="17">
                  <c:v>0.15812512364129061</c:v>
                </c:pt>
                <c:pt idx="18">
                  <c:v>0.18541619333432857</c:v>
                </c:pt>
                <c:pt idx="19">
                  <c:v>0.21406326026394629</c:v>
                </c:pt>
                <c:pt idx="20">
                  <c:v>0.24252082649316575</c:v>
                </c:pt>
              </c:numCache>
            </c:numRef>
          </c:val>
          <c:extLst>
            <c:ext xmlns:c16="http://schemas.microsoft.com/office/drawing/2014/chart" uri="{C3380CC4-5D6E-409C-BE32-E72D297353CC}">
              <c16:uniqueId val="{00000006-88F2-46F8-A1D9-A14BA381C120}"/>
            </c:ext>
          </c:extLst>
        </c:ser>
        <c:ser>
          <c:idx val="7"/>
          <c:order val="7"/>
          <c:spPr>
            <a:solidFill>
              <a:srgbClr val="F76F6F"/>
            </a:solidFill>
            <a:ln w="25400">
              <a:noFill/>
            </a:ln>
          </c:spPr>
          <c:cat>
            <c:strRef>
              <c:f>DatosChart!$A$25:$A$45</c:f>
              <c:strCache>
                <c:ptCount val="21"/>
                <c:pt idx="0">
                  <c:v>III 2020 </c:v>
                </c:pt>
                <c:pt idx="1">
                  <c:v>IV 2020 </c:v>
                </c:pt>
                <c:pt idx="2">
                  <c:v>I 2021 </c:v>
                </c:pt>
                <c:pt idx="3">
                  <c:v>II 2021 </c:v>
                </c:pt>
                <c:pt idx="4">
                  <c:v>III 2021 </c:v>
                </c:pt>
                <c:pt idx="5">
                  <c:v>IV 2021 </c:v>
                </c:pt>
                <c:pt idx="6">
                  <c:v>I 2022 </c:v>
                </c:pt>
                <c:pt idx="7">
                  <c:v>II 2022 </c:v>
                </c:pt>
                <c:pt idx="8">
                  <c:v>III 2022 </c:v>
                </c:pt>
                <c:pt idx="9">
                  <c:v>IV 2022 </c:v>
                </c:pt>
                <c:pt idx="10">
                  <c:v>I 2023 </c:v>
                </c:pt>
                <c:pt idx="11">
                  <c:v>II 2023 </c:v>
                </c:pt>
                <c:pt idx="12">
                  <c:v>III 2023 </c:v>
                </c:pt>
                <c:pt idx="13">
                  <c:v>IV 2023 </c:v>
                </c:pt>
                <c:pt idx="14">
                  <c:v>I 2024 </c:v>
                </c:pt>
                <c:pt idx="15">
                  <c:v>II 2024 </c:v>
                </c:pt>
                <c:pt idx="16">
                  <c:v>III 2024 </c:v>
                </c:pt>
                <c:pt idx="17">
                  <c:v>IV 2024 </c:v>
                </c:pt>
                <c:pt idx="18">
                  <c:v>I 2025 </c:v>
                </c:pt>
                <c:pt idx="19">
                  <c:v>II 2025 </c:v>
                </c:pt>
                <c:pt idx="20">
                  <c:v>III 2025 </c:v>
                </c:pt>
              </c:strCache>
            </c:strRef>
          </c:cat>
          <c:val>
            <c:numRef>
              <c:f>DatosChart!$I$25:$I$45</c:f>
              <c:numCache>
                <c:formatCode>General</c:formatCode>
                <c:ptCount val="21"/>
                <c:pt idx="0">
                  <c:v>0</c:v>
                </c:pt>
                <c:pt idx="1">
                  <c:v>0</c:v>
                </c:pt>
                <c:pt idx="2">
                  <c:v>0</c:v>
                </c:pt>
                <c:pt idx="3">
                  <c:v>0</c:v>
                </c:pt>
                <c:pt idx="4">
                  <c:v>1.3197336327177567E-3</c:v>
                </c:pt>
                <c:pt idx="5">
                  <c:v>1.3197336327177567E-3</c:v>
                </c:pt>
                <c:pt idx="6">
                  <c:v>1.3197336327177567E-3</c:v>
                </c:pt>
                <c:pt idx="7">
                  <c:v>1.3197336327177567E-3</c:v>
                </c:pt>
                <c:pt idx="8">
                  <c:v>1.3197336327177567E-3</c:v>
                </c:pt>
                <c:pt idx="9">
                  <c:v>1.3197336327177567E-3</c:v>
                </c:pt>
                <c:pt idx="10">
                  <c:v>1.3197336327177567E-3</c:v>
                </c:pt>
                <c:pt idx="11">
                  <c:v>1.3197336327177567E-3</c:v>
                </c:pt>
                <c:pt idx="12">
                  <c:v>2.8260963428838437E-2</c:v>
                </c:pt>
                <c:pt idx="13">
                  <c:v>6.0063803697815388E-2</c:v>
                </c:pt>
                <c:pt idx="14">
                  <c:v>8.6764497110108252E-2</c:v>
                </c:pt>
                <c:pt idx="15">
                  <c:v>0.1087281265020299</c:v>
                </c:pt>
                <c:pt idx="16">
                  <c:v>0.12963922433991781</c:v>
                </c:pt>
                <c:pt idx="17">
                  <c:v>0.1523015863226469</c:v>
                </c:pt>
                <c:pt idx="18">
                  <c:v>0.17722204824822763</c:v>
                </c:pt>
                <c:pt idx="19">
                  <c:v>0.20369971469287496</c:v>
                </c:pt>
                <c:pt idx="20">
                  <c:v>0.23031553017447992</c:v>
                </c:pt>
              </c:numCache>
            </c:numRef>
          </c:val>
          <c:extLst>
            <c:ext xmlns:c16="http://schemas.microsoft.com/office/drawing/2014/chart" uri="{C3380CC4-5D6E-409C-BE32-E72D297353CC}">
              <c16:uniqueId val="{00000007-88F2-46F8-A1D9-A14BA381C120}"/>
            </c:ext>
          </c:extLst>
        </c:ser>
        <c:ser>
          <c:idx val="8"/>
          <c:order val="8"/>
          <c:spPr>
            <a:solidFill>
              <a:srgbClr val="F46262"/>
            </a:solidFill>
            <a:ln w="25400">
              <a:noFill/>
            </a:ln>
          </c:spPr>
          <c:cat>
            <c:strRef>
              <c:f>DatosChart!$A$25:$A$45</c:f>
              <c:strCache>
                <c:ptCount val="21"/>
                <c:pt idx="0">
                  <c:v>III 2020 </c:v>
                </c:pt>
                <c:pt idx="1">
                  <c:v>IV 2020 </c:v>
                </c:pt>
                <c:pt idx="2">
                  <c:v>I 2021 </c:v>
                </c:pt>
                <c:pt idx="3">
                  <c:v>II 2021 </c:v>
                </c:pt>
                <c:pt idx="4">
                  <c:v>III 2021 </c:v>
                </c:pt>
                <c:pt idx="5">
                  <c:v>IV 2021 </c:v>
                </c:pt>
                <c:pt idx="6">
                  <c:v>I 2022 </c:v>
                </c:pt>
                <c:pt idx="7">
                  <c:v>II 2022 </c:v>
                </c:pt>
                <c:pt idx="8">
                  <c:v>III 2022 </c:v>
                </c:pt>
                <c:pt idx="9">
                  <c:v>IV 2022 </c:v>
                </c:pt>
                <c:pt idx="10">
                  <c:v>I 2023 </c:v>
                </c:pt>
                <c:pt idx="11">
                  <c:v>II 2023 </c:v>
                </c:pt>
                <c:pt idx="12">
                  <c:v>III 2023 </c:v>
                </c:pt>
                <c:pt idx="13">
                  <c:v>IV 2023 </c:v>
                </c:pt>
                <c:pt idx="14">
                  <c:v>I 2024 </c:v>
                </c:pt>
                <c:pt idx="15">
                  <c:v>II 2024 </c:v>
                </c:pt>
                <c:pt idx="16">
                  <c:v>III 2024 </c:v>
                </c:pt>
                <c:pt idx="17">
                  <c:v>IV 2024 </c:v>
                </c:pt>
                <c:pt idx="18">
                  <c:v>I 2025 </c:v>
                </c:pt>
                <c:pt idx="19">
                  <c:v>II 2025 </c:v>
                </c:pt>
                <c:pt idx="20">
                  <c:v>III 2025 </c:v>
                </c:pt>
              </c:strCache>
            </c:strRef>
          </c:cat>
          <c:val>
            <c:numRef>
              <c:f>DatosChart!$J$25:$J$45</c:f>
              <c:numCache>
                <c:formatCode>General</c:formatCode>
                <c:ptCount val="21"/>
                <c:pt idx="0">
                  <c:v>0</c:v>
                </c:pt>
                <c:pt idx="1">
                  <c:v>0</c:v>
                </c:pt>
                <c:pt idx="2">
                  <c:v>0</c:v>
                </c:pt>
                <c:pt idx="3">
                  <c:v>0</c:v>
                </c:pt>
                <c:pt idx="4">
                  <c:v>1.2768575628072654E-3</c:v>
                </c:pt>
                <c:pt idx="5">
                  <c:v>1.2768575628072654E-3</c:v>
                </c:pt>
                <c:pt idx="6">
                  <c:v>1.2768575628072654E-3</c:v>
                </c:pt>
                <c:pt idx="7">
                  <c:v>1.2768575628072654E-3</c:v>
                </c:pt>
                <c:pt idx="8">
                  <c:v>1.2768575628072654E-3</c:v>
                </c:pt>
                <c:pt idx="9">
                  <c:v>1.2768575628072654E-3</c:v>
                </c:pt>
                <c:pt idx="10">
                  <c:v>1.2768575628072654E-3</c:v>
                </c:pt>
                <c:pt idx="11">
                  <c:v>1.2768575628072654E-3</c:v>
                </c:pt>
                <c:pt idx="12">
                  <c:v>2.8548916638933441E-2</c:v>
                </c:pt>
                <c:pt idx="13">
                  <c:v>6.0913775583274266E-2</c:v>
                </c:pt>
                <c:pt idx="14">
                  <c:v>8.7793407855555561E-2</c:v>
                </c:pt>
                <c:pt idx="15">
                  <c:v>0.10944049626750596</c:v>
                </c:pt>
                <c:pt idx="16">
                  <c:v>0.12923638963125406</c:v>
                </c:pt>
                <c:pt idx="17">
                  <c:v>0.14998958981676891</c:v>
                </c:pt>
                <c:pt idx="18">
                  <c:v>0.1729322011306067</c:v>
                </c:pt>
                <c:pt idx="19">
                  <c:v>0.1977330260907868</c:v>
                </c:pt>
                <c:pt idx="20">
                  <c:v>0.22304372829947905</c:v>
                </c:pt>
              </c:numCache>
            </c:numRef>
          </c:val>
          <c:extLst>
            <c:ext xmlns:c16="http://schemas.microsoft.com/office/drawing/2014/chart" uri="{C3380CC4-5D6E-409C-BE32-E72D297353CC}">
              <c16:uniqueId val="{00000008-88F2-46F8-A1D9-A14BA381C120}"/>
            </c:ext>
          </c:extLst>
        </c:ser>
        <c:ser>
          <c:idx val="9"/>
          <c:order val="9"/>
          <c:spPr>
            <a:solidFill>
              <a:srgbClr val="FF0000"/>
            </a:solidFill>
            <a:ln w="25400">
              <a:solidFill>
                <a:srgbClr val="FF0000"/>
              </a:solidFill>
              <a:prstDash val="solid"/>
            </a:ln>
          </c:spPr>
          <c:cat>
            <c:strRef>
              <c:f>DatosChart!$A$25:$A$45</c:f>
              <c:strCache>
                <c:ptCount val="21"/>
                <c:pt idx="0">
                  <c:v>III 2020 </c:v>
                </c:pt>
                <c:pt idx="1">
                  <c:v>IV 2020 </c:v>
                </c:pt>
                <c:pt idx="2">
                  <c:v>I 2021 </c:v>
                </c:pt>
                <c:pt idx="3">
                  <c:v>II 2021 </c:v>
                </c:pt>
                <c:pt idx="4">
                  <c:v>III 2021 </c:v>
                </c:pt>
                <c:pt idx="5">
                  <c:v>IV 2021 </c:v>
                </c:pt>
                <c:pt idx="6">
                  <c:v>I 2022 </c:v>
                </c:pt>
                <c:pt idx="7">
                  <c:v>II 2022 </c:v>
                </c:pt>
                <c:pt idx="8">
                  <c:v>III 2022 </c:v>
                </c:pt>
                <c:pt idx="9">
                  <c:v>IV 2022 </c:v>
                </c:pt>
                <c:pt idx="10">
                  <c:v>I 2023 </c:v>
                </c:pt>
                <c:pt idx="11">
                  <c:v>II 2023 </c:v>
                </c:pt>
                <c:pt idx="12">
                  <c:v>III 2023 </c:v>
                </c:pt>
                <c:pt idx="13">
                  <c:v>IV 2023 </c:v>
                </c:pt>
                <c:pt idx="14">
                  <c:v>I 2024 </c:v>
                </c:pt>
                <c:pt idx="15">
                  <c:v>II 2024 </c:v>
                </c:pt>
                <c:pt idx="16">
                  <c:v>III 2024 </c:v>
                </c:pt>
                <c:pt idx="17">
                  <c:v>IV 2024 </c:v>
                </c:pt>
                <c:pt idx="18">
                  <c:v>I 2025 </c:v>
                </c:pt>
                <c:pt idx="19">
                  <c:v>II 2025 </c:v>
                </c:pt>
                <c:pt idx="20">
                  <c:v>III 2025 </c:v>
                </c:pt>
              </c:strCache>
            </c:strRef>
          </c:cat>
          <c:val>
            <c:numRef>
              <c:f>DatosChart!$K$25:$K$45</c:f>
              <c:numCache>
                <c:formatCode>General</c:formatCode>
                <c:ptCount val="21"/>
                <c:pt idx="0">
                  <c:v>0</c:v>
                </c:pt>
                <c:pt idx="1">
                  <c:v>0</c:v>
                </c:pt>
                <c:pt idx="2">
                  <c:v>0</c:v>
                </c:pt>
                <c:pt idx="3">
                  <c:v>0</c:v>
                </c:pt>
                <c:pt idx="4">
                  <c:v>2.5132269371015425E-3</c:v>
                </c:pt>
                <c:pt idx="5">
                  <c:v>2.5132269371015425E-3</c:v>
                </c:pt>
                <c:pt idx="6">
                  <c:v>2.5132269371015425E-3</c:v>
                </c:pt>
                <c:pt idx="7">
                  <c:v>2.5132269371006544E-3</c:v>
                </c:pt>
                <c:pt idx="8">
                  <c:v>2.5132269371006544E-3</c:v>
                </c:pt>
                <c:pt idx="9">
                  <c:v>2.5132269371006544E-3</c:v>
                </c:pt>
                <c:pt idx="10">
                  <c:v>2.5132269371006544E-3</c:v>
                </c:pt>
                <c:pt idx="11">
                  <c:v>2.5132269371006544E-3</c:v>
                </c:pt>
                <c:pt idx="12">
                  <c:v>5.9133269581539416E-2</c:v>
                </c:pt>
                <c:pt idx="13">
                  <c:v>0.12680254514302813</c:v>
                </c:pt>
                <c:pt idx="14">
                  <c:v>0.18222842219507962</c:v>
                </c:pt>
                <c:pt idx="15">
                  <c:v>0.2256873769339971</c:v>
                </c:pt>
                <c:pt idx="16">
                  <c:v>0.26415167963617314</c:v>
                </c:pt>
                <c:pt idx="17">
                  <c:v>0.30326002266422014</c:v>
                </c:pt>
                <c:pt idx="18">
                  <c:v>0.3454425617069119</c:v>
                </c:pt>
                <c:pt idx="19">
                  <c:v>0.39153813801951509</c:v>
                </c:pt>
                <c:pt idx="20">
                  <c:v>0.43978158291007574</c:v>
                </c:pt>
              </c:numCache>
            </c:numRef>
          </c:val>
          <c:extLst>
            <c:ext xmlns:c16="http://schemas.microsoft.com/office/drawing/2014/chart" uri="{C3380CC4-5D6E-409C-BE32-E72D297353CC}">
              <c16:uniqueId val="{00000009-88F2-46F8-A1D9-A14BA381C120}"/>
            </c:ext>
          </c:extLst>
        </c:ser>
        <c:ser>
          <c:idx val="10"/>
          <c:order val="10"/>
          <c:spPr>
            <a:solidFill>
              <a:srgbClr val="F46262"/>
            </a:solidFill>
            <a:ln w="25400">
              <a:noFill/>
            </a:ln>
          </c:spPr>
          <c:cat>
            <c:strRef>
              <c:f>DatosChart!$A$25:$A$45</c:f>
              <c:strCache>
                <c:ptCount val="21"/>
                <c:pt idx="0">
                  <c:v>III 2020 </c:v>
                </c:pt>
                <c:pt idx="1">
                  <c:v>IV 2020 </c:v>
                </c:pt>
                <c:pt idx="2">
                  <c:v>I 2021 </c:v>
                </c:pt>
                <c:pt idx="3">
                  <c:v>II 2021 </c:v>
                </c:pt>
                <c:pt idx="4">
                  <c:v>III 2021 </c:v>
                </c:pt>
                <c:pt idx="5">
                  <c:v>IV 2021 </c:v>
                </c:pt>
                <c:pt idx="6">
                  <c:v>I 2022 </c:v>
                </c:pt>
                <c:pt idx="7">
                  <c:v>II 2022 </c:v>
                </c:pt>
                <c:pt idx="8">
                  <c:v>III 2022 </c:v>
                </c:pt>
                <c:pt idx="9">
                  <c:v>IV 2022 </c:v>
                </c:pt>
                <c:pt idx="10">
                  <c:v>I 2023 </c:v>
                </c:pt>
                <c:pt idx="11">
                  <c:v>II 2023 </c:v>
                </c:pt>
                <c:pt idx="12">
                  <c:v>III 2023 </c:v>
                </c:pt>
                <c:pt idx="13">
                  <c:v>IV 2023 </c:v>
                </c:pt>
                <c:pt idx="14">
                  <c:v>I 2024 </c:v>
                </c:pt>
                <c:pt idx="15">
                  <c:v>II 2024 </c:v>
                </c:pt>
                <c:pt idx="16">
                  <c:v>III 2024 </c:v>
                </c:pt>
                <c:pt idx="17">
                  <c:v>IV 2024 </c:v>
                </c:pt>
                <c:pt idx="18">
                  <c:v>I 2025 </c:v>
                </c:pt>
                <c:pt idx="19">
                  <c:v>II 2025 </c:v>
                </c:pt>
                <c:pt idx="20">
                  <c:v>III 2025 </c:v>
                </c:pt>
              </c:strCache>
            </c:strRef>
          </c:cat>
          <c:val>
            <c:numRef>
              <c:f>DatosChart!$L$25:$L$45</c:f>
              <c:numCache>
                <c:formatCode>General</c:formatCode>
                <c:ptCount val="21"/>
                <c:pt idx="0">
                  <c:v>0</c:v>
                </c:pt>
                <c:pt idx="1">
                  <c:v>0</c:v>
                </c:pt>
                <c:pt idx="2">
                  <c:v>0</c:v>
                </c:pt>
                <c:pt idx="3">
                  <c:v>0</c:v>
                </c:pt>
                <c:pt idx="4">
                  <c:v>1.2768575628072654E-3</c:v>
                </c:pt>
                <c:pt idx="5">
                  <c:v>1.2768575628072654E-3</c:v>
                </c:pt>
                <c:pt idx="6">
                  <c:v>1.2768575628072654E-3</c:v>
                </c:pt>
                <c:pt idx="7">
                  <c:v>1.2768575628072654E-3</c:v>
                </c:pt>
                <c:pt idx="8">
                  <c:v>1.2768575628072654E-3</c:v>
                </c:pt>
                <c:pt idx="9">
                  <c:v>1.2768575628072654E-3</c:v>
                </c:pt>
                <c:pt idx="10">
                  <c:v>1.2768575628072654E-3</c:v>
                </c:pt>
                <c:pt idx="11">
                  <c:v>1.2768575628072654E-3</c:v>
                </c:pt>
                <c:pt idx="12">
                  <c:v>3.1300453354821123E-2</c:v>
                </c:pt>
                <c:pt idx="13">
                  <c:v>6.7405342407481861E-2</c:v>
                </c:pt>
                <c:pt idx="14">
                  <c:v>9.6629305274488431E-2</c:v>
                </c:pt>
                <c:pt idx="15">
                  <c:v>0.11901821676556823</c:v>
                </c:pt>
                <c:pt idx="16">
                  <c:v>0.13827712215207155</c:v>
                </c:pt>
                <c:pt idx="17">
                  <c:v>0.15741980677149581</c:v>
                </c:pt>
                <c:pt idx="18">
                  <c:v>0.17774865342518398</c:v>
                </c:pt>
                <c:pt idx="19">
                  <c:v>0.20004323256881618</c:v>
                </c:pt>
                <c:pt idx="20">
                  <c:v>0.22381577809282449</c:v>
                </c:pt>
              </c:numCache>
            </c:numRef>
          </c:val>
          <c:extLst>
            <c:ext xmlns:c16="http://schemas.microsoft.com/office/drawing/2014/chart" uri="{C3380CC4-5D6E-409C-BE32-E72D297353CC}">
              <c16:uniqueId val="{0000000A-88F2-46F8-A1D9-A14BA381C120}"/>
            </c:ext>
          </c:extLst>
        </c:ser>
        <c:ser>
          <c:idx val="11"/>
          <c:order val="11"/>
          <c:spPr>
            <a:solidFill>
              <a:srgbClr val="F76F6F"/>
            </a:solidFill>
            <a:ln w="25400">
              <a:noFill/>
            </a:ln>
          </c:spPr>
          <c:cat>
            <c:strRef>
              <c:f>DatosChart!$A$25:$A$45</c:f>
              <c:strCache>
                <c:ptCount val="21"/>
                <c:pt idx="0">
                  <c:v>III 2020 </c:v>
                </c:pt>
                <c:pt idx="1">
                  <c:v>IV 2020 </c:v>
                </c:pt>
                <c:pt idx="2">
                  <c:v>I 2021 </c:v>
                </c:pt>
                <c:pt idx="3">
                  <c:v>II 2021 </c:v>
                </c:pt>
                <c:pt idx="4">
                  <c:v>III 2021 </c:v>
                </c:pt>
                <c:pt idx="5">
                  <c:v>IV 2021 </c:v>
                </c:pt>
                <c:pt idx="6">
                  <c:v>I 2022 </c:v>
                </c:pt>
                <c:pt idx="7">
                  <c:v>II 2022 </c:v>
                </c:pt>
                <c:pt idx="8">
                  <c:v>III 2022 </c:v>
                </c:pt>
                <c:pt idx="9">
                  <c:v>IV 2022 </c:v>
                </c:pt>
                <c:pt idx="10">
                  <c:v>I 2023 </c:v>
                </c:pt>
                <c:pt idx="11">
                  <c:v>II 2023 </c:v>
                </c:pt>
                <c:pt idx="12">
                  <c:v>III 2023 </c:v>
                </c:pt>
                <c:pt idx="13">
                  <c:v>IV 2023 </c:v>
                </c:pt>
                <c:pt idx="14">
                  <c:v>I 2024 </c:v>
                </c:pt>
                <c:pt idx="15">
                  <c:v>II 2024 </c:v>
                </c:pt>
                <c:pt idx="16">
                  <c:v>III 2024 </c:v>
                </c:pt>
                <c:pt idx="17">
                  <c:v>IV 2024 </c:v>
                </c:pt>
                <c:pt idx="18">
                  <c:v>I 2025 </c:v>
                </c:pt>
                <c:pt idx="19">
                  <c:v>II 2025 </c:v>
                </c:pt>
                <c:pt idx="20">
                  <c:v>III 2025 </c:v>
                </c:pt>
              </c:strCache>
            </c:strRef>
          </c:cat>
          <c:val>
            <c:numRef>
              <c:f>DatosChart!$M$25:$M$45</c:f>
              <c:numCache>
                <c:formatCode>General</c:formatCode>
                <c:ptCount val="21"/>
                <c:pt idx="0">
                  <c:v>0</c:v>
                </c:pt>
                <c:pt idx="1">
                  <c:v>0</c:v>
                </c:pt>
                <c:pt idx="2">
                  <c:v>0</c:v>
                </c:pt>
                <c:pt idx="3">
                  <c:v>0</c:v>
                </c:pt>
                <c:pt idx="4">
                  <c:v>1.3197336327177567E-3</c:v>
                </c:pt>
                <c:pt idx="5">
                  <c:v>1.3197336327177567E-3</c:v>
                </c:pt>
                <c:pt idx="6">
                  <c:v>1.3197336327177567E-3</c:v>
                </c:pt>
                <c:pt idx="7">
                  <c:v>1.3197336327177567E-3</c:v>
                </c:pt>
                <c:pt idx="8">
                  <c:v>1.3197336327177567E-3</c:v>
                </c:pt>
                <c:pt idx="9">
                  <c:v>1.3197336327177567E-3</c:v>
                </c:pt>
                <c:pt idx="10">
                  <c:v>1.3197336327177567E-3</c:v>
                </c:pt>
                <c:pt idx="11">
                  <c:v>1.3197336327177567E-3</c:v>
                </c:pt>
                <c:pt idx="12">
                  <c:v>3.3094556450442347E-2</c:v>
                </c:pt>
                <c:pt idx="13">
                  <c:v>7.1446926905454511E-2</c:v>
                </c:pt>
                <c:pt idx="14">
                  <c:v>0.10227445229348753</c:v>
                </c:pt>
                <c:pt idx="15">
                  <c:v>0.12556932388372699</c:v>
                </c:pt>
                <c:pt idx="16">
                  <c:v>0.14527280538083254</c:v>
                </c:pt>
                <c:pt idx="17">
                  <c:v>0.16460575635632724</c:v>
                </c:pt>
                <c:pt idx="18">
                  <c:v>0.1849702095256176</c:v>
                </c:pt>
                <c:pt idx="19">
                  <c:v>0.20738245730377391</c:v>
                </c:pt>
                <c:pt idx="20">
                  <c:v>0.23154419373423796</c:v>
                </c:pt>
              </c:numCache>
            </c:numRef>
          </c:val>
          <c:extLst>
            <c:ext xmlns:c16="http://schemas.microsoft.com/office/drawing/2014/chart" uri="{C3380CC4-5D6E-409C-BE32-E72D297353CC}">
              <c16:uniqueId val="{0000000B-88F2-46F8-A1D9-A14BA381C120}"/>
            </c:ext>
          </c:extLst>
        </c:ser>
        <c:ser>
          <c:idx val="12"/>
          <c:order val="12"/>
          <c:spPr>
            <a:solidFill>
              <a:srgbClr val="F97B7B"/>
            </a:solidFill>
            <a:ln w="25400">
              <a:noFill/>
            </a:ln>
          </c:spPr>
          <c:cat>
            <c:strRef>
              <c:f>DatosChart!$A$25:$A$45</c:f>
              <c:strCache>
                <c:ptCount val="21"/>
                <c:pt idx="0">
                  <c:v>III 2020 </c:v>
                </c:pt>
                <c:pt idx="1">
                  <c:v>IV 2020 </c:v>
                </c:pt>
                <c:pt idx="2">
                  <c:v>I 2021 </c:v>
                </c:pt>
                <c:pt idx="3">
                  <c:v>II 2021 </c:v>
                </c:pt>
                <c:pt idx="4">
                  <c:v>III 2021 </c:v>
                </c:pt>
                <c:pt idx="5">
                  <c:v>IV 2021 </c:v>
                </c:pt>
                <c:pt idx="6">
                  <c:v>I 2022 </c:v>
                </c:pt>
                <c:pt idx="7">
                  <c:v>II 2022 </c:v>
                </c:pt>
                <c:pt idx="8">
                  <c:v>III 2022 </c:v>
                </c:pt>
                <c:pt idx="9">
                  <c:v>IV 2022 </c:v>
                </c:pt>
                <c:pt idx="10">
                  <c:v>I 2023 </c:v>
                </c:pt>
                <c:pt idx="11">
                  <c:v>II 2023 </c:v>
                </c:pt>
                <c:pt idx="12">
                  <c:v>III 2023 </c:v>
                </c:pt>
                <c:pt idx="13">
                  <c:v>IV 2023 </c:v>
                </c:pt>
                <c:pt idx="14">
                  <c:v>I 2024 </c:v>
                </c:pt>
                <c:pt idx="15">
                  <c:v>II 2024 </c:v>
                </c:pt>
                <c:pt idx="16">
                  <c:v>III 2024 </c:v>
                </c:pt>
                <c:pt idx="17">
                  <c:v>IV 2024 </c:v>
                </c:pt>
                <c:pt idx="18">
                  <c:v>I 2025 </c:v>
                </c:pt>
                <c:pt idx="19">
                  <c:v>II 2025 </c:v>
                </c:pt>
                <c:pt idx="20">
                  <c:v>III 2025 </c:v>
                </c:pt>
              </c:strCache>
            </c:strRef>
          </c:cat>
          <c:val>
            <c:numRef>
              <c:f>DatosChart!$N$25:$N$45</c:f>
              <c:numCache>
                <c:formatCode>General</c:formatCode>
                <c:ptCount val="21"/>
                <c:pt idx="0">
                  <c:v>0</c:v>
                </c:pt>
                <c:pt idx="1">
                  <c:v>0</c:v>
                </c:pt>
                <c:pt idx="2">
                  <c:v>0</c:v>
                </c:pt>
                <c:pt idx="3">
                  <c:v>0</c:v>
                </c:pt>
                <c:pt idx="4">
                  <c:v>1.390800463004549E-3</c:v>
                </c:pt>
                <c:pt idx="5">
                  <c:v>1.390800463004549E-3</c:v>
                </c:pt>
                <c:pt idx="6">
                  <c:v>1.390800463004549E-3</c:v>
                </c:pt>
                <c:pt idx="7">
                  <c:v>1.390800463004993E-3</c:v>
                </c:pt>
                <c:pt idx="8">
                  <c:v>1.390800463004993E-3</c:v>
                </c:pt>
                <c:pt idx="9">
                  <c:v>1.390800463004993E-3</c:v>
                </c:pt>
                <c:pt idx="10">
                  <c:v>1.390800463004993E-3</c:v>
                </c:pt>
                <c:pt idx="11">
                  <c:v>1.390800463004993E-3</c:v>
                </c:pt>
                <c:pt idx="12">
                  <c:v>3.5586105326295581E-2</c:v>
                </c:pt>
                <c:pt idx="13">
                  <c:v>7.7001917653100271E-2</c:v>
                </c:pt>
                <c:pt idx="14">
                  <c:v>0.11007921817017241</c:v>
                </c:pt>
                <c:pt idx="15">
                  <c:v>0.13475789331497756</c:v>
                </c:pt>
                <c:pt idx="16">
                  <c:v>0.1553086081661692</c:v>
                </c:pt>
                <c:pt idx="17">
                  <c:v>0.17523765321645479</c:v>
                </c:pt>
                <c:pt idx="18">
                  <c:v>0.19608389329409448</c:v>
                </c:pt>
                <c:pt idx="19">
                  <c:v>0.21911737927043529</c:v>
                </c:pt>
                <c:pt idx="20">
                  <c:v>0.2442060026267705</c:v>
                </c:pt>
              </c:numCache>
            </c:numRef>
          </c:val>
          <c:extLst>
            <c:ext xmlns:c16="http://schemas.microsoft.com/office/drawing/2014/chart" uri="{C3380CC4-5D6E-409C-BE32-E72D297353CC}">
              <c16:uniqueId val="{0000000C-88F2-46F8-A1D9-A14BA381C120}"/>
            </c:ext>
          </c:extLst>
        </c:ser>
        <c:ser>
          <c:idx val="13"/>
          <c:order val="13"/>
          <c:spPr>
            <a:solidFill>
              <a:srgbClr val="FC8888"/>
            </a:solidFill>
            <a:ln w="25400">
              <a:noFill/>
            </a:ln>
          </c:spPr>
          <c:cat>
            <c:strRef>
              <c:f>DatosChart!$A$25:$A$45</c:f>
              <c:strCache>
                <c:ptCount val="21"/>
                <c:pt idx="0">
                  <c:v>III 2020 </c:v>
                </c:pt>
                <c:pt idx="1">
                  <c:v>IV 2020 </c:v>
                </c:pt>
                <c:pt idx="2">
                  <c:v>I 2021 </c:v>
                </c:pt>
                <c:pt idx="3">
                  <c:v>II 2021 </c:v>
                </c:pt>
                <c:pt idx="4">
                  <c:v>III 2021 </c:v>
                </c:pt>
                <c:pt idx="5">
                  <c:v>IV 2021 </c:v>
                </c:pt>
                <c:pt idx="6">
                  <c:v>I 2022 </c:v>
                </c:pt>
                <c:pt idx="7">
                  <c:v>II 2022 </c:v>
                </c:pt>
                <c:pt idx="8">
                  <c:v>III 2022 </c:v>
                </c:pt>
                <c:pt idx="9">
                  <c:v>IV 2022 </c:v>
                </c:pt>
                <c:pt idx="10">
                  <c:v>I 2023 </c:v>
                </c:pt>
                <c:pt idx="11">
                  <c:v>II 2023 </c:v>
                </c:pt>
                <c:pt idx="12">
                  <c:v>III 2023 </c:v>
                </c:pt>
                <c:pt idx="13">
                  <c:v>IV 2023 </c:v>
                </c:pt>
                <c:pt idx="14">
                  <c:v>I 2024 </c:v>
                </c:pt>
                <c:pt idx="15">
                  <c:v>II 2024 </c:v>
                </c:pt>
                <c:pt idx="16">
                  <c:v>III 2024 </c:v>
                </c:pt>
                <c:pt idx="17">
                  <c:v>IV 2024 </c:v>
                </c:pt>
                <c:pt idx="18">
                  <c:v>I 2025 </c:v>
                </c:pt>
                <c:pt idx="19">
                  <c:v>II 2025 </c:v>
                </c:pt>
                <c:pt idx="20">
                  <c:v>III 2025 </c:v>
                </c:pt>
              </c:strCache>
            </c:strRef>
          </c:cat>
          <c:val>
            <c:numRef>
              <c:f>DatosChart!$O$25:$O$45</c:f>
              <c:numCache>
                <c:formatCode>General</c:formatCode>
                <c:ptCount val="21"/>
                <c:pt idx="0">
                  <c:v>0</c:v>
                </c:pt>
                <c:pt idx="1">
                  <c:v>0</c:v>
                </c:pt>
                <c:pt idx="2">
                  <c:v>0</c:v>
                </c:pt>
                <c:pt idx="3">
                  <c:v>0</c:v>
                </c:pt>
                <c:pt idx="4">
                  <c:v>1.5008923748802694E-3</c:v>
                </c:pt>
                <c:pt idx="5">
                  <c:v>1.5008923748802694E-3</c:v>
                </c:pt>
                <c:pt idx="6">
                  <c:v>1.5008923748802694E-3</c:v>
                </c:pt>
                <c:pt idx="7">
                  <c:v>1.5008923748807135E-3</c:v>
                </c:pt>
                <c:pt idx="8">
                  <c:v>1.5008923748798253E-3</c:v>
                </c:pt>
                <c:pt idx="9">
                  <c:v>1.5008923748798253E-3</c:v>
                </c:pt>
                <c:pt idx="10">
                  <c:v>1.5008923748798253E-3</c:v>
                </c:pt>
                <c:pt idx="11">
                  <c:v>1.5008923748807135E-3</c:v>
                </c:pt>
                <c:pt idx="12">
                  <c:v>3.9105989942831876E-2</c:v>
                </c:pt>
                <c:pt idx="13">
                  <c:v>8.4798494061733898E-2</c:v>
                </c:pt>
                <c:pt idx="14">
                  <c:v>0.12107442295204951</c:v>
                </c:pt>
                <c:pt idx="15">
                  <c:v>0.14781853797576527</c:v>
                </c:pt>
                <c:pt idx="16">
                  <c:v>0.16976562762700897</c:v>
                </c:pt>
                <c:pt idx="17">
                  <c:v>0.19082034034163931</c:v>
                </c:pt>
                <c:pt idx="18">
                  <c:v>0.21271066597508259</c:v>
                </c:pt>
                <c:pt idx="19">
                  <c:v>0.23700194671468378</c:v>
                </c:pt>
                <c:pt idx="20">
                  <c:v>0.26371979228053322</c:v>
                </c:pt>
              </c:numCache>
            </c:numRef>
          </c:val>
          <c:extLst>
            <c:ext xmlns:c16="http://schemas.microsoft.com/office/drawing/2014/chart" uri="{C3380CC4-5D6E-409C-BE32-E72D297353CC}">
              <c16:uniqueId val="{0000000D-88F2-46F8-A1D9-A14BA381C120}"/>
            </c:ext>
          </c:extLst>
        </c:ser>
        <c:ser>
          <c:idx val="14"/>
          <c:order val="14"/>
          <c:spPr>
            <a:solidFill>
              <a:srgbClr val="FC9C9C"/>
            </a:solidFill>
            <a:ln w="25400">
              <a:noFill/>
            </a:ln>
          </c:spPr>
          <c:cat>
            <c:strRef>
              <c:f>DatosChart!$A$25:$A$45</c:f>
              <c:strCache>
                <c:ptCount val="21"/>
                <c:pt idx="0">
                  <c:v>III 2020 </c:v>
                </c:pt>
                <c:pt idx="1">
                  <c:v>IV 2020 </c:v>
                </c:pt>
                <c:pt idx="2">
                  <c:v>I 2021 </c:v>
                </c:pt>
                <c:pt idx="3">
                  <c:v>II 2021 </c:v>
                </c:pt>
                <c:pt idx="4">
                  <c:v>III 2021 </c:v>
                </c:pt>
                <c:pt idx="5">
                  <c:v>IV 2021 </c:v>
                </c:pt>
                <c:pt idx="6">
                  <c:v>I 2022 </c:v>
                </c:pt>
                <c:pt idx="7">
                  <c:v>II 2022 </c:v>
                </c:pt>
                <c:pt idx="8">
                  <c:v>III 2022 </c:v>
                </c:pt>
                <c:pt idx="9">
                  <c:v>IV 2022 </c:v>
                </c:pt>
                <c:pt idx="10">
                  <c:v>I 2023 </c:v>
                </c:pt>
                <c:pt idx="11">
                  <c:v>II 2023 </c:v>
                </c:pt>
                <c:pt idx="12">
                  <c:v>III 2023 </c:v>
                </c:pt>
                <c:pt idx="13">
                  <c:v>IV 2023 </c:v>
                </c:pt>
                <c:pt idx="14">
                  <c:v>I 2024 </c:v>
                </c:pt>
                <c:pt idx="15">
                  <c:v>II 2024 </c:v>
                </c:pt>
                <c:pt idx="16">
                  <c:v>III 2024 </c:v>
                </c:pt>
                <c:pt idx="17">
                  <c:v>IV 2024 </c:v>
                </c:pt>
                <c:pt idx="18">
                  <c:v>I 2025 </c:v>
                </c:pt>
                <c:pt idx="19">
                  <c:v>II 2025 </c:v>
                </c:pt>
                <c:pt idx="20">
                  <c:v>III 2025 </c:v>
                </c:pt>
              </c:strCache>
            </c:strRef>
          </c:cat>
          <c:val>
            <c:numRef>
              <c:f>DatosChart!$P$25:$P$45</c:f>
              <c:numCache>
                <c:formatCode>General</c:formatCode>
                <c:ptCount val="21"/>
                <c:pt idx="0">
                  <c:v>0</c:v>
                </c:pt>
                <c:pt idx="1">
                  <c:v>0</c:v>
                </c:pt>
                <c:pt idx="2">
                  <c:v>0</c:v>
                </c:pt>
                <c:pt idx="3">
                  <c:v>0</c:v>
                </c:pt>
                <c:pt idx="4">
                  <c:v>1.671314833768367E-3</c:v>
                </c:pt>
                <c:pt idx="5">
                  <c:v>1.671314833768367E-3</c:v>
                </c:pt>
                <c:pt idx="6">
                  <c:v>1.671314833768367E-3</c:v>
                </c:pt>
                <c:pt idx="7">
                  <c:v>1.6713148337679229E-3</c:v>
                </c:pt>
                <c:pt idx="8">
                  <c:v>1.6713148337696992E-3</c:v>
                </c:pt>
                <c:pt idx="9">
                  <c:v>1.6713148337696992E-3</c:v>
                </c:pt>
                <c:pt idx="10">
                  <c:v>1.6713148337696992E-3</c:v>
                </c:pt>
                <c:pt idx="11">
                  <c:v>1.6713148337679229E-3</c:v>
                </c:pt>
                <c:pt idx="12">
                  <c:v>4.4276888361511446E-2</c:v>
                </c:pt>
                <c:pt idx="13">
                  <c:v>9.6204152205156213E-2</c:v>
                </c:pt>
                <c:pt idx="14">
                  <c:v>0.13719813959240135</c:v>
                </c:pt>
                <c:pt idx="15">
                  <c:v>0.16707946367954785</c:v>
                </c:pt>
                <c:pt idx="16">
                  <c:v>0.19126162915402833</c:v>
                </c:pt>
                <c:pt idx="17">
                  <c:v>0.21422761618895514</c:v>
                </c:pt>
                <c:pt idx="18">
                  <c:v>0.23797729504865295</c:v>
                </c:pt>
                <c:pt idx="19">
                  <c:v>0.26445321541549482</c:v>
                </c:pt>
                <c:pt idx="20">
                  <c:v>0.29384709523572372</c:v>
                </c:pt>
              </c:numCache>
            </c:numRef>
          </c:val>
          <c:extLst>
            <c:ext xmlns:c16="http://schemas.microsoft.com/office/drawing/2014/chart" uri="{C3380CC4-5D6E-409C-BE32-E72D297353CC}">
              <c16:uniqueId val="{0000000E-88F2-46F8-A1D9-A14BA381C120}"/>
            </c:ext>
          </c:extLst>
        </c:ser>
        <c:ser>
          <c:idx val="15"/>
          <c:order val="15"/>
          <c:spPr>
            <a:solidFill>
              <a:srgbClr val="FCAAAA"/>
            </a:solidFill>
            <a:ln w="25400">
              <a:noFill/>
            </a:ln>
          </c:spPr>
          <c:cat>
            <c:strRef>
              <c:f>DatosChart!$A$25:$A$45</c:f>
              <c:strCache>
                <c:ptCount val="21"/>
                <c:pt idx="0">
                  <c:v>III 2020 </c:v>
                </c:pt>
                <c:pt idx="1">
                  <c:v>IV 2020 </c:v>
                </c:pt>
                <c:pt idx="2">
                  <c:v>I 2021 </c:v>
                </c:pt>
                <c:pt idx="3">
                  <c:v>II 2021 </c:v>
                </c:pt>
                <c:pt idx="4">
                  <c:v>III 2021 </c:v>
                </c:pt>
                <c:pt idx="5">
                  <c:v>IV 2021 </c:v>
                </c:pt>
                <c:pt idx="6">
                  <c:v>I 2022 </c:v>
                </c:pt>
                <c:pt idx="7">
                  <c:v>II 2022 </c:v>
                </c:pt>
                <c:pt idx="8">
                  <c:v>III 2022 </c:v>
                </c:pt>
                <c:pt idx="9">
                  <c:v>IV 2022 </c:v>
                </c:pt>
                <c:pt idx="10">
                  <c:v>I 2023 </c:v>
                </c:pt>
                <c:pt idx="11">
                  <c:v>II 2023 </c:v>
                </c:pt>
                <c:pt idx="12">
                  <c:v>III 2023 </c:v>
                </c:pt>
                <c:pt idx="13">
                  <c:v>IV 2023 </c:v>
                </c:pt>
                <c:pt idx="14">
                  <c:v>I 2024 </c:v>
                </c:pt>
                <c:pt idx="15">
                  <c:v>II 2024 </c:v>
                </c:pt>
                <c:pt idx="16">
                  <c:v>III 2024 </c:v>
                </c:pt>
                <c:pt idx="17">
                  <c:v>IV 2024 </c:v>
                </c:pt>
                <c:pt idx="18">
                  <c:v>I 2025 </c:v>
                </c:pt>
                <c:pt idx="19">
                  <c:v>II 2025 </c:v>
                </c:pt>
                <c:pt idx="20">
                  <c:v>III 2025 </c:v>
                </c:pt>
              </c:strCache>
            </c:strRef>
          </c:cat>
          <c:val>
            <c:numRef>
              <c:f>DatosChart!$Q$25:$Q$45</c:f>
              <c:numCache>
                <c:formatCode>General</c:formatCode>
                <c:ptCount val="21"/>
                <c:pt idx="0">
                  <c:v>0</c:v>
                </c:pt>
                <c:pt idx="1">
                  <c:v>0</c:v>
                </c:pt>
                <c:pt idx="2">
                  <c:v>0</c:v>
                </c:pt>
                <c:pt idx="3">
                  <c:v>0</c:v>
                </c:pt>
                <c:pt idx="4">
                  <c:v>1.9481215592089818E-3</c:v>
                </c:pt>
                <c:pt idx="5">
                  <c:v>1.9481215592089818E-3</c:v>
                </c:pt>
                <c:pt idx="6">
                  <c:v>1.9481215592089818E-3</c:v>
                </c:pt>
                <c:pt idx="7">
                  <c:v>1.9481215592085377E-3</c:v>
                </c:pt>
                <c:pt idx="8">
                  <c:v>1.9481215592076495E-3</c:v>
                </c:pt>
                <c:pt idx="9">
                  <c:v>1.9481215592076495E-3</c:v>
                </c:pt>
                <c:pt idx="10">
                  <c:v>1.9481215592076495E-3</c:v>
                </c:pt>
                <c:pt idx="11">
                  <c:v>1.9481215592085377E-3</c:v>
                </c:pt>
                <c:pt idx="12">
                  <c:v>5.242224577635568E-2</c:v>
                </c:pt>
                <c:pt idx="13">
                  <c:v>0.11412297011857397</c:v>
                </c:pt>
                <c:pt idx="14">
                  <c:v>0.16256805830094745</c:v>
                </c:pt>
                <c:pt idx="15">
                  <c:v>0.19749326374578224</c:v>
                </c:pt>
                <c:pt idx="16">
                  <c:v>0.22537663566302957</c:v>
                </c:pt>
                <c:pt idx="17">
                  <c:v>0.25160352970853239</c:v>
                </c:pt>
                <c:pt idx="18">
                  <c:v>0.27859462167332705</c:v>
                </c:pt>
                <c:pt idx="19">
                  <c:v>0.30883238893932941</c:v>
                </c:pt>
                <c:pt idx="20">
                  <c:v>0.3427099842839878</c:v>
                </c:pt>
              </c:numCache>
            </c:numRef>
          </c:val>
          <c:extLst>
            <c:ext xmlns:c16="http://schemas.microsoft.com/office/drawing/2014/chart" uri="{C3380CC4-5D6E-409C-BE32-E72D297353CC}">
              <c16:uniqueId val="{0000000F-88F2-46F8-A1D9-A14BA381C120}"/>
            </c:ext>
          </c:extLst>
        </c:ser>
        <c:ser>
          <c:idx val="16"/>
          <c:order val="16"/>
          <c:spPr>
            <a:solidFill>
              <a:srgbClr val="FFC5C8"/>
            </a:solidFill>
            <a:ln w="25400">
              <a:noFill/>
            </a:ln>
          </c:spPr>
          <c:cat>
            <c:strRef>
              <c:f>DatosChart!$A$25:$A$45</c:f>
              <c:strCache>
                <c:ptCount val="21"/>
                <c:pt idx="0">
                  <c:v>III 2020 </c:v>
                </c:pt>
                <c:pt idx="1">
                  <c:v>IV 2020 </c:v>
                </c:pt>
                <c:pt idx="2">
                  <c:v>I 2021 </c:v>
                </c:pt>
                <c:pt idx="3">
                  <c:v>II 2021 </c:v>
                </c:pt>
                <c:pt idx="4">
                  <c:v>III 2021 </c:v>
                </c:pt>
                <c:pt idx="5">
                  <c:v>IV 2021 </c:v>
                </c:pt>
                <c:pt idx="6">
                  <c:v>I 2022 </c:v>
                </c:pt>
                <c:pt idx="7">
                  <c:v>II 2022 </c:v>
                </c:pt>
                <c:pt idx="8">
                  <c:v>III 2022 </c:v>
                </c:pt>
                <c:pt idx="9">
                  <c:v>IV 2022 </c:v>
                </c:pt>
                <c:pt idx="10">
                  <c:v>I 2023 </c:v>
                </c:pt>
                <c:pt idx="11">
                  <c:v>II 2023 </c:v>
                </c:pt>
                <c:pt idx="12">
                  <c:v>III 2023 </c:v>
                </c:pt>
                <c:pt idx="13">
                  <c:v>IV 2023 </c:v>
                </c:pt>
                <c:pt idx="14">
                  <c:v>I 2024 </c:v>
                </c:pt>
                <c:pt idx="15">
                  <c:v>II 2024 </c:v>
                </c:pt>
                <c:pt idx="16">
                  <c:v>III 2024 </c:v>
                </c:pt>
                <c:pt idx="17">
                  <c:v>IV 2024 </c:v>
                </c:pt>
                <c:pt idx="18">
                  <c:v>I 2025 </c:v>
                </c:pt>
                <c:pt idx="19">
                  <c:v>II 2025 </c:v>
                </c:pt>
                <c:pt idx="20">
                  <c:v>III 2025 </c:v>
                </c:pt>
              </c:strCache>
            </c:strRef>
          </c:cat>
          <c:val>
            <c:numRef>
              <c:f>DatosChart!$R$25:$R$45</c:f>
              <c:numCache>
                <c:formatCode>General</c:formatCode>
                <c:ptCount val="21"/>
                <c:pt idx="0">
                  <c:v>0</c:v>
                </c:pt>
                <c:pt idx="1">
                  <c:v>0</c:v>
                </c:pt>
                <c:pt idx="2">
                  <c:v>0</c:v>
                </c:pt>
                <c:pt idx="3">
                  <c:v>0</c:v>
                </c:pt>
                <c:pt idx="4">
                  <c:v>2.4511817605081809E-3</c:v>
                </c:pt>
                <c:pt idx="5">
                  <c:v>2.4511817605081809E-3</c:v>
                </c:pt>
                <c:pt idx="6">
                  <c:v>2.4511817605081809E-3</c:v>
                </c:pt>
                <c:pt idx="7">
                  <c:v>2.451181760508625E-3</c:v>
                </c:pt>
                <c:pt idx="8">
                  <c:v>2.4511817605077368E-3</c:v>
                </c:pt>
                <c:pt idx="9">
                  <c:v>2.4511817605077368E-3</c:v>
                </c:pt>
                <c:pt idx="10">
                  <c:v>2.4511817605077368E-3</c:v>
                </c:pt>
                <c:pt idx="11">
                  <c:v>2.451181760508625E-3</c:v>
                </c:pt>
                <c:pt idx="12">
                  <c:v>6.696804366893172E-2</c:v>
                </c:pt>
                <c:pt idx="13">
                  <c:v>0.14607110520064293</c:v>
                </c:pt>
                <c:pt idx="14">
                  <c:v>0.20784255186552247</c:v>
                </c:pt>
                <c:pt idx="15">
                  <c:v>0.25188368906024117</c:v>
                </c:pt>
                <c:pt idx="16">
                  <c:v>0.28656802835643269</c:v>
                </c:pt>
                <c:pt idx="17">
                  <c:v>0.31888203624185163</c:v>
                </c:pt>
                <c:pt idx="18">
                  <c:v>0.35198872361424183</c:v>
                </c:pt>
                <c:pt idx="19">
                  <c:v>0.38927785943437865</c:v>
                </c:pt>
                <c:pt idx="20">
                  <c:v>0.43144115136660766</c:v>
                </c:pt>
              </c:numCache>
            </c:numRef>
          </c:val>
          <c:extLst>
            <c:ext xmlns:c16="http://schemas.microsoft.com/office/drawing/2014/chart" uri="{C3380CC4-5D6E-409C-BE32-E72D297353CC}">
              <c16:uniqueId val="{00000010-88F2-46F8-A1D9-A14BA381C120}"/>
            </c:ext>
          </c:extLst>
        </c:ser>
        <c:ser>
          <c:idx val="17"/>
          <c:order val="17"/>
          <c:spPr>
            <a:solidFill>
              <a:srgbClr val="FDD7D7"/>
            </a:solidFill>
            <a:ln w="25400">
              <a:noFill/>
            </a:ln>
          </c:spPr>
          <c:cat>
            <c:strRef>
              <c:f>DatosChart!$A$25:$A$45</c:f>
              <c:strCache>
                <c:ptCount val="21"/>
                <c:pt idx="0">
                  <c:v>III 2020 </c:v>
                </c:pt>
                <c:pt idx="1">
                  <c:v>IV 2020 </c:v>
                </c:pt>
                <c:pt idx="2">
                  <c:v>I 2021 </c:v>
                </c:pt>
                <c:pt idx="3">
                  <c:v>II 2021 </c:v>
                </c:pt>
                <c:pt idx="4">
                  <c:v>III 2021 </c:v>
                </c:pt>
                <c:pt idx="5">
                  <c:v>IV 2021 </c:v>
                </c:pt>
                <c:pt idx="6">
                  <c:v>I 2022 </c:v>
                </c:pt>
                <c:pt idx="7">
                  <c:v>II 2022 </c:v>
                </c:pt>
                <c:pt idx="8">
                  <c:v>III 2022 </c:v>
                </c:pt>
                <c:pt idx="9">
                  <c:v>IV 2022 </c:v>
                </c:pt>
                <c:pt idx="10">
                  <c:v>I 2023 </c:v>
                </c:pt>
                <c:pt idx="11">
                  <c:v>II 2023 </c:v>
                </c:pt>
                <c:pt idx="12">
                  <c:v>III 2023 </c:v>
                </c:pt>
                <c:pt idx="13">
                  <c:v>IV 2023 </c:v>
                </c:pt>
                <c:pt idx="14">
                  <c:v>I 2024 </c:v>
                </c:pt>
                <c:pt idx="15">
                  <c:v>II 2024 </c:v>
                </c:pt>
                <c:pt idx="16">
                  <c:v>III 2024 </c:v>
                </c:pt>
                <c:pt idx="17">
                  <c:v>IV 2024 </c:v>
                </c:pt>
                <c:pt idx="18">
                  <c:v>I 2025 </c:v>
                </c:pt>
                <c:pt idx="19">
                  <c:v>II 2025 </c:v>
                </c:pt>
                <c:pt idx="20">
                  <c:v>III 2025 </c:v>
                </c:pt>
              </c:strCache>
            </c:strRef>
          </c:cat>
          <c:val>
            <c:numRef>
              <c:f>DatosChart!$S$25:$S$45</c:f>
              <c:numCache>
                <c:formatCode>General</c:formatCode>
                <c:ptCount val="21"/>
                <c:pt idx="0">
                  <c:v>0</c:v>
                </c:pt>
                <c:pt idx="1">
                  <c:v>0</c:v>
                </c:pt>
                <c:pt idx="2">
                  <c:v>0</c:v>
                </c:pt>
                <c:pt idx="3">
                  <c:v>0</c:v>
                </c:pt>
                <c:pt idx="4">
                  <c:v>3.6330206140684496E-3</c:v>
                </c:pt>
                <c:pt idx="5">
                  <c:v>3.6330206140684496E-3</c:v>
                </c:pt>
                <c:pt idx="6">
                  <c:v>3.6330206140684496E-3</c:v>
                </c:pt>
                <c:pt idx="7">
                  <c:v>3.6330206140684496E-3</c:v>
                </c:pt>
                <c:pt idx="8">
                  <c:v>3.6330206140693377E-3</c:v>
                </c:pt>
                <c:pt idx="9">
                  <c:v>3.6330206140693377E-3</c:v>
                </c:pt>
                <c:pt idx="10">
                  <c:v>3.6330206140693377E-3</c:v>
                </c:pt>
                <c:pt idx="11">
                  <c:v>3.6330206140684496E-3</c:v>
                </c:pt>
                <c:pt idx="12">
                  <c:v>0.10084400618386002</c:v>
                </c:pt>
                <c:pt idx="13">
                  <c:v>0.22041863873219469</c:v>
                </c:pt>
                <c:pt idx="14">
                  <c:v>0.31324869846425685</c:v>
                </c:pt>
                <c:pt idx="15">
                  <c:v>0.37864341478882491</c:v>
                </c:pt>
                <c:pt idx="16">
                  <c:v>0.42938762664469277</c:v>
                </c:pt>
                <c:pt idx="17">
                  <c:v>0.4761864800725979</c:v>
                </c:pt>
                <c:pt idx="18">
                  <c:v>0.52392114054669658</c:v>
                </c:pt>
                <c:pt idx="19">
                  <c:v>0.57802602377201495</c:v>
                </c:pt>
                <c:pt idx="20">
                  <c:v>0.63981470734017876</c:v>
                </c:pt>
              </c:numCache>
            </c:numRef>
          </c:val>
          <c:extLst>
            <c:ext xmlns:c16="http://schemas.microsoft.com/office/drawing/2014/chart" uri="{C3380CC4-5D6E-409C-BE32-E72D297353CC}">
              <c16:uniqueId val="{00000011-88F2-46F8-A1D9-A14BA381C120}"/>
            </c:ext>
          </c:extLst>
        </c:ser>
        <c:dLbls>
          <c:showLegendKey val="0"/>
          <c:showVal val="0"/>
          <c:showCatName val="0"/>
          <c:showSerName val="0"/>
          <c:showPercent val="0"/>
          <c:showBubbleSize val="0"/>
        </c:dLbls>
        <c:axId val="1546329136"/>
        <c:axId val="1"/>
      </c:areaChart>
      <c:catAx>
        <c:axId val="1546329136"/>
        <c:scaling>
          <c:orientation val="minMax"/>
        </c:scaling>
        <c:delete val="0"/>
        <c:axPos val="b"/>
        <c:numFmt formatCode="General" sourceLinked="1"/>
        <c:majorTickMark val="out"/>
        <c:minorTickMark val="none"/>
        <c:tickLblPos val="nextTo"/>
        <c:spPr>
          <a:effectLst/>
        </c:spPr>
        <c:crossAx val="1"/>
        <c:crosses val="autoZero"/>
        <c:auto val="1"/>
        <c:lblAlgn val="ctr"/>
        <c:lblOffset val="100"/>
        <c:tickLblSkip val="4"/>
        <c:tickMarkSkip val="4"/>
        <c:noMultiLvlLbl val="0"/>
      </c:catAx>
      <c:valAx>
        <c:axId val="1"/>
        <c:scaling>
          <c:orientation val="minMax"/>
          <c:max val="10"/>
          <c:min val="0"/>
        </c:scaling>
        <c:delete val="0"/>
        <c:axPos val="r"/>
        <c:title>
          <c:tx>
            <c:rich>
              <a:bodyPr/>
              <a:lstStyle/>
              <a:p>
                <a:pPr>
                  <a:defRPr/>
                </a:pPr>
                <a:r>
                  <a:rPr lang="es-GT"/>
                  <a:t>Inflación (%)</a:t>
                </a:r>
              </a:p>
            </c:rich>
          </c:tx>
          <c:overlay val="0"/>
        </c:title>
        <c:numFmt formatCode="General" sourceLinked="1"/>
        <c:majorTickMark val="out"/>
        <c:minorTickMark val="out"/>
        <c:tickLblPos val="nextTo"/>
        <c:spPr>
          <a:effectLst/>
        </c:spPr>
        <c:crossAx val="1546329136"/>
        <c:crosses val="max"/>
        <c:crossBetween val="midCat"/>
      </c:valAx>
      <c:spPr>
        <a:noFill/>
        <a:ln w="25400">
          <a:noFill/>
        </a:ln>
      </c:spPr>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6027116632960323E-2"/>
          <c:y val="9.2787853226486708E-2"/>
          <c:w val="0.94669096115051732"/>
          <c:h val="0.79653510060010968"/>
        </c:manualLayout>
      </c:layout>
      <c:lineChart>
        <c:grouping val="standard"/>
        <c:varyColors val="0"/>
        <c:ser>
          <c:idx val="0"/>
          <c:order val="0"/>
          <c:tx>
            <c:strRef>
              <c:f>Hoja1!$B$1</c:f>
              <c:strCache>
                <c:ptCount val="1"/>
                <c:pt idx="0">
                  <c:v>Internos</c:v>
                </c:pt>
              </c:strCache>
            </c:strRef>
          </c:tx>
          <c:spPr>
            <a:ln w="12700" cap="rnd">
              <a:solidFill>
                <a:schemeClr val="accent1"/>
              </a:solidFill>
              <a:round/>
            </a:ln>
            <a:effectLst>
              <a:outerShdw blurRad="50800" dist="38100" dir="2700000" algn="tl" rotWithShape="0">
                <a:prstClr val="black">
                  <a:alpha val="40000"/>
                </a:prstClr>
              </a:outerShdw>
            </a:effectLst>
          </c:spPr>
          <c:marker>
            <c:symbol val="circle"/>
            <c:size val="3"/>
            <c:spPr>
              <a:solidFill>
                <a:schemeClr val="accent5">
                  <a:lumMod val="20000"/>
                  <a:lumOff val="80000"/>
                </a:schemeClr>
              </a:solidFill>
              <a:ln w="9525">
                <a:solidFill>
                  <a:schemeClr val="accent1"/>
                </a:solidFill>
              </a:ln>
              <a:effectLst>
                <a:outerShdw blurRad="50800" dist="38100" dir="2700000" algn="tl" rotWithShape="0">
                  <a:prstClr val="black">
                    <a:alpha val="40000"/>
                  </a:prstClr>
                </a:outerShdw>
              </a:effectLst>
            </c:spPr>
          </c:marker>
          <c:dLbls>
            <c:dLbl>
              <c:idx val="83"/>
              <c:layout>
                <c:manualLayout>
                  <c:x val="0"/>
                  <c:y val="8.0710250201775621E-2"/>
                </c:manualLayout>
              </c:layout>
              <c:spPr>
                <a:noFill/>
                <a:ln>
                  <a:noFill/>
                </a:ln>
                <a:effectLst/>
              </c:spPr>
              <c:txPr>
                <a:bodyPr rot="0" spcFirstLastPara="1" vertOverflow="ellipsis" vert="horz" wrap="square" anchor="ctr" anchorCtr="1"/>
                <a:lstStyle/>
                <a:p>
                  <a:pPr>
                    <a:defRPr sz="7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097-4DB2-81D1-A17F76F9BE82}"/>
                </c:ext>
              </c:extLst>
            </c:dLbl>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Hoja1!$A$2:$A$109</c:f>
              <c:numCache>
                <c:formatCode>mmm\-yy</c:formatCode>
                <c:ptCount val="84"/>
                <c:pt idx="0">
                  <c:v>39814</c:v>
                </c:pt>
                <c:pt idx="1">
                  <c:v>39845</c:v>
                </c:pt>
                <c:pt idx="2">
                  <c:v>39873</c:v>
                </c:pt>
                <c:pt idx="3">
                  <c:v>39904</c:v>
                </c:pt>
                <c:pt idx="4">
                  <c:v>39934</c:v>
                </c:pt>
                <c:pt idx="5">
                  <c:v>39965</c:v>
                </c:pt>
                <c:pt idx="6">
                  <c:v>39995</c:v>
                </c:pt>
                <c:pt idx="7">
                  <c:v>40026</c:v>
                </c:pt>
                <c:pt idx="8">
                  <c:v>40057</c:v>
                </c:pt>
                <c:pt idx="9">
                  <c:v>40087</c:v>
                </c:pt>
                <c:pt idx="10">
                  <c:v>40118</c:v>
                </c:pt>
                <c:pt idx="11">
                  <c:v>40148</c:v>
                </c:pt>
                <c:pt idx="12">
                  <c:v>40179</c:v>
                </c:pt>
                <c:pt idx="13">
                  <c:v>40210</c:v>
                </c:pt>
                <c:pt idx="14">
                  <c:v>40238</c:v>
                </c:pt>
                <c:pt idx="15">
                  <c:v>40269</c:v>
                </c:pt>
                <c:pt idx="16">
                  <c:v>40299</c:v>
                </c:pt>
                <c:pt idx="17">
                  <c:v>40330</c:v>
                </c:pt>
                <c:pt idx="18">
                  <c:v>40360</c:v>
                </c:pt>
                <c:pt idx="19">
                  <c:v>40391</c:v>
                </c:pt>
                <c:pt idx="20">
                  <c:v>40422</c:v>
                </c:pt>
                <c:pt idx="21">
                  <c:v>40452</c:v>
                </c:pt>
                <c:pt idx="22">
                  <c:v>40483</c:v>
                </c:pt>
                <c:pt idx="23">
                  <c:v>40513</c:v>
                </c:pt>
                <c:pt idx="24">
                  <c:v>43101</c:v>
                </c:pt>
                <c:pt idx="25">
                  <c:v>43132</c:v>
                </c:pt>
                <c:pt idx="26">
                  <c:v>43160</c:v>
                </c:pt>
                <c:pt idx="27">
                  <c:v>43191</c:v>
                </c:pt>
                <c:pt idx="28">
                  <c:v>43221</c:v>
                </c:pt>
                <c:pt idx="29">
                  <c:v>43252</c:v>
                </c:pt>
                <c:pt idx="30">
                  <c:v>43282</c:v>
                </c:pt>
                <c:pt idx="31">
                  <c:v>43313</c:v>
                </c:pt>
                <c:pt idx="32">
                  <c:v>43344</c:v>
                </c:pt>
                <c:pt idx="33">
                  <c:v>43374</c:v>
                </c:pt>
                <c:pt idx="34">
                  <c:v>43405</c:v>
                </c:pt>
                <c:pt idx="35">
                  <c:v>43435</c:v>
                </c:pt>
                <c:pt idx="36">
                  <c:v>43466</c:v>
                </c:pt>
                <c:pt idx="37">
                  <c:v>43497</c:v>
                </c:pt>
                <c:pt idx="38">
                  <c:v>43525</c:v>
                </c:pt>
                <c:pt idx="39">
                  <c:v>43556</c:v>
                </c:pt>
                <c:pt idx="40">
                  <c:v>43586</c:v>
                </c:pt>
                <c:pt idx="41">
                  <c:v>43617</c:v>
                </c:pt>
                <c:pt idx="42">
                  <c:v>43647</c:v>
                </c:pt>
                <c:pt idx="43">
                  <c:v>43678</c:v>
                </c:pt>
                <c:pt idx="44">
                  <c:v>43709</c:v>
                </c:pt>
                <c:pt idx="45">
                  <c:v>43739</c:v>
                </c:pt>
                <c:pt idx="46">
                  <c:v>43770</c:v>
                </c:pt>
                <c:pt idx="47">
                  <c:v>43800</c:v>
                </c:pt>
                <c:pt idx="48">
                  <c:v>43831</c:v>
                </c:pt>
                <c:pt idx="49">
                  <c:v>43862</c:v>
                </c:pt>
                <c:pt idx="50">
                  <c:v>43891</c:v>
                </c:pt>
                <c:pt idx="51">
                  <c:v>43922</c:v>
                </c:pt>
                <c:pt idx="52">
                  <c:v>43952</c:v>
                </c:pt>
                <c:pt idx="53">
                  <c:v>43983</c:v>
                </c:pt>
                <c:pt idx="54">
                  <c:v>44013</c:v>
                </c:pt>
                <c:pt idx="55">
                  <c:v>44044</c:v>
                </c:pt>
                <c:pt idx="56">
                  <c:v>44075</c:v>
                </c:pt>
                <c:pt idx="57">
                  <c:v>44105</c:v>
                </c:pt>
                <c:pt idx="58">
                  <c:v>44136</c:v>
                </c:pt>
                <c:pt idx="59">
                  <c:v>44166</c:v>
                </c:pt>
                <c:pt idx="60">
                  <c:v>44197</c:v>
                </c:pt>
                <c:pt idx="61">
                  <c:v>44228</c:v>
                </c:pt>
                <c:pt idx="62">
                  <c:v>44256</c:v>
                </c:pt>
                <c:pt idx="63">
                  <c:v>44287</c:v>
                </c:pt>
                <c:pt idx="64">
                  <c:v>44317</c:v>
                </c:pt>
                <c:pt idx="65">
                  <c:v>44348</c:v>
                </c:pt>
                <c:pt idx="66">
                  <c:v>44378</c:v>
                </c:pt>
                <c:pt idx="67">
                  <c:v>44409</c:v>
                </c:pt>
                <c:pt idx="68">
                  <c:v>44440</c:v>
                </c:pt>
                <c:pt idx="69">
                  <c:v>44470</c:v>
                </c:pt>
                <c:pt idx="70">
                  <c:v>44501</c:v>
                </c:pt>
                <c:pt idx="71">
                  <c:v>44531</c:v>
                </c:pt>
                <c:pt idx="72">
                  <c:v>44562</c:v>
                </c:pt>
                <c:pt idx="73">
                  <c:v>44593</c:v>
                </c:pt>
                <c:pt idx="74">
                  <c:v>44621</c:v>
                </c:pt>
                <c:pt idx="75">
                  <c:v>44652</c:v>
                </c:pt>
                <c:pt idx="76">
                  <c:v>44682</c:v>
                </c:pt>
                <c:pt idx="77">
                  <c:v>44713</c:v>
                </c:pt>
                <c:pt idx="78">
                  <c:v>44743</c:v>
                </c:pt>
                <c:pt idx="79">
                  <c:v>44774</c:v>
                </c:pt>
                <c:pt idx="80">
                  <c:v>44805</c:v>
                </c:pt>
                <c:pt idx="81">
                  <c:v>44835</c:v>
                </c:pt>
                <c:pt idx="82">
                  <c:v>44866</c:v>
                </c:pt>
                <c:pt idx="83">
                  <c:v>44896</c:v>
                </c:pt>
              </c:numCache>
            </c:numRef>
          </c:cat>
          <c:val>
            <c:numRef>
              <c:f>Hoja1!$B$2:$B$109</c:f>
              <c:numCache>
                <c:formatCode>0.0%</c:formatCode>
                <c:ptCount val="84"/>
                <c:pt idx="0">
                  <c:v>0.12409175998871791</c:v>
                </c:pt>
                <c:pt idx="1">
                  <c:v>5.910531829057275E-2</c:v>
                </c:pt>
                <c:pt idx="2">
                  <c:v>2.2320556922013068E-3</c:v>
                </c:pt>
                <c:pt idx="3">
                  <c:v>-5.6735797470299776E-3</c:v>
                </c:pt>
                <c:pt idx="4">
                  <c:v>-5.0362067471565464E-3</c:v>
                </c:pt>
                <c:pt idx="5">
                  <c:v>1.0107592681829258E-2</c:v>
                </c:pt>
                <c:pt idx="6">
                  <c:v>-5.7901599045218077E-3</c:v>
                </c:pt>
                <c:pt idx="7">
                  <c:v>-1.963117095624356E-3</c:v>
                </c:pt>
                <c:pt idx="8">
                  <c:v>-2.4453354064336574E-3</c:v>
                </c:pt>
                <c:pt idx="9">
                  <c:v>-1.3846149049485668E-3</c:v>
                </c:pt>
                <c:pt idx="10">
                  <c:v>-2.2962283798527716E-3</c:v>
                </c:pt>
                <c:pt idx="11">
                  <c:v>6.0864675880623054E-3</c:v>
                </c:pt>
                <c:pt idx="12">
                  <c:v>3.7106443539749678E-2</c:v>
                </c:pt>
                <c:pt idx="13">
                  <c:v>6.3333192149289008E-2</c:v>
                </c:pt>
                <c:pt idx="14">
                  <c:v>4.7839346110299941E-2</c:v>
                </c:pt>
                <c:pt idx="15">
                  <c:v>5.6490569302581672E-2</c:v>
                </c:pt>
                <c:pt idx="16">
                  <c:v>6.0081586318207814E-2</c:v>
                </c:pt>
                <c:pt idx="17">
                  <c:v>5.6079275614775437E-2</c:v>
                </c:pt>
                <c:pt idx="18">
                  <c:v>5.7344238689610805E-2</c:v>
                </c:pt>
                <c:pt idx="19">
                  <c:v>7.0374594916908118E-2</c:v>
                </c:pt>
                <c:pt idx="20">
                  <c:v>7.1092301395941027E-2</c:v>
                </c:pt>
                <c:pt idx="21">
                  <c:v>5.9291728582824721E-2</c:v>
                </c:pt>
                <c:pt idx="22">
                  <c:v>6.3581562943069603E-2</c:v>
                </c:pt>
                <c:pt idx="23">
                  <c:v>6.4877165487156052E-2</c:v>
                </c:pt>
                <c:pt idx="24">
                  <c:v>9.5029678328446332E-2</c:v>
                </c:pt>
                <c:pt idx="25">
                  <c:v>7.418438541927741E-2</c:v>
                </c:pt>
                <c:pt idx="26">
                  <c:v>4.4331472829025387E-2</c:v>
                </c:pt>
                <c:pt idx="27">
                  <c:v>3.061679143747309E-2</c:v>
                </c:pt>
                <c:pt idx="28">
                  <c:v>3.567349270858533E-2</c:v>
                </c:pt>
                <c:pt idx="29">
                  <c:v>6.9833455101353525E-3</c:v>
                </c:pt>
                <c:pt idx="30">
                  <c:v>1.3620570745746408E-2</c:v>
                </c:pt>
                <c:pt idx="31">
                  <c:v>1.3639138792564287E-2</c:v>
                </c:pt>
                <c:pt idx="32">
                  <c:v>1.1608366599742848E-2</c:v>
                </c:pt>
                <c:pt idx="33">
                  <c:v>1.520436753258525E-2</c:v>
                </c:pt>
                <c:pt idx="34">
                  <c:v>2.0182723094225086E-2</c:v>
                </c:pt>
                <c:pt idx="35">
                  <c:v>1.8941089642273923E-2</c:v>
                </c:pt>
                <c:pt idx="36">
                  <c:v>1.2133373398879099E-2</c:v>
                </c:pt>
                <c:pt idx="37">
                  <c:v>1.3171949561501473E-2</c:v>
                </c:pt>
                <c:pt idx="38">
                  <c:v>2.1515546627187465E-2</c:v>
                </c:pt>
                <c:pt idx="39">
                  <c:v>2.6500406128148413E-2</c:v>
                </c:pt>
                <c:pt idx="40">
                  <c:v>3.3774818086861336E-2</c:v>
                </c:pt>
                <c:pt idx="41">
                  <c:v>3.0658139325091094E-2</c:v>
                </c:pt>
                <c:pt idx="42">
                  <c:v>3.6913059989126973E-2</c:v>
                </c:pt>
                <c:pt idx="43">
                  <c:v>4.1640139238722451E-2</c:v>
                </c:pt>
                <c:pt idx="44">
                  <c:v>4.8135226542253884E-2</c:v>
                </c:pt>
                <c:pt idx="45">
                  <c:v>5.7783454456295402E-2</c:v>
                </c:pt>
                <c:pt idx="46">
                  <c:v>5.5422204220258564E-2</c:v>
                </c:pt>
                <c:pt idx="47">
                  <c:v>6.6597541083223355E-2</c:v>
                </c:pt>
                <c:pt idx="48">
                  <c:v>0.12355001333193627</c:v>
                </c:pt>
                <c:pt idx="49">
                  <c:v>0.11702529453413901</c:v>
                </c:pt>
                <c:pt idx="50">
                  <c:v>-4.1573962158443001E-2</c:v>
                </c:pt>
                <c:pt idx="51">
                  <c:v>3.5316051677768412E-2</c:v>
                </c:pt>
                <c:pt idx="52">
                  <c:v>-4.5608141251602952E-3</c:v>
                </c:pt>
                <c:pt idx="53">
                  <c:v>-2.760244571157966E-2</c:v>
                </c:pt>
                <c:pt idx="54">
                  <c:v>-4.524004040943197E-2</c:v>
                </c:pt>
                <c:pt idx="55">
                  <c:v>-5.0795729243287013E-2</c:v>
                </c:pt>
                <c:pt idx="56">
                  <c:v>-4.5671337435818637E-2</c:v>
                </c:pt>
                <c:pt idx="57">
                  <c:v>-2.4012277155246342E-2</c:v>
                </c:pt>
                <c:pt idx="58">
                  <c:v>-1.8659806932337597E-2</c:v>
                </c:pt>
                <c:pt idx="59">
                  <c:v>-1.9497461309182063E-2</c:v>
                </c:pt>
                <c:pt idx="60">
                  <c:v>6.0737663743792858E-2</c:v>
                </c:pt>
                <c:pt idx="61">
                  <c:v>6.7628231282831797E-2</c:v>
                </c:pt>
                <c:pt idx="62">
                  <c:v>0.24207599090223919</c:v>
                </c:pt>
                <c:pt idx="63">
                  <c:v>0.16170221856991063</c:v>
                </c:pt>
                <c:pt idx="64">
                  <c:v>0.19481307102479639</c:v>
                </c:pt>
                <c:pt idx="65">
                  <c:v>0.21311343890161871</c:v>
                </c:pt>
                <c:pt idx="66">
                  <c:v>0.25000590353400054</c:v>
                </c:pt>
                <c:pt idx="67">
                  <c:v>0.24869333811400418</c:v>
                </c:pt>
                <c:pt idx="68">
                  <c:v>0.23865355092229312</c:v>
                </c:pt>
                <c:pt idx="69">
                  <c:v>0.22377016823637441</c:v>
                </c:pt>
                <c:pt idx="70">
                  <c:v>0.21261221489466742</c:v>
                </c:pt>
                <c:pt idx="71">
                  <c:v>0.24189141456707031</c:v>
                </c:pt>
                <c:pt idx="72">
                  <c:v>6.1103013917060967E-2</c:v>
                </c:pt>
                <c:pt idx="73">
                  <c:v>4.8899589562914514E-2</c:v>
                </c:pt>
                <c:pt idx="74">
                  <c:v>9.8610280096090408E-2</c:v>
                </c:pt>
                <c:pt idx="75">
                  <c:v>0.12402002401719581</c:v>
                </c:pt>
                <c:pt idx="76">
                  <c:v>0.12265306074707949</c:v>
                </c:pt>
                <c:pt idx="77">
                  <c:v>0.12893635675323489</c:v>
                </c:pt>
                <c:pt idx="78">
                  <c:v>0.13567594975491981</c:v>
                </c:pt>
                <c:pt idx="79">
                  <c:v>0.13488254205916639</c:v>
                </c:pt>
                <c:pt idx="80">
                  <c:v>0.13666316004100043</c:v>
                </c:pt>
                <c:pt idx="81">
                  <c:v>0.13152568562688782</c:v>
                </c:pt>
                <c:pt idx="82">
                  <c:v>0.13354154860574385</c:v>
                </c:pt>
                <c:pt idx="83">
                  <c:v>0.10518515851835408</c:v>
                </c:pt>
              </c:numCache>
            </c:numRef>
          </c:val>
          <c:smooth val="0"/>
          <c:extLst>
            <c:ext xmlns:c16="http://schemas.microsoft.com/office/drawing/2014/chart" uri="{C3380CC4-5D6E-409C-BE32-E72D297353CC}">
              <c16:uniqueId val="{00000001-3097-4DB2-81D1-A17F76F9BE82}"/>
            </c:ext>
          </c:extLst>
        </c:ser>
        <c:ser>
          <c:idx val="1"/>
          <c:order val="1"/>
          <c:tx>
            <c:strRef>
              <c:f>Hoja1!$C$1</c:f>
              <c:strCache>
                <c:ptCount val="1"/>
                <c:pt idx="0">
                  <c:v>Aduanas</c:v>
                </c:pt>
              </c:strCache>
            </c:strRef>
          </c:tx>
          <c:spPr>
            <a:ln w="12700" cap="rnd">
              <a:solidFill>
                <a:srgbClr val="FF0000"/>
              </a:solidFill>
              <a:round/>
            </a:ln>
            <a:effectLst>
              <a:outerShdw blurRad="50800" dist="38100" dir="2700000" algn="tl" rotWithShape="0">
                <a:prstClr val="black">
                  <a:alpha val="40000"/>
                </a:prstClr>
              </a:outerShdw>
            </a:effectLst>
          </c:spPr>
          <c:marker>
            <c:symbol val="circle"/>
            <c:size val="3"/>
            <c:spPr>
              <a:solidFill>
                <a:schemeClr val="bg1"/>
              </a:solidFill>
              <a:ln w="9525">
                <a:solidFill>
                  <a:srgbClr val="FF0000"/>
                </a:solidFill>
              </a:ln>
              <a:effectLst>
                <a:outerShdw blurRad="50800" dist="38100" dir="2700000" algn="tl" rotWithShape="0">
                  <a:prstClr val="black">
                    <a:alpha val="40000"/>
                  </a:prstClr>
                </a:outerShdw>
              </a:effectLst>
            </c:spPr>
          </c:marker>
          <c:dLbls>
            <c:dLbl>
              <c:idx val="83"/>
              <c:layout>
                <c:manualLayout>
                  <c:x val="0"/>
                  <c:y val="-0.14124293785310735"/>
                </c:manualLayout>
              </c:layout>
              <c:spPr>
                <a:noFill/>
                <a:ln>
                  <a:noFill/>
                </a:ln>
                <a:effectLst/>
              </c:spPr>
              <c:txPr>
                <a:bodyPr rot="0" spcFirstLastPara="1" vertOverflow="ellipsis" vert="horz" wrap="square" anchor="ctr" anchorCtr="1"/>
                <a:lstStyle/>
                <a:p>
                  <a:pPr>
                    <a:defRPr sz="7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097-4DB2-81D1-A17F76F9BE82}"/>
                </c:ext>
              </c:extLst>
            </c:dLbl>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Hoja1!$A$2:$A$109</c:f>
              <c:numCache>
                <c:formatCode>mmm\-yy</c:formatCode>
                <c:ptCount val="84"/>
                <c:pt idx="0">
                  <c:v>39814</c:v>
                </c:pt>
                <c:pt idx="1">
                  <c:v>39845</c:v>
                </c:pt>
                <c:pt idx="2">
                  <c:v>39873</c:v>
                </c:pt>
                <c:pt idx="3">
                  <c:v>39904</c:v>
                </c:pt>
                <c:pt idx="4">
                  <c:v>39934</c:v>
                </c:pt>
                <c:pt idx="5">
                  <c:v>39965</c:v>
                </c:pt>
                <c:pt idx="6">
                  <c:v>39995</c:v>
                </c:pt>
                <c:pt idx="7">
                  <c:v>40026</c:v>
                </c:pt>
                <c:pt idx="8">
                  <c:v>40057</c:v>
                </c:pt>
                <c:pt idx="9">
                  <c:v>40087</c:v>
                </c:pt>
                <c:pt idx="10">
                  <c:v>40118</c:v>
                </c:pt>
                <c:pt idx="11">
                  <c:v>40148</c:v>
                </c:pt>
                <c:pt idx="12">
                  <c:v>40179</c:v>
                </c:pt>
                <c:pt idx="13">
                  <c:v>40210</c:v>
                </c:pt>
                <c:pt idx="14">
                  <c:v>40238</c:v>
                </c:pt>
                <c:pt idx="15">
                  <c:v>40269</c:v>
                </c:pt>
                <c:pt idx="16">
                  <c:v>40299</c:v>
                </c:pt>
                <c:pt idx="17">
                  <c:v>40330</c:v>
                </c:pt>
                <c:pt idx="18">
                  <c:v>40360</c:v>
                </c:pt>
                <c:pt idx="19">
                  <c:v>40391</c:v>
                </c:pt>
                <c:pt idx="20">
                  <c:v>40422</c:v>
                </c:pt>
                <c:pt idx="21">
                  <c:v>40452</c:v>
                </c:pt>
                <c:pt idx="22">
                  <c:v>40483</c:v>
                </c:pt>
                <c:pt idx="23">
                  <c:v>40513</c:v>
                </c:pt>
                <c:pt idx="24">
                  <c:v>43101</c:v>
                </c:pt>
                <c:pt idx="25">
                  <c:v>43132</c:v>
                </c:pt>
                <c:pt idx="26">
                  <c:v>43160</c:v>
                </c:pt>
                <c:pt idx="27">
                  <c:v>43191</c:v>
                </c:pt>
                <c:pt idx="28">
                  <c:v>43221</c:v>
                </c:pt>
                <c:pt idx="29">
                  <c:v>43252</c:v>
                </c:pt>
                <c:pt idx="30">
                  <c:v>43282</c:v>
                </c:pt>
                <c:pt idx="31">
                  <c:v>43313</c:v>
                </c:pt>
                <c:pt idx="32">
                  <c:v>43344</c:v>
                </c:pt>
                <c:pt idx="33">
                  <c:v>43374</c:v>
                </c:pt>
                <c:pt idx="34">
                  <c:v>43405</c:v>
                </c:pt>
                <c:pt idx="35">
                  <c:v>43435</c:v>
                </c:pt>
                <c:pt idx="36">
                  <c:v>43466</c:v>
                </c:pt>
                <c:pt idx="37">
                  <c:v>43497</c:v>
                </c:pt>
                <c:pt idx="38">
                  <c:v>43525</c:v>
                </c:pt>
                <c:pt idx="39">
                  <c:v>43556</c:v>
                </c:pt>
                <c:pt idx="40">
                  <c:v>43586</c:v>
                </c:pt>
                <c:pt idx="41">
                  <c:v>43617</c:v>
                </c:pt>
                <c:pt idx="42">
                  <c:v>43647</c:v>
                </c:pt>
                <c:pt idx="43">
                  <c:v>43678</c:v>
                </c:pt>
                <c:pt idx="44">
                  <c:v>43709</c:v>
                </c:pt>
                <c:pt idx="45">
                  <c:v>43739</c:v>
                </c:pt>
                <c:pt idx="46">
                  <c:v>43770</c:v>
                </c:pt>
                <c:pt idx="47">
                  <c:v>43800</c:v>
                </c:pt>
                <c:pt idx="48">
                  <c:v>43831</c:v>
                </c:pt>
                <c:pt idx="49">
                  <c:v>43862</c:v>
                </c:pt>
                <c:pt idx="50">
                  <c:v>43891</c:v>
                </c:pt>
                <c:pt idx="51">
                  <c:v>43922</c:v>
                </c:pt>
                <c:pt idx="52">
                  <c:v>43952</c:v>
                </c:pt>
                <c:pt idx="53">
                  <c:v>43983</c:v>
                </c:pt>
                <c:pt idx="54">
                  <c:v>44013</c:v>
                </c:pt>
                <c:pt idx="55">
                  <c:v>44044</c:v>
                </c:pt>
                <c:pt idx="56">
                  <c:v>44075</c:v>
                </c:pt>
                <c:pt idx="57">
                  <c:v>44105</c:v>
                </c:pt>
                <c:pt idx="58">
                  <c:v>44136</c:v>
                </c:pt>
                <c:pt idx="59">
                  <c:v>44166</c:v>
                </c:pt>
                <c:pt idx="60">
                  <c:v>44197</c:v>
                </c:pt>
                <c:pt idx="61">
                  <c:v>44228</c:v>
                </c:pt>
                <c:pt idx="62">
                  <c:v>44256</c:v>
                </c:pt>
                <c:pt idx="63">
                  <c:v>44287</c:v>
                </c:pt>
                <c:pt idx="64">
                  <c:v>44317</c:v>
                </c:pt>
                <c:pt idx="65">
                  <c:v>44348</c:v>
                </c:pt>
                <c:pt idx="66">
                  <c:v>44378</c:v>
                </c:pt>
                <c:pt idx="67">
                  <c:v>44409</c:v>
                </c:pt>
                <c:pt idx="68">
                  <c:v>44440</c:v>
                </c:pt>
                <c:pt idx="69">
                  <c:v>44470</c:v>
                </c:pt>
                <c:pt idx="70">
                  <c:v>44501</c:v>
                </c:pt>
                <c:pt idx="71">
                  <c:v>44531</c:v>
                </c:pt>
                <c:pt idx="72">
                  <c:v>44562</c:v>
                </c:pt>
                <c:pt idx="73">
                  <c:v>44593</c:v>
                </c:pt>
                <c:pt idx="74">
                  <c:v>44621</c:v>
                </c:pt>
                <c:pt idx="75">
                  <c:v>44652</c:v>
                </c:pt>
                <c:pt idx="76">
                  <c:v>44682</c:v>
                </c:pt>
                <c:pt idx="77">
                  <c:v>44713</c:v>
                </c:pt>
                <c:pt idx="78">
                  <c:v>44743</c:v>
                </c:pt>
                <c:pt idx="79">
                  <c:v>44774</c:v>
                </c:pt>
                <c:pt idx="80">
                  <c:v>44805</c:v>
                </c:pt>
                <c:pt idx="81">
                  <c:v>44835</c:v>
                </c:pt>
                <c:pt idx="82">
                  <c:v>44866</c:v>
                </c:pt>
                <c:pt idx="83">
                  <c:v>44896</c:v>
                </c:pt>
              </c:numCache>
            </c:numRef>
          </c:cat>
          <c:val>
            <c:numRef>
              <c:f>Hoja1!$C$2:$C$109</c:f>
              <c:numCache>
                <c:formatCode>0.0%</c:formatCode>
                <c:ptCount val="84"/>
                <c:pt idx="0">
                  <c:v>-0.2226333848859291</c:v>
                </c:pt>
                <c:pt idx="1">
                  <c:v>-0.22020372196818438</c:v>
                </c:pt>
                <c:pt idx="2">
                  <c:v>-0.20249029881186231</c:v>
                </c:pt>
                <c:pt idx="3">
                  <c:v>-0.22387964236713975</c:v>
                </c:pt>
                <c:pt idx="4">
                  <c:v>-0.22905139369172134</c:v>
                </c:pt>
                <c:pt idx="5">
                  <c:v>-0.21484332431980868</c:v>
                </c:pt>
                <c:pt idx="6">
                  <c:v>-0.1948804190340051</c:v>
                </c:pt>
                <c:pt idx="7">
                  <c:v>-0.1879673747906706</c:v>
                </c:pt>
                <c:pt idx="8">
                  <c:v>-0.17702852637991118</c:v>
                </c:pt>
                <c:pt idx="9">
                  <c:v>-0.16270991238634691</c:v>
                </c:pt>
                <c:pt idx="10">
                  <c:v>-0.14871846243637632</c:v>
                </c:pt>
                <c:pt idx="11">
                  <c:v>-0.13111148536189232</c:v>
                </c:pt>
                <c:pt idx="12">
                  <c:v>0.10657277126813791</c:v>
                </c:pt>
                <c:pt idx="13">
                  <c:v>9.2763833111325633E-2</c:v>
                </c:pt>
                <c:pt idx="14">
                  <c:v>0.12693307345715454</c:v>
                </c:pt>
                <c:pt idx="15">
                  <c:v>0.14983892143443089</c:v>
                </c:pt>
                <c:pt idx="16">
                  <c:v>0.16163170747994671</c:v>
                </c:pt>
                <c:pt idx="17">
                  <c:v>0.15999271647247681</c:v>
                </c:pt>
                <c:pt idx="18">
                  <c:v>0.13844362986217362</c:v>
                </c:pt>
                <c:pt idx="19">
                  <c:v>0.14459018596707218</c:v>
                </c:pt>
                <c:pt idx="20">
                  <c:v>0.14572426808623162</c:v>
                </c:pt>
                <c:pt idx="21">
                  <c:v>0.13066887664684135</c:v>
                </c:pt>
                <c:pt idx="22">
                  <c:v>0.13949655550673867</c:v>
                </c:pt>
                <c:pt idx="23">
                  <c:v>0.14577903824974126</c:v>
                </c:pt>
                <c:pt idx="24">
                  <c:v>8.3856014173852023E-2</c:v>
                </c:pt>
                <c:pt idx="25">
                  <c:v>7.2340311732032259E-2</c:v>
                </c:pt>
                <c:pt idx="26">
                  <c:v>2.8078972297937987E-2</c:v>
                </c:pt>
                <c:pt idx="27">
                  <c:v>8.8263205068506378E-2</c:v>
                </c:pt>
                <c:pt idx="28">
                  <c:v>9.9942194018473263E-2</c:v>
                </c:pt>
                <c:pt idx="29">
                  <c:v>9.0778243708949491E-2</c:v>
                </c:pt>
                <c:pt idx="30">
                  <c:v>9.6117993092632581E-2</c:v>
                </c:pt>
                <c:pt idx="31">
                  <c:v>9.362038133141648E-2</c:v>
                </c:pt>
                <c:pt idx="32">
                  <c:v>9.9634642430840969E-2</c:v>
                </c:pt>
                <c:pt idx="33">
                  <c:v>0.10646041863454814</c:v>
                </c:pt>
                <c:pt idx="34">
                  <c:v>9.5903636881582877E-2</c:v>
                </c:pt>
                <c:pt idx="35">
                  <c:v>8.7701990150353515E-2</c:v>
                </c:pt>
                <c:pt idx="36">
                  <c:v>0.14231067091366278</c:v>
                </c:pt>
                <c:pt idx="37">
                  <c:v>0.11052035471847166</c:v>
                </c:pt>
                <c:pt idx="38">
                  <c:v>0.11776701403870615</c:v>
                </c:pt>
                <c:pt idx="39">
                  <c:v>8.4371207706589679E-2</c:v>
                </c:pt>
                <c:pt idx="40">
                  <c:v>8.0291446384383569E-2</c:v>
                </c:pt>
                <c:pt idx="41">
                  <c:v>6.4402755717617888E-2</c:v>
                </c:pt>
                <c:pt idx="42">
                  <c:v>6.4084902736351479E-2</c:v>
                </c:pt>
                <c:pt idx="43">
                  <c:v>5.8328328182996048E-2</c:v>
                </c:pt>
                <c:pt idx="44">
                  <c:v>5.4179983367725004E-2</c:v>
                </c:pt>
                <c:pt idx="45">
                  <c:v>5.4293890454141902E-2</c:v>
                </c:pt>
                <c:pt idx="46">
                  <c:v>5.6123803819541074E-2</c:v>
                </c:pt>
                <c:pt idx="47">
                  <c:v>5.7210781442385228E-2</c:v>
                </c:pt>
                <c:pt idx="48">
                  <c:v>2.7905007283526517E-2</c:v>
                </c:pt>
                <c:pt idx="49">
                  <c:v>3.8650962860691473E-2</c:v>
                </c:pt>
                <c:pt idx="50">
                  <c:v>-1.1437467318872518E-2</c:v>
                </c:pt>
                <c:pt idx="51">
                  <c:v>-5.8413143875957307E-2</c:v>
                </c:pt>
                <c:pt idx="52">
                  <c:v>-0.11298967478449173</c:v>
                </c:pt>
                <c:pt idx="53">
                  <c:v>-0.11820865466328623</c:v>
                </c:pt>
                <c:pt idx="54">
                  <c:v>-0.12526525776931619</c:v>
                </c:pt>
                <c:pt idx="55">
                  <c:v>-0.12933173997672998</c:v>
                </c:pt>
                <c:pt idx="56">
                  <c:v>-0.11757513849863643</c:v>
                </c:pt>
                <c:pt idx="57">
                  <c:v>-0.11177856784291107</c:v>
                </c:pt>
                <c:pt idx="58">
                  <c:v>-0.10339874460764409</c:v>
                </c:pt>
                <c:pt idx="59">
                  <c:v>-8.0192460140194988E-2</c:v>
                </c:pt>
                <c:pt idx="60">
                  <c:v>-9.7761611690150296E-4</c:v>
                </c:pt>
                <c:pt idx="61">
                  <c:v>8.2291598464747429E-2</c:v>
                </c:pt>
                <c:pt idx="62">
                  <c:v>0.21007301892208607</c:v>
                </c:pt>
                <c:pt idx="63">
                  <c:v>0.30067838824985516</c:v>
                </c:pt>
                <c:pt idx="64">
                  <c:v>0.37199236660461699</c:v>
                </c:pt>
                <c:pt idx="65">
                  <c:v>0.41161224600746538</c:v>
                </c:pt>
                <c:pt idx="66">
                  <c:v>0.43891560660863926</c:v>
                </c:pt>
                <c:pt idx="67">
                  <c:v>0.45841954392154638</c:v>
                </c:pt>
                <c:pt idx="68">
                  <c:v>0.45663593297139782</c:v>
                </c:pt>
                <c:pt idx="69">
                  <c:v>0.45232250013522135</c:v>
                </c:pt>
                <c:pt idx="70">
                  <c:v>0.45138870000339537</c:v>
                </c:pt>
                <c:pt idx="71">
                  <c:v>0.43102791245264682</c:v>
                </c:pt>
                <c:pt idx="72">
                  <c:v>0.35802848994375602</c:v>
                </c:pt>
                <c:pt idx="73">
                  <c:v>0.3041359604226237</c:v>
                </c:pt>
                <c:pt idx="74">
                  <c:v>0.29750178282009454</c:v>
                </c:pt>
                <c:pt idx="75">
                  <c:v>0.27699320692097928</c:v>
                </c:pt>
                <c:pt idx="76">
                  <c:v>0.28111318823070808</c:v>
                </c:pt>
                <c:pt idx="77">
                  <c:v>0.28237311211709315</c:v>
                </c:pt>
                <c:pt idx="78">
                  <c:v>0.26275306676146659</c:v>
                </c:pt>
                <c:pt idx="79">
                  <c:v>0.26271522029927152</c:v>
                </c:pt>
                <c:pt idx="80">
                  <c:v>0.2571784509059154</c:v>
                </c:pt>
                <c:pt idx="81">
                  <c:v>0.23818597838368194</c:v>
                </c:pt>
                <c:pt idx="82">
                  <c:v>0.22080707212811523</c:v>
                </c:pt>
                <c:pt idx="83">
                  <c:v>0.20419552608880132</c:v>
                </c:pt>
              </c:numCache>
            </c:numRef>
          </c:val>
          <c:smooth val="0"/>
          <c:extLst>
            <c:ext xmlns:c16="http://schemas.microsoft.com/office/drawing/2014/chart" uri="{C3380CC4-5D6E-409C-BE32-E72D297353CC}">
              <c16:uniqueId val="{00000003-3097-4DB2-81D1-A17F76F9BE82}"/>
            </c:ext>
          </c:extLst>
        </c:ser>
        <c:ser>
          <c:idx val="2"/>
          <c:order val="2"/>
          <c:tx>
            <c:strRef>
              <c:f>Hoja1!$D$1</c:f>
              <c:strCache>
                <c:ptCount val="1"/>
                <c:pt idx="0">
                  <c:v>Totales</c:v>
                </c:pt>
              </c:strCache>
            </c:strRef>
          </c:tx>
          <c:spPr>
            <a:ln w="9525" cap="rnd">
              <a:solidFill>
                <a:schemeClr val="tx1"/>
              </a:solidFill>
              <a:round/>
            </a:ln>
            <a:effectLst>
              <a:outerShdw blurRad="50800" dist="38100" dir="2700000" algn="tl" rotWithShape="0">
                <a:prstClr val="black">
                  <a:alpha val="40000"/>
                </a:prstClr>
              </a:outerShdw>
            </a:effectLst>
          </c:spPr>
          <c:marker>
            <c:symbol val="diamond"/>
            <c:size val="3"/>
            <c:spPr>
              <a:solidFill>
                <a:schemeClr val="bg1"/>
              </a:solidFill>
              <a:ln w="9525">
                <a:solidFill>
                  <a:schemeClr val="tx1"/>
                </a:solidFill>
              </a:ln>
              <a:effectLst>
                <a:outerShdw blurRad="50800" dist="38100" dir="2700000" algn="tl" rotWithShape="0">
                  <a:prstClr val="black">
                    <a:alpha val="40000"/>
                  </a:prstClr>
                </a:outerShdw>
              </a:effectLst>
            </c:spPr>
          </c:marker>
          <c:dLbls>
            <c:dLbl>
              <c:idx val="83"/>
              <c:layout>
                <c:manualLayout>
                  <c:x val="-4.0613718411552348E-2"/>
                  <c:y val="-6.86037126715092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097-4DB2-81D1-A17F76F9BE82}"/>
                </c:ext>
              </c:extLst>
            </c:dLbl>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Hoja1!$A$2:$A$109</c:f>
              <c:numCache>
                <c:formatCode>mmm\-yy</c:formatCode>
                <c:ptCount val="84"/>
                <c:pt idx="0">
                  <c:v>39814</c:v>
                </c:pt>
                <c:pt idx="1">
                  <c:v>39845</c:v>
                </c:pt>
                <c:pt idx="2">
                  <c:v>39873</c:v>
                </c:pt>
                <c:pt idx="3">
                  <c:v>39904</c:v>
                </c:pt>
                <c:pt idx="4">
                  <c:v>39934</c:v>
                </c:pt>
                <c:pt idx="5">
                  <c:v>39965</c:v>
                </c:pt>
                <c:pt idx="6">
                  <c:v>39995</c:v>
                </c:pt>
                <c:pt idx="7">
                  <c:v>40026</c:v>
                </c:pt>
                <c:pt idx="8">
                  <c:v>40057</c:v>
                </c:pt>
                <c:pt idx="9">
                  <c:v>40087</c:v>
                </c:pt>
                <c:pt idx="10">
                  <c:v>40118</c:v>
                </c:pt>
                <c:pt idx="11">
                  <c:v>40148</c:v>
                </c:pt>
                <c:pt idx="12">
                  <c:v>40179</c:v>
                </c:pt>
                <c:pt idx="13">
                  <c:v>40210</c:v>
                </c:pt>
                <c:pt idx="14">
                  <c:v>40238</c:v>
                </c:pt>
                <c:pt idx="15">
                  <c:v>40269</c:v>
                </c:pt>
                <c:pt idx="16">
                  <c:v>40299</c:v>
                </c:pt>
                <c:pt idx="17">
                  <c:v>40330</c:v>
                </c:pt>
                <c:pt idx="18">
                  <c:v>40360</c:v>
                </c:pt>
                <c:pt idx="19">
                  <c:v>40391</c:v>
                </c:pt>
                <c:pt idx="20">
                  <c:v>40422</c:v>
                </c:pt>
                <c:pt idx="21">
                  <c:v>40452</c:v>
                </c:pt>
                <c:pt idx="22">
                  <c:v>40483</c:v>
                </c:pt>
                <c:pt idx="23">
                  <c:v>40513</c:v>
                </c:pt>
                <c:pt idx="24">
                  <c:v>43101</c:v>
                </c:pt>
                <c:pt idx="25">
                  <c:v>43132</c:v>
                </c:pt>
                <c:pt idx="26">
                  <c:v>43160</c:v>
                </c:pt>
                <c:pt idx="27">
                  <c:v>43191</c:v>
                </c:pt>
                <c:pt idx="28">
                  <c:v>43221</c:v>
                </c:pt>
                <c:pt idx="29">
                  <c:v>43252</c:v>
                </c:pt>
                <c:pt idx="30">
                  <c:v>43282</c:v>
                </c:pt>
                <c:pt idx="31">
                  <c:v>43313</c:v>
                </c:pt>
                <c:pt idx="32">
                  <c:v>43344</c:v>
                </c:pt>
                <c:pt idx="33">
                  <c:v>43374</c:v>
                </c:pt>
                <c:pt idx="34">
                  <c:v>43405</c:v>
                </c:pt>
                <c:pt idx="35">
                  <c:v>43435</c:v>
                </c:pt>
                <c:pt idx="36">
                  <c:v>43466</c:v>
                </c:pt>
                <c:pt idx="37">
                  <c:v>43497</c:v>
                </c:pt>
                <c:pt idx="38">
                  <c:v>43525</c:v>
                </c:pt>
                <c:pt idx="39">
                  <c:v>43556</c:v>
                </c:pt>
                <c:pt idx="40">
                  <c:v>43586</c:v>
                </c:pt>
                <c:pt idx="41">
                  <c:v>43617</c:v>
                </c:pt>
                <c:pt idx="42">
                  <c:v>43647</c:v>
                </c:pt>
                <c:pt idx="43">
                  <c:v>43678</c:v>
                </c:pt>
                <c:pt idx="44">
                  <c:v>43709</c:v>
                </c:pt>
                <c:pt idx="45">
                  <c:v>43739</c:v>
                </c:pt>
                <c:pt idx="46">
                  <c:v>43770</c:v>
                </c:pt>
                <c:pt idx="47">
                  <c:v>43800</c:v>
                </c:pt>
                <c:pt idx="48">
                  <c:v>43831</c:v>
                </c:pt>
                <c:pt idx="49">
                  <c:v>43862</c:v>
                </c:pt>
                <c:pt idx="50">
                  <c:v>43891</c:v>
                </c:pt>
                <c:pt idx="51">
                  <c:v>43922</c:v>
                </c:pt>
                <c:pt idx="52">
                  <c:v>43952</c:v>
                </c:pt>
                <c:pt idx="53">
                  <c:v>43983</c:v>
                </c:pt>
                <c:pt idx="54">
                  <c:v>44013</c:v>
                </c:pt>
                <c:pt idx="55">
                  <c:v>44044</c:v>
                </c:pt>
                <c:pt idx="56">
                  <c:v>44075</c:v>
                </c:pt>
                <c:pt idx="57">
                  <c:v>44105</c:v>
                </c:pt>
                <c:pt idx="58">
                  <c:v>44136</c:v>
                </c:pt>
                <c:pt idx="59">
                  <c:v>44166</c:v>
                </c:pt>
                <c:pt idx="60">
                  <c:v>44197</c:v>
                </c:pt>
                <c:pt idx="61">
                  <c:v>44228</c:v>
                </c:pt>
                <c:pt idx="62">
                  <c:v>44256</c:v>
                </c:pt>
                <c:pt idx="63">
                  <c:v>44287</c:v>
                </c:pt>
                <c:pt idx="64">
                  <c:v>44317</c:v>
                </c:pt>
                <c:pt idx="65">
                  <c:v>44348</c:v>
                </c:pt>
                <c:pt idx="66">
                  <c:v>44378</c:v>
                </c:pt>
                <c:pt idx="67">
                  <c:v>44409</c:v>
                </c:pt>
                <c:pt idx="68">
                  <c:v>44440</c:v>
                </c:pt>
                <c:pt idx="69">
                  <c:v>44470</c:v>
                </c:pt>
                <c:pt idx="70">
                  <c:v>44501</c:v>
                </c:pt>
                <c:pt idx="71">
                  <c:v>44531</c:v>
                </c:pt>
                <c:pt idx="72">
                  <c:v>44562</c:v>
                </c:pt>
                <c:pt idx="73">
                  <c:v>44593</c:v>
                </c:pt>
                <c:pt idx="74">
                  <c:v>44621</c:v>
                </c:pt>
                <c:pt idx="75">
                  <c:v>44652</c:v>
                </c:pt>
                <c:pt idx="76">
                  <c:v>44682</c:v>
                </c:pt>
                <c:pt idx="77">
                  <c:v>44713</c:v>
                </c:pt>
                <c:pt idx="78">
                  <c:v>44743</c:v>
                </c:pt>
                <c:pt idx="79">
                  <c:v>44774</c:v>
                </c:pt>
                <c:pt idx="80">
                  <c:v>44805</c:v>
                </c:pt>
                <c:pt idx="81">
                  <c:v>44835</c:v>
                </c:pt>
                <c:pt idx="82">
                  <c:v>44866</c:v>
                </c:pt>
                <c:pt idx="83">
                  <c:v>44896</c:v>
                </c:pt>
              </c:numCache>
            </c:numRef>
          </c:cat>
          <c:val>
            <c:numRef>
              <c:f>Hoja1!$D$2:$D$109</c:f>
              <c:numCache>
                <c:formatCode>0.0%</c:formatCode>
                <c:ptCount val="84"/>
                <c:pt idx="0">
                  <c:v>7.5462367320842105E-3</c:v>
                </c:pt>
                <c:pt idx="1">
                  <c:v>-4.9387351948698255E-2</c:v>
                </c:pt>
                <c:pt idx="2">
                  <c:v>-7.3373932567152522E-2</c:v>
                </c:pt>
                <c:pt idx="3">
                  <c:v>-8.4506677998720692E-2</c:v>
                </c:pt>
                <c:pt idx="4">
                  <c:v>-8.9839967246931773E-2</c:v>
                </c:pt>
                <c:pt idx="5">
                  <c:v>-7.796503381061215E-2</c:v>
                </c:pt>
                <c:pt idx="6">
                  <c:v>-7.6524530806233226E-2</c:v>
                </c:pt>
                <c:pt idx="7">
                  <c:v>-7.31446921721981E-2</c:v>
                </c:pt>
                <c:pt idx="8">
                  <c:v>-7.0116728178559629E-2</c:v>
                </c:pt>
                <c:pt idx="9">
                  <c:v>-6.2144390254875281E-2</c:v>
                </c:pt>
                <c:pt idx="10">
                  <c:v>-5.7910576975993333E-2</c:v>
                </c:pt>
                <c:pt idx="11">
                  <c:v>-4.6359290272709353E-2</c:v>
                </c:pt>
                <c:pt idx="12">
                  <c:v>5.5121909478959896E-2</c:v>
                </c:pt>
                <c:pt idx="13">
                  <c:v>7.2710813567027577E-2</c:v>
                </c:pt>
                <c:pt idx="14">
                  <c:v>7.2979297320476144E-2</c:v>
                </c:pt>
                <c:pt idx="15">
                  <c:v>8.5081107627293262E-2</c:v>
                </c:pt>
                <c:pt idx="16">
                  <c:v>9.264468772675305E-2</c:v>
                </c:pt>
                <c:pt idx="17">
                  <c:v>9.0723739282147164E-2</c:v>
                </c:pt>
                <c:pt idx="18">
                  <c:v>8.3793524997834323E-2</c:v>
                </c:pt>
                <c:pt idx="19">
                  <c:v>9.5257517919248302E-2</c:v>
                </c:pt>
                <c:pt idx="20">
                  <c:v>9.6694892530943433E-2</c:v>
                </c:pt>
                <c:pt idx="21">
                  <c:v>8.329181721174983E-2</c:v>
                </c:pt>
                <c:pt idx="22">
                  <c:v>8.963640629119074E-2</c:v>
                </c:pt>
                <c:pt idx="23">
                  <c:v>9.3054543821984748E-2</c:v>
                </c:pt>
                <c:pt idx="24">
                  <c:v>9.2493921006903346E-2</c:v>
                </c:pt>
                <c:pt idx="25">
                  <c:v>7.3698015702486463E-2</c:v>
                </c:pt>
                <c:pt idx="26">
                  <c:v>4.0016680576675512E-2</c:v>
                </c:pt>
                <c:pt idx="27">
                  <c:v>4.4581969858168868E-2</c:v>
                </c:pt>
                <c:pt idx="28">
                  <c:v>5.2144869251667503E-2</c:v>
                </c:pt>
                <c:pt idx="29">
                  <c:v>2.8817404101354249E-2</c:v>
                </c:pt>
                <c:pt idx="30">
                  <c:v>3.4246820315482429E-2</c:v>
                </c:pt>
                <c:pt idx="31">
                  <c:v>3.4375806237206374E-2</c:v>
                </c:pt>
                <c:pt idx="32">
                  <c:v>3.4947805171942736E-2</c:v>
                </c:pt>
                <c:pt idx="33">
                  <c:v>3.9075881160395953E-2</c:v>
                </c:pt>
                <c:pt idx="34">
                  <c:v>4.0706969971971763E-2</c:v>
                </c:pt>
                <c:pt idx="35">
                  <c:v>3.7950676594244781E-2</c:v>
                </c:pt>
                <c:pt idx="36">
                  <c:v>4.144229832341817E-2</c:v>
                </c:pt>
                <c:pt idx="37">
                  <c:v>3.8814875506469448E-2</c:v>
                </c:pt>
                <c:pt idx="38">
                  <c:v>4.6775539995209447E-2</c:v>
                </c:pt>
                <c:pt idx="39">
                  <c:v>4.110619818220318E-2</c:v>
                </c:pt>
                <c:pt idx="40">
                  <c:v>4.6238114373573946E-2</c:v>
                </c:pt>
                <c:pt idx="41">
                  <c:v>3.9980363745735659E-2</c:v>
                </c:pt>
                <c:pt idx="42">
                  <c:v>4.4113053319681628E-2</c:v>
                </c:pt>
                <c:pt idx="43">
                  <c:v>4.6214688048084929E-2</c:v>
                </c:pt>
                <c:pt idx="44">
                  <c:v>4.983811764446E-2</c:v>
                </c:pt>
                <c:pt idx="45">
                  <c:v>5.6811428030196343E-2</c:v>
                </c:pt>
                <c:pt idx="46">
                  <c:v>5.5622459797806112E-2</c:v>
                </c:pt>
                <c:pt idx="47">
                  <c:v>6.3878097653571775E-2</c:v>
                </c:pt>
                <c:pt idx="48">
                  <c:v>9.9930227400694793E-2</c:v>
                </c:pt>
                <c:pt idx="49">
                  <c:v>9.4955364780329843E-2</c:v>
                </c:pt>
                <c:pt idx="50">
                  <c:v>-3.3128637792832483E-2</c:v>
                </c:pt>
                <c:pt idx="51">
                  <c:v>1.0677030515781061E-2</c:v>
                </c:pt>
                <c:pt idx="52">
                  <c:v>-3.4557963525804203E-2</c:v>
                </c:pt>
                <c:pt idx="53">
                  <c:v>-5.3220955811382198E-2</c:v>
                </c:pt>
                <c:pt idx="54">
                  <c:v>-6.6850729747290227E-2</c:v>
                </c:pt>
                <c:pt idx="55">
                  <c:v>-7.2573203198649683E-2</c:v>
                </c:pt>
                <c:pt idx="56">
                  <c:v>-6.6011401647065537E-2</c:v>
                </c:pt>
                <c:pt idx="57">
                  <c:v>-4.8401549131182997E-2</c:v>
                </c:pt>
                <c:pt idx="58">
                  <c:v>-4.2858087798717692E-2</c:v>
                </c:pt>
                <c:pt idx="59">
                  <c:v>-3.6971244964329686E-2</c:v>
                </c:pt>
                <c:pt idx="60">
                  <c:v>4.6494902126083204E-2</c:v>
                </c:pt>
                <c:pt idx="61">
                  <c:v>7.1545054968904287E-2</c:v>
                </c:pt>
                <c:pt idx="62">
                  <c:v>0.23290641274254331</c:v>
                </c:pt>
                <c:pt idx="63">
                  <c:v>0.19573809126610486</c:v>
                </c:pt>
                <c:pt idx="64">
                  <c:v>0.23984810898328712</c:v>
                </c:pt>
                <c:pt idx="65">
                  <c:v>0.26538566620848791</c:v>
                </c:pt>
                <c:pt idx="66">
                  <c:v>0.29782719256067147</c:v>
                </c:pt>
                <c:pt idx="67">
                  <c:v>0.30328979233186715</c:v>
                </c:pt>
                <c:pt idx="68">
                  <c:v>0.29691188013712133</c:v>
                </c:pt>
                <c:pt idx="69">
                  <c:v>0.28305236265725098</c:v>
                </c:pt>
                <c:pt idx="70">
                  <c:v>0.27648503060633067</c:v>
                </c:pt>
                <c:pt idx="71">
                  <c:v>0.2938990490263258</c:v>
                </c:pt>
                <c:pt idx="72">
                  <c:v>0.12651947806173802</c:v>
                </c:pt>
                <c:pt idx="73">
                  <c:v>0.11776112850662801</c:v>
                </c:pt>
                <c:pt idx="74">
                  <c:v>0.15454181537735634</c:v>
                </c:pt>
                <c:pt idx="75">
                  <c:v>0.16477172262651441</c:v>
                </c:pt>
                <c:pt idx="76">
                  <c:v>0.16722287251972778</c:v>
                </c:pt>
                <c:pt idx="77">
                  <c:v>0.17401128449168146</c:v>
                </c:pt>
                <c:pt idx="78">
                  <c:v>0.17134182100907824</c:v>
                </c:pt>
                <c:pt idx="79">
                  <c:v>0.1721212945572137</c:v>
                </c:pt>
                <c:pt idx="80">
                  <c:v>0.17283906044041286</c:v>
                </c:pt>
                <c:pt idx="81">
                  <c:v>0.16284123847429655</c:v>
                </c:pt>
                <c:pt idx="82">
                  <c:v>0.16008364534048058</c:v>
                </c:pt>
                <c:pt idx="83">
                  <c:v>0.13528670076888427</c:v>
                </c:pt>
              </c:numCache>
            </c:numRef>
          </c:val>
          <c:smooth val="0"/>
          <c:extLst>
            <c:ext xmlns:c16="http://schemas.microsoft.com/office/drawing/2014/chart" uri="{C3380CC4-5D6E-409C-BE32-E72D297353CC}">
              <c16:uniqueId val="{00000005-3097-4DB2-81D1-A17F76F9BE82}"/>
            </c:ext>
          </c:extLst>
        </c:ser>
        <c:dLbls>
          <c:showLegendKey val="0"/>
          <c:showVal val="0"/>
          <c:showCatName val="0"/>
          <c:showSerName val="0"/>
          <c:showPercent val="0"/>
          <c:showBubbleSize val="0"/>
        </c:dLbls>
        <c:marker val="1"/>
        <c:smooth val="0"/>
        <c:axId val="1964381184"/>
        <c:axId val="1964383264"/>
      </c:lineChart>
      <c:catAx>
        <c:axId val="1964381184"/>
        <c:scaling>
          <c:orientation val="minMax"/>
        </c:scaling>
        <c:delete val="0"/>
        <c:axPos val="b"/>
        <c:numFmt formatCode="mmm\-yy"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964383264"/>
        <c:crosses val="autoZero"/>
        <c:auto val="0"/>
        <c:lblAlgn val="ctr"/>
        <c:lblOffset val="100"/>
        <c:tickLblSkip val="1"/>
        <c:noMultiLvlLbl val="0"/>
      </c:catAx>
      <c:valAx>
        <c:axId val="1964383264"/>
        <c:scaling>
          <c:orientation val="minMax"/>
        </c:scaling>
        <c:delete val="0"/>
        <c:axPos val="l"/>
        <c:majorGridlines>
          <c:spPr>
            <a:ln w="9525" cap="flat" cmpd="sng" algn="ctr">
              <a:solidFill>
                <a:schemeClr val="tx1">
                  <a:lumMod val="15000"/>
                  <a:lumOff val="85000"/>
                  <a:alpha val="50000"/>
                </a:schemeClr>
              </a:solidFill>
              <a:prstDash val="sysDot"/>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964381184"/>
        <c:crossesAt val="1"/>
        <c:crossBetween val="between"/>
      </c:valAx>
      <c:spPr>
        <a:noFill/>
        <a:ln>
          <a:noFill/>
        </a:ln>
        <a:effectLst/>
      </c:spPr>
    </c:plotArea>
    <c:legend>
      <c:legendPos val="b"/>
      <c:layout>
        <c:manualLayout>
          <c:xMode val="edge"/>
          <c:yMode val="edge"/>
          <c:x val="7.7264134853179456E-2"/>
          <c:y val="4.6116057526707464E-3"/>
          <c:w val="0.54254064925097356"/>
          <c:h val="0.10175544559393131"/>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userShapes r:id="rId5"/>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502579014806894"/>
          <c:y val="3.6022059742532177E-2"/>
          <c:w val="0.81288627289924786"/>
          <c:h val="0.87264085739282582"/>
        </c:manualLayout>
      </c:layout>
      <c:lineChart>
        <c:grouping val="standard"/>
        <c:varyColors val="0"/>
        <c:ser>
          <c:idx val="0"/>
          <c:order val="0"/>
          <c:tx>
            <c:strRef>
              <c:f>Hoja1!$B$1</c:f>
              <c:strCache>
                <c:ptCount val="1"/>
                <c:pt idx="0">
                  <c:v>Var</c:v>
                </c:pt>
              </c:strCache>
            </c:strRef>
          </c:tx>
          <c:spPr>
            <a:ln w="12700"/>
            <a:effectLst>
              <a:outerShdw blurRad="50800" dist="38100" dir="2700000" algn="tl" rotWithShape="0">
                <a:prstClr val="black">
                  <a:alpha val="40000"/>
                </a:prstClr>
              </a:outerShdw>
            </a:effectLst>
          </c:spPr>
          <c:marker>
            <c:symbol val="circle"/>
            <c:size val="4"/>
            <c:spPr>
              <a:effectLst>
                <a:outerShdw blurRad="50800" dist="38100" dir="2700000" algn="tl" rotWithShape="0">
                  <a:prstClr val="black">
                    <a:alpha val="40000"/>
                  </a:prstClr>
                </a:outerShdw>
              </a:effectLst>
            </c:spPr>
          </c:marker>
          <c:dLbls>
            <c:dLbl>
              <c:idx val="0"/>
              <c:layout>
                <c:manualLayout>
                  <c:x val="-6.462035541195478E-2"/>
                  <c:y val="-7.13233127026230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77A-4E94-9C1D-68D283443117}"/>
                </c:ext>
              </c:extLst>
            </c:dLbl>
            <c:dLbl>
              <c:idx val="1"/>
              <c:layout>
                <c:manualLayout>
                  <c:x val="-4.6157396722824873E-2"/>
                  <c:y val="-9.44962600205575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77A-4E94-9C1D-68D283443117}"/>
                </c:ext>
              </c:extLst>
            </c:dLbl>
            <c:dLbl>
              <c:idx val="2"/>
              <c:layout>
                <c:manualLayout>
                  <c:x val="-0.16308571283193804"/>
                  <c:y val="4.12121758822956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77A-4E94-9C1D-68D283443117}"/>
                </c:ext>
              </c:extLst>
            </c:dLbl>
            <c:dLbl>
              <c:idx val="3"/>
              <c:layout>
                <c:manualLayout>
                  <c:x val="-9.6930533117932149E-2"/>
                  <c:y val="-7.13233127026230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77A-4E94-9C1D-68D283443117}"/>
                </c:ext>
              </c:extLst>
            </c:dLbl>
            <c:dLbl>
              <c:idx val="4"/>
              <c:layout>
                <c:manualLayout>
                  <c:x val="-0.12000923147934456"/>
                  <c:y val="5.52970975100828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77A-4E94-9C1D-68D283443117}"/>
                </c:ext>
              </c:extLst>
            </c:dLbl>
            <c:dLbl>
              <c:idx val="5"/>
              <c:layout>
                <c:manualLayout>
                  <c:x val="-9.8465357419983246E-2"/>
                  <c:y val="5.96924932167620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77A-4E94-9C1D-68D283443117}"/>
                </c:ext>
              </c:extLst>
            </c:dLbl>
            <c:dLbl>
              <c:idx val="7"/>
              <c:layout>
                <c:manualLayout>
                  <c:x val="-6.1505639743335795E-3"/>
                  <c:y val="1.11995284409077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77A-4E94-9C1D-68D283443117}"/>
                </c:ext>
              </c:extLst>
            </c:dLbl>
            <c:dLbl>
              <c:idx val="9"/>
              <c:layout>
                <c:manualLayout>
                  <c:x val="-3.4963319407368102E-3"/>
                  <c:y val="7.17515827555019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77A-4E94-9C1D-68D283443117}"/>
                </c:ext>
              </c:extLst>
            </c:dLbl>
            <c:spPr>
              <a:noFill/>
              <a:ln>
                <a:noFill/>
              </a:ln>
              <a:effectLst/>
            </c:spPr>
            <c:txPr>
              <a:bodyPr/>
              <a:lstStyle/>
              <a:p>
                <a:pPr>
                  <a:defRPr sz="800" b="1">
                    <a:solidFill>
                      <a:srgbClr val="0070C0"/>
                    </a:solidFill>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Hoja1!$B$2:$B$11</c:f>
              <c:numCache>
                <c:formatCode>0.0%</c:formatCode>
                <c:ptCount val="10"/>
                <c:pt idx="0">
                  <c:v>0.19733054809635653</c:v>
                </c:pt>
                <c:pt idx="1">
                  <c:v>3.4649666695335757E-2</c:v>
                </c:pt>
                <c:pt idx="2">
                  <c:v>-5.3376047881755206E-2</c:v>
                </c:pt>
                <c:pt idx="3">
                  <c:v>6.5964565568410016E-2</c:v>
                </c:pt>
                <c:pt idx="4">
                  <c:v>5.9696766718702943E-2</c:v>
                </c:pt>
                <c:pt idx="5">
                  <c:v>-1.8856287759967727E-2</c:v>
                </c:pt>
                <c:pt idx="6">
                  <c:v>4.8923530806319837E-2</c:v>
                </c:pt>
                <c:pt idx="7">
                  <c:v>-5.058164865580661E-2</c:v>
                </c:pt>
                <c:pt idx="8">
                  <c:v>0.35196034992891057</c:v>
                </c:pt>
                <c:pt idx="9">
                  <c:v>0.18021416674856416</c:v>
                </c:pt>
              </c:numCache>
            </c:numRef>
          </c:val>
          <c:smooth val="1"/>
          <c:extLst>
            <c:ext xmlns:c16="http://schemas.microsoft.com/office/drawing/2014/chart" uri="{C3380CC4-5D6E-409C-BE32-E72D297353CC}">
              <c16:uniqueId val="{00000008-377A-4E94-9C1D-68D283443117}"/>
            </c:ext>
          </c:extLst>
        </c:ser>
        <c:dLbls>
          <c:showLegendKey val="0"/>
          <c:showVal val="0"/>
          <c:showCatName val="0"/>
          <c:showSerName val="0"/>
          <c:showPercent val="0"/>
          <c:showBubbleSize val="0"/>
        </c:dLbls>
        <c:marker val="1"/>
        <c:smooth val="0"/>
        <c:axId val="186148736"/>
        <c:axId val="186150272"/>
      </c:lineChart>
      <c:catAx>
        <c:axId val="186148736"/>
        <c:scaling>
          <c:orientation val="minMax"/>
        </c:scaling>
        <c:delete val="0"/>
        <c:axPos val="b"/>
        <c:numFmt formatCode="General" sourceLinked="1"/>
        <c:majorTickMark val="out"/>
        <c:minorTickMark val="none"/>
        <c:tickLblPos val="low"/>
        <c:txPr>
          <a:bodyPr rot="-1320000"/>
          <a:lstStyle/>
          <a:p>
            <a:pPr>
              <a:defRPr sz="800" b="0"/>
            </a:pPr>
            <a:endParaRPr lang="es-GT"/>
          </a:p>
        </c:txPr>
        <c:crossAx val="186150272"/>
        <c:crosses val="autoZero"/>
        <c:auto val="1"/>
        <c:lblAlgn val="ctr"/>
        <c:lblOffset val="100"/>
        <c:noMultiLvlLbl val="0"/>
      </c:catAx>
      <c:valAx>
        <c:axId val="186150272"/>
        <c:scaling>
          <c:orientation val="minMax"/>
        </c:scaling>
        <c:delete val="0"/>
        <c:axPos val="l"/>
        <c:numFmt formatCode="0%" sourceLinked="0"/>
        <c:majorTickMark val="out"/>
        <c:minorTickMark val="none"/>
        <c:tickLblPos val="nextTo"/>
        <c:txPr>
          <a:bodyPr/>
          <a:lstStyle/>
          <a:p>
            <a:pPr>
              <a:defRPr sz="800" b="0"/>
            </a:pPr>
            <a:endParaRPr lang="es-GT"/>
          </a:p>
        </c:txPr>
        <c:crossAx val="186148736"/>
        <c:crosses val="autoZero"/>
        <c:crossBetween val="between"/>
      </c:valAx>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199312065526035"/>
          <c:y val="0.13523148148148148"/>
          <c:w val="0.66076939747386909"/>
          <c:h val="0.74189241468019818"/>
        </c:manualLayout>
      </c:layout>
      <c:lineChart>
        <c:grouping val="standard"/>
        <c:varyColors val="0"/>
        <c:ser>
          <c:idx val="0"/>
          <c:order val="0"/>
          <c:tx>
            <c:strRef>
              <c:f>USA_3!$B$1</c:f>
              <c:strCache>
                <c:ptCount val="1"/>
                <c:pt idx="0">
                  <c:v>Deuda</c:v>
                </c:pt>
              </c:strCache>
            </c:strRef>
          </c:tx>
          <c:spPr>
            <a:ln w="22225">
              <a:solidFill>
                <a:srgbClr val="002060"/>
              </a:solidFill>
            </a:ln>
          </c:spPr>
          <c:marker>
            <c:symbol val="none"/>
          </c:marker>
          <c:dLbls>
            <c:dLbl>
              <c:idx val="0"/>
              <c:layout>
                <c:manualLayout>
                  <c:x val="-0.14434441759982355"/>
                  <c:y val="3.52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D57-4DC2-9A5E-B8DDDC864420}"/>
                </c:ext>
              </c:extLst>
            </c:dLbl>
            <c:dLbl>
              <c:idx val="3"/>
              <c:layout>
                <c:manualLayout>
                  <c:x val="-0.16947421301262378"/>
                  <c:y val="-0.123472222222222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D57-4DC2-9A5E-B8DDDC864420}"/>
                </c:ext>
              </c:extLst>
            </c:dLbl>
            <c:spPr>
              <a:noFill/>
              <a:ln>
                <a:noFill/>
              </a:ln>
              <a:effectLst/>
            </c:spPr>
            <c:txPr>
              <a:bodyPr wrap="square" lIns="38100" tIns="19050" rIns="38100" bIns="19050" anchor="ctr">
                <a:spAutoFit/>
              </a:bodyPr>
              <a:lstStyle/>
              <a:p>
                <a:pPr>
                  <a:defRPr sz="900" b="1">
                    <a:solidFill>
                      <a:schemeClr val="tx2">
                        <a:lumMod val="50000"/>
                      </a:schemeClr>
                    </a:solidFill>
                    <a:latin typeface="Times New Roman" panose="02020603050405020304" pitchFamily="18" charset="0"/>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USA_3!$A$2:$A$5</c:f>
              <c:numCache>
                <c:formatCode>0</c:formatCode>
                <c:ptCount val="4"/>
                <c:pt idx="0">
                  <c:v>2019</c:v>
                </c:pt>
                <c:pt idx="1">
                  <c:v>2020</c:v>
                </c:pt>
                <c:pt idx="2">
                  <c:v>2021</c:v>
                </c:pt>
                <c:pt idx="3">
                  <c:v>2022</c:v>
                </c:pt>
              </c:numCache>
            </c:numRef>
          </c:cat>
          <c:val>
            <c:numRef>
              <c:f>USA_3!$B$2:$B$5</c:f>
              <c:numCache>
                <c:formatCode>_-* #,##0.0_-;\-* #,##0.0_-;_-* "-"??_-;_-@_-</c:formatCode>
                <c:ptCount val="4"/>
                <c:pt idx="0">
                  <c:v>83.04</c:v>
                </c:pt>
                <c:pt idx="1">
                  <c:v>99.08</c:v>
                </c:pt>
                <c:pt idx="2">
                  <c:v>98.328000000000003</c:v>
                </c:pt>
                <c:pt idx="3">
                  <c:v>94.164000000000001</c:v>
                </c:pt>
              </c:numCache>
            </c:numRef>
          </c:val>
          <c:smooth val="0"/>
          <c:extLst>
            <c:ext xmlns:c16="http://schemas.microsoft.com/office/drawing/2014/chart" uri="{C3380CC4-5D6E-409C-BE32-E72D297353CC}">
              <c16:uniqueId val="{00000002-6D57-4DC2-9A5E-B8DDDC864420}"/>
            </c:ext>
          </c:extLst>
        </c:ser>
        <c:dLbls>
          <c:showLegendKey val="0"/>
          <c:showVal val="0"/>
          <c:showCatName val="0"/>
          <c:showSerName val="0"/>
          <c:showPercent val="0"/>
          <c:showBubbleSize val="0"/>
        </c:dLbls>
        <c:marker val="1"/>
        <c:smooth val="0"/>
        <c:axId val="1722871952"/>
        <c:axId val="1722862384"/>
      </c:lineChart>
      <c:lineChart>
        <c:grouping val="standard"/>
        <c:varyColors val="0"/>
        <c:ser>
          <c:idx val="1"/>
          <c:order val="1"/>
          <c:tx>
            <c:strRef>
              <c:f>USA_3!$C$1</c:f>
              <c:strCache>
                <c:ptCount val="1"/>
                <c:pt idx="0">
                  <c:v>Déficit</c:v>
                </c:pt>
              </c:strCache>
            </c:strRef>
          </c:tx>
          <c:spPr>
            <a:ln w="22225">
              <a:solidFill>
                <a:schemeClr val="accent1"/>
              </a:solidFill>
            </a:ln>
          </c:spPr>
          <c:marker>
            <c:symbol val="none"/>
          </c:marker>
          <c:dLbls>
            <c:dLbl>
              <c:idx val="0"/>
              <c:layout>
                <c:manualLayout>
                  <c:x val="-7.7523165386822288E-2"/>
                  <c:y val="5.29166666666666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D57-4DC2-9A5E-B8DDDC864420}"/>
                </c:ext>
              </c:extLst>
            </c:dLbl>
            <c:dLbl>
              <c:idx val="3"/>
              <c:layout>
                <c:manualLayout>
                  <c:x val="-0.10628186406374093"/>
                  <c:y val="-9.40740740740740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D57-4DC2-9A5E-B8DDDC864420}"/>
                </c:ext>
              </c:extLst>
            </c:dLbl>
            <c:spPr>
              <a:noFill/>
              <a:ln>
                <a:noFill/>
              </a:ln>
              <a:effectLst/>
            </c:spPr>
            <c:txPr>
              <a:bodyPr wrap="square" lIns="38100" tIns="19050" rIns="38100" bIns="19050" anchor="ctr">
                <a:spAutoFit/>
              </a:bodyPr>
              <a:lstStyle/>
              <a:p>
                <a:pPr>
                  <a:defRPr sz="900" b="1">
                    <a:solidFill>
                      <a:schemeClr val="accent1"/>
                    </a:solidFill>
                    <a:latin typeface="Times New Roman" panose="02020603050405020304" pitchFamily="18" charset="0"/>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USA_3!$A$2:$A$5</c:f>
              <c:numCache>
                <c:formatCode>0</c:formatCode>
                <c:ptCount val="4"/>
                <c:pt idx="0">
                  <c:v>2019</c:v>
                </c:pt>
                <c:pt idx="1">
                  <c:v>2020</c:v>
                </c:pt>
                <c:pt idx="2">
                  <c:v>2021</c:v>
                </c:pt>
                <c:pt idx="3">
                  <c:v>2022</c:v>
                </c:pt>
              </c:numCache>
            </c:numRef>
          </c:cat>
          <c:val>
            <c:numRef>
              <c:f>USA_3!$C$2:$C$5</c:f>
              <c:numCache>
                <c:formatCode>_-* #,##0.0_-;\-* #,##0.0_-;_-* "-"??_-;_-@_-</c:formatCode>
                <c:ptCount val="4"/>
                <c:pt idx="0">
                  <c:v>5.4560000000000004</c:v>
                </c:pt>
                <c:pt idx="1">
                  <c:v>14.492000000000001</c:v>
                </c:pt>
                <c:pt idx="2">
                  <c:v>11.62</c:v>
                </c:pt>
                <c:pt idx="3">
                  <c:v>5.5090000000000003</c:v>
                </c:pt>
              </c:numCache>
            </c:numRef>
          </c:val>
          <c:smooth val="0"/>
          <c:extLst>
            <c:ext xmlns:c16="http://schemas.microsoft.com/office/drawing/2014/chart" uri="{C3380CC4-5D6E-409C-BE32-E72D297353CC}">
              <c16:uniqueId val="{00000005-6D57-4DC2-9A5E-B8DDDC864420}"/>
            </c:ext>
          </c:extLst>
        </c:ser>
        <c:dLbls>
          <c:showLegendKey val="0"/>
          <c:showVal val="0"/>
          <c:showCatName val="0"/>
          <c:showSerName val="0"/>
          <c:showPercent val="0"/>
          <c:showBubbleSize val="0"/>
        </c:dLbls>
        <c:marker val="1"/>
        <c:smooth val="0"/>
        <c:axId val="582856767"/>
        <c:axId val="582848447"/>
      </c:lineChart>
      <c:catAx>
        <c:axId val="1722871952"/>
        <c:scaling>
          <c:orientation val="minMax"/>
        </c:scaling>
        <c:delete val="0"/>
        <c:axPos val="b"/>
        <c:numFmt formatCode="0" sourceLinked="1"/>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722862384"/>
        <c:crosses val="autoZero"/>
        <c:auto val="1"/>
        <c:lblAlgn val="ctr"/>
        <c:lblOffset val="100"/>
        <c:noMultiLvlLbl val="0"/>
      </c:catAx>
      <c:valAx>
        <c:axId val="1722862384"/>
        <c:scaling>
          <c:orientation val="minMax"/>
          <c:min val="60"/>
        </c:scaling>
        <c:delete val="0"/>
        <c:axPos val="l"/>
        <c:title>
          <c:tx>
            <c:rich>
              <a:bodyPr/>
              <a:lstStyle/>
              <a:p>
                <a:pPr>
                  <a:defRPr sz="700" b="0">
                    <a:solidFill>
                      <a:schemeClr val="tx1">
                        <a:lumMod val="65000"/>
                        <a:lumOff val="35000"/>
                      </a:schemeClr>
                    </a:solidFill>
                    <a:latin typeface="Times New Roman" panose="02020603050405020304" pitchFamily="18" charset="0"/>
                    <a:cs typeface="Times New Roman" panose="02020603050405020304" pitchFamily="18" charset="0"/>
                  </a:defRPr>
                </a:pPr>
                <a:r>
                  <a:rPr lang="es-GT" sz="700" b="0">
                    <a:solidFill>
                      <a:schemeClr val="tx1">
                        <a:lumMod val="65000"/>
                        <a:lumOff val="35000"/>
                      </a:schemeClr>
                    </a:solidFill>
                    <a:latin typeface="Times New Roman" panose="02020603050405020304" pitchFamily="18" charset="0"/>
                    <a:cs typeface="Times New Roman" panose="02020603050405020304" pitchFamily="18" charset="0"/>
                  </a:rPr>
                  <a:t>Deuda</a:t>
                </a:r>
                <a:r>
                  <a:rPr lang="es-GT" sz="700" b="0" baseline="0">
                    <a:solidFill>
                      <a:schemeClr val="tx1">
                        <a:lumMod val="65000"/>
                        <a:lumOff val="35000"/>
                      </a:schemeClr>
                    </a:solidFill>
                    <a:latin typeface="Times New Roman" panose="02020603050405020304" pitchFamily="18" charset="0"/>
                    <a:cs typeface="Times New Roman" panose="02020603050405020304" pitchFamily="18" charset="0"/>
                  </a:rPr>
                  <a:t> Pública</a:t>
                </a:r>
                <a:endParaRPr lang="es-GT" sz="700" b="0">
                  <a:solidFill>
                    <a:schemeClr val="tx1">
                      <a:lumMod val="65000"/>
                      <a:lumOff val="35000"/>
                    </a:schemeClr>
                  </a:solidFill>
                  <a:latin typeface="Times New Roman" panose="02020603050405020304" pitchFamily="18" charset="0"/>
                  <a:cs typeface="Times New Roman" panose="02020603050405020304" pitchFamily="18" charset="0"/>
                </a:endParaRPr>
              </a:p>
            </c:rich>
          </c:tx>
          <c:overlay val="0"/>
          <c:spPr>
            <a:ln>
              <a:noFill/>
            </a:ln>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722871952"/>
        <c:crosses val="autoZero"/>
        <c:crossBetween val="between"/>
      </c:valAx>
      <c:valAx>
        <c:axId val="582848447"/>
        <c:scaling>
          <c:orientation val="minMax"/>
          <c:max val="30"/>
        </c:scaling>
        <c:delete val="0"/>
        <c:axPos val="r"/>
        <c:title>
          <c:tx>
            <c:rich>
              <a:bodyPr rot="5400000" vert="horz"/>
              <a:lstStyle/>
              <a:p>
                <a:pPr>
                  <a:defRPr sz="700" b="0">
                    <a:solidFill>
                      <a:schemeClr val="tx1">
                        <a:lumMod val="65000"/>
                        <a:lumOff val="35000"/>
                      </a:schemeClr>
                    </a:solidFill>
                    <a:latin typeface="Times New Roman" panose="02020603050405020304" pitchFamily="18" charset="0"/>
                    <a:cs typeface="Times New Roman" panose="02020603050405020304" pitchFamily="18" charset="0"/>
                  </a:defRPr>
                </a:pPr>
                <a:r>
                  <a:rPr lang="es-GT" sz="700" b="0">
                    <a:solidFill>
                      <a:schemeClr val="tx1">
                        <a:lumMod val="65000"/>
                        <a:lumOff val="35000"/>
                      </a:schemeClr>
                    </a:solidFill>
                    <a:latin typeface="Times New Roman" panose="02020603050405020304" pitchFamily="18" charset="0"/>
                    <a:cs typeface="Times New Roman" panose="02020603050405020304" pitchFamily="18" charset="0"/>
                  </a:rPr>
                  <a:t>Déficit fiscal</a:t>
                </a:r>
              </a:p>
            </c:rich>
          </c:tx>
          <c:overlay val="0"/>
        </c:title>
        <c:numFmt formatCode="#,##0" sourceLinked="0"/>
        <c:majorTickMark val="none"/>
        <c:minorTickMark val="none"/>
        <c:tickLblPos val="nextTo"/>
        <c:spPr>
          <a:ln>
            <a:noFill/>
          </a:ln>
        </c:spPr>
        <c:txPr>
          <a:bodyPr/>
          <a:lstStyle/>
          <a:p>
            <a:pPr>
              <a:defRPr sz="700">
                <a:latin typeface="Times New Roman" panose="02020603050405020304" pitchFamily="18" charset="0"/>
                <a:cs typeface="Times New Roman" panose="02020603050405020304" pitchFamily="18" charset="0"/>
              </a:defRPr>
            </a:pPr>
            <a:endParaRPr lang="es-GT"/>
          </a:p>
        </c:txPr>
        <c:crossAx val="582856767"/>
        <c:crosses val="max"/>
        <c:crossBetween val="between"/>
      </c:valAx>
      <c:catAx>
        <c:axId val="582856767"/>
        <c:scaling>
          <c:orientation val="minMax"/>
        </c:scaling>
        <c:delete val="1"/>
        <c:axPos val="b"/>
        <c:numFmt formatCode="0" sourceLinked="1"/>
        <c:majorTickMark val="out"/>
        <c:minorTickMark val="none"/>
        <c:tickLblPos val="nextTo"/>
        <c:crossAx val="582848447"/>
        <c:crosses val="autoZero"/>
        <c:auto val="1"/>
        <c:lblAlgn val="ctr"/>
        <c:lblOffset val="100"/>
        <c:noMultiLvlLbl val="0"/>
      </c:catAx>
    </c:plotArea>
    <c:legend>
      <c:legendPos val="b"/>
      <c:layout>
        <c:manualLayout>
          <c:xMode val="edge"/>
          <c:yMode val="edge"/>
          <c:x val="0.13741661180784598"/>
          <c:y val="1.4361111111111111E-3"/>
          <c:w val="0.7359812203558278"/>
          <c:h val="0.14475795723716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c:chart>
  <c:spPr>
    <a:ln>
      <a:noFill/>
    </a:ln>
  </c:spPr>
  <c:txPr>
    <a:bodyPr/>
    <a:lstStyle/>
    <a:p>
      <a:pPr>
        <a:defRPr/>
      </a:pPr>
      <a:endParaRPr lang="es-GT"/>
    </a:p>
  </c:txPr>
  <c:externalData r:id="rId1">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857513918026683"/>
          <c:y val="6.168066491688539E-2"/>
          <c:w val="0.85127977742685235"/>
          <c:h val="0.75856317960254971"/>
        </c:manualLayout>
      </c:layout>
      <c:lineChart>
        <c:grouping val="standard"/>
        <c:varyColors val="0"/>
        <c:ser>
          <c:idx val="0"/>
          <c:order val="0"/>
          <c:tx>
            <c:strRef>
              <c:f>Hoja1!$B$1</c:f>
              <c:strCache>
                <c:ptCount val="1"/>
                <c:pt idx="0">
                  <c:v>ISR total</c:v>
                </c:pt>
              </c:strCache>
            </c:strRef>
          </c:tx>
          <c:spPr>
            <a:ln w="12700"/>
            <a:effectLst>
              <a:outerShdw blurRad="50800" dist="38100" dir="2700000" algn="tl" rotWithShape="0">
                <a:prstClr val="black">
                  <a:alpha val="40000"/>
                </a:prstClr>
              </a:outerShdw>
            </a:effectLst>
          </c:spPr>
          <c:marker>
            <c:symbol val="circle"/>
            <c:size val="4"/>
            <c:spPr>
              <a:effectLst>
                <a:outerShdw blurRad="50800" dist="38100" dir="2700000" algn="tl" rotWithShape="0">
                  <a:prstClr val="black">
                    <a:alpha val="40000"/>
                  </a:prstClr>
                </a:outerShdw>
              </a:effectLst>
            </c:spPr>
          </c:marker>
          <c:dLbls>
            <c:dLbl>
              <c:idx val="0"/>
              <c:layout>
                <c:manualLayout>
                  <c:x val="-1.1529536190851749E-2"/>
                  <c:y val="9.9440487710919425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A7D-470F-8269-B235D967E633}"/>
                </c:ext>
              </c:extLst>
            </c:dLbl>
            <c:dLbl>
              <c:idx val="1"/>
              <c:layout>
                <c:manualLayout>
                  <c:x val="-7.154650902885927E-2"/>
                  <c:y val="-5.888888888888888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A7D-470F-8269-B235D967E633}"/>
                </c:ext>
              </c:extLst>
            </c:dLbl>
            <c:dLbl>
              <c:idx val="2"/>
              <c:layout>
                <c:manualLayout>
                  <c:x val="-0.1638587583660282"/>
                  <c:y val="1.88888888888888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A7D-470F-8269-B235D967E633}"/>
                </c:ext>
              </c:extLst>
            </c:dLbl>
            <c:dLbl>
              <c:idx val="3"/>
              <c:layout>
                <c:manualLayout>
                  <c:x val="-0.11000179904814003"/>
                  <c:y val="0.1174005769172751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A7D-470F-8269-B235D967E633}"/>
                </c:ext>
              </c:extLst>
            </c:dLbl>
            <c:dLbl>
              <c:idx val="4"/>
              <c:layout>
                <c:manualLayout>
                  <c:x val="-9.0006923609508502E-2"/>
                  <c:y val="-0.1096374889478338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A7D-470F-8269-B235D967E633}"/>
                </c:ext>
              </c:extLst>
            </c:dLbl>
            <c:dLbl>
              <c:idx val="5"/>
              <c:layout>
                <c:manualLayout>
                  <c:x val="-6.2304853250371169E-2"/>
                  <c:y val="-6.85115952017934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A7D-470F-8269-B235D967E633}"/>
                </c:ext>
              </c:extLst>
            </c:dLbl>
            <c:dLbl>
              <c:idx val="6"/>
              <c:layout>
                <c:manualLayout>
                  <c:x val="-0.10073724629332481"/>
                  <c:y val="9.28057069789353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A7D-470F-8269-B235D967E633}"/>
                </c:ext>
              </c:extLst>
            </c:dLbl>
            <c:dLbl>
              <c:idx val="7"/>
              <c:layout>
                <c:manualLayout>
                  <c:x val="-9.9238402954073393E-2"/>
                  <c:y val="-6.83760683760683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A7D-470F-8269-B235D967E633}"/>
                </c:ext>
              </c:extLst>
            </c:dLbl>
            <c:dLbl>
              <c:idx val="8"/>
              <c:layout>
                <c:manualLayout>
                  <c:x val="-6.5903312974408088E-2"/>
                  <c:y val="8.507117948815337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A7D-470F-8269-B235D967E633}"/>
                </c:ext>
              </c:extLst>
            </c:dLbl>
            <c:dLbl>
              <c:idx val="9"/>
              <c:layout>
                <c:manualLayout>
                  <c:x val="-1.6924183288759557E-16"/>
                  <c:y val="-6.994271932469103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A7D-470F-8269-B235D967E633}"/>
                </c:ext>
              </c:extLst>
            </c:dLbl>
            <c:spPr>
              <a:noFill/>
              <a:ln>
                <a:noFill/>
              </a:ln>
              <a:effectLst/>
            </c:spPr>
            <c:txPr>
              <a:bodyPr/>
              <a:lstStyle/>
              <a:p>
                <a:pPr>
                  <a:defRPr sz="800" b="1">
                    <a:solidFill>
                      <a:srgbClr val="0070C0"/>
                    </a:solidFill>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a:solidFill>
                        <a:schemeClr val="bg1">
                          <a:lumMod val="85000"/>
                        </a:schemeClr>
                      </a:solidFill>
                    </a:ln>
                  </c:spPr>
                </c15:leaderLines>
              </c:ext>
            </c:extLst>
          </c:dLbls>
          <c:cat>
            <c:numRef>
              <c:f>Hoja1!$A$2:$A$11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Hoja1!$B$2:$B$11</c:f>
              <c:numCache>
                <c:formatCode>0.0%</c:formatCode>
                <c:ptCount val="10"/>
                <c:pt idx="0">
                  <c:v>-0.33917614112894334</c:v>
                </c:pt>
                <c:pt idx="1">
                  <c:v>0.85281985764791068</c:v>
                </c:pt>
                <c:pt idx="2">
                  <c:v>0.18548892364460179</c:v>
                </c:pt>
                <c:pt idx="3">
                  <c:v>0.11112083253632776</c:v>
                </c:pt>
                <c:pt idx="4">
                  <c:v>0.15094938761491861</c:v>
                </c:pt>
                <c:pt idx="5">
                  <c:v>9.8080840175943651E-2</c:v>
                </c:pt>
                <c:pt idx="6">
                  <c:v>0.11320366937658299</c:v>
                </c:pt>
                <c:pt idx="7">
                  <c:v>5.7821494293180953E-2</c:v>
                </c:pt>
                <c:pt idx="8">
                  <c:v>0.12157928580618371</c:v>
                </c:pt>
                <c:pt idx="9">
                  <c:v>0.13324986375699921</c:v>
                </c:pt>
              </c:numCache>
            </c:numRef>
          </c:val>
          <c:smooth val="1"/>
          <c:extLst>
            <c:ext xmlns:c16="http://schemas.microsoft.com/office/drawing/2014/chart" uri="{C3380CC4-5D6E-409C-BE32-E72D297353CC}">
              <c16:uniqueId val="{0000000A-3A7D-470F-8269-B235D967E633}"/>
            </c:ext>
          </c:extLst>
        </c:ser>
        <c:dLbls>
          <c:showLegendKey val="0"/>
          <c:showVal val="0"/>
          <c:showCatName val="0"/>
          <c:showSerName val="0"/>
          <c:showPercent val="0"/>
          <c:showBubbleSize val="0"/>
        </c:dLbls>
        <c:marker val="1"/>
        <c:smooth val="0"/>
        <c:axId val="198023424"/>
        <c:axId val="198037504"/>
      </c:lineChart>
      <c:catAx>
        <c:axId val="198023424"/>
        <c:scaling>
          <c:orientation val="minMax"/>
        </c:scaling>
        <c:delete val="0"/>
        <c:axPos val="b"/>
        <c:numFmt formatCode="General" sourceLinked="1"/>
        <c:majorTickMark val="out"/>
        <c:minorTickMark val="none"/>
        <c:tickLblPos val="low"/>
        <c:txPr>
          <a:bodyPr rot="-1260000"/>
          <a:lstStyle/>
          <a:p>
            <a:pPr>
              <a:defRPr sz="800" b="0"/>
            </a:pPr>
            <a:endParaRPr lang="es-GT"/>
          </a:p>
        </c:txPr>
        <c:crossAx val="198037504"/>
        <c:crosses val="autoZero"/>
        <c:auto val="1"/>
        <c:lblAlgn val="ctr"/>
        <c:lblOffset val="100"/>
        <c:noMultiLvlLbl val="0"/>
      </c:catAx>
      <c:valAx>
        <c:axId val="198037504"/>
        <c:scaling>
          <c:orientation val="minMax"/>
        </c:scaling>
        <c:delete val="0"/>
        <c:axPos val="l"/>
        <c:numFmt formatCode="0%" sourceLinked="0"/>
        <c:majorTickMark val="out"/>
        <c:minorTickMark val="none"/>
        <c:tickLblPos val="nextTo"/>
        <c:txPr>
          <a:bodyPr/>
          <a:lstStyle/>
          <a:p>
            <a:pPr>
              <a:defRPr sz="800" b="0"/>
            </a:pPr>
            <a:endParaRPr lang="es-GT"/>
          </a:p>
        </c:txPr>
        <c:crossAx val="198023424"/>
        <c:crosses val="autoZero"/>
        <c:crossBetween val="between"/>
      </c:valAx>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125540645447486E-2"/>
          <c:y val="7.7511746876854248E-2"/>
          <c:w val="0.89739085431222509"/>
          <c:h val="0.83653238609939551"/>
        </c:manualLayout>
      </c:layout>
      <c:barChart>
        <c:barDir val="col"/>
        <c:grouping val="clustered"/>
        <c:varyColors val="0"/>
        <c:ser>
          <c:idx val="0"/>
          <c:order val="0"/>
          <c:tx>
            <c:strRef>
              <c:f>Hoja1!$B$1</c:f>
              <c:strCache>
                <c:ptCount val="1"/>
                <c:pt idx="0">
                  <c:v>obs22-Pres</c:v>
                </c:pt>
              </c:strCache>
            </c:strRef>
          </c:tx>
          <c:spPr>
            <a:solidFill>
              <a:schemeClr val="accent1"/>
            </a:solidFill>
            <a:ln>
              <a:noFill/>
            </a:ln>
            <a:effectLst/>
          </c:spPr>
          <c:invertIfNegative val="0"/>
          <c:dLbls>
            <c:dLbl>
              <c:idx val="2"/>
              <c:layout>
                <c:manualLayout>
                  <c:x val="-4.516659656947226E-17"/>
                  <c:y val="1.6380016380016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4A7-40B9-BD0F-1145842EDBBD}"/>
                </c:ext>
              </c:extLst>
            </c:dLbl>
            <c:dLbl>
              <c:idx val="3"/>
              <c:layout>
                <c:manualLayout>
                  <c:x val="0"/>
                  <c:y val="-1.27307447485677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4A7-40B9-BD0F-1145842EDBBD}"/>
                </c:ext>
              </c:extLst>
            </c:dLbl>
            <c:dLbl>
              <c:idx val="4"/>
              <c:layout>
                <c:manualLayout>
                  <c:x val="-4.7125799415918077E-3"/>
                  <c:y val="-8.44959020419765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4A7-40B9-BD0F-1145842EDBBD}"/>
                </c:ext>
              </c:extLst>
            </c:dLbl>
            <c:dLbl>
              <c:idx val="5"/>
              <c:layout>
                <c:manualLayout>
                  <c:x val="2.35183443085605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4A7-40B9-BD0F-1145842EDBBD}"/>
                </c:ext>
              </c:extLst>
            </c:dLbl>
            <c:dLbl>
              <c:idx val="7"/>
              <c:layout>
                <c:manualLayout>
                  <c:x val="-8.7676334517210861E-17"/>
                  <c:y val="-3.18268618714194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4A7-40B9-BD0F-1145842EDBBD}"/>
                </c:ext>
              </c:extLst>
            </c:dLbl>
            <c:dLbl>
              <c:idx val="9"/>
              <c:layout>
                <c:manualLayout>
                  <c:x val="0"/>
                  <c:y val="8.19000819000819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4A7-40B9-BD0F-1145842EDBBD}"/>
                </c:ext>
              </c:extLst>
            </c:dLbl>
            <c:numFmt formatCode="#,##0.0" sourceLinked="0"/>
            <c:spPr>
              <a:noFill/>
              <a:ln>
                <a:noFill/>
              </a:ln>
              <a:effectLst/>
            </c:spPr>
            <c:txPr>
              <a:bodyPr rot="0" spcFirstLastPara="1" vertOverflow="ellipsis" vert="horz" wrap="square" anchor="ctr" anchorCtr="1"/>
              <a:lstStyle/>
              <a:p>
                <a:pPr>
                  <a:defRPr sz="8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Hoja1!$B$2:$B$13</c:f>
              <c:numCache>
                <c:formatCode>0.0</c:formatCode>
                <c:ptCount val="12"/>
                <c:pt idx="0">
                  <c:v>445.41324728000018</c:v>
                </c:pt>
                <c:pt idx="1">
                  <c:v>462.07436109999981</c:v>
                </c:pt>
                <c:pt idx="2">
                  <c:v>659.96736344999954</c:v>
                </c:pt>
                <c:pt idx="3">
                  <c:v>503.19940836999967</c:v>
                </c:pt>
                <c:pt idx="4">
                  <c:v>543.47219115000007</c:v>
                </c:pt>
                <c:pt idx="5">
                  <c:v>769.74429944999974</c:v>
                </c:pt>
                <c:pt idx="6">
                  <c:v>485.97766229000035</c:v>
                </c:pt>
                <c:pt idx="7">
                  <c:v>645.0635853900003</c:v>
                </c:pt>
                <c:pt idx="8">
                  <c:v>801.15819144999978</c:v>
                </c:pt>
                <c:pt idx="9">
                  <c:v>439.69484246999991</c:v>
                </c:pt>
                <c:pt idx="10">
                  <c:v>514.37955406000037</c:v>
                </c:pt>
                <c:pt idx="11">
                  <c:v>714.17247220000081</c:v>
                </c:pt>
              </c:numCache>
            </c:numRef>
          </c:val>
          <c:extLst>
            <c:ext xmlns:c16="http://schemas.microsoft.com/office/drawing/2014/chart" uri="{C3380CC4-5D6E-409C-BE32-E72D297353CC}">
              <c16:uniqueId val="{00000006-E4A7-40B9-BD0F-1145842EDBBD}"/>
            </c:ext>
          </c:extLst>
        </c:ser>
        <c:dLbls>
          <c:showLegendKey val="0"/>
          <c:showVal val="0"/>
          <c:showCatName val="0"/>
          <c:showSerName val="0"/>
          <c:showPercent val="0"/>
          <c:showBubbleSize val="0"/>
        </c:dLbls>
        <c:gapWidth val="20"/>
        <c:overlap val="-27"/>
        <c:axId val="564470416"/>
        <c:axId val="564468448"/>
      </c:barChart>
      <c:lineChart>
        <c:grouping val="standard"/>
        <c:varyColors val="0"/>
        <c:ser>
          <c:idx val="1"/>
          <c:order val="1"/>
          <c:tx>
            <c:strRef>
              <c:f>Hoja1!$C$1</c:f>
              <c:strCache>
                <c:ptCount val="1"/>
                <c:pt idx="0">
                  <c:v>obs22-obs21</c:v>
                </c:pt>
              </c:strCache>
            </c:strRef>
          </c:tx>
          <c:spPr>
            <a:ln w="12700" cap="rnd">
              <a:solidFill>
                <a:srgbClr val="FF0000"/>
              </a:solidFill>
              <a:prstDash val="sysDot"/>
              <a:round/>
            </a:ln>
            <a:effectLst/>
          </c:spPr>
          <c:marker>
            <c:symbol val="circle"/>
            <c:size val="3"/>
            <c:spPr>
              <a:solidFill>
                <a:schemeClr val="bg1"/>
              </a:solidFill>
              <a:ln w="9525">
                <a:solidFill>
                  <a:srgbClr val="FF0000"/>
                </a:solidFill>
              </a:ln>
              <a:effectLst/>
            </c:spPr>
          </c:marker>
          <c:dLbls>
            <c:dLbl>
              <c:idx val="4"/>
              <c:layout>
                <c:manualLayout>
                  <c:x val="-3.873239436619718E-2"/>
                  <c:y val="0.1306079108043536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4A7-40B9-BD0F-1145842EDBBD}"/>
                </c:ext>
              </c:extLst>
            </c:dLbl>
            <c:numFmt formatCode="#,##0.0" sourceLinked="0"/>
            <c:spPr>
              <a:solidFill>
                <a:schemeClr val="bg1"/>
              </a:solidFill>
              <a:ln>
                <a:noFill/>
              </a:ln>
              <a:effectLst/>
            </c:spPr>
            <c:txPr>
              <a:bodyPr rot="0" spcFirstLastPara="1" vertOverflow="ellipsis" vert="horz" wrap="square" anchor="ctr" anchorCtr="1"/>
              <a:lstStyle/>
              <a:p>
                <a:pPr>
                  <a:defRPr sz="800" b="0"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3175" cap="flat" cmpd="sng" algn="ctr">
                      <a:solidFill>
                        <a:srgbClr val="FF0000"/>
                      </a:solidFill>
                      <a:prstDash val="sysDash"/>
                      <a:round/>
                    </a:ln>
                    <a:effectLst/>
                  </c:spPr>
                </c15:leaderLines>
              </c:ext>
            </c:extLst>
          </c:dLbls>
          <c:cat>
            <c:strRef>
              <c:f>Hoja1!$A$2:$A$13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Hoja1!$C$2:$C$13</c:f>
              <c:numCache>
                <c:formatCode>0.0</c:formatCode>
                <c:ptCount val="12"/>
                <c:pt idx="0">
                  <c:v>409.57144527000037</c:v>
                </c:pt>
                <c:pt idx="1">
                  <c:v>414.07426062999957</c:v>
                </c:pt>
                <c:pt idx="2">
                  <c:v>542.61037931999999</c:v>
                </c:pt>
                <c:pt idx="3">
                  <c:v>481.70337168999959</c:v>
                </c:pt>
                <c:pt idx="4">
                  <c:v>642.27883131999988</c:v>
                </c:pt>
                <c:pt idx="5">
                  <c:v>694.3517470099996</c:v>
                </c:pt>
                <c:pt idx="6">
                  <c:v>498.41252887000019</c:v>
                </c:pt>
                <c:pt idx="7">
                  <c:v>675.92245927999966</c:v>
                </c:pt>
                <c:pt idx="8">
                  <c:v>708.90225163999958</c:v>
                </c:pt>
                <c:pt idx="9">
                  <c:v>400.28197703000069</c:v>
                </c:pt>
                <c:pt idx="10">
                  <c:v>368.76784962000056</c:v>
                </c:pt>
                <c:pt idx="11">
                  <c:v>582.18488102000083</c:v>
                </c:pt>
              </c:numCache>
            </c:numRef>
          </c:val>
          <c:smooth val="0"/>
          <c:extLst>
            <c:ext xmlns:c16="http://schemas.microsoft.com/office/drawing/2014/chart" uri="{C3380CC4-5D6E-409C-BE32-E72D297353CC}">
              <c16:uniqueId val="{00000008-E4A7-40B9-BD0F-1145842EDBBD}"/>
            </c:ext>
          </c:extLst>
        </c:ser>
        <c:dLbls>
          <c:showLegendKey val="0"/>
          <c:showVal val="0"/>
          <c:showCatName val="0"/>
          <c:showSerName val="0"/>
          <c:showPercent val="0"/>
          <c:showBubbleSize val="0"/>
        </c:dLbls>
        <c:marker val="1"/>
        <c:smooth val="0"/>
        <c:axId val="564470416"/>
        <c:axId val="564468448"/>
      </c:lineChart>
      <c:catAx>
        <c:axId val="56447041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64468448"/>
        <c:crosses val="autoZero"/>
        <c:auto val="1"/>
        <c:lblAlgn val="ctr"/>
        <c:lblOffset val="100"/>
        <c:noMultiLvlLbl val="0"/>
      </c:catAx>
      <c:valAx>
        <c:axId val="5644684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64470416"/>
        <c:crosses val="autoZero"/>
        <c:crossBetween val="between"/>
      </c:valAx>
      <c:spPr>
        <a:noFill/>
        <a:ln>
          <a:noFill/>
        </a:ln>
        <a:effectLst/>
      </c:spPr>
    </c:plotArea>
    <c:legend>
      <c:legendPos val="t"/>
      <c:layout>
        <c:manualLayout>
          <c:xMode val="edge"/>
          <c:yMode val="edge"/>
          <c:x val="0.26023936268529813"/>
          <c:y val="0"/>
          <c:w val="0.47952108979335328"/>
          <c:h val="8.6375627435572588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pPr>
      <a:endParaRPr lang="es-GT"/>
    </a:p>
  </c:txPr>
  <c:externalData r:id="rId4">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3220323972900677E-2"/>
          <c:y val="2.4685550669802634E-2"/>
          <c:w val="0.93366829807868457"/>
          <c:h val="0.86261793033446577"/>
        </c:manualLayout>
      </c:layout>
      <c:lineChart>
        <c:grouping val="standard"/>
        <c:varyColors val="0"/>
        <c:ser>
          <c:idx val="0"/>
          <c:order val="0"/>
          <c:tx>
            <c:strRef>
              <c:f>Hoja1!$B$1</c:f>
              <c:strCache>
                <c:ptCount val="1"/>
                <c:pt idx="0">
                  <c:v>2022-2021</c:v>
                </c:pt>
              </c:strCache>
            </c:strRef>
          </c:tx>
          <c:spPr>
            <a:ln w="22225" cap="rnd">
              <a:solidFill>
                <a:schemeClr val="accent1"/>
              </a:solidFill>
              <a:round/>
            </a:ln>
            <a:effectLst/>
          </c:spPr>
          <c:marker>
            <c:symbol val="circle"/>
            <c:size val="3"/>
            <c:spPr>
              <a:solidFill>
                <a:schemeClr val="bg1"/>
              </a:solidFill>
              <a:ln w="12700">
                <a:solidFill>
                  <a:schemeClr val="accent1"/>
                </a:solidFill>
                <a:round/>
              </a:ln>
              <a:effectLst/>
            </c:spPr>
          </c:marker>
          <c:dLbls>
            <c:dLbl>
              <c:idx val="35"/>
              <c:layout>
                <c:manualLayout>
                  <c:x val="-6.6159444260668211E-3"/>
                  <c:y val="8.17700817700817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B86-413C-B17E-A69EA6AB4E24}"/>
                </c:ext>
              </c:extLst>
            </c:dLbl>
            <c:dLbl>
              <c:idx val="47"/>
              <c:layout>
                <c:manualLayout>
                  <c:x val="-1.5437203660822582E-2"/>
                  <c:y val="4.81000481000481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B86-413C-B17E-A69EA6AB4E24}"/>
                </c:ext>
              </c:extLst>
            </c:dLbl>
            <c:spPr>
              <a:noFill/>
              <a:ln>
                <a:noFill/>
              </a:ln>
              <a:effectLst/>
            </c:spPr>
            <c:txPr>
              <a:bodyPr rot="0" spcFirstLastPara="1" vertOverflow="ellipsis" vert="horz" wrap="square" anchor="ctr" anchorCtr="1"/>
              <a:lstStyle/>
              <a:p>
                <a:pPr>
                  <a:defRPr sz="8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rgbClr val="0070C0"/>
                      </a:solidFill>
                      <a:prstDash val="sysDash"/>
                      <a:round/>
                    </a:ln>
                    <a:effectLst/>
                  </c:spPr>
                </c15:leaderLines>
              </c:ext>
            </c:extLst>
          </c:dLbls>
          <c:cat>
            <c:numRef>
              <c:f>Hoja1!$A$2:$A$49</c:f>
              <c:numCache>
                <c:formatCode>mmm\-yy</c:formatCode>
                <c:ptCount val="48"/>
                <c:pt idx="0">
                  <c:v>43466</c:v>
                </c:pt>
                <c:pt idx="1">
                  <c:v>43497</c:v>
                </c:pt>
                <c:pt idx="2">
                  <c:v>43525</c:v>
                </c:pt>
                <c:pt idx="3">
                  <c:v>43556</c:v>
                </c:pt>
                <c:pt idx="4">
                  <c:v>43586</c:v>
                </c:pt>
                <c:pt idx="5">
                  <c:v>43617</c:v>
                </c:pt>
                <c:pt idx="6">
                  <c:v>43647</c:v>
                </c:pt>
                <c:pt idx="7">
                  <c:v>43678</c:v>
                </c:pt>
                <c:pt idx="8">
                  <c:v>43709</c:v>
                </c:pt>
                <c:pt idx="9">
                  <c:v>43739</c:v>
                </c:pt>
                <c:pt idx="10">
                  <c:v>43770</c:v>
                </c:pt>
                <c:pt idx="11">
                  <c:v>43800</c:v>
                </c:pt>
                <c:pt idx="12">
                  <c:v>43831</c:v>
                </c:pt>
                <c:pt idx="13">
                  <c:v>43862</c:v>
                </c:pt>
                <c:pt idx="14">
                  <c:v>43891</c:v>
                </c:pt>
                <c:pt idx="15">
                  <c:v>43922</c:v>
                </c:pt>
                <c:pt idx="16">
                  <c:v>43952</c:v>
                </c:pt>
                <c:pt idx="17">
                  <c:v>43983</c:v>
                </c:pt>
                <c:pt idx="18">
                  <c:v>44013</c:v>
                </c:pt>
                <c:pt idx="19">
                  <c:v>44044</c:v>
                </c:pt>
                <c:pt idx="20">
                  <c:v>44075</c:v>
                </c:pt>
                <c:pt idx="21">
                  <c:v>44105</c:v>
                </c:pt>
                <c:pt idx="22">
                  <c:v>44136</c:v>
                </c:pt>
                <c:pt idx="23">
                  <c:v>44166</c:v>
                </c:pt>
                <c:pt idx="24">
                  <c:v>44197</c:v>
                </c:pt>
                <c:pt idx="25">
                  <c:v>44228</c:v>
                </c:pt>
                <c:pt idx="26">
                  <c:v>44256</c:v>
                </c:pt>
                <c:pt idx="27">
                  <c:v>44287</c:v>
                </c:pt>
                <c:pt idx="28">
                  <c:v>44317</c:v>
                </c:pt>
                <c:pt idx="29">
                  <c:v>44348</c:v>
                </c:pt>
                <c:pt idx="30">
                  <c:v>44378</c:v>
                </c:pt>
                <c:pt idx="31">
                  <c:v>44409</c:v>
                </c:pt>
                <c:pt idx="32">
                  <c:v>44440</c:v>
                </c:pt>
                <c:pt idx="33">
                  <c:v>44470</c:v>
                </c:pt>
                <c:pt idx="34">
                  <c:v>44501</c:v>
                </c:pt>
                <c:pt idx="35">
                  <c:v>44531</c:v>
                </c:pt>
                <c:pt idx="36">
                  <c:v>44562</c:v>
                </c:pt>
                <c:pt idx="37">
                  <c:v>44593</c:v>
                </c:pt>
                <c:pt idx="38">
                  <c:v>44621</c:v>
                </c:pt>
                <c:pt idx="39">
                  <c:v>44652</c:v>
                </c:pt>
                <c:pt idx="40">
                  <c:v>44682</c:v>
                </c:pt>
                <c:pt idx="41">
                  <c:v>44713</c:v>
                </c:pt>
                <c:pt idx="42">
                  <c:v>44743</c:v>
                </c:pt>
                <c:pt idx="43">
                  <c:v>44774</c:v>
                </c:pt>
                <c:pt idx="44">
                  <c:v>44805</c:v>
                </c:pt>
                <c:pt idx="45">
                  <c:v>44835</c:v>
                </c:pt>
                <c:pt idx="46">
                  <c:v>44866</c:v>
                </c:pt>
                <c:pt idx="47">
                  <c:v>44896</c:v>
                </c:pt>
              </c:numCache>
            </c:numRef>
          </c:cat>
          <c:val>
            <c:numRef>
              <c:f>Hoja1!$B$2:$B$49</c:f>
              <c:numCache>
                <c:formatCode>0.0</c:formatCode>
                <c:ptCount val="48"/>
                <c:pt idx="0">
                  <c:v>51.38</c:v>
                </c:pt>
                <c:pt idx="1">
                  <c:v>55.01</c:v>
                </c:pt>
                <c:pt idx="2">
                  <c:v>58.17</c:v>
                </c:pt>
                <c:pt idx="3">
                  <c:v>63.88</c:v>
                </c:pt>
                <c:pt idx="4">
                  <c:v>60.77</c:v>
                </c:pt>
                <c:pt idx="5">
                  <c:v>54.71</c:v>
                </c:pt>
                <c:pt idx="6">
                  <c:v>57.54</c:v>
                </c:pt>
                <c:pt idx="7">
                  <c:v>54.84</c:v>
                </c:pt>
                <c:pt idx="8">
                  <c:v>56.88</c:v>
                </c:pt>
                <c:pt idx="9">
                  <c:v>54.01</c:v>
                </c:pt>
                <c:pt idx="10">
                  <c:v>57.12</c:v>
                </c:pt>
                <c:pt idx="11">
                  <c:v>59.86</c:v>
                </c:pt>
                <c:pt idx="12">
                  <c:v>57.53</c:v>
                </c:pt>
                <c:pt idx="13">
                  <c:v>50.54</c:v>
                </c:pt>
                <c:pt idx="14">
                  <c:v>30.45</c:v>
                </c:pt>
                <c:pt idx="15">
                  <c:v>16.7</c:v>
                </c:pt>
                <c:pt idx="16">
                  <c:v>28.53</c:v>
                </c:pt>
                <c:pt idx="17">
                  <c:v>38.31</c:v>
                </c:pt>
                <c:pt idx="18">
                  <c:v>40.770000000000003</c:v>
                </c:pt>
                <c:pt idx="19">
                  <c:v>42.39</c:v>
                </c:pt>
                <c:pt idx="20">
                  <c:v>39.630000000000003</c:v>
                </c:pt>
                <c:pt idx="21">
                  <c:v>39.56</c:v>
                </c:pt>
                <c:pt idx="22">
                  <c:v>41.13</c:v>
                </c:pt>
                <c:pt idx="23">
                  <c:v>47.02</c:v>
                </c:pt>
                <c:pt idx="24">
                  <c:v>52.1</c:v>
                </c:pt>
                <c:pt idx="25">
                  <c:v>59.06</c:v>
                </c:pt>
                <c:pt idx="26">
                  <c:v>62.36</c:v>
                </c:pt>
                <c:pt idx="27">
                  <c:v>61.7</c:v>
                </c:pt>
                <c:pt idx="28">
                  <c:v>65.16</c:v>
                </c:pt>
                <c:pt idx="29">
                  <c:v>71.349999999999994</c:v>
                </c:pt>
                <c:pt idx="30">
                  <c:v>72.430000000000007</c:v>
                </c:pt>
                <c:pt idx="31">
                  <c:v>67.709999999999994</c:v>
                </c:pt>
                <c:pt idx="32">
                  <c:v>71.55</c:v>
                </c:pt>
                <c:pt idx="33">
                  <c:v>81.22</c:v>
                </c:pt>
                <c:pt idx="34">
                  <c:v>79.180000000000007</c:v>
                </c:pt>
                <c:pt idx="35">
                  <c:v>71.69</c:v>
                </c:pt>
                <c:pt idx="36">
                  <c:v>82.98</c:v>
                </c:pt>
                <c:pt idx="37">
                  <c:v>91.63</c:v>
                </c:pt>
                <c:pt idx="38">
                  <c:v>108.26</c:v>
                </c:pt>
                <c:pt idx="39">
                  <c:v>101.64</c:v>
                </c:pt>
                <c:pt idx="40">
                  <c:v>109.26</c:v>
                </c:pt>
                <c:pt idx="41">
                  <c:v>114.34</c:v>
                </c:pt>
                <c:pt idx="42">
                  <c:v>99.39</c:v>
                </c:pt>
                <c:pt idx="43">
                  <c:v>91.48</c:v>
                </c:pt>
                <c:pt idx="44">
                  <c:v>83.8</c:v>
                </c:pt>
                <c:pt idx="45">
                  <c:v>87.03</c:v>
                </c:pt>
                <c:pt idx="46">
                  <c:v>84.39</c:v>
                </c:pt>
                <c:pt idx="47">
                  <c:v>76.52</c:v>
                </c:pt>
              </c:numCache>
            </c:numRef>
          </c:val>
          <c:smooth val="1"/>
          <c:extLst>
            <c:ext xmlns:c16="http://schemas.microsoft.com/office/drawing/2014/chart" uri="{C3380CC4-5D6E-409C-BE32-E72D297353CC}">
              <c16:uniqueId val="{00000002-3B86-413C-B17E-A69EA6AB4E24}"/>
            </c:ext>
          </c:extLst>
        </c:ser>
        <c:ser>
          <c:idx val="1"/>
          <c:order val="1"/>
          <c:tx>
            <c:strRef>
              <c:f>Hoja1!$C$1</c:f>
              <c:strCache>
                <c:ptCount val="1"/>
                <c:pt idx="0">
                  <c:v>Precio Medio</c:v>
                </c:pt>
              </c:strCache>
            </c:strRef>
          </c:tx>
          <c:spPr>
            <a:ln w="12700" cap="rnd">
              <a:solidFill>
                <a:srgbClr val="FF0000"/>
              </a:solidFill>
              <a:prstDash val="sysDash"/>
              <a:round/>
            </a:ln>
            <a:effectLst/>
          </c:spPr>
          <c:marker>
            <c:symbol val="none"/>
          </c:marker>
          <c:dLbls>
            <c:dLbl>
              <c:idx val="0"/>
              <c:layout>
                <c:manualLayout>
                  <c:x val="7.2775388686735054E-2"/>
                  <c:y val="-0.10582010582010581"/>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86-413C-B17E-A69EA6AB4E24}"/>
                </c:ext>
              </c:extLst>
            </c:dLbl>
            <c:dLbl>
              <c:idx val="15"/>
              <c:layout>
                <c:manualLayout>
                  <c:x val="-3.0874407321645165E-2"/>
                  <c:y val="-0.10101010101010109"/>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B86-413C-B17E-A69EA6AB4E24}"/>
                </c:ext>
              </c:extLst>
            </c:dLbl>
            <c:dLbl>
              <c:idx val="30"/>
              <c:layout>
                <c:manualLayout>
                  <c:x val="-3.6387694343367596E-2"/>
                  <c:y val="7.2150072150072062E-2"/>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8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5="http://schemas.microsoft.com/office/drawing/2012/chart" uri="{CE6537A1-D6FC-4f65-9D91-7224C49458BB}">
                  <c15:layout>
                    <c:manualLayout>
                      <c:w val="5.8992171132429154E-2"/>
                      <c:h val="6.4189703559782291E-2"/>
                    </c:manualLayout>
                  </c15:layout>
                </c:ext>
                <c:ext xmlns:c16="http://schemas.microsoft.com/office/drawing/2014/chart" uri="{C3380CC4-5D6E-409C-BE32-E72D297353CC}">
                  <c16:uniqueId val="{00000005-3B86-413C-B17E-A69EA6AB4E24}"/>
                </c:ext>
              </c:extLst>
            </c:dLbl>
            <c:dLbl>
              <c:idx val="40"/>
              <c:layout>
                <c:manualLayout>
                  <c:x val="-1.9847833278200461E-2"/>
                  <c:y val="7.6960076960076909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B86-413C-B17E-A69EA6AB4E24}"/>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Hoja1!$A$2:$A$49</c:f>
              <c:numCache>
                <c:formatCode>mmm\-yy</c:formatCode>
                <c:ptCount val="48"/>
                <c:pt idx="0">
                  <c:v>43466</c:v>
                </c:pt>
                <c:pt idx="1">
                  <c:v>43497</c:v>
                </c:pt>
                <c:pt idx="2">
                  <c:v>43525</c:v>
                </c:pt>
                <c:pt idx="3">
                  <c:v>43556</c:v>
                </c:pt>
                <c:pt idx="4">
                  <c:v>43586</c:v>
                </c:pt>
                <c:pt idx="5">
                  <c:v>43617</c:v>
                </c:pt>
                <c:pt idx="6">
                  <c:v>43647</c:v>
                </c:pt>
                <c:pt idx="7">
                  <c:v>43678</c:v>
                </c:pt>
                <c:pt idx="8">
                  <c:v>43709</c:v>
                </c:pt>
                <c:pt idx="9">
                  <c:v>43739</c:v>
                </c:pt>
                <c:pt idx="10">
                  <c:v>43770</c:v>
                </c:pt>
                <c:pt idx="11">
                  <c:v>43800</c:v>
                </c:pt>
                <c:pt idx="12">
                  <c:v>43831</c:v>
                </c:pt>
                <c:pt idx="13">
                  <c:v>43862</c:v>
                </c:pt>
                <c:pt idx="14">
                  <c:v>43891</c:v>
                </c:pt>
                <c:pt idx="15">
                  <c:v>43922</c:v>
                </c:pt>
                <c:pt idx="16">
                  <c:v>43952</c:v>
                </c:pt>
                <c:pt idx="17">
                  <c:v>43983</c:v>
                </c:pt>
                <c:pt idx="18">
                  <c:v>44013</c:v>
                </c:pt>
                <c:pt idx="19">
                  <c:v>44044</c:v>
                </c:pt>
                <c:pt idx="20">
                  <c:v>44075</c:v>
                </c:pt>
                <c:pt idx="21">
                  <c:v>44105</c:v>
                </c:pt>
                <c:pt idx="22">
                  <c:v>44136</c:v>
                </c:pt>
                <c:pt idx="23">
                  <c:v>44166</c:v>
                </c:pt>
                <c:pt idx="24">
                  <c:v>44197</c:v>
                </c:pt>
                <c:pt idx="25">
                  <c:v>44228</c:v>
                </c:pt>
                <c:pt idx="26">
                  <c:v>44256</c:v>
                </c:pt>
                <c:pt idx="27">
                  <c:v>44287</c:v>
                </c:pt>
                <c:pt idx="28">
                  <c:v>44317</c:v>
                </c:pt>
                <c:pt idx="29">
                  <c:v>44348</c:v>
                </c:pt>
                <c:pt idx="30">
                  <c:v>44378</c:v>
                </c:pt>
                <c:pt idx="31">
                  <c:v>44409</c:v>
                </c:pt>
                <c:pt idx="32">
                  <c:v>44440</c:v>
                </c:pt>
                <c:pt idx="33">
                  <c:v>44470</c:v>
                </c:pt>
                <c:pt idx="34">
                  <c:v>44501</c:v>
                </c:pt>
                <c:pt idx="35">
                  <c:v>44531</c:v>
                </c:pt>
                <c:pt idx="36">
                  <c:v>44562</c:v>
                </c:pt>
                <c:pt idx="37">
                  <c:v>44593</c:v>
                </c:pt>
                <c:pt idx="38">
                  <c:v>44621</c:v>
                </c:pt>
                <c:pt idx="39">
                  <c:v>44652</c:v>
                </c:pt>
                <c:pt idx="40">
                  <c:v>44682</c:v>
                </c:pt>
                <c:pt idx="41">
                  <c:v>44713</c:v>
                </c:pt>
                <c:pt idx="42">
                  <c:v>44743</c:v>
                </c:pt>
                <c:pt idx="43">
                  <c:v>44774</c:v>
                </c:pt>
                <c:pt idx="44">
                  <c:v>44805</c:v>
                </c:pt>
                <c:pt idx="45">
                  <c:v>44835</c:v>
                </c:pt>
                <c:pt idx="46">
                  <c:v>44866</c:v>
                </c:pt>
                <c:pt idx="47">
                  <c:v>44896</c:v>
                </c:pt>
              </c:numCache>
            </c:numRef>
          </c:cat>
          <c:val>
            <c:numRef>
              <c:f>Hoja1!$C$2:$C$49</c:f>
              <c:numCache>
                <c:formatCode>#,##0.0</c:formatCode>
                <c:ptCount val="48"/>
                <c:pt idx="0">
                  <c:v>57.014166666666661</c:v>
                </c:pt>
                <c:pt idx="1">
                  <c:v>57.014166666666661</c:v>
                </c:pt>
                <c:pt idx="2">
                  <c:v>57.014166666666661</c:v>
                </c:pt>
                <c:pt idx="3">
                  <c:v>57.014166666666661</c:v>
                </c:pt>
                <c:pt idx="4">
                  <c:v>57.014166666666661</c:v>
                </c:pt>
                <c:pt idx="5">
                  <c:v>57.014166666666661</c:v>
                </c:pt>
                <c:pt idx="6">
                  <c:v>57.014166666666661</c:v>
                </c:pt>
                <c:pt idx="7">
                  <c:v>57.014166666666661</c:v>
                </c:pt>
                <c:pt idx="8">
                  <c:v>57.014166666666661</c:v>
                </c:pt>
                <c:pt idx="9">
                  <c:v>57.014166666666661</c:v>
                </c:pt>
                <c:pt idx="10">
                  <c:v>57.014166666666661</c:v>
                </c:pt>
                <c:pt idx="11">
                  <c:v>57.014166666666661</c:v>
                </c:pt>
                <c:pt idx="12">
                  <c:v>39.379999999999995</c:v>
                </c:pt>
                <c:pt idx="13">
                  <c:v>39.379999999999995</c:v>
                </c:pt>
                <c:pt idx="14">
                  <c:v>39.379999999999995</c:v>
                </c:pt>
                <c:pt idx="15">
                  <c:v>39.379999999999995</c:v>
                </c:pt>
                <c:pt idx="16">
                  <c:v>39.379999999999995</c:v>
                </c:pt>
                <c:pt idx="17">
                  <c:v>39.379999999999995</c:v>
                </c:pt>
                <c:pt idx="18">
                  <c:v>39.379999999999995</c:v>
                </c:pt>
                <c:pt idx="19">
                  <c:v>39.379999999999995</c:v>
                </c:pt>
                <c:pt idx="20">
                  <c:v>39.379999999999995</c:v>
                </c:pt>
                <c:pt idx="21">
                  <c:v>39.379999999999995</c:v>
                </c:pt>
                <c:pt idx="22">
                  <c:v>39.379999999999995</c:v>
                </c:pt>
                <c:pt idx="23">
                  <c:v>39.379999999999995</c:v>
                </c:pt>
                <c:pt idx="24">
                  <c:v>67.959166666666661</c:v>
                </c:pt>
                <c:pt idx="25">
                  <c:v>67.959166666666661</c:v>
                </c:pt>
                <c:pt idx="26">
                  <c:v>67.959166666666661</c:v>
                </c:pt>
                <c:pt idx="27">
                  <c:v>67.959166666666661</c:v>
                </c:pt>
                <c:pt idx="28">
                  <c:v>67.959166666666661</c:v>
                </c:pt>
                <c:pt idx="29">
                  <c:v>67.959166666666661</c:v>
                </c:pt>
                <c:pt idx="30">
                  <c:v>67.959166666666661</c:v>
                </c:pt>
                <c:pt idx="31">
                  <c:v>67.959166666666661</c:v>
                </c:pt>
                <c:pt idx="32">
                  <c:v>67.959166666666661</c:v>
                </c:pt>
                <c:pt idx="33">
                  <c:v>67.959166666666661</c:v>
                </c:pt>
                <c:pt idx="34">
                  <c:v>67.959166666666661</c:v>
                </c:pt>
                <c:pt idx="35">
                  <c:v>67.959166666666661</c:v>
                </c:pt>
                <c:pt idx="36">
                  <c:v>94.226666666666674</c:v>
                </c:pt>
                <c:pt idx="37">
                  <c:v>94.226666666666674</c:v>
                </c:pt>
                <c:pt idx="38">
                  <c:v>94.226666666666674</c:v>
                </c:pt>
                <c:pt idx="39">
                  <c:v>94.226666666666674</c:v>
                </c:pt>
                <c:pt idx="40">
                  <c:v>94.226666666666674</c:v>
                </c:pt>
                <c:pt idx="41">
                  <c:v>94.226666666666674</c:v>
                </c:pt>
                <c:pt idx="42">
                  <c:v>94.226666666666674</c:v>
                </c:pt>
                <c:pt idx="43">
                  <c:v>94.226666666666674</c:v>
                </c:pt>
                <c:pt idx="44">
                  <c:v>94.226666666666674</c:v>
                </c:pt>
                <c:pt idx="45">
                  <c:v>94.226666666666674</c:v>
                </c:pt>
                <c:pt idx="46">
                  <c:v>94.226666666666674</c:v>
                </c:pt>
                <c:pt idx="47">
                  <c:v>94.226666666666674</c:v>
                </c:pt>
              </c:numCache>
            </c:numRef>
          </c:val>
          <c:smooth val="0"/>
          <c:extLst>
            <c:ext xmlns:c16="http://schemas.microsoft.com/office/drawing/2014/chart" uri="{C3380CC4-5D6E-409C-BE32-E72D297353CC}">
              <c16:uniqueId val="{00000007-3B86-413C-B17E-A69EA6AB4E24}"/>
            </c:ext>
          </c:extLst>
        </c:ser>
        <c:dLbls>
          <c:showLegendKey val="0"/>
          <c:showVal val="0"/>
          <c:showCatName val="0"/>
          <c:showSerName val="0"/>
          <c:showPercent val="0"/>
          <c:showBubbleSize val="0"/>
        </c:dLbls>
        <c:marker val="1"/>
        <c:smooth val="0"/>
        <c:axId val="717364616"/>
        <c:axId val="717367568"/>
      </c:lineChart>
      <c:dateAx>
        <c:axId val="717364616"/>
        <c:scaling>
          <c:orientation val="minMax"/>
        </c:scaling>
        <c:delete val="0"/>
        <c:axPos val="b"/>
        <c:majorGridlines>
          <c:spPr>
            <a:ln w="9525" cap="flat" cmpd="sng" algn="ctr">
              <a:solidFill>
                <a:schemeClr val="dk1">
                  <a:lumMod val="15000"/>
                  <a:lumOff val="85000"/>
                </a:schemeClr>
              </a:solidFill>
              <a:round/>
            </a:ln>
            <a:effectLst/>
          </c:spPr>
        </c:majorGridlines>
        <c:numFmt formatCode="mmm\-yy" sourceLinked="1"/>
        <c:majorTickMark val="out"/>
        <c:minorTickMark val="none"/>
        <c:tickLblPos val="low"/>
        <c:spPr>
          <a:noFill/>
          <a:ln w="9525" cap="flat" cmpd="sng" algn="ctr">
            <a:solidFill>
              <a:schemeClr val="dk1">
                <a:lumMod val="15000"/>
                <a:lumOff val="85000"/>
              </a:schemeClr>
            </a:solidFill>
            <a:round/>
          </a:ln>
          <a:effectLst/>
        </c:spPr>
        <c:txPr>
          <a:bodyPr rot="-5400000" spcFirstLastPara="1" vertOverflow="ellipsis" wrap="square" anchor="ctr" anchorCtr="1"/>
          <a:lstStyle/>
          <a:p>
            <a:pPr>
              <a:defRPr sz="6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717367568"/>
        <c:crosses val="autoZero"/>
        <c:auto val="1"/>
        <c:lblOffset val="100"/>
        <c:baseTimeUnit val="months"/>
        <c:majorUnit val="1"/>
        <c:majorTimeUnit val="months"/>
      </c:dateAx>
      <c:valAx>
        <c:axId val="717367568"/>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0"/>
        <c:majorTickMark val="none"/>
        <c:minorTickMark val="none"/>
        <c:tickLblPos val="low"/>
        <c:spPr>
          <a:noFill/>
          <a:ln>
            <a:noFill/>
          </a:ln>
          <a:effectLst/>
        </c:spPr>
        <c:txPr>
          <a:bodyPr rot="-6000000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717364616"/>
        <c:crossesAt val="43466"/>
        <c:crossBetween val="between"/>
      </c:valAx>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224776427833399"/>
          <c:y val="3.262417471993468E-2"/>
          <c:w val="0.87428795382477642"/>
          <c:h val="0.87849096628677437"/>
        </c:manualLayout>
      </c:layout>
      <c:lineChart>
        <c:grouping val="standard"/>
        <c:varyColors val="0"/>
        <c:ser>
          <c:idx val="0"/>
          <c:order val="0"/>
          <c:tx>
            <c:strRef>
              <c:f>Hoja1!$B$1</c:f>
              <c:strCache>
                <c:ptCount val="1"/>
                <c:pt idx="0">
                  <c:v>Carga Trib</c:v>
                </c:pt>
              </c:strCache>
            </c:strRef>
          </c:tx>
          <c:spPr>
            <a:ln w="9525">
              <a:solidFill>
                <a:srgbClr val="4472C4"/>
              </a:solidFill>
            </a:ln>
            <a:effectLst>
              <a:outerShdw blurRad="50800" dist="38100" dir="2700000" algn="tl" rotWithShape="0">
                <a:prstClr val="black">
                  <a:alpha val="40000"/>
                </a:prstClr>
              </a:outerShdw>
            </a:effectLst>
          </c:spPr>
          <c:marker>
            <c:symbol val="circle"/>
            <c:size val="5"/>
            <c:spPr>
              <a:solidFill>
                <a:schemeClr val="tx1"/>
              </a:solidFill>
              <a:effectLst>
                <a:outerShdw blurRad="50800" dist="38100" dir="2700000" algn="tl" rotWithShape="0">
                  <a:prstClr val="black">
                    <a:alpha val="40000"/>
                  </a:prstClr>
                </a:outerShdw>
              </a:effectLst>
            </c:spPr>
          </c:marker>
          <c:dLbls>
            <c:dLbl>
              <c:idx val="0"/>
              <c:layout>
                <c:manualLayout>
                  <c:x val="-4.1835699797160245E-2"/>
                  <c:y val="5.20529504150773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786-4EFE-BF5C-9E98090753FF}"/>
                </c:ext>
              </c:extLst>
            </c:dLbl>
            <c:dLbl>
              <c:idx val="1"/>
              <c:layout>
                <c:manualLayout>
                  <c:x val="-5.4513184584178496E-2"/>
                  <c:y val="-5.11554857527484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786-4EFE-BF5C-9E98090753FF}"/>
                </c:ext>
              </c:extLst>
            </c:dLbl>
            <c:dLbl>
              <c:idx val="2"/>
              <c:layout>
                <c:manualLayout>
                  <c:x val="-3.8032454361054766E-3"/>
                  <c:y val="-2.871886919452546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786-4EFE-BF5C-9E98090753FF}"/>
                </c:ext>
              </c:extLst>
            </c:dLbl>
            <c:dLbl>
              <c:idx val="4"/>
              <c:layout>
                <c:manualLayout>
                  <c:x val="-4.9442190669371194E-2"/>
                  <c:y val="-5.56428090643930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786-4EFE-BF5C-9E98090753FF}"/>
                </c:ext>
              </c:extLst>
            </c:dLbl>
            <c:dLbl>
              <c:idx val="6"/>
              <c:layout>
                <c:manualLayout>
                  <c:x val="-4.9327354260089683E-2"/>
                  <c:y val="-4.57765667574932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786-4EFE-BF5C-9E98090753FF}"/>
                </c:ext>
              </c:extLst>
            </c:dLbl>
            <c:dLbl>
              <c:idx val="7"/>
              <c:layout>
                <c:manualLayout>
                  <c:x val="-2.6883861633959255E-2"/>
                  <c:y val="-5.41807557074234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786-4EFE-BF5C-9E98090753FF}"/>
                </c:ext>
              </c:extLst>
            </c:dLbl>
            <c:dLbl>
              <c:idx val="8"/>
              <c:layout>
                <c:manualLayout>
                  <c:x val="-0.12966228356929449"/>
                  <c:y val="-1.1406328925865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786-4EFE-BF5C-9E98090753FF}"/>
                </c:ext>
              </c:extLst>
            </c:dLbl>
            <c:dLbl>
              <c:idx val="9"/>
              <c:layout>
                <c:manualLayout>
                  <c:x val="-0.10619908675022534"/>
                  <c:y val="-7.0438291424938246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786-4EFE-BF5C-9E98090753FF}"/>
                </c:ext>
              </c:extLst>
            </c:dLbl>
            <c:dLbl>
              <c:idx val="10"/>
              <c:layout>
                <c:manualLayout>
                  <c:x val="-2.9738567625283398E-2"/>
                  <c:y val="-7.4348031496062991E-2"/>
                </c:manualLayout>
              </c:layout>
              <c:tx>
                <c:rich>
                  <a:bodyPr/>
                  <a:lstStyle/>
                  <a:p>
                    <a:pPr>
                      <a:defRPr sz="800" b="1">
                        <a:solidFill>
                          <a:sysClr val="windowText" lastClr="000000"/>
                        </a:solidFill>
                      </a:defRPr>
                    </a:pPr>
                    <a:r>
                      <a:rPr lang="en-US">
                        <a:solidFill>
                          <a:sysClr val="windowText" lastClr="000000"/>
                        </a:solidFill>
                      </a:rPr>
                      <a:t>12%</a:t>
                    </a:r>
                  </a:p>
                </c:rich>
              </c:tx>
              <c:numFmt formatCode="0.0%" sourceLinked="0"/>
              <c:spPr>
                <a:noFill/>
                <a:ln>
                  <a:noFill/>
                </a:ln>
                <a:effectLst/>
              </c:spPr>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3786-4EFE-BF5C-9E98090753FF}"/>
                </c:ext>
              </c:extLst>
            </c:dLbl>
            <c:numFmt formatCode="0.0%" sourceLinked="0"/>
            <c:spPr>
              <a:noFill/>
              <a:ln>
                <a:noFill/>
              </a:ln>
              <a:effectLst/>
            </c:spPr>
            <c:txPr>
              <a:bodyPr/>
              <a:lstStyle/>
              <a:p>
                <a:pPr>
                  <a:defRPr sz="800" b="1"/>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Hoja1!$B$2:$B$12</c:f>
              <c:numCache>
                <c:formatCode>0.00%</c:formatCode>
                <c:ptCount val="11"/>
                <c:pt idx="0">
                  <c:v>0.10953264737896941</c:v>
                </c:pt>
                <c:pt idx="1">
                  <c:v>0.11128101557307478</c:v>
                </c:pt>
                <c:pt idx="2">
                  <c:v>0.10975635860671257</c:v>
                </c:pt>
                <c:pt idx="3">
                  <c:v>0.10447132107290816</c:v>
                </c:pt>
                <c:pt idx="4">
                  <c:v>0.10778739581375095</c:v>
                </c:pt>
                <c:pt idx="5">
                  <c:v>0.10772335588957116</c:v>
                </c:pt>
                <c:pt idx="6">
                  <c:v>0.10701466812499047</c:v>
                </c:pt>
                <c:pt idx="7">
                  <c:v>0.10601587719705946</c:v>
                </c:pt>
                <c:pt idx="8">
                  <c:v>0.10100000000000001</c:v>
                </c:pt>
                <c:pt idx="9">
                  <c:v>0.11700000000000001</c:v>
                </c:pt>
                <c:pt idx="10">
                  <c:v>0.121</c:v>
                </c:pt>
              </c:numCache>
            </c:numRef>
          </c:val>
          <c:smooth val="0"/>
          <c:extLst>
            <c:ext xmlns:c16="http://schemas.microsoft.com/office/drawing/2014/chart" uri="{C3380CC4-5D6E-409C-BE32-E72D297353CC}">
              <c16:uniqueId val="{00000009-3786-4EFE-BF5C-9E98090753FF}"/>
            </c:ext>
          </c:extLst>
        </c:ser>
        <c:dLbls>
          <c:showLegendKey val="0"/>
          <c:showVal val="0"/>
          <c:showCatName val="0"/>
          <c:showSerName val="0"/>
          <c:showPercent val="0"/>
          <c:showBubbleSize val="0"/>
        </c:dLbls>
        <c:marker val="1"/>
        <c:smooth val="0"/>
        <c:axId val="198052480"/>
        <c:axId val="197730688"/>
      </c:lineChart>
      <c:catAx>
        <c:axId val="198052480"/>
        <c:scaling>
          <c:orientation val="minMax"/>
        </c:scaling>
        <c:delete val="0"/>
        <c:axPos val="b"/>
        <c:numFmt formatCode="General" sourceLinked="1"/>
        <c:majorTickMark val="out"/>
        <c:minorTickMark val="none"/>
        <c:tickLblPos val="low"/>
        <c:txPr>
          <a:bodyPr/>
          <a:lstStyle/>
          <a:p>
            <a:pPr>
              <a:defRPr sz="800" b="0"/>
            </a:pPr>
            <a:endParaRPr lang="es-GT"/>
          </a:p>
        </c:txPr>
        <c:crossAx val="197730688"/>
        <c:crosses val="autoZero"/>
        <c:auto val="1"/>
        <c:lblAlgn val="ctr"/>
        <c:lblOffset val="100"/>
        <c:noMultiLvlLbl val="0"/>
      </c:catAx>
      <c:valAx>
        <c:axId val="197730688"/>
        <c:scaling>
          <c:orientation val="minMax"/>
          <c:max val="0.125"/>
          <c:min val="0.1"/>
        </c:scaling>
        <c:delete val="0"/>
        <c:axPos val="l"/>
        <c:numFmt formatCode="0.0%" sourceLinked="0"/>
        <c:majorTickMark val="out"/>
        <c:minorTickMark val="none"/>
        <c:tickLblPos val="nextTo"/>
        <c:txPr>
          <a:bodyPr/>
          <a:lstStyle/>
          <a:p>
            <a:pPr>
              <a:defRPr sz="800" b="0"/>
            </a:pPr>
            <a:endParaRPr lang="es-GT"/>
          </a:p>
        </c:txPr>
        <c:crossAx val="198052480"/>
        <c:crosses val="autoZero"/>
        <c:crossBetween val="between"/>
      </c:valAx>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724744408512905"/>
          <c:y val="2.1837117075694006E-2"/>
          <c:w val="0.54002275755568085"/>
          <c:h val="0.96148192424852008"/>
        </c:manualLayout>
      </c:layout>
      <c:radarChart>
        <c:radarStyle val="marker"/>
        <c:varyColors val="0"/>
        <c:ser>
          <c:idx val="0"/>
          <c:order val="0"/>
          <c:tx>
            <c:strRef>
              <c:f>Hoja1!$B$1</c:f>
              <c:strCache>
                <c:ptCount val="1"/>
                <c:pt idx="0">
                  <c:v>2022-2021</c:v>
                </c:pt>
              </c:strCache>
            </c:strRef>
          </c:tx>
          <c:spPr>
            <a:ln w="22225" cap="rnd">
              <a:solidFill>
                <a:schemeClr val="accent1"/>
              </a:solidFill>
              <a:round/>
            </a:ln>
            <a:effectLst/>
          </c:spPr>
          <c:marker>
            <c:symbol val="circle"/>
            <c:size val="5"/>
            <c:spPr>
              <a:solidFill>
                <a:schemeClr val="bg1"/>
              </a:solidFill>
              <a:ln w="15875">
                <a:solidFill>
                  <a:schemeClr val="accent1"/>
                </a:solidFill>
                <a:round/>
              </a:ln>
              <a:effectLst/>
            </c:spPr>
          </c:marker>
          <c:dLbls>
            <c:dLbl>
              <c:idx val="0"/>
              <c:layout>
                <c:manualLayout>
                  <c:x val="0.10979732475573797"/>
                  <c:y val="0"/>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0-9214-4435-889C-3D09CC25FAF5}"/>
                </c:ext>
              </c:extLst>
            </c:dLbl>
            <c:dLbl>
              <c:idx val="1"/>
              <c:layout>
                <c:manualLayout>
                  <c:x val="0.13524984023872755"/>
                  <c:y val="5.4649240156186524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9214-4435-889C-3D09CC25FAF5}"/>
                </c:ext>
              </c:extLst>
            </c:dLbl>
            <c:dLbl>
              <c:idx val="2"/>
              <c:layout>
                <c:manualLayout>
                  <c:x val="4.3272212472124164E-2"/>
                  <c:y val="0.12852629372692198"/>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9214-4435-889C-3D09CC25FAF5}"/>
                </c:ext>
              </c:extLst>
            </c:dLbl>
            <c:dLbl>
              <c:idx val="3"/>
              <c:layout>
                <c:manualLayout>
                  <c:x val="-5.6865210498436319E-2"/>
                  <c:y val="8.419323036477161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9214-4435-889C-3D09CC25FAF5}"/>
                </c:ext>
              </c:extLst>
            </c:dLbl>
            <c:dLbl>
              <c:idx val="4"/>
              <c:layout>
                <c:manualLayout>
                  <c:x val="-0.11016233230464585"/>
                  <c:y val="1.7495718144720961E-2"/>
                </c:manualLayout>
              </c:layout>
              <c:tx>
                <c:rich>
                  <a:bodyPr/>
                  <a:lstStyle/>
                  <a:p>
                    <a:fld id="{52DF71F8-E5FA-4266-9ED4-3D19A4469368}" type="CATEGORYNAME">
                      <a:rPr lang="en-US"/>
                      <a:pPr/>
                      <a:t>[NOMBRE DE CATEGORÍA]</a:t>
                    </a:fld>
                    <a:r>
                      <a:rPr lang="en-US" baseline="0"/>
                      <a:t>,</a:t>
                    </a:r>
                  </a:p>
                  <a:p>
                    <a:r>
                      <a:rPr lang="en-US" baseline="0"/>
                      <a:t> </a:t>
                    </a:r>
                    <a:fld id="{561AC7E4-96CC-4054-A9F3-8B5D5E356786}" type="VALUE">
                      <a:rPr lang="en-US" baseline="0"/>
                      <a:pPr/>
                      <a:t>[VALOR]</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4-9214-4435-889C-3D09CC25FAF5}"/>
                </c:ext>
              </c:extLst>
            </c:dLbl>
            <c:dLbl>
              <c:idx val="5"/>
              <c:layout>
                <c:manualLayout>
                  <c:x val="-6.5068383499294363E-2"/>
                  <c:y val="6.1326283119719521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9214-4435-889C-3D09CC25FAF5}"/>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1"/>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rgbClr val="0070C0"/>
                      </a:solidFill>
                      <a:prstDash val="sysDash"/>
                      <a:round/>
                    </a:ln>
                    <a:effectLst/>
                  </c:spPr>
                </c15:leaderLines>
              </c:ext>
            </c:extLst>
          </c:dLbls>
          <c:cat>
            <c:strRef>
              <c:f>Hoja1!$A$2:$A$7</c:f>
              <c:strCache>
                <c:ptCount val="6"/>
                <c:pt idx="0">
                  <c:v>IVA imp</c:v>
                </c:pt>
                <c:pt idx="1">
                  <c:v>Los demás</c:v>
                </c:pt>
                <c:pt idx="2">
                  <c:v>Petróleo</c:v>
                </c:pt>
                <c:pt idx="3">
                  <c:v>ISO</c:v>
                </c:pt>
                <c:pt idx="4">
                  <c:v>ISR</c:v>
                </c:pt>
                <c:pt idx="5">
                  <c:v>IVA dom</c:v>
                </c:pt>
              </c:strCache>
            </c:strRef>
          </c:cat>
          <c:val>
            <c:numRef>
              <c:f>Hoja1!$B$2:$B$7</c:f>
              <c:numCache>
                <c:formatCode>#,##0.0</c:formatCode>
                <c:ptCount val="6"/>
                <c:pt idx="0">
                  <c:v>4426.1607220699916</c:v>
                </c:pt>
                <c:pt idx="1">
                  <c:v>1071.3095183600003</c:v>
                </c:pt>
                <c:pt idx="2">
                  <c:v>-27.42455635999795</c:v>
                </c:pt>
                <c:pt idx="3">
                  <c:v>729.48192257999654</c:v>
                </c:pt>
                <c:pt idx="4">
                  <c:v>2367.559464230013</c:v>
                </c:pt>
                <c:pt idx="5">
                  <c:v>1992.9012606299839</c:v>
                </c:pt>
              </c:numCache>
            </c:numRef>
          </c:val>
          <c:extLst>
            <c:ext xmlns:c16="http://schemas.microsoft.com/office/drawing/2014/chart" uri="{C3380CC4-5D6E-409C-BE32-E72D297353CC}">
              <c16:uniqueId val="{00000006-9214-4435-889C-3D09CC25FAF5}"/>
            </c:ext>
          </c:extLst>
        </c:ser>
        <c:ser>
          <c:idx val="1"/>
          <c:order val="1"/>
          <c:tx>
            <c:strRef>
              <c:f>Hoja1!$C$1</c:f>
              <c:strCache>
                <c:ptCount val="1"/>
                <c:pt idx="0">
                  <c:v>2022-Presupuesto</c:v>
                </c:pt>
              </c:strCache>
            </c:strRef>
          </c:tx>
          <c:spPr>
            <a:ln w="22225" cap="rnd">
              <a:solidFill>
                <a:srgbClr val="FF0000"/>
              </a:solidFill>
              <a:round/>
            </a:ln>
            <a:effectLst/>
          </c:spPr>
          <c:marker>
            <c:symbol val="diamond"/>
            <c:size val="5"/>
            <c:spPr>
              <a:solidFill>
                <a:schemeClr val="bg1"/>
              </a:solidFill>
              <a:ln w="15875">
                <a:solidFill>
                  <a:srgbClr val="FF0000"/>
                </a:solidFill>
                <a:round/>
              </a:ln>
              <a:effectLst/>
            </c:spPr>
          </c:marker>
          <c:dLbls>
            <c:dLbl>
              <c:idx val="0"/>
              <c:layout>
                <c:manualLayout>
                  <c:x val="-0.11358975811476806"/>
                  <c:y val="0"/>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9214-4435-889C-3D09CC25FAF5}"/>
                </c:ext>
              </c:extLst>
            </c:dLbl>
            <c:dLbl>
              <c:idx val="1"/>
              <c:layout>
                <c:manualLayout>
                  <c:x val="0.12429445840457398"/>
                  <c:y val="-7.6493617725980109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8-9214-4435-889C-3D09CC25FAF5}"/>
                </c:ext>
              </c:extLst>
            </c:dLbl>
            <c:dLbl>
              <c:idx val="2"/>
              <c:layout>
                <c:manualLayout>
                  <c:x val="8.2546905721055788E-2"/>
                  <c:y val="1.0974457966004271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9214-4435-889C-3D09CC25FAF5}"/>
                </c:ext>
              </c:extLst>
            </c:dLbl>
            <c:dLbl>
              <c:idx val="3"/>
              <c:layout>
                <c:manualLayout>
                  <c:x val="0.10047146069872701"/>
                  <c:y val="9.8586920801840283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A-9214-4435-889C-3D09CC25FAF5}"/>
                </c:ext>
              </c:extLst>
            </c:dLbl>
            <c:dLbl>
              <c:idx val="4"/>
              <c:layout>
                <c:manualLayout>
                  <c:x val="-7.7331356414354997E-3"/>
                  <c:y val="0.10840990861543756"/>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B-9214-4435-889C-3D09CC25FAF5}"/>
                </c:ext>
              </c:extLst>
            </c:dLbl>
            <c:dLbl>
              <c:idx val="5"/>
              <c:layout>
                <c:manualLayout>
                  <c:x val="-7.30717035409673E-2"/>
                  <c:y val="-0.15727892407609634"/>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C-9214-4435-889C-3D09CC25FAF5}"/>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1"/>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rgbClr val="FF0000"/>
                      </a:solidFill>
                      <a:prstDash val="sysDot"/>
                      <a:round/>
                    </a:ln>
                    <a:effectLst/>
                  </c:spPr>
                </c15:leaderLines>
              </c:ext>
            </c:extLst>
          </c:dLbls>
          <c:cat>
            <c:strRef>
              <c:f>Hoja1!$A$2:$A$7</c:f>
              <c:strCache>
                <c:ptCount val="6"/>
                <c:pt idx="0">
                  <c:v>IVA imp</c:v>
                </c:pt>
                <c:pt idx="1">
                  <c:v>Los demás</c:v>
                </c:pt>
                <c:pt idx="2">
                  <c:v>Petróleo</c:v>
                </c:pt>
                <c:pt idx="3">
                  <c:v>ISO</c:v>
                </c:pt>
                <c:pt idx="4">
                  <c:v>ISR</c:v>
                </c:pt>
                <c:pt idx="5">
                  <c:v>IVA dom</c:v>
                </c:pt>
              </c:strCache>
            </c:strRef>
          </c:cat>
          <c:val>
            <c:numRef>
              <c:f>Hoja1!$C$2:$C$7</c:f>
              <c:numCache>
                <c:formatCode>#,##0.0</c:formatCode>
                <c:ptCount val="6"/>
                <c:pt idx="0">
                  <c:v>5747.5781234100141</c:v>
                </c:pt>
                <c:pt idx="1">
                  <c:v>1306.7191021042952</c:v>
                </c:pt>
                <c:pt idx="2">
                  <c:v>-7.8299057900035223</c:v>
                </c:pt>
                <c:pt idx="3">
                  <c:v>513.04734688999997</c:v>
                </c:pt>
                <c:pt idx="4">
                  <c:v>3467.9047995000001</c:v>
                </c:pt>
                <c:pt idx="5">
                  <c:v>1236.7390552500001</c:v>
                </c:pt>
              </c:numCache>
            </c:numRef>
          </c:val>
          <c:extLst>
            <c:ext xmlns:c16="http://schemas.microsoft.com/office/drawing/2014/chart" uri="{C3380CC4-5D6E-409C-BE32-E72D297353CC}">
              <c16:uniqueId val="{0000000D-9214-4435-889C-3D09CC25FAF5}"/>
            </c:ext>
          </c:extLst>
        </c:ser>
        <c:dLbls>
          <c:showLegendKey val="0"/>
          <c:showVal val="0"/>
          <c:showCatName val="0"/>
          <c:showSerName val="0"/>
          <c:showPercent val="0"/>
          <c:showBubbleSize val="0"/>
        </c:dLbls>
        <c:axId val="717364616"/>
        <c:axId val="717367568"/>
      </c:radarChart>
      <c:catAx>
        <c:axId val="717364616"/>
        <c:scaling>
          <c:orientation val="minMax"/>
        </c:scaling>
        <c:delete val="1"/>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crossAx val="717367568"/>
        <c:crosses val="autoZero"/>
        <c:auto val="1"/>
        <c:lblAlgn val="ctr"/>
        <c:lblOffset val="100"/>
        <c:noMultiLvlLbl val="1"/>
      </c:catAx>
      <c:valAx>
        <c:axId val="717367568"/>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0"/>
        <c:majorTickMark val="none"/>
        <c:minorTickMark val="none"/>
        <c:tickLblPos val="low"/>
        <c:spPr>
          <a:noFill/>
          <a:ln>
            <a:noFill/>
          </a:ln>
          <a:effectLst/>
        </c:spPr>
        <c:txPr>
          <a:bodyPr rot="-60000000" spcFirstLastPara="1" vertOverflow="ellipsis" vert="horz" wrap="square" anchor="ctr" anchorCtr="1"/>
          <a:lstStyle/>
          <a:p>
            <a:pPr>
              <a:defRPr sz="5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717364616"/>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60969189385342926"/>
          <c:y val="0.8787553496176933"/>
          <c:w val="0.22449488985786067"/>
          <c:h val="0.121009862804641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es-GT"/>
    </a:p>
  </c:txPr>
  <c:externalData r:id="rId4">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0"/>
          <c:w val="1"/>
          <c:h val="0.86239282589676292"/>
        </c:manualLayout>
      </c:layout>
      <c:barChart>
        <c:barDir val="col"/>
        <c:grouping val="clustered"/>
        <c:varyColors val="0"/>
        <c:ser>
          <c:idx val="3"/>
          <c:order val="3"/>
          <c:tx>
            <c:strRef>
              <c:f>Hoja1!$E$1</c:f>
              <c:strCache>
                <c:ptCount val="1"/>
                <c:pt idx="0">
                  <c:v>2021</c:v>
                </c:pt>
              </c:strCache>
            </c:strRef>
          </c:tx>
          <c:spPr>
            <a:solidFill>
              <a:schemeClr val="accent2">
                <a:lumMod val="75000"/>
              </a:schemeClr>
            </a:solidFill>
            <a:ln w="12700">
              <a:solidFill>
                <a:schemeClr val="tx1"/>
              </a:solidFill>
              <a:prstDash val="sysDash"/>
            </a:ln>
            <a:effectLst/>
          </c:spPr>
          <c:invertIfNegative val="0"/>
          <c:dLbls>
            <c:dLbl>
              <c:idx val="0"/>
              <c:layout>
                <c:manualLayout>
                  <c:x val="-2.314814814814814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0C4-4C7A-BA1F-24CEE93089CA}"/>
                </c:ext>
              </c:extLst>
            </c:dLbl>
            <c:dLbl>
              <c:idx val="1"/>
              <c:layout>
                <c:manualLayout>
                  <c:x val="-6.944444444444444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0C4-4C7A-BA1F-24CEE93089CA}"/>
                </c:ext>
              </c:extLst>
            </c:dLbl>
            <c:dLbl>
              <c:idx val="2"/>
              <c:layout>
                <c:manualLayout>
                  <c:x val="-6.9444444444444657E-3"/>
                  <c:y val="-2.38095238095238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0C4-4C7A-BA1F-24CEE93089CA}"/>
                </c:ext>
              </c:extLst>
            </c:dLbl>
            <c:dLbl>
              <c:idx val="3"/>
              <c:layout>
                <c:manualLayout>
                  <c:x val="-4.6296296296296294E-3"/>
                  <c:y val="7.936507936507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0C4-4C7A-BA1F-24CEE93089CA}"/>
                </c:ext>
              </c:extLst>
            </c:dLbl>
            <c:dLbl>
              <c:idx val="4"/>
              <c:layout>
                <c:manualLayout>
                  <c:x val="-9.259259259259302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0C4-4C7A-BA1F-24CEE93089CA}"/>
                </c:ext>
              </c:extLst>
            </c:dLbl>
            <c:dLbl>
              <c:idx val="6"/>
              <c:layout>
                <c:manualLayout>
                  <c:x val="-9.259259259259343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0C4-4C7A-BA1F-24CEE93089CA}"/>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2">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Hoja1!$E$2:$E$13</c:f>
              <c:numCache>
                <c:formatCode>0.0</c:formatCode>
                <c:ptCount val="12"/>
                <c:pt idx="0">
                  <c:v>3.7189413058487304</c:v>
                </c:pt>
                <c:pt idx="1">
                  <c:v>6.1267370575853732</c:v>
                </c:pt>
                <c:pt idx="2">
                  <c:v>1.9518107242856928</c:v>
                </c:pt>
                <c:pt idx="3">
                  <c:v>11.31040113518587</c:v>
                </c:pt>
                <c:pt idx="4">
                  <c:v>6.3930371872600773</c:v>
                </c:pt>
                <c:pt idx="5">
                  <c:v>0.38854905082506264</c:v>
                </c:pt>
                <c:pt idx="6">
                  <c:v>1.4992457432228861</c:v>
                </c:pt>
                <c:pt idx="7">
                  <c:v>-1.4193223500163015</c:v>
                </c:pt>
                <c:pt idx="8">
                  <c:v>-4.3420352501965027</c:v>
                </c:pt>
                <c:pt idx="9">
                  <c:v>-5.6943807513343216</c:v>
                </c:pt>
                <c:pt idx="10">
                  <c:v>-3.3547814445017821</c:v>
                </c:pt>
                <c:pt idx="11">
                  <c:v>-3.7028426386675619</c:v>
                </c:pt>
              </c:numCache>
            </c:numRef>
          </c:val>
          <c:extLst>
            <c:ext xmlns:c16="http://schemas.microsoft.com/office/drawing/2014/chart" uri="{C3380CC4-5D6E-409C-BE32-E72D297353CC}">
              <c16:uniqueId val="{00000006-60C4-4C7A-BA1F-24CEE93089CA}"/>
            </c:ext>
          </c:extLst>
        </c:ser>
        <c:ser>
          <c:idx val="4"/>
          <c:order val="4"/>
          <c:tx>
            <c:strRef>
              <c:f>Hoja1!$F$1</c:f>
              <c:strCache>
                <c:ptCount val="1"/>
                <c:pt idx="0">
                  <c:v>2022</c:v>
                </c:pt>
              </c:strCache>
            </c:strRef>
          </c:tx>
          <c:spPr>
            <a:solidFill>
              <a:schemeClr val="accent5">
                <a:lumMod val="75000"/>
              </a:schemeClr>
            </a:solidFill>
            <a:ln w="12700">
              <a:solidFill>
                <a:schemeClr val="tx1"/>
              </a:solidFill>
              <a:prstDash val="sysDash"/>
            </a:ln>
            <a:effectLst/>
          </c:spPr>
          <c:invertIfNegative val="0"/>
          <c:dLbls>
            <c:dLbl>
              <c:idx val="11"/>
              <c:layout>
                <c:manualLayout>
                  <c:x val="2.3148148148146451E-3"/>
                  <c:y val="-1.984126984126984E-2"/>
                </c:manualLayout>
              </c:layout>
              <c:spPr>
                <a:solidFill>
                  <a:schemeClr val="accent5">
                    <a:lumMod val="5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0C4-4C7A-BA1F-24CEE93089C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5">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Hoja1!$F$2:$F$13</c:f>
              <c:numCache>
                <c:formatCode>0.0</c:formatCode>
                <c:ptCount val="12"/>
                <c:pt idx="0">
                  <c:v>9.5136409548139795</c:v>
                </c:pt>
                <c:pt idx="1">
                  <c:v>17.328752165433642</c:v>
                </c:pt>
                <c:pt idx="2">
                  <c:v>19.685141533238919</c:v>
                </c:pt>
                <c:pt idx="3">
                  <c:v>12.472865890464078</c:v>
                </c:pt>
                <c:pt idx="4">
                  <c:v>14.566464186412389</c:v>
                </c:pt>
                <c:pt idx="5">
                  <c:v>15.508254865892113</c:v>
                </c:pt>
                <c:pt idx="6">
                  <c:v>14.817577312031858</c:v>
                </c:pt>
                <c:pt idx="7">
                  <c:v>15.640396419967857</c:v>
                </c:pt>
                <c:pt idx="8">
                  <c:v>17.259325689435741</c:v>
                </c:pt>
                <c:pt idx="9">
                  <c:v>19.909327117635243</c:v>
                </c:pt>
                <c:pt idx="10">
                  <c:v>17.878039287757062</c:v>
                </c:pt>
                <c:pt idx="11">
                  <c:v>17.387336334131945</c:v>
                </c:pt>
              </c:numCache>
            </c:numRef>
          </c:val>
          <c:extLst>
            <c:ext xmlns:c16="http://schemas.microsoft.com/office/drawing/2014/chart" uri="{C3380CC4-5D6E-409C-BE32-E72D297353CC}">
              <c16:uniqueId val="{00000008-60C4-4C7A-BA1F-24CEE93089CA}"/>
            </c:ext>
          </c:extLst>
        </c:ser>
        <c:dLbls>
          <c:showLegendKey val="0"/>
          <c:showVal val="0"/>
          <c:showCatName val="0"/>
          <c:showSerName val="0"/>
          <c:showPercent val="0"/>
          <c:showBubbleSize val="0"/>
        </c:dLbls>
        <c:gapWidth val="89"/>
        <c:axId val="1634954304"/>
        <c:axId val="1634955552"/>
      </c:barChart>
      <c:lineChart>
        <c:grouping val="standard"/>
        <c:varyColors val="0"/>
        <c:ser>
          <c:idx val="0"/>
          <c:order val="0"/>
          <c:tx>
            <c:strRef>
              <c:f>Hoja1!$B$1</c:f>
              <c:strCache>
                <c:ptCount val="1"/>
                <c:pt idx="0">
                  <c:v>2018</c:v>
                </c:pt>
              </c:strCache>
            </c:strRef>
          </c:tx>
          <c:spPr>
            <a:ln w="28575" cap="rnd" cmpd="dbl">
              <a:solidFill>
                <a:schemeClr val="accent1"/>
              </a:solidFill>
              <a:round/>
            </a:ln>
            <a:effectLst/>
          </c:spPr>
          <c:marker>
            <c:symbol val="none"/>
          </c:marker>
          <c:cat>
            <c:strRef>
              <c:f>Hoja1!$A$2:$A$13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Hoja1!$B$2:$B$13</c:f>
              <c:numCache>
                <c:formatCode>0.0</c:formatCode>
                <c:ptCount val="12"/>
                <c:pt idx="0">
                  <c:v>1.7</c:v>
                </c:pt>
                <c:pt idx="1">
                  <c:v>3.2</c:v>
                </c:pt>
                <c:pt idx="2">
                  <c:v>3.2</c:v>
                </c:pt>
                <c:pt idx="3">
                  <c:v>3.9</c:v>
                </c:pt>
                <c:pt idx="4">
                  <c:v>3.6</c:v>
                </c:pt>
                <c:pt idx="5">
                  <c:v>7</c:v>
                </c:pt>
                <c:pt idx="6">
                  <c:v>7.4</c:v>
                </c:pt>
                <c:pt idx="7">
                  <c:v>8.5</c:v>
                </c:pt>
                <c:pt idx="8">
                  <c:v>8.4</c:v>
                </c:pt>
                <c:pt idx="9">
                  <c:v>8.6999999999999993</c:v>
                </c:pt>
                <c:pt idx="10">
                  <c:v>9.8000000000000007</c:v>
                </c:pt>
                <c:pt idx="11">
                  <c:v>8.1</c:v>
                </c:pt>
              </c:numCache>
            </c:numRef>
          </c:val>
          <c:smooth val="1"/>
          <c:extLst>
            <c:ext xmlns:c16="http://schemas.microsoft.com/office/drawing/2014/chart" uri="{C3380CC4-5D6E-409C-BE32-E72D297353CC}">
              <c16:uniqueId val="{00000009-60C4-4C7A-BA1F-24CEE93089CA}"/>
            </c:ext>
          </c:extLst>
        </c:ser>
        <c:ser>
          <c:idx val="1"/>
          <c:order val="1"/>
          <c:tx>
            <c:strRef>
              <c:f>Hoja1!$C$1</c:f>
              <c:strCache>
                <c:ptCount val="1"/>
                <c:pt idx="0">
                  <c:v>2019</c:v>
                </c:pt>
              </c:strCache>
            </c:strRef>
          </c:tx>
          <c:spPr>
            <a:ln w="28575" cap="rnd">
              <a:solidFill>
                <a:schemeClr val="accent2"/>
              </a:solidFill>
              <a:prstDash val="sysDash"/>
              <a:round/>
            </a:ln>
            <a:effectLst/>
          </c:spPr>
          <c:marker>
            <c:symbol val="none"/>
          </c:marker>
          <c:cat>
            <c:strRef>
              <c:f>Hoja1!$A$2:$A$13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Hoja1!$C$2:$C$13</c:f>
              <c:numCache>
                <c:formatCode>0.0</c:formatCode>
                <c:ptCount val="12"/>
                <c:pt idx="0">
                  <c:v>20.7</c:v>
                </c:pt>
                <c:pt idx="1">
                  <c:v>17.600000000000001</c:v>
                </c:pt>
                <c:pt idx="2">
                  <c:v>18.2</c:v>
                </c:pt>
                <c:pt idx="3">
                  <c:v>20.7</c:v>
                </c:pt>
                <c:pt idx="4">
                  <c:v>17.600000000000001</c:v>
                </c:pt>
                <c:pt idx="5">
                  <c:v>16.5</c:v>
                </c:pt>
                <c:pt idx="6">
                  <c:v>14</c:v>
                </c:pt>
                <c:pt idx="7">
                  <c:v>13.1</c:v>
                </c:pt>
                <c:pt idx="8">
                  <c:v>13.2</c:v>
                </c:pt>
                <c:pt idx="9">
                  <c:v>13.1</c:v>
                </c:pt>
                <c:pt idx="10">
                  <c:v>11.4</c:v>
                </c:pt>
                <c:pt idx="11">
                  <c:v>9.8000000000000007</c:v>
                </c:pt>
              </c:numCache>
            </c:numRef>
          </c:val>
          <c:smooth val="1"/>
          <c:extLst>
            <c:ext xmlns:c16="http://schemas.microsoft.com/office/drawing/2014/chart" uri="{C3380CC4-5D6E-409C-BE32-E72D297353CC}">
              <c16:uniqueId val="{0000000A-60C4-4C7A-BA1F-24CEE93089CA}"/>
            </c:ext>
          </c:extLst>
        </c:ser>
        <c:ser>
          <c:idx val="2"/>
          <c:order val="2"/>
          <c:tx>
            <c:strRef>
              <c:f>Hoja1!$D$1</c:f>
              <c:strCache>
                <c:ptCount val="1"/>
                <c:pt idx="0">
                  <c:v>2020</c:v>
                </c:pt>
              </c:strCache>
            </c:strRef>
          </c:tx>
          <c:spPr>
            <a:ln w="28575" cap="rnd">
              <a:solidFill>
                <a:schemeClr val="accent3"/>
              </a:solidFill>
              <a:round/>
            </a:ln>
            <a:effectLst/>
          </c:spPr>
          <c:marker>
            <c:symbol val="none"/>
          </c:marker>
          <c:dLbls>
            <c:dLbl>
              <c:idx val="11"/>
              <c:layout>
                <c:manualLayout>
                  <c:x val="-5.3240740740740741E-2"/>
                  <c:y val="1.984126984126984E-2"/>
                </c:manualLayout>
              </c:layout>
              <c:spPr>
                <a:solidFill>
                  <a:schemeClr val="accent3">
                    <a:lumMod val="75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0C4-4C7A-BA1F-24CEE93089C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Hoja1!$D$2:$D$13</c:f>
              <c:numCache>
                <c:formatCode>0.0</c:formatCode>
                <c:ptCount val="12"/>
                <c:pt idx="0">
                  <c:v>4.8191861258905817</c:v>
                </c:pt>
                <c:pt idx="1">
                  <c:v>9.5655130970186519E-2</c:v>
                </c:pt>
                <c:pt idx="2">
                  <c:v>2.3974325379896584</c:v>
                </c:pt>
                <c:pt idx="3">
                  <c:v>-1.9848700717106169</c:v>
                </c:pt>
                <c:pt idx="4">
                  <c:v>4.2224631181484256</c:v>
                </c:pt>
                <c:pt idx="5">
                  <c:v>9.0680434021580965</c:v>
                </c:pt>
                <c:pt idx="6">
                  <c:v>10.232293442045986</c:v>
                </c:pt>
                <c:pt idx="7">
                  <c:v>12.533229099769343</c:v>
                </c:pt>
                <c:pt idx="8">
                  <c:v>14.872198669992656</c:v>
                </c:pt>
                <c:pt idx="9">
                  <c:v>14.678379762438269</c:v>
                </c:pt>
                <c:pt idx="10">
                  <c:v>15.472802612662733</c:v>
                </c:pt>
                <c:pt idx="11">
                  <c:v>17.151091678742532</c:v>
                </c:pt>
              </c:numCache>
            </c:numRef>
          </c:val>
          <c:smooth val="1"/>
          <c:extLst>
            <c:ext xmlns:c16="http://schemas.microsoft.com/office/drawing/2014/chart" uri="{C3380CC4-5D6E-409C-BE32-E72D297353CC}">
              <c16:uniqueId val="{0000000C-60C4-4C7A-BA1F-24CEE93089CA}"/>
            </c:ext>
          </c:extLst>
        </c:ser>
        <c:dLbls>
          <c:showLegendKey val="0"/>
          <c:showVal val="0"/>
          <c:showCatName val="0"/>
          <c:showSerName val="0"/>
          <c:showPercent val="0"/>
          <c:showBubbleSize val="0"/>
        </c:dLbls>
        <c:marker val="1"/>
        <c:smooth val="0"/>
        <c:axId val="1634954304"/>
        <c:axId val="1634955552"/>
      </c:lineChart>
      <c:catAx>
        <c:axId val="163495430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34955552"/>
        <c:crosses val="autoZero"/>
        <c:auto val="1"/>
        <c:lblAlgn val="ctr"/>
        <c:lblOffset val="100"/>
        <c:noMultiLvlLbl val="0"/>
      </c:catAx>
      <c:valAx>
        <c:axId val="1634955552"/>
        <c:scaling>
          <c:orientation val="minMax"/>
          <c:min val="-10"/>
        </c:scaling>
        <c:delete val="1"/>
        <c:axPos val="l"/>
        <c:numFmt formatCode="0.0" sourceLinked="1"/>
        <c:majorTickMark val="none"/>
        <c:minorTickMark val="none"/>
        <c:tickLblPos val="nextTo"/>
        <c:crossAx val="16349543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3">
    <c:autoUpdate val="0"/>
  </c:externalData>
  <c:userShapes r:id="rId4"/>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1692913385826773E-2"/>
          <c:y val="7.5396825396825393E-2"/>
          <c:w val="0.92284412365121027"/>
          <c:h val="0.59454661917260354"/>
        </c:manualLayout>
      </c:layout>
      <c:barChart>
        <c:barDir val="col"/>
        <c:grouping val="clustered"/>
        <c:varyColors val="0"/>
        <c:ser>
          <c:idx val="1"/>
          <c:order val="1"/>
          <c:tx>
            <c:strRef>
              <c:f>Hoja1!$C$1</c:f>
              <c:strCache>
                <c:ptCount val="1"/>
                <c:pt idx="0">
                  <c:v>2022</c:v>
                </c:pt>
              </c:strCache>
            </c:strRef>
          </c:tx>
          <c:spPr>
            <a:solidFill>
              <a:schemeClr val="tx2">
                <a:lumMod val="75000"/>
              </a:schemeClr>
            </a:solidFill>
            <a:ln>
              <a:solidFill>
                <a:schemeClr val="tx1"/>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Hoja1!$A$2:$A$20</c:f>
              <c:strCache>
                <c:ptCount val="19"/>
                <c:pt idx="0">
                  <c:v>Defensa </c:v>
                </c:pt>
                <c:pt idx="1">
                  <c:v>MINREX</c:v>
                </c:pt>
                <c:pt idx="2">
                  <c:v>Energía</c:v>
                </c:pt>
                <c:pt idx="3">
                  <c:v>Deuda Pública</c:v>
                </c:pt>
                <c:pt idx="4">
                  <c:v>Desarrollo</c:v>
                </c:pt>
                <c:pt idx="5">
                  <c:v>Finanzas</c:v>
                </c:pt>
                <c:pt idx="6">
                  <c:v>Educación </c:v>
                </c:pt>
                <c:pt idx="7">
                  <c:v>Presidencia</c:v>
                </c:pt>
                <c:pt idx="8">
                  <c:v>Gobernación</c:v>
                </c:pt>
                <c:pt idx="9">
                  <c:v>PGN</c:v>
                </c:pt>
                <c:pt idx="10">
                  <c:v>Trabajo </c:v>
                </c:pt>
                <c:pt idx="11">
                  <c:v>Economía</c:v>
                </c:pt>
                <c:pt idx="12">
                  <c:v>Obligaciones </c:v>
                </c:pt>
                <c:pt idx="13">
                  <c:v>Agricultura</c:v>
                </c:pt>
                <c:pt idx="14">
                  <c:v>Secretarías</c:v>
                </c:pt>
                <c:pt idx="15">
                  <c:v>Salud Pública </c:v>
                </c:pt>
                <c:pt idx="16">
                  <c:v>Ambiente </c:v>
                </c:pt>
                <c:pt idx="17">
                  <c:v>Comunicaciones</c:v>
                </c:pt>
                <c:pt idx="18">
                  <c:v>Cultura</c:v>
                </c:pt>
              </c:strCache>
            </c:strRef>
          </c:cat>
          <c:val>
            <c:numRef>
              <c:f>Hoja1!$C$2:$C$20</c:f>
              <c:numCache>
                <c:formatCode>0.0</c:formatCode>
                <c:ptCount val="19"/>
                <c:pt idx="0">
                  <c:v>99.901943238513269</c:v>
                </c:pt>
                <c:pt idx="1">
                  <c:v>99.339719145140435</c:v>
                </c:pt>
                <c:pt idx="2">
                  <c:v>99.283627583195383</c:v>
                </c:pt>
                <c:pt idx="3">
                  <c:v>98.873106489681277</c:v>
                </c:pt>
                <c:pt idx="4">
                  <c:v>98.724463768835733</c:v>
                </c:pt>
                <c:pt idx="5">
                  <c:v>98.596895047835858</c:v>
                </c:pt>
                <c:pt idx="6">
                  <c:v>98.329588689533026</c:v>
                </c:pt>
                <c:pt idx="7">
                  <c:v>97.717764256023003</c:v>
                </c:pt>
                <c:pt idx="8">
                  <c:v>97.148141158024359</c:v>
                </c:pt>
                <c:pt idx="9">
                  <c:v>97.028727639472038</c:v>
                </c:pt>
                <c:pt idx="10">
                  <c:v>96.443992309870794</c:v>
                </c:pt>
                <c:pt idx="11">
                  <c:v>96.280471554112808</c:v>
                </c:pt>
                <c:pt idx="12">
                  <c:v>95.875810380952615</c:v>
                </c:pt>
                <c:pt idx="13">
                  <c:v>95.27586520598274</c:v>
                </c:pt>
                <c:pt idx="14">
                  <c:v>93.381802763182336</c:v>
                </c:pt>
                <c:pt idx="15">
                  <c:v>93.220377181163329</c:v>
                </c:pt>
                <c:pt idx="16">
                  <c:v>93.083426184839368</c:v>
                </c:pt>
                <c:pt idx="17">
                  <c:v>89.528860005152225</c:v>
                </c:pt>
                <c:pt idx="18">
                  <c:v>88.174685107132859</c:v>
                </c:pt>
              </c:numCache>
            </c:numRef>
          </c:val>
          <c:extLst>
            <c:ext xmlns:c16="http://schemas.microsoft.com/office/drawing/2014/chart" uri="{C3380CC4-5D6E-409C-BE32-E72D297353CC}">
              <c16:uniqueId val="{00000000-0164-46D3-80F9-6DF1030C8058}"/>
            </c:ext>
          </c:extLst>
        </c:ser>
        <c:dLbls>
          <c:showLegendKey val="0"/>
          <c:showVal val="0"/>
          <c:showCatName val="0"/>
          <c:showSerName val="0"/>
          <c:showPercent val="0"/>
          <c:showBubbleSize val="0"/>
        </c:dLbls>
        <c:gapWidth val="62"/>
        <c:overlap val="-27"/>
        <c:axId val="1629366847"/>
        <c:axId val="1629366431"/>
      </c:barChart>
      <c:lineChart>
        <c:grouping val="standard"/>
        <c:varyColors val="0"/>
        <c:ser>
          <c:idx val="0"/>
          <c:order val="0"/>
          <c:tx>
            <c:strRef>
              <c:f>Hoja1!$B$1</c:f>
              <c:strCache>
                <c:ptCount val="1"/>
                <c:pt idx="0">
                  <c:v>2021</c:v>
                </c:pt>
              </c:strCache>
            </c:strRef>
          </c:tx>
          <c:spPr>
            <a:ln w="28575" cap="rnd">
              <a:noFill/>
              <a:round/>
            </a:ln>
            <a:effectLst/>
          </c:spPr>
          <c:marker>
            <c:symbol val="circle"/>
            <c:size val="17"/>
            <c:spPr>
              <a:solidFill>
                <a:schemeClr val="accent5">
                  <a:lumMod val="40000"/>
                  <a:lumOff val="60000"/>
                </a:schemeClr>
              </a:solidFill>
              <a:ln w="9525">
                <a:solidFill>
                  <a:schemeClr val="accent1"/>
                </a:solidFill>
              </a:ln>
              <a:effectLst/>
            </c:spPr>
          </c:marker>
          <c:dLbls>
            <c:dLbl>
              <c:idx val="0"/>
              <c:layout>
                <c:manualLayout>
                  <c:x val="-5.092592592592593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164-46D3-80F9-6DF1030C8058}"/>
                </c:ext>
              </c:extLst>
            </c:dLbl>
            <c:dLbl>
              <c:idx val="1"/>
              <c:layout>
                <c:manualLayout>
                  <c:x val="-5.0925925925925923E-2"/>
                  <c:y val="-3.9682539682539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164-46D3-80F9-6DF1030C8058}"/>
                </c:ext>
              </c:extLst>
            </c:dLbl>
            <c:dLbl>
              <c:idx val="2"/>
              <c:layout>
                <c:manualLayout>
                  <c:x val="-4.861111111111111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164-46D3-80F9-6DF1030C8058}"/>
                </c:ext>
              </c:extLst>
            </c:dLbl>
            <c:dLbl>
              <c:idx val="3"/>
              <c:layout>
                <c:manualLayout>
                  <c:x val="-4.861111111111111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164-46D3-80F9-6DF1030C8058}"/>
                </c:ext>
              </c:extLst>
            </c:dLbl>
            <c:dLbl>
              <c:idx val="4"/>
              <c:layout>
                <c:manualLayout>
                  <c:x val="-4.8611111111111112E-2"/>
                  <c:y val="9.0938102914428524E-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164-46D3-80F9-6DF1030C8058}"/>
                </c:ext>
              </c:extLst>
            </c:dLbl>
            <c:dLbl>
              <c:idx val="5"/>
              <c:layout>
                <c:manualLayout>
                  <c:x val="-5.092592592592588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164-46D3-80F9-6DF1030C8058}"/>
                </c:ext>
              </c:extLst>
            </c:dLbl>
            <c:dLbl>
              <c:idx val="6"/>
              <c:layout>
                <c:manualLayout>
                  <c:x val="-4.861111111111107E-2"/>
                  <c:y val="-9.0938102914428524E-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164-46D3-80F9-6DF1030C8058}"/>
                </c:ext>
              </c:extLst>
            </c:dLbl>
            <c:dLbl>
              <c:idx val="7"/>
              <c:layout>
                <c:manualLayout>
                  <c:x val="-5.0925925925925923E-2"/>
                  <c:y val="-3.9682539682539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164-46D3-80F9-6DF1030C8058}"/>
                </c:ext>
              </c:extLst>
            </c:dLbl>
            <c:dLbl>
              <c:idx val="8"/>
              <c:layout>
                <c:manualLayout>
                  <c:x val="-4.8611111111111112E-2"/>
                  <c:y val="-1.818762058288570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164-46D3-80F9-6DF1030C8058}"/>
                </c:ext>
              </c:extLst>
            </c:dLbl>
            <c:dLbl>
              <c:idx val="9"/>
              <c:layout>
                <c:manualLayout>
                  <c:x val="-4.8611111111111112E-2"/>
                  <c:y val="-3.9682539682539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164-46D3-80F9-6DF1030C8058}"/>
                </c:ext>
              </c:extLst>
            </c:dLbl>
            <c:dLbl>
              <c:idx val="10"/>
              <c:layout>
                <c:manualLayout>
                  <c:x val="-5.092592592592592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164-46D3-80F9-6DF1030C8058}"/>
                </c:ext>
              </c:extLst>
            </c:dLbl>
            <c:dLbl>
              <c:idx val="11"/>
              <c:layout>
                <c:manualLayout>
                  <c:x val="-4.861111111111119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164-46D3-80F9-6DF1030C8058}"/>
                </c:ext>
              </c:extLst>
            </c:dLbl>
            <c:dLbl>
              <c:idx val="12"/>
              <c:layout>
                <c:manualLayout>
                  <c:x val="-4.861111111111111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164-46D3-80F9-6DF1030C8058}"/>
                </c:ext>
              </c:extLst>
            </c:dLbl>
            <c:dLbl>
              <c:idx val="13"/>
              <c:layout>
                <c:manualLayout>
                  <c:x val="-5.0925925925926013E-2"/>
                  <c:y val="-1.818762058288570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164-46D3-80F9-6DF1030C8058}"/>
                </c:ext>
              </c:extLst>
            </c:dLbl>
            <c:dLbl>
              <c:idx val="14"/>
              <c:layout>
                <c:manualLayout>
                  <c:x val="-4.861111111111102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164-46D3-80F9-6DF1030C8058}"/>
                </c:ext>
              </c:extLst>
            </c:dLbl>
            <c:dLbl>
              <c:idx val="15"/>
              <c:layout>
                <c:manualLayout>
                  <c:x val="-4.8611111111111112E-2"/>
                  <c:y val="-3.968253968253986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164-46D3-80F9-6DF1030C8058}"/>
                </c:ext>
              </c:extLst>
            </c:dLbl>
            <c:dLbl>
              <c:idx val="16"/>
              <c:layout>
                <c:manualLayout>
                  <c:x val="-5.0925925925926097E-2"/>
                  <c:y val="-9.0938102914428524E-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164-46D3-80F9-6DF1030C8058}"/>
                </c:ext>
              </c:extLst>
            </c:dLbl>
            <c:dLbl>
              <c:idx val="17"/>
              <c:layout>
                <c:manualLayout>
                  <c:x val="-4.861111111111127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164-46D3-80F9-6DF1030C8058}"/>
                </c:ext>
              </c:extLst>
            </c:dLbl>
            <c:dLbl>
              <c:idx val="18"/>
              <c:layout>
                <c:manualLayout>
                  <c:x val="-9.2592592592594287E-3"/>
                  <c:y val="-1.818762058288570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0164-46D3-80F9-6DF1030C8058}"/>
                </c:ext>
              </c:extLst>
            </c:dLbl>
            <c:spPr>
              <a:noFill/>
              <a:ln>
                <a:noFill/>
              </a:ln>
              <a:effectLst/>
            </c:spPr>
            <c:txPr>
              <a:bodyPr rot="0" spcFirstLastPara="1" vertOverflow="ellipsis" vert="horz" wrap="square" lIns="38100" tIns="19050" rIns="38100" bIns="19050" anchor="ctr" anchorCtr="1">
                <a:spAutoFit/>
              </a:bodyPr>
              <a:lstStyle/>
              <a:p>
                <a:pPr>
                  <a:defRPr sz="7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Hoja1!$A$2:$A$20</c:f>
              <c:strCache>
                <c:ptCount val="19"/>
                <c:pt idx="0">
                  <c:v>Defensa </c:v>
                </c:pt>
                <c:pt idx="1">
                  <c:v>MINREX</c:v>
                </c:pt>
                <c:pt idx="2">
                  <c:v>Energía</c:v>
                </c:pt>
                <c:pt idx="3">
                  <c:v>Deuda Pública</c:v>
                </c:pt>
                <c:pt idx="4">
                  <c:v>Desarrollo</c:v>
                </c:pt>
                <c:pt idx="5">
                  <c:v>Finanzas</c:v>
                </c:pt>
                <c:pt idx="6">
                  <c:v>Educación </c:v>
                </c:pt>
                <c:pt idx="7">
                  <c:v>Presidencia</c:v>
                </c:pt>
                <c:pt idx="8">
                  <c:v>Gobernación</c:v>
                </c:pt>
                <c:pt idx="9">
                  <c:v>PGN</c:v>
                </c:pt>
                <c:pt idx="10">
                  <c:v>Trabajo </c:v>
                </c:pt>
                <c:pt idx="11">
                  <c:v>Economía</c:v>
                </c:pt>
                <c:pt idx="12">
                  <c:v>Obligaciones </c:v>
                </c:pt>
                <c:pt idx="13">
                  <c:v>Agricultura</c:v>
                </c:pt>
                <c:pt idx="14">
                  <c:v>Secretarías</c:v>
                </c:pt>
                <c:pt idx="15">
                  <c:v>Salud Pública </c:v>
                </c:pt>
                <c:pt idx="16">
                  <c:v>Ambiente </c:v>
                </c:pt>
                <c:pt idx="17">
                  <c:v>Comunicaciones</c:v>
                </c:pt>
                <c:pt idx="18">
                  <c:v>Cultura</c:v>
                </c:pt>
              </c:strCache>
            </c:strRef>
          </c:cat>
          <c:val>
            <c:numRef>
              <c:f>Hoja1!$B$2:$B$20</c:f>
              <c:numCache>
                <c:formatCode>0.0</c:formatCode>
                <c:ptCount val="19"/>
                <c:pt idx="0">
                  <c:v>99.184967258232902</c:v>
                </c:pt>
                <c:pt idx="1">
                  <c:v>98.084717068249077</c:v>
                </c:pt>
                <c:pt idx="2">
                  <c:v>93.195496020190262</c:v>
                </c:pt>
                <c:pt idx="3">
                  <c:v>99.142495380192997</c:v>
                </c:pt>
                <c:pt idx="4">
                  <c:v>95.349235694638594</c:v>
                </c:pt>
                <c:pt idx="5">
                  <c:v>95.064528494761035</c:v>
                </c:pt>
                <c:pt idx="6">
                  <c:v>96.119591390895536</c:v>
                </c:pt>
                <c:pt idx="7">
                  <c:v>93.231292517006807</c:v>
                </c:pt>
                <c:pt idx="8">
                  <c:v>94.118851477758909</c:v>
                </c:pt>
                <c:pt idx="9">
                  <c:v>96.850836496555615</c:v>
                </c:pt>
                <c:pt idx="10">
                  <c:v>95.43065445913868</c:v>
                </c:pt>
                <c:pt idx="11">
                  <c:v>91.128308658591294</c:v>
                </c:pt>
                <c:pt idx="12">
                  <c:v>73.672031910739761</c:v>
                </c:pt>
                <c:pt idx="13">
                  <c:v>92.235790372084637</c:v>
                </c:pt>
                <c:pt idx="14">
                  <c:v>92.057034845496403</c:v>
                </c:pt>
                <c:pt idx="15">
                  <c:v>85.837250422411444</c:v>
                </c:pt>
                <c:pt idx="16">
                  <c:v>95.218156441531647</c:v>
                </c:pt>
                <c:pt idx="17">
                  <c:v>90.53077754464482</c:v>
                </c:pt>
                <c:pt idx="18">
                  <c:v>85.450991343200229</c:v>
                </c:pt>
              </c:numCache>
            </c:numRef>
          </c:val>
          <c:smooth val="0"/>
          <c:extLst>
            <c:ext xmlns:c16="http://schemas.microsoft.com/office/drawing/2014/chart" uri="{C3380CC4-5D6E-409C-BE32-E72D297353CC}">
              <c16:uniqueId val="{00000014-0164-46D3-80F9-6DF1030C8058}"/>
            </c:ext>
          </c:extLst>
        </c:ser>
        <c:ser>
          <c:idx val="2"/>
          <c:order val="2"/>
          <c:tx>
            <c:strRef>
              <c:f>Hoja1!$D$1</c:f>
              <c:strCache>
                <c:ptCount val="1"/>
                <c:pt idx="0">
                  <c:v>Total Institucional 2022</c:v>
                </c:pt>
              </c:strCache>
            </c:strRef>
          </c:tx>
          <c:spPr>
            <a:ln w="34925" cap="rnd" cmpd="sng">
              <a:solidFill>
                <a:schemeClr val="accent5">
                  <a:lumMod val="50000"/>
                </a:schemeClr>
              </a:solidFill>
              <a:prstDash val="solid"/>
              <a:round/>
            </a:ln>
            <a:effectLst/>
          </c:spPr>
          <c:marker>
            <c:symbol val="none"/>
          </c:marker>
          <c:dLbls>
            <c:dLbl>
              <c:idx val="12"/>
              <c:layout>
                <c:manualLayout>
                  <c:x val="-7.9861293379994258E-2"/>
                  <c:y val="-5.1275153105861768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5">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1"/>
              <c:showPercent val="0"/>
              <c:showBubbleSize val="0"/>
              <c:extLst>
                <c:ext xmlns:c15="http://schemas.microsoft.com/office/drawing/2012/chart" uri="{CE6537A1-D6FC-4f65-9D91-7224C49458BB}">
                  <c15:layout>
                    <c:manualLayout>
                      <c:w val="0.28647892971711869"/>
                      <c:h val="9.4007936507936513E-2"/>
                    </c:manualLayout>
                  </c15:layout>
                </c:ext>
                <c:ext xmlns:c16="http://schemas.microsoft.com/office/drawing/2014/chart" uri="{C3380CC4-5D6E-409C-BE32-E72D297353CC}">
                  <c16:uniqueId val="{00000015-0164-46D3-80F9-6DF1030C805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Hoja1!$A$2:$A$20</c:f>
              <c:strCache>
                <c:ptCount val="19"/>
                <c:pt idx="0">
                  <c:v>Defensa </c:v>
                </c:pt>
                <c:pt idx="1">
                  <c:v>MINREX</c:v>
                </c:pt>
                <c:pt idx="2">
                  <c:v>Energía</c:v>
                </c:pt>
                <c:pt idx="3">
                  <c:v>Deuda Pública</c:v>
                </c:pt>
                <c:pt idx="4">
                  <c:v>Desarrollo</c:v>
                </c:pt>
                <c:pt idx="5">
                  <c:v>Finanzas</c:v>
                </c:pt>
                <c:pt idx="6">
                  <c:v>Educación </c:v>
                </c:pt>
                <c:pt idx="7">
                  <c:v>Presidencia</c:v>
                </c:pt>
                <c:pt idx="8">
                  <c:v>Gobernación</c:v>
                </c:pt>
                <c:pt idx="9">
                  <c:v>PGN</c:v>
                </c:pt>
                <c:pt idx="10">
                  <c:v>Trabajo </c:v>
                </c:pt>
                <c:pt idx="11">
                  <c:v>Economía</c:v>
                </c:pt>
                <c:pt idx="12">
                  <c:v>Obligaciones </c:v>
                </c:pt>
                <c:pt idx="13">
                  <c:v>Agricultura</c:v>
                </c:pt>
                <c:pt idx="14">
                  <c:v>Secretarías</c:v>
                </c:pt>
                <c:pt idx="15">
                  <c:v>Salud Pública </c:v>
                </c:pt>
                <c:pt idx="16">
                  <c:v>Ambiente </c:v>
                </c:pt>
                <c:pt idx="17">
                  <c:v>Comunicaciones</c:v>
                </c:pt>
                <c:pt idx="18">
                  <c:v>Cultura</c:v>
                </c:pt>
              </c:strCache>
            </c:strRef>
          </c:cat>
          <c:val>
            <c:numRef>
              <c:f>Hoja1!$D$2:$D$20</c:f>
              <c:numCache>
                <c:formatCode>0.0</c:formatCode>
                <c:ptCount val="19"/>
                <c:pt idx="0">
                  <c:v>96.151281152754393</c:v>
                </c:pt>
                <c:pt idx="1">
                  <c:v>96.151281152754393</c:v>
                </c:pt>
                <c:pt idx="2">
                  <c:v>96.151281152754393</c:v>
                </c:pt>
                <c:pt idx="3">
                  <c:v>96.151281152754393</c:v>
                </c:pt>
                <c:pt idx="4">
                  <c:v>96.151281152754393</c:v>
                </c:pt>
                <c:pt idx="5">
                  <c:v>96.151281152754393</c:v>
                </c:pt>
                <c:pt idx="6">
                  <c:v>96.151281152754393</c:v>
                </c:pt>
                <c:pt idx="7">
                  <c:v>96.151281152754393</c:v>
                </c:pt>
                <c:pt idx="8">
                  <c:v>96.151281152754393</c:v>
                </c:pt>
                <c:pt idx="9">
                  <c:v>96.151281152754393</c:v>
                </c:pt>
                <c:pt idx="10">
                  <c:v>96.151281152754393</c:v>
                </c:pt>
                <c:pt idx="11">
                  <c:v>96.151281152754393</c:v>
                </c:pt>
                <c:pt idx="12">
                  <c:v>96.151281152754393</c:v>
                </c:pt>
                <c:pt idx="13">
                  <c:v>96.151281152754393</c:v>
                </c:pt>
                <c:pt idx="14">
                  <c:v>96.151281152754393</c:v>
                </c:pt>
                <c:pt idx="15">
                  <c:v>96.151281152754393</c:v>
                </c:pt>
                <c:pt idx="16">
                  <c:v>96.151281152754393</c:v>
                </c:pt>
                <c:pt idx="17">
                  <c:v>96.151281152754393</c:v>
                </c:pt>
                <c:pt idx="18">
                  <c:v>96.151281152754393</c:v>
                </c:pt>
              </c:numCache>
            </c:numRef>
          </c:val>
          <c:smooth val="0"/>
          <c:extLst>
            <c:ext xmlns:c16="http://schemas.microsoft.com/office/drawing/2014/chart" uri="{C3380CC4-5D6E-409C-BE32-E72D297353CC}">
              <c16:uniqueId val="{00000016-0164-46D3-80F9-6DF1030C8058}"/>
            </c:ext>
          </c:extLst>
        </c:ser>
        <c:dLbls>
          <c:showLegendKey val="0"/>
          <c:showVal val="0"/>
          <c:showCatName val="0"/>
          <c:showSerName val="0"/>
          <c:showPercent val="0"/>
          <c:showBubbleSize val="0"/>
        </c:dLbls>
        <c:marker val="1"/>
        <c:smooth val="0"/>
        <c:axId val="1629366847"/>
        <c:axId val="1629366431"/>
      </c:lineChart>
      <c:catAx>
        <c:axId val="1629366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crossAx val="1629366431"/>
        <c:crosses val="autoZero"/>
        <c:auto val="1"/>
        <c:lblAlgn val="ctr"/>
        <c:lblOffset val="100"/>
        <c:noMultiLvlLbl val="0"/>
      </c:catAx>
      <c:valAx>
        <c:axId val="1629366431"/>
        <c:scaling>
          <c:orientation val="minMax"/>
          <c:max val="100"/>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crossAx val="1629366847"/>
        <c:crosses val="autoZero"/>
        <c:crossBetween val="between"/>
      </c:valAx>
      <c:spPr>
        <a:noFill/>
        <a:ln>
          <a:noFill/>
        </a:ln>
        <a:effectLst/>
      </c:spPr>
    </c:plotArea>
    <c:legend>
      <c:legendPos val="b"/>
      <c:layout>
        <c:manualLayout>
          <c:xMode val="edge"/>
          <c:yMode val="edge"/>
          <c:x val="0.22757381889763781"/>
          <c:y val="0.92708936428902255"/>
          <c:w val="0.54022255030621169"/>
          <c:h val="7.291063571097730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lumMod val="75000"/>
              <a:lumOff val="25000"/>
            </a:schemeClr>
          </a:solidFill>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Asignado</c:v>
                </c:pt>
              </c:strCache>
            </c:strRef>
          </c:tx>
          <c:spPr>
            <a:solidFill>
              <a:schemeClr val="accent1">
                <a:lumMod val="40000"/>
                <a:lumOff val="60000"/>
              </a:schemeClr>
            </a:solidFill>
            <a:ln w="12700">
              <a:solidFill>
                <a:schemeClr val="tx1"/>
              </a:solidFill>
            </a:ln>
            <a:effectLst/>
          </c:spPr>
          <c:invertIfNegative val="0"/>
          <c:dLbls>
            <c:dLbl>
              <c:idx val="1"/>
              <c:layout>
                <c:manualLayout>
                  <c:x val="0"/>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80D-4269-A82C-CA401E175D86}"/>
                </c:ext>
              </c:extLst>
            </c:dLbl>
            <c:spPr>
              <a:solidFill>
                <a:schemeClr val="tx2">
                  <a:lumMod val="20000"/>
                  <a:lumOff val="80000"/>
                </a:schemeClr>
              </a:solid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Hoja1!$A$2:$A$4</c:f>
              <c:strCache>
                <c:ptCount val="3"/>
                <c:pt idx="0">
                  <c:v>Vacuna COVID-19</c:v>
                </c:pt>
                <c:pt idx="1">
                  <c:v>Servicios de prevención y tratamiento de COVID-19</c:v>
                </c:pt>
                <c:pt idx="2">
                  <c:v>Intervenciones realizadas para la atención de la emergencia</c:v>
                </c:pt>
              </c:strCache>
            </c:strRef>
          </c:cat>
          <c:val>
            <c:numRef>
              <c:f>Hoja1!$B$2:$B$4</c:f>
              <c:numCache>
                <c:formatCode>#,##0.0</c:formatCode>
                <c:ptCount val="3"/>
                <c:pt idx="0">
                  <c:v>1037</c:v>
                </c:pt>
                <c:pt idx="1">
                  <c:v>1691.13</c:v>
                </c:pt>
                <c:pt idx="2">
                  <c:v>0</c:v>
                </c:pt>
              </c:numCache>
            </c:numRef>
          </c:val>
          <c:extLst>
            <c:ext xmlns:c16="http://schemas.microsoft.com/office/drawing/2014/chart" uri="{C3380CC4-5D6E-409C-BE32-E72D297353CC}">
              <c16:uniqueId val="{00000001-F80D-4269-A82C-CA401E175D86}"/>
            </c:ext>
          </c:extLst>
        </c:ser>
        <c:ser>
          <c:idx val="1"/>
          <c:order val="1"/>
          <c:tx>
            <c:strRef>
              <c:f>Hoja1!$C$1</c:f>
              <c:strCache>
                <c:ptCount val="1"/>
                <c:pt idx="0">
                  <c:v>Vigente</c:v>
                </c:pt>
              </c:strCache>
            </c:strRef>
          </c:tx>
          <c:spPr>
            <a:solidFill>
              <a:schemeClr val="accent6">
                <a:lumMod val="60000"/>
                <a:lumOff val="40000"/>
              </a:schemeClr>
            </a:solidFill>
            <a:ln w="12700">
              <a:solidFill>
                <a:schemeClr val="tx1"/>
              </a:solidFill>
            </a:ln>
            <a:effectLst/>
          </c:spPr>
          <c:invertIfNegative val="0"/>
          <c:dLbls>
            <c:dLbl>
              <c:idx val="1"/>
              <c:layout>
                <c:manualLayout>
                  <c:x val="2.314814814814814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80D-4269-A82C-CA401E175D86}"/>
                </c:ext>
              </c:extLst>
            </c:dLbl>
            <c:spPr>
              <a:solidFill>
                <a:schemeClr val="accent6">
                  <a:lumMod val="40000"/>
                  <a:lumOff val="60000"/>
                </a:schemeClr>
              </a:solid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Hoja1!$A$2:$A$4</c:f>
              <c:strCache>
                <c:ptCount val="3"/>
                <c:pt idx="0">
                  <c:v>Vacuna COVID-19</c:v>
                </c:pt>
                <c:pt idx="1">
                  <c:v>Servicios de prevención y tratamiento de COVID-19</c:v>
                </c:pt>
                <c:pt idx="2">
                  <c:v>Intervenciones realizadas para la atención de la emergencia</c:v>
                </c:pt>
              </c:strCache>
            </c:strRef>
          </c:cat>
          <c:val>
            <c:numRef>
              <c:f>Hoja1!$C$2:$C$4</c:f>
              <c:numCache>
                <c:formatCode>#,##0.0</c:formatCode>
                <c:ptCount val="3"/>
                <c:pt idx="0">
                  <c:v>435.8</c:v>
                </c:pt>
                <c:pt idx="1">
                  <c:v>1317.35</c:v>
                </c:pt>
                <c:pt idx="2">
                  <c:v>3.86</c:v>
                </c:pt>
              </c:numCache>
            </c:numRef>
          </c:val>
          <c:extLst>
            <c:ext xmlns:c16="http://schemas.microsoft.com/office/drawing/2014/chart" uri="{C3380CC4-5D6E-409C-BE32-E72D297353CC}">
              <c16:uniqueId val="{00000003-F80D-4269-A82C-CA401E175D86}"/>
            </c:ext>
          </c:extLst>
        </c:ser>
        <c:ser>
          <c:idx val="2"/>
          <c:order val="2"/>
          <c:tx>
            <c:strRef>
              <c:f>Hoja1!$D$1</c:f>
              <c:strCache>
                <c:ptCount val="1"/>
                <c:pt idx="0">
                  <c:v>Ejecutado</c:v>
                </c:pt>
              </c:strCache>
            </c:strRef>
          </c:tx>
          <c:spPr>
            <a:solidFill>
              <a:schemeClr val="accent3">
                <a:lumMod val="60000"/>
                <a:lumOff val="40000"/>
              </a:schemeClr>
            </a:solidFill>
            <a:ln w="12700">
              <a:solidFill>
                <a:schemeClr val="tx1"/>
              </a:solidFill>
            </a:ln>
            <a:effectLst/>
          </c:spPr>
          <c:invertIfNegative val="0"/>
          <c:dLbls>
            <c:dLbl>
              <c:idx val="1"/>
              <c:layout>
                <c:manualLayout>
                  <c:x val="6.944444444444444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80D-4269-A82C-CA401E175D86}"/>
                </c:ext>
              </c:extLst>
            </c:dLbl>
            <c:spPr>
              <a:solidFill>
                <a:schemeClr val="accent3">
                  <a:lumMod val="40000"/>
                  <a:lumOff val="60000"/>
                </a:schemeClr>
              </a:solid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Hoja1!$A$2:$A$4</c:f>
              <c:strCache>
                <c:ptCount val="3"/>
                <c:pt idx="0">
                  <c:v>Vacuna COVID-19</c:v>
                </c:pt>
                <c:pt idx="1">
                  <c:v>Servicios de prevención y tratamiento de COVID-19</c:v>
                </c:pt>
                <c:pt idx="2">
                  <c:v>Intervenciones realizadas para la atención de la emergencia</c:v>
                </c:pt>
              </c:strCache>
            </c:strRef>
          </c:cat>
          <c:val>
            <c:numRef>
              <c:f>Hoja1!$D$2:$D$4</c:f>
              <c:numCache>
                <c:formatCode>#,##0.0</c:formatCode>
                <c:ptCount val="3"/>
                <c:pt idx="0">
                  <c:v>182.75</c:v>
                </c:pt>
                <c:pt idx="1">
                  <c:v>1218.75</c:v>
                </c:pt>
                <c:pt idx="2">
                  <c:v>3.37</c:v>
                </c:pt>
              </c:numCache>
            </c:numRef>
          </c:val>
          <c:extLst>
            <c:ext xmlns:c16="http://schemas.microsoft.com/office/drawing/2014/chart" uri="{C3380CC4-5D6E-409C-BE32-E72D297353CC}">
              <c16:uniqueId val="{00000005-F80D-4269-A82C-CA401E175D86}"/>
            </c:ext>
          </c:extLst>
        </c:ser>
        <c:dLbls>
          <c:showLegendKey val="0"/>
          <c:showVal val="0"/>
          <c:showCatName val="0"/>
          <c:showSerName val="0"/>
          <c:showPercent val="0"/>
          <c:showBubbleSize val="0"/>
        </c:dLbls>
        <c:gapWidth val="100"/>
        <c:overlap val="-5"/>
        <c:axId val="1937099024"/>
        <c:axId val="1937098192"/>
      </c:barChart>
      <c:catAx>
        <c:axId val="193709902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937098192"/>
        <c:crosses val="autoZero"/>
        <c:auto val="1"/>
        <c:lblAlgn val="ctr"/>
        <c:lblOffset val="100"/>
        <c:noMultiLvlLbl val="0"/>
      </c:catAx>
      <c:valAx>
        <c:axId val="1937098192"/>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937099024"/>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80978419364246E-2"/>
          <c:y val="2.4844276664369832E-2"/>
          <c:w val="0.91572725284339462"/>
          <c:h val="0.89124082002838645"/>
        </c:manualLayout>
      </c:layout>
      <c:lineChart>
        <c:grouping val="standard"/>
        <c:varyColors val="0"/>
        <c:ser>
          <c:idx val="0"/>
          <c:order val="0"/>
          <c:tx>
            <c:strRef>
              <c:f>Hoja1!$B$1</c:f>
              <c:strCache>
                <c:ptCount val="1"/>
                <c:pt idx="0">
                  <c:v>Déficit Fiscal</c:v>
                </c:pt>
              </c:strCache>
            </c:strRef>
          </c:tx>
          <c:spPr>
            <a:ln w="41275" cap="rnd" cmpd="thickThin">
              <a:solidFill>
                <a:schemeClr val="accent1"/>
              </a:solidFill>
              <a:round/>
            </a:ln>
            <a:effectLst/>
          </c:spPr>
          <c:marker>
            <c:symbol val="square"/>
            <c:size val="15"/>
            <c:spPr>
              <a:solidFill>
                <a:schemeClr val="accent1"/>
              </a:solidFill>
              <a:ln w="9525">
                <a:solidFill>
                  <a:schemeClr val="accent1"/>
                </a:solidFill>
              </a:ln>
              <a:effectLst/>
            </c:spPr>
          </c:marker>
          <c:dLbls>
            <c:dLbl>
              <c:idx val="0"/>
              <c:layout>
                <c:manualLayout>
                  <c:x val="-4.166666666666667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418-4B15-B714-DBD2034FE851}"/>
                </c:ext>
              </c:extLst>
            </c:dLbl>
            <c:dLbl>
              <c:idx val="1"/>
              <c:layout>
                <c:manualLayout>
                  <c:x val="-4.166666666666666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418-4B15-B714-DBD2034FE851}"/>
                </c:ext>
              </c:extLst>
            </c:dLbl>
            <c:dLbl>
              <c:idx val="2"/>
              <c:layout>
                <c:manualLayout>
                  <c:x val="-4.3981481481481483E-2"/>
                  <c:y val="-9.141421863649358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418-4B15-B714-DBD2034FE851}"/>
                </c:ext>
              </c:extLst>
            </c:dLbl>
            <c:dLbl>
              <c:idx val="3"/>
              <c:layout>
                <c:manualLayout>
                  <c:x val="-4.3981481481481483E-2"/>
                  <c:y val="-4.986287708800797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418-4B15-B714-DBD2034FE851}"/>
                </c:ext>
              </c:extLst>
            </c:dLbl>
            <c:dLbl>
              <c:idx val="4"/>
              <c:layout>
                <c:manualLayout>
                  <c:x val="-4.6296296296296335E-2"/>
                  <c:y val="-3.968221249830773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418-4B15-B714-DBD2034FE851}"/>
                </c:ext>
              </c:extLst>
            </c:dLbl>
            <c:dLbl>
              <c:idx val="5"/>
              <c:layout>
                <c:manualLayout>
                  <c:x val="-4.629629629629629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418-4B15-B714-DBD2034FE851}"/>
                </c:ext>
              </c:extLst>
            </c:dLbl>
            <c:dLbl>
              <c:idx val="6"/>
              <c:layout>
                <c:manualLayout>
                  <c:x val="-4.166666666666675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418-4B15-B714-DBD2034FE851}"/>
                </c:ext>
              </c:extLst>
            </c:dLbl>
            <c:dLbl>
              <c:idx val="7"/>
              <c:layout>
                <c:manualLayout>
                  <c:x val="-4.398148148148148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418-4B15-B714-DBD2034FE851}"/>
                </c:ext>
              </c:extLst>
            </c:dLbl>
            <c:dLbl>
              <c:idx val="8"/>
              <c:layout>
                <c:manualLayout>
                  <c:x val="-4.1666666666666755E-2"/>
                  <c:y val="-1.4550096466308564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418-4B15-B714-DBD2034FE851}"/>
                </c:ext>
              </c:extLst>
            </c:dLbl>
            <c:dLbl>
              <c:idx val="9"/>
              <c:layout>
                <c:manualLayout>
                  <c:x val="-4.1666666666666755E-2"/>
                  <c:y val="-7.27504823315428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418-4B15-B714-DBD2034FE851}"/>
                </c:ext>
              </c:extLst>
            </c:dLbl>
            <c:dLbl>
              <c:idx val="10"/>
              <c:layout>
                <c:manualLayout>
                  <c:x val="-4.629629629629629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418-4B15-B714-DBD2034FE851}"/>
                </c:ext>
              </c:extLst>
            </c:dLbl>
            <c:dLbl>
              <c:idx val="11"/>
              <c:layout>
                <c:manualLayout>
                  <c:x val="-4.398148148148164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418-4B15-B714-DBD2034FE851}"/>
                </c:ext>
              </c:extLst>
            </c:dLbl>
            <c:dLbl>
              <c:idx val="12"/>
              <c:layout>
                <c:manualLayout>
                  <c:x val="-4.166666666666666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418-4B15-B714-DBD2034FE85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Hoja1!$A$2:$A$14</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Hoja1!$B$2:$B$14</c:f>
              <c:numCache>
                <c:formatCode>#,##0.0</c:formatCode>
                <c:ptCount val="13"/>
                <c:pt idx="0">
                  <c:v>3.2773081046877501</c:v>
                </c:pt>
                <c:pt idx="1">
                  <c:v>2.8041566240577902</c:v>
                </c:pt>
                <c:pt idx="2">
                  <c:v>2.4162115429175501</c:v>
                </c:pt>
                <c:pt idx="3">
                  <c:v>2.1638208169798898</c:v>
                </c:pt>
                <c:pt idx="4">
                  <c:v>1.9212819848170599</c:v>
                </c:pt>
                <c:pt idx="5">
                  <c:v>1.4720918688697799</c:v>
                </c:pt>
                <c:pt idx="6">
                  <c:v>1.11008895484624</c:v>
                </c:pt>
                <c:pt idx="7">
                  <c:v>1.38418133699202</c:v>
                </c:pt>
                <c:pt idx="8">
                  <c:v>1.88052556202872</c:v>
                </c:pt>
                <c:pt idx="9">
                  <c:v>2.2360965177688499</c:v>
                </c:pt>
                <c:pt idx="10">
                  <c:v>4.9098327111815498</c:v>
                </c:pt>
                <c:pt idx="11">
                  <c:v>1.1675467056468201</c:v>
                </c:pt>
                <c:pt idx="12">
                  <c:v>1.7065259597849201</c:v>
                </c:pt>
              </c:numCache>
            </c:numRef>
          </c:val>
          <c:smooth val="1"/>
          <c:extLst>
            <c:ext xmlns:c16="http://schemas.microsoft.com/office/drawing/2014/chart" uri="{C3380CC4-5D6E-409C-BE32-E72D297353CC}">
              <c16:uniqueId val="{0000000D-B418-4B15-B714-DBD2034FE851}"/>
            </c:ext>
          </c:extLst>
        </c:ser>
        <c:dLbls>
          <c:showLegendKey val="0"/>
          <c:showVal val="0"/>
          <c:showCatName val="0"/>
          <c:showSerName val="0"/>
          <c:showPercent val="0"/>
          <c:showBubbleSize val="0"/>
        </c:dLbls>
        <c:marker val="1"/>
        <c:smooth val="0"/>
        <c:axId val="273519344"/>
        <c:axId val="273504368"/>
      </c:lineChart>
      <c:catAx>
        <c:axId val="273519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73504368"/>
        <c:crosses val="autoZero"/>
        <c:auto val="1"/>
        <c:lblAlgn val="ctr"/>
        <c:lblOffset val="100"/>
        <c:noMultiLvlLbl val="0"/>
      </c:catAx>
      <c:valAx>
        <c:axId val="273504368"/>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735193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068111320795641E-2"/>
          <c:y val="2.6460859977949284E-2"/>
          <c:w val="0.8916894644367801"/>
          <c:h val="0.8047056785163228"/>
        </c:manualLayout>
      </c:layout>
      <c:barChart>
        <c:barDir val="col"/>
        <c:grouping val="clustered"/>
        <c:varyColors val="0"/>
        <c:ser>
          <c:idx val="0"/>
          <c:order val="0"/>
          <c:tx>
            <c:strRef>
              <c:f>Ingreso!$B$30</c:f>
              <c:strCache>
                <c:ptCount val="1"/>
                <c:pt idx="0">
                  <c:v>Año presupuestario</c:v>
                </c:pt>
              </c:strCache>
            </c:strRef>
          </c:tx>
          <c:spPr>
            <a:solidFill>
              <a:schemeClr val="accent1">
                <a:shade val="65000"/>
              </a:schemeClr>
            </a:solidFill>
            <a:ln w="3175">
              <a:solidFill>
                <a:sysClr val="windowText" lastClr="000000"/>
              </a:solidFill>
            </a:ln>
            <a:effectLst/>
          </c:spPr>
          <c:invertIfNegative val="0"/>
          <c:cat>
            <c:numRef>
              <c:f>Ingreso!$D$29:$N$29</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Ingreso!$D$30:$N$30</c:f>
              <c:numCache>
                <c:formatCode>_(* #,##0.00_);_(* \(#,##0.00\);_(* "-"??_);_(@_)</c:formatCode>
                <c:ptCount val="11"/>
                <c:pt idx="0">
                  <c:v>-0.20258061390876847</c:v>
                </c:pt>
                <c:pt idx="1">
                  <c:v>-0.97029663340489769</c:v>
                </c:pt>
                <c:pt idx="2">
                  <c:v>-0.6727060655530952</c:v>
                </c:pt>
                <c:pt idx="3">
                  <c:v>-1.0441446880886573</c:v>
                </c:pt>
                <c:pt idx="4">
                  <c:v>-8.8912767130056025E-2</c:v>
                </c:pt>
                <c:pt idx="5">
                  <c:v>-0.24894767127620554</c:v>
                </c:pt>
                <c:pt idx="6">
                  <c:v>-0.75753496145674859</c:v>
                </c:pt>
                <c:pt idx="7">
                  <c:v>-0.24144945244051996</c:v>
                </c:pt>
                <c:pt idx="8">
                  <c:v>-1.1214342822143042</c:v>
                </c:pt>
                <c:pt idx="9">
                  <c:v>2.4930513974843542</c:v>
                </c:pt>
                <c:pt idx="10">
                  <c:v>1.6660636294832027</c:v>
                </c:pt>
              </c:numCache>
            </c:numRef>
          </c:val>
          <c:extLst>
            <c:ext xmlns:c16="http://schemas.microsoft.com/office/drawing/2014/chart" uri="{C3380CC4-5D6E-409C-BE32-E72D297353CC}">
              <c16:uniqueId val="{00000000-AC7F-4908-9046-0B7EF64CF6F2}"/>
            </c:ext>
          </c:extLst>
        </c:ser>
        <c:ser>
          <c:idx val="1"/>
          <c:order val="1"/>
          <c:tx>
            <c:strRef>
              <c:f>Ingreso!$B$31</c:f>
              <c:strCache>
                <c:ptCount val="1"/>
                <c:pt idx="0">
                  <c:v>Año presupuestario+1</c:v>
                </c:pt>
              </c:strCache>
            </c:strRef>
          </c:tx>
          <c:spPr>
            <a:solidFill>
              <a:srgbClr val="5B9BD5">
                <a:lumMod val="75000"/>
              </a:srgbClr>
            </a:solidFill>
            <a:ln w="3175">
              <a:solidFill>
                <a:sysClr val="windowText" lastClr="000000"/>
              </a:solidFill>
            </a:ln>
            <a:effectLst/>
          </c:spPr>
          <c:invertIfNegative val="0"/>
          <c:cat>
            <c:numRef>
              <c:f>Ingreso!$D$29:$N$29</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Ingreso!$D$31:$N$31</c:f>
              <c:numCache>
                <c:formatCode>_(* #,##0.00_);_(* \(#,##0.00\);_(* "-"??_);_(@_)</c:formatCode>
                <c:ptCount val="11"/>
                <c:pt idx="0">
                  <c:v>0.58958977127921841</c:v>
                </c:pt>
                <c:pt idx="1">
                  <c:v>0.10402619746536779</c:v>
                </c:pt>
                <c:pt idx="2">
                  <c:v>-1.0049914493849545</c:v>
                </c:pt>
                <c:pt idx="3">
                  <c:v>-1.0692485265304708</c:v>
                </c:pt>
                <c:pt idx="4">
                  <c:v>0.20026951805607318</c:v>
                </c:pt>
                <c:pt idx="5">
                  <c:v>1.5144379858291757E-3</c:v>
                </c:pt>
                <c:pt idx="6">
                  <c:v>-0.74786809824866651</c:v>
                </c:pt>
                <c:pt idx="7">
                  <c:v>-1.1555161087812245</c:v>
                </c:pt>
                <c:pt idx="8">
                  <c:v>-1.9078837679076024</c:v>
                </c:pt>
                <c:pt idx="9">
                  <c:v>0.71463029274057099</c:v>
                </c:pt>
                <c:pt idx="10">
                  <c:v>3.0226154444997295</c:v>
                </c:pt>
              </c:numCache>
            </c:numRef>
          </c:val>
          <c:extLst>
            <c:ext xmlns:c16="http://schemas.microsoft.com/office/drawing/2014/chart" uri="{C3380CC4-5D6E-409C-BE32-E72D297353CC}">
              <c16:uniqueId val="{00000001-AC7F-4908-9046-0B7EF64CF6F2}"/>
            </c:ext>
          </c:extLst>
        </c:ser>
        <c:ser>
          <c:idx val="2"/>
          <c:order val="2"/>
          <c:tx>
            <c:strRef>
              <c:f>Ingreso!$B$32</c:f>
              <c:strCache>
                <c:ptCount val="1"/>
                <c:pt idx="0">
                  <c:v>Año presupuestario+2</c:v>
                </c:pt>
              </c:strCache>
            </c:strRef>
          </c:tx>
          <c:spPr>
            <a:solidFill>
              <a:schemeClr val="accent1">
                <a:tint val="65000"/>
              </a:schemeClr>
            </a:solidFill>
            <a:ln w="3175">
              <a:solidFill>
                <a:sysClr val="windowText" lastClr="000000"/>
              </a:solidFill>
            </a:ln>
            <a:effectLst/>
          </c:spPr>
          <c:invertIfNegative val="0"/>
          <c:cat>
            <c:numRef>
              <c:f>Ingreso!$D$29:$N$29</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Ingreso!$D$32:$N$32</c:f>
              <c:numCache>
                <c:formatCode>_(* #,##0.00_);_(* \(#,##0.00\);_(* "-"??_);_(@_)</c:formatCode>
                <c:ptCount val="11"/>
                <c:pt idx="1">
                  <c:v>0.75470083267356181</c:v>
                </c:pt>
                <c:pt idx="2">
                  <c:v>0.16965437229460889</c:v>
                </c:pt>
                <c:pt idx="3">
                  <c:v>-1.428685075266408</c:v>
                </c:pt>
                <c:pt idx="4">
                  <c:v>-0.87247584406030221</c:v>
                </c:pt>
                <c:pt idx="5">
                  <c:v>0.1193855226359215</c:v>
                </c:pt>
                <c:pt idx="6">
                  <c:v>-0.18265620820209882</c:v>
                </c:pt>
                <c:pt idx="7">
                  <c:v>-0.90366922037571129</c:v>
                </c:pt>
                <c:pt idx="8">
                  <c:v>-2.6798187495953307</c:v>
                </c:pt>
                <c:pt idx="9">
                  <c:v>-0.1401134531642434</c:v>
                </c:pt>
                <c:pt idx="10">
                  <c:v>1.1444289259270732</c:v>
                </c:pt>
              </c:numCache>
            </c:numRef>
          </c:val>
          <c:extLst>
            <c:ext xmlns:c16="http://schemas.microsoft.com/office/drawing/2014/chart" uri="{C3380CC4-5D6E-409C-BE32-E72D297353CC}">
              <c16:uniqueId val="{00000002-AC7F-4908-9046-0B7EF64CF6F2}"/>
            </c:ext>
          </c:extLst>
        </c:ser>
        <c:dLbls>
          <c:showLegendKey val="0"/>
          <c:showVal val="0"/>
          <c:showCatName val="0"/>
          <c:showSerName val="0"/>
          <c:showPercent val="0"/>
          <c:showBubbleSize val="0"/>
        </c:dLbls>
        <c:gapWidth val="219"/>
        <c:axId val="1149594064"/>
        <c:axId val="1149579504"/>
      </c:barChart>
      <c:catAx>
        <c:axId val="114959406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149579504"/>
        <c:crosses val="autoZero"/>
        <c:auto val="1"/>
        <c:lblAlgn val="ctr"/>
        <c:lblOffset val="100"/>
        <c:noMultiLvlLbl val="0"/>
      </c:catAx>
      <c:valAx>
        <c:axId val="1149579504"/>
        <c:scaling>
          <c:orientation val="minMax"/>
          <c:max val="3.5"/>
        </c:scaling>
        <c:delete val="0"/>
        <c:axPos val="l"/>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149594064"/>
        <c:crosses val="autoZero"/>
        <c:crossBetween val="between"/>
      </c:valAx>
      <c:spPr>
        <a:noFill/>
        <a:ln>
          <a:noFill/>
        </a:ln>
        <a:effectLst/>
      </c:spPr>
    </c:plotArea>
    <c:legend>
      <c:legendPos val="b"/>
      <c:layout>
        <c:manualLayout>
          <c:xMode val="edge"/>
          <c:yMode val="edge"/>
          <c:x val="0.16052076961454195"/>
          <c:y val="0.93538296562171475"/>
          <c:w val="0.67895846077091604"/>
          <c:h val="6.461703437828522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64749748553838"/>
          <c:y val="0.19323611111111111"/>
          <c:w val="0.89635250251446164"/>
          <c:h val="0.6048768518518518"/>
        </c:manualLayout>
      </c:layout>
      <c:barChart>
        <c:barDir val="col"/>
        <c:grouping val="clustered"/>
        <c:varyColors val="0"/>
        <c:ser>
          <c:idx val="0"/>
          <c:order val="0"/>
          <c:tx>
            <c:strRef>
              <c:f>MEX_1!$C$2</c:f>
              <c:strCache>
                <c:ptCount val="1"/>
                <c:pt idx="0">
                  <c:v>Tasa de desempleo</c:v>
                </c:pt>
              </c:strCache>
            </c:strRef>
          </c:tx>
          <c:spPr>
            <a:solidFill>
              <a:schemeClr val="accent1">
                <a:lumMod val="50000"/>
              </a:schemeClr>
            </a:solidFill>
            <a:ln w="28575" cap="rnd">
              <a:noFill/>
              <a:round/>
            </a:ln>
            <a:effectLst/>
          </c:spPr>
          <c:invertIfNegative val="0"/>
          <c:dLbls>
            <c:dLbl>
              <c:idx val="0"/>
              <c:layout>
                <c:manualLayout>
                  <c:x val="-0.1128888888888889"/>
                  <c:y val="-8.70212962962962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6AD-475D-B913-897CB5E9594A}"/>
                </c:ext>
              </c:extLst>
            </c:dLbl>
            <c:dLbl>
              <c:idx val="22"/>
              <c:layout>
                <c:manualLayout>
                  <c:x val="-7.0555555555555554E-3"/>
                  <c:y val="4.115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6AD-475D-B913-897CB5E9594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MEX_1!$A$3:$A$26</c:f>
              <c:numCache>
                <c:formatCode>mmm\-yy</c:formatCode>
                <c:ptCount val="24"/>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pt idx="22">
                  <c:v>44866</c:v>
                </c:pt>
                <c:pt idx="23">
                  <c:v>44896</c:v>
                </c:pt>
              </c:numCache>
            </c:numRef>
          </c:cat>
          <c:val>
            <c:numRef>
              <c:f>MEX_1!$C$3:$C$26</c:f>
              <c:numCache>
                <c:formatCode>_-* #,##0.0_-;\-* #,##0.0_-;_-* "-"??_-;_-@_-</c:formatCode>
                <c:ptCount val="24"/>
                <c:pt idx="0">
                  <c:v>0</c:v>
                </c:pt>
                <c:pt idx="1">
                  <c:v>4.3547119404768786</c:v>
                </c:pt>
                <c:pt idx="2">
                  <c:v>0</c:v>
                </c:pt>
                <c:pt idx="3">
                  <c:v>0</c:v>
                </c:pt>
                <c:pt idx="4">
                  <c:v>4.2059639953725663</c:v>
                </c:pt>
                <c:pt idx="5">
                  <c:v>0</c:v>
                </c:pt>
                <c:pt idx="6">
                  <c:v>0</c:v>
                </c:pt>
                <c:pt idx="7">
                  <c:v>4.238251148918442</c:v>
                </c:pt>
                <c:pt idx="8">
                  <c:v>0</c:v>
                </c:pt>
                <c:pt idx="9">
                  <c:v>0</c:v>
                </c:pt>
                <c:pt idx="10">
                  <c:v>3.6598304616062345</c:v>
                </c:pt>
                <c:pt idx="11">
                  <c:v>0</c:v>
                </c:pt>
                <c:pt idx="12">
                  <c:v>0</c:v>
                </c:pt>
                <c:pt idx="13">
                  <c:v>3.4538695960221544</c:v>
                </c:pt>
                <c:pt idx="14">
                  <c:v>0</c:v>
                </c:pt>
                <c:pt idx="15">
                  <c:v>0</c:v>
                </c:pt>
                <c:pt idx="16">
                  <c:v>3.2318724231597744</c:v>
                </c:pt>
                <c:pt idx="17">
                  <c:v>0</c:v>
                </c:pt>
                <c:pt idx="18">
                  <c:v>0</c:v>
                </c:pt>
                <c:pt idx="19">
                  <c:v>3.4297475552942411</c:v>
                </c:pt>
                <c:pt idx="20">
                  <c:v>0</c:v>
                </c:pt>
                <c:pt idx="21">
                  <c:v>0</c:v>
                </c:pt>
                <c:pt idx="22">
                  <c:v>2.9862654960999881</c:v>
                </c:pt>
                <c:pt idx="23">
                  <c:v>0</c:v>
                </c:pt>
              </c:numCache>
            </c:numRef>
          </c:val>
          <c:extLst>
            <c:ext xmlns:c16="http://schemas.microsoft.com/office/drawing/2014/chart" uri="{C3380CC4-5D6E-409C-BE32-E72D297353CC}">
              <c16:uniqueId val="{00000002-36AD-475D-B913-897CB5E9594A}"/>
            </c:ext>
          </c:extLst>
        </c:ser>
        <c:dLbls>
          <c:showLegendKey val="0"/>
          <c:showVal val="0"/>
          <c:showCatName val="0"/>
          <c:showSerName val="0"/>
          <c:showPercent val="0"/>
          <c:showBubbleSize val="0"/>
        </c:dLbls>
        <c:gapWidth val="70"/>
        <c:axId val="997090992"/>
        <c:axId val="997091408"/>
      </c:barChart>
      <c:lineChart>
        <c:grouping val="standard"/>
        <c:varyColors val="0"/>
        <c:ser>
          <c:idx val="1"/>
          <c:order val="1"/>
          <c:tx>
            <c:strRef>
              <c:f>MEX_1!$B$2</c:f>
              <c:strCache>
                <c:ptCount val="1"/>
                <c:pt idx="0">
                  <c:v>IGAE</c:v>
                </c:pt>
              </c:strCache>
            </c:strRef>
          </c:tx>
          <c:spPr>
            <a:ln w="25400" cap="rnd">
              <a:solidFill>
                <a:schemeClr val="accent1"/>
              </a:solidFill>
              <a:round/>
            </a:ln>
            <a:effectLst/>
          </c:spPr>
          <c:marker>
            <c:symbol val="none"/>
          </c:marker>
          <c:dLbls>
            <c:dLbl>
              <c:idx val="0"/>
              <c:layout>
                <c:manualLayout>
                  <c:x val="-6.5263888888888899E-2"/>
                  <c:y val="5.52629629629629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6AD-475D-B913-897CB5E9594A}"/>
                </c:ext>
              </c:extLst>
            </c:dLbl>
            <c:dLbl>
              <c:idx val="23"/>
              <c:layout>
                <c:manualLayout>
                  <c:x val="-1.8520555555555554E-2"/>
                  <c:y val="-5.79166666666666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6AD-475D-B913-897CB5E9594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MEX_1!$A$3:$A$26</c:f>
              <c:numCache>
                <c:formatCode>mmm\-yy</c:formatCode>
                <c:ptCount val="24"/>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pt idx="22">
                  <c:v>44866</c:v>
                </c:pt>
                <c:pt idx="23">
                  <c:v>44896</c:v>
                </c:pt>
              </c:numCache>
            </c:numRef>
          </c:cat>
          <c:val>
            <c:numRef>
              <c:f>MEX_1!$B$3:$B$26</c:f>
              <c:numCache>
                <c:formatCode>_-* #,##0.0_-;\-* #,##0.0_-;_-* "-"??_-;_-@_-</c:formatCode>
                <c:ptCount val="24"/>
                <c:pt idx="0">
                  <c:v>-2.6639421329087698</c:v>
                </c:pt>
                <c:pt idx="1">
                  <c:v>-2.0219380366868434</c:v>
                </c:pt>
                <c:pt idx="2">
                  <c:v>-1.5394366819432292</c:v>
                </c:pt>
                <c:pt idx="3">
                  <c:v>1.7143101685469952</c:v>
                </c:pt>
                <c:pt idx="4">
                  <c:v>1.95522314306944</c:v>
                </c:pt>
                <c:pt idx="5">
                  <c:v>1.9881803555604538</c:v>
                </c:pt>
                <c:pt idx="6">
                  <c:v>1.8069098609415413</c:v>
                </c:pt>
                <c:pt idx="7">
                  <c:v>1.5292089645150719</c:v>
                </c:pt>
                <c:pt idx="8">
                  <c:v>1.292277361667149</c:v>
                </c:pt>
                <c:pt idx="9">
                  <c:v>1.128060314417989</c:v>
                </c:pt>
                <c:pt idx="10">
                  <c:v>1.0206171332834746</c:v>
                </c:pt>
                <c:pt idx="11">
                  <c:v>0.97920730924798693</c:v>
                </c:pt>
                <c:pt idx="12">
                  <c:v>1.0277677605481372</c:v>
                </c:pt>
                <c:pt idx="13">
                  <c:v>1.1860517815088567</c:v>
                </c:pt>
                <c:pt idx="14">
                  <c:v>1.3900678825639945</c:v>
                </c:pt>
                <c:pt idx="15">
                  <c:v>1.6031902828083311</c:v>
                </c:pt>
                <c:pt idx="16">
                  <c:v>1.9108687978608874</c:v>
                </c:pt>
                <c:pt idx="17">
                  <c:v>2.3706740668784088</c:v>
                </c:pt>
                <c:pt idx="18">
                  <c:v>2.9027407076422485</c:v>
                </c:pt>
                <c:pt idx="19">
                  <c:v>3.3745337150022037</c:v>
                </c:pt>
                <c:pt idx="20">
                  <c:v>3.6921582569039435</c:v>
                </c:pt>
                <c:pt idx="21">
                  <c:v>3.8481936459352939</c:v>
                </c:pt>
                <c:pt idx="22">
                  <c:v>3.8246503969582735</c:v>
                </c:pt>
                <c:pt idx="23">
                  <c:v>3.5939498613456689</c:v>
                </c:pt>
              </c:numCache>
            </c:numRef>
          </c:val>
          <c:smooth val="0"/>
          <c:extLst>
            <c:ext xmlns:c16="http://schemas.microsoft.com/office/drawing/2014/chart" uri="{C3380CC4-5D6E-409C-BE32-E72D297353CC}">
              <c16:uniqueId val="{00000005-36AD-475D-B913-897CB5E9594A}"/>
            </c:ext>
          </c:extLst>
        </c:ser>
        <c:dLbls>
          <c:showLegendKey val="0"/>
          <c:showVal val="0"/>
          <c:showCatName val="0"/>
          <c:showSerName val="0"/>
          <c:showPercent val="0"/>
          <c:showBubbleSize val="0"/>
        </c:dLbls>
        <c:marker val="1"/>
        <c:smooth val="0"/>
        <c:axId val="997090992"/>
        <c:axId val="997091408"/>
      </c:lineChart>
      <c:dateAx>
        <c:axId val="997090992"/>
        <c:scaling>
          <c:orientation val="minMax"/>
        </c:scaling>
        <c:delete val="0"/>
        <c:axPos val="b"/>
        <c:numFmt formatCode="mmm\-yy"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97091408"/>
        <c:crosses val="autoZero"/>
        <c:auto val="1"/>
        <c:lblOffset val="100"/>
        <c:baseTimeUnit val="months"/>
      </c:dateAx>
      <c:valAx>
        <c:axId val="997091408"/>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97090992"/>
        <c:crosses val="autoZero"/>
        <c:crossBetween val="between"/>
      </c:valAx>
    </c:plotArea>
    <c:legend>
      <c:legendPos val="t"/>
      <c:layout>
        <c:manualLayout>
          <c:xMode val="edge"/>
          <c:yMode val="edge"/>
          <c:x val="0.14734444444444444"/>
          <c:y val="3.5277777777777776E-2"/>
          <c:w val="0.85265555555555561"/>
          <c:h val="0.1648796296296296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663981344074624E-2"/>
          <c:y val="0"/>
          <c:w val="0.90672037311850751"/>
          <c:h val="0.76337974309502687"/>
        </c:manualLayout>
      </c:layout>
      <c:barChart>
        <c:barDir val="col"/>
        <c:grouping val="clustered"/>
        <c:varyColors val="0"/>
        <c:ser>
          <c:idx val="0"/>
          <c:order val="0"/>
          <c:spPr>
            <a:solidFill>
              <a:srgbClr val="002060"/>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Ingreso!$B$42:$B$44</c:f>
              <c:strCache>
                <c:ptCount val="3"/>
                <c:pt idx="0">
                  <c:v>Año presupuestario</c:v>
                </c:pt>
                <c:pt idx="1">
                  <c:v>Año presupuestario+1</c:v>
                </c:pt>
                <c:pt idx="2">
                  <c:v>Año presupuestario+2</c:v>
                </c:pt>
              </c:strCache>
            </c:strRef>
          </c:cat>
          <c:val>
            <c:numRef>
              <c:f>Ingreso!$C$42:$C$44</c:f>
              <c:numCache>
                <c:formatCode>_(* #,##0.00_);_(* \(#,##0.00\);_(* "-"??_);_(@_)</c:formatCode>
                <c:ptCount val="3"/>
                <c:pt idx="0">
                  <c:v>-0.10808110077324509</c:v>
                </c:pt>
                <c:pt idx="1">
                  <c:v>-0.11389657171146633</c:v>
                </c:pt>
                <c:pt idx="2">
                  <c:v>-0.40192488971329288</c:v>
                </c:pt>
              </c:numCache>
            </c:numRef>
          </c:val>
          <c:extLst>
            <c:ext xmlns:c16="http://schemas.microsoft.com/office/drawing/2014/chart" uri="{C3380CC4-5D6E-409C-BE32-E72D297353CC}">
              <c16:uniqueId val="{00000000-92B5-4EF9-9031-5A0AB9E98F81}"/>
            </c:ext>
          </c:extLst>
        </c:ser>
        <c:dLbls>
          <c:showLegendKey val="0"/>
          <c:showVal val="0"/>
          <c:showCatName val="0"/>
          <c:showSerName val="0"/>
          <c:showPercent val="0"/>
          <c:showBubbleSize val="0"/>
        </c:dLbls>
        <c:gapWidth val="219"/>
        <c:overlap val="-27"/>
        <c:axId val="1217834752"/>
        <c:axId val="1217835168"/>
      </c:barChart>
      <c:catAx>
        <c:axId val="121783475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217835168"/>
        <c:crosses val="autoZero"/>
        <c:auto val="1"/>
        <c:lblAlgn val="ctr"/>
        <c:lblOffset val="100"/>
        <c:noMultiLvlLbl val="0"/>
      </c:catAx>
      <c:valAx>
        <c:axId val="1217835168"/>
        <c:scaling>
          <c:orientation val="minMax"/>
        </c:scaling>
        <c:delete val="1"/>
        <c:axPos val="l"/>
        <c:numFmt formatCode="_(* #,##0.00_);_(* \(#,##0.00\);_(* &quot;-&quot;??_);_(@_)" sourceLinked="1"/>
        <c:majorTickMark val="none"/>
        <c:minorTickMark val="none"/>
        <c:tickLblPos val="nextTo"/>
        <c:crossAx val="12178347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6022408963585436E-2"/>
          <c:y val="4.6728971962616821E-2"/>
          <c:w val="0.88795518207282909"/>
          <c:h val="0.67993720411116831"/>
        </c:manualLayout>
      </c:layout>
      <c:barChart>
        <c:barDir val="col"/>
        <c:grouping val="clustered"/>
        <c:varyColors val="0"/>
        <c:ser>
          <c:idx val="0"/>
          <c:order val="0"/>
          <c:tx>
            <c:strRef>
              <c:f>Ingreso!$B$42</c:f>
              <c:strCache>
                <c:ptCount val="1"/>
                <c:pt idx="0">
                  <c:v>Año presupuestario</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Ingreso!$D$42</c:f>
              <c:numCache>
                <c:formatCode>_(* #,##0.00_);_(* \(#,##0.00\);_(* "-"??_);_(@_)</c:formatCode>
                <c:ptCount val="1"/>
                <c:pt idx="0">
                  <c:v>0.86428383294916455</c:v>
                </c:pt>
              </c:numCache>
            </c:numRef>
          </c:val>
          <c:extLst>
            <c:ext xmlns:c16="http://schemas.microsoft.com/office/drawing/2014/chart" uri="{C3380CC4-5D6E-409C-BE32-E72D297353CC}">
              <c16:uniqueId val="{00000000-BABC-408E-BAF5-31B4E7A53293}"/>
            </c:ext>
          </c:extLst>
        </c:ser>
        <c:ser>
          <c:idx val="1"/>
          <c:order val="1"/>
          <c:tx>
            <c:strRef>
              <c:f>Ingreso!$B$43</c:f>
              <c:strCache>
                <c:ptCount val="1"/>
                <c:pt idx="0">
                  <c:v>Año presupuestario+1</c:v>
                </c:pt>
              </c:strCache>
            </c:strRef>
          </c:tx>
          <c:spPr>
            <a:solidFill>
              <a:srgbClr val="5B9BD5">
                <a:lumMod val="75000"/>
              </a:srgbClr>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Ingreso!$D$43</c:f>
              <c:numCache>
                <c:formatCode>_(* #,##0.00_);_(* \(#,##0.00\);_(* "-"??_);_(@_)</c:formatCode>
                <c:ptCount val="1"/>
                <c:pt idx="0">
                  <c:v>0.95619578298906438</c:v>
                </c:pt>
              </c:numCache>
            </c:numRef>
          </c:val>
          <c:extLst>
            <c:ext xmlns:c16="http://schemas.microsoft.com/office/drawing/2014/chart" uri="{C3380CC4-5D6E-409C-BE32-E72D297353CC}">
              <c16:uniqueId val="{00000001-BABC-408E-BAF5-31B4E7A53293}"/>
            </c:ext>
          </c:extLst>
        </c:ser>
        <c:ser>
          <c:idx val="2"/>
          <c:order val="2"/>
          <c:tx>
            <c:strRef>
              <c:f>Ingreso!$B$44</c:f>
              <c:strCache>
                <c:ptCount val="1"/>
                <c:pt idx="0">
                  <c:v>Año presupuestario+2</c:v>
                </c:pt>
              </c:strCache>
            </c:strRef>
          </c:tx>
          <c:spPr>
            <a:solidFill>
              <a:schemeClr val="accent3"/>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Ingreso!$D$44</c:f>
              <c:numCache>
                <c:formatCode>_(* #,##0.00_);_(* \(#,##0.00\);_(* "-"??_);_(@_)</c:formatCode>
                <c:ptCount val="1"/>
                <c:pt idx="0">
                  <c:v>0.83955882041952601</c:v>
                </c:pt>
              </c:numCache>
            </c:numRef>
          </c:val>
          <c:extLst>
            <c:ext xmlns:c16="http://schemas.microsoft.com/office/drawing/2014/chart" uri="{C3380CC4-5D6E-409C-BE32-E72D297353CC}">
              <c16:uniqueId val="{00000002-BABC-408E-BAF5-31B4E7A53293}"/>
            </c:ext>
          </c:extLst>
        </c:ser>
        <c:dLbls>
          <c:showLegendKey val="0"/>
          <c:showVal val="1"/>
          <c:showCatName val="0"/>
          <c:showSerName val="0"/>
          <c:showPercent val="0"/>
          <c:showBubbleSize val="0"/>
        </c:dLbls>
        <c:gapWidth val="76"/>
        <c:overlap val="-51"/>
        <c:axId val="1549119055"/>
        <c:axId val="1549119887"/>
      </c:barChart>
      <c:catAx>
        <c:axId val="1549119055"/>
        <c:scaling>
          <c:orientation val="minMax"/>
        </c:scaling>
        <c:delete val="1"/>
        <c:axPos val="b"/>
        <c:majorTickMark val="none"/>
        <c:minorTickMark val="none"/>
        <c:tickLblPos val="nextTo"/>
        <c:crossAx val="1549119887"/>
        <c:crosses val="autoZero"/>
        <c:auto val="1"/>
        <c:lblAlgn val="ctr"/>
        <c:lblOffset val="100"/>
        <c:noMultiLvlLbl val="0"/>
      </c:catAx>
      <c:valAx>
        <c:axId val="1549119887"/>
        <c:scaling>
          <c:orientation val="minMax"/>
        </c:scaling>
        <c:delete val="1"/>
        <c:axPos val="l"/>
        <c:numFmt formatCode="_(* #,##0.00_);_(* \(#,##0.00\);_(* &quot;-&quot;??_);_(@_)" sourceLinked="1"/>
        <c:majorTickMark val="none"/>
        <c:minorTickMark val="none"/>
        <c:tickLblPos val="nextTo"/>
        <c:crossAx val="1549119055"/>
        <c:crosses val="autoZero"/>
        <c:crossBetween val="between"/>
      </c:valAx>
      <c:spPr>
        <a:noFill/>
        <a:ln>
          <a:noFill/>
        </a:ln>
        <a:effectLst/>
      </c:spPr>
    </c:plotArea>
    <c:legend>
      <c:legendPos val="b"/>
      <c:layout>
        <c:manualLayout>
          <c:xMode val="edge"/>
          <c:yMode val="edge"/>
          <c:x val="1.9305474516220233E-2"/>
          <c:y val="0.78897147202394091"/>
          <c:w val="0.94611021215930902"/>
          <c:h val="0.1642995560134422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Gasto!$B$30</c:f>
              <c:strCache>
                <c:ptCount val="1"/>
                <c:pt idx="0">
                  <c:v>Año presupuestario</c:v>
                </c:pt>
              </c:strCache>
            </c:strRef>
          </c:tx>
          <c:spPr>
            <a:solidFill>
              <a:schemeClr val="accent1">
                <a:shade val="65000"/>
              </a:schemeClr>
            </a:solidFill>
            <a:ln w="3175">
              <a:solidFill>
                <a:sysClr val="windowText" lastClr="000000"/>
              </a:solidFill>
            </a:ln>
            <a:effectLst/>
          </c:spPr>
          <c:invertIfNegative val="0"/>
          <c:cat>
            <c:numRef>
              <c:f>Gasto!$D$29:$N$29</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Gasto!$D$30:$N$30</c:f>
              <c:numCache>
                <c:formatCode>_(* #,##0.00_);_(* \(#,##0.00\);_(* "-"??_);_(@_)</c:formatCode>
                <c:ptCount val="11"/>
                <c:pt idx="0">
                  <c:v>-0.50636225120144651</c:v>
                </c:pt>
                <c:pt idx="1">
                  <c:v>-1.5184924808425517</c:v>
                </c:pt>
                <c:pt idx="2">
                  <c:v>-1.3508801301991191</c:v>
                </c:pt>
                <c:pt idx="3">
                  <c:v>-1.7663297418835988</c:v>
                </c:pt>
                <c:pt idx="4">
                  <c:v>-0.64660526326530388</c:v>
                </c:pt>
                <c:pt idx="5">
                  <c:v>-0.97984665600095511</c:v>
                </c:pt>
                <c:pt idx="6">
                  <c:v>-1.9414623154013633</c:v>
                </c:pt>
                <c:pt idx="7">
                  <c:v>-0.65903091544719139</c:v>
                </c:pt>
                <c:pt idx="8">
                  <c:v>0.99292222203941272</c:v>
                </c:pt>
                <c:pt idx="9">
                  <c:v>-0.83262877558733805</c:v>
                </c:pt>
                <c:pt idx="10">
                  <c:v>0.57625161950299564</c:v>
                </c:pt>
              </c:numCache>
            </c:numRef>
          </c:val>
          <c:extLst>
            <c:ext xmlns:c16="http://schemas.microsoft.com/office/drawing/2014/chart" uri="{C3380CC4-5D6E-409C-BE32-E72D297353CC}">
              <c16:uniqueId val="{00000000-C93C-4CF8-AA42-B56F220184E3}"/>
            </c:ext>
          </c:extLst>
        </c:ser>
        <c:ser>
          <c:idx val="1"/>
          <c:order val="1"/>
          <c:tx>
            <c:strRef>
              <c:f>Gasto!$B$31</c:f>
              <c:strCache>
                <c:ptCount val="1"/>
                <c:pt idx="0">
                  <c:v>Año presupuestario+1</c:v>
                </c:pt>
              </c:strCache>
            </c:strRef>
          </c:tx>
          <c:spPr>
            <a:solidFill>
              <a:srgbClr val="5B9BD5">
                <a:lumMod val="75000"/>
              </a:srgbClr>
            </a:solidFill>
            <a:ln w="3175">
              <a:solidFill>
                <a:sysClr val="windowText" lastClr="000000"/>
              </a:solidFill>
            </a:ln>
            <a:effectLst/>
          </c:spPr>
          <c:invertIfNegative val="0"/>
          <c:cat>
            <c:numRef>
              <c:f>Gasto!$D$29:$N$29</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Gasto!$D$31:$N$31</c:f>
              <c:numCache>
                <c:formatCode>_(* #,##0.00_);_(* \(#,##0.00\);_(* "-"??_);_(@_)</c:formatCode>
                <c:ptCount val="11"/>
                <c:pt idx="0">
                  <c:v>0.74581846842323785</c:v>
                </c:pt>
                <c:pt idx="1">
                  <c:v>-0.16959086193348405</c:v>
                </c:pt>
                <c:pt idx="2">
                  <c:v>-1.0675970042628098</c:v>
                </c:pt>
                <c:pt idx="3">
                  <c:v>-1.4894732675533291</c:v>
                </c:pt>
                <c:pt idx="4">
                  <c:v>-1.1341932493850884</c:v>
                </c:pt>
                <c:pt idx="5">
                  <c:v>-0.25941958043742019</c:v>
                </c:pt>
                <c:pt idx="6">
                  <c:v>-0.92072861680690465</c:v>
                </c:pt>
                <c:pt idx="7">
                  <c:v>-1.3656130438976923</c:v>
                </c:pt>
                <c:pt idx="8">
                  <c:v>0.1901918288679969</c:v>
                </c:pt>
                <c:pt idx="9">
                  <c:v>-0.36408153946011446</c:v>
                </c:pt>
                <c:pt idx="10">
                  <c:v>1.628718034123656</c:v>
                </c:pt>
              </c:numCache>
            </c:numRef>
          </c:val>
          <c:extLst>
            <c:ext xmlns:c16="http://schemas.microsoft.com/office/drawing/2014/chart" uri="{C3380CC4-5D6E-409C-BE32-E72D297353CC}">
              <c16:uniqueId val="{00000001-C93C-4CF8-AA42-B56F220184E3}"/>
            </c:ext>
          </c:extLst>
        </c:ser>
        <c:ser>
          <c:idx val="2"/>
          <c:order val="2"/>
          <c:tx>
            <c:strRef>
              <c:f>Gasto!$B$32</c:f>
              <c:strCache>
                <c:ptCount val="1"/>
                <c:pt idx="0">
                  <c:v>Año presupuestario+2</c:v>
                </c:pt>
              </c:strCache>
            </c:strRef>
          </c:tx>
          <c:spPr>
            <a:solidFill>
              <a:schemeClr val="accent1">
                <a:tint val="65000"/>
              </a:schemeClr>
            </a:solidFill>
            <a:ln w="3175">
              <a:solidFill>
                <a:sysClr val="windowText" lastClr="000000"/>
              </a:solidFill>
            </a:ln>
            <a:effectLst/>
          </c:spPr>
          <c:invertIfNegative val="0"/>
          <c:cat>
            <c:numRef>
              <c:f>Gasto!$D$29:$N$29</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Gasto!$D$32:$N$32</c:f>
              <c:numCache>
                <c:formatCode>_(* #,##0.00_);_(* \(#,##0.00\);_(* "-"??_);_(@_)</c:formatCode>
                <c:ptCount val="11"/>
                <c:pt idx="1">
                  <c:v>0.65063911689003007</c:v>
                </c:pt>
                <c:pt idx="2">
                  <c:v>-0.14583144778144153</c:v>
                </c:pt>
                <c:pt idx="3">
                  <c:v>-1.8550439759754678</c:v>
                </c:pt>
                <c:pt idx="4">
                  <c:v>-1.2870811765603669</c:v>
                </c:pt>
                <c:pt idx="5">
                  <c:v>-0.74273661090646215</c:v>
                </c:pt>
                <c:pt idx="6">
                  <c:v>0.2378980219707163</c:v>
                </c:pt>
                <c:pt idx="7">
                  <c:v>-0.36304053206211684</c:v>
                </c:pt>
                <c:pt idx="8">
                  <c:v>-0.28302099575446604</c:v>
                </c:pt>
                <c:pt idx="9">
                  <c:v>-1.2495809753553857</c:v>
                </c:pt>
                <c:pt idx="10">
                  <c:v>0.79480620856521256</c:v>
                </c:pt>
              </c:numCache>
            </c:numRef>
          </c:val>
          <c:extLst>
            <c:ext xmlns:c16="http://schemas.microsoft.com/office/drawing/2014/chart" uri="{C3380CC4-5D6E-409C-BE32-E72D297353CC}">
              <c16:uniqueId val="{00000002-C93C-4CF8-AA42-B56F220184E3}"/>
            </c:ext>
          </c:extLst>
        </c:ser>
        <c:dLbls>
          <c:showLegendKey val="0"/>
          <c:showVal val="0"/>
          <c:showCatName val="0"/>
          <c:showSerName val="0"/>
          <c:showPercent val="0"/>
          <c:showBubbleSize val="0"/>
        </c:dLbls>
        <c:gapWidth val="219"/>
        <c:axId val="1149594064"/>
        <c:axId val="1149579504"/>
      </c:barChart>
      <c:catAx>
        <c:axId val="114959406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149579504"/>
        <c:crosses val="autoZero"/>
        <c:auto val="1"/>
        <c:lblAlgn val="ctr"/>
        <c:lblOffset val="100"/>
        <c:noMultiLvlLbl val="0"/>
      </c:catAx>
      <c:valAx>
        <c:axId val="1149579504"/>
        <c:scaling>
          <c:orientation val="minMax"/>
        </c:scaling>
        <c:delete val="1"/>
        <c:axPos val="l"/>
        <c:numFmt formatCode="_(* #,##0.00_);_(* \(#,##0.00\);_(* &quot;-&quot;??_);_(@_)" sourceLinked="1"/>
        <c:majorTickMark val="none"/>
        <c:minorTickMark val="none"/>
        <c:tickLblPos val="nextTo"/>
        <c:crossAx val="1149594064"/>
        <c:crosses val="autoZero"/>
        <c:crossBetween val="between"/>
      </c:valAx>
      <c:spPr>
        <a:noFill/>
        <a:ln>
          <a:noFill/>
        </a:ln>
        <a:effectLst/>
      </c:spPr>
    </c:plotArea>
    <c:legend>
      <c:legendPos val="b"/>
      <c:layout>
        <c:manualLayout>
          <c:xMode val="edge"/>
          <c:yMode val="edge"/>
          <c:x val="0.16447671496954844"/>
          <c:y val="0.94773759340688479"/>
          <c:w val="0.67104639855108505"/>
          <c:h val="5.226240659311525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4">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398140912791151E-2"/>
          <c:y val="0"/>
          <c:w val="0.98601859087208854"/>
          <c:h val="0.77381768251190841"/>
        </c:manualLayout>
      </c:layout>
      <c:barChart>
        <c:barDir val="col"/>
        <c:grouping val="clustered"/>
        <c:varyColors val="0"/>
        <c:ser>
          <c:idx val="0"/>
          <c:order val="0"/>
          <c:spPr>
            <a:solidFill>
              <a:srgbClr val="002060"/>
            </a:solidFill>
            <a:ln w="3175">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Gasto!$B$42:$B$44</c:f>
              <c:strCache>
                <c:ptCount val="3"/>
                <c:pt idx="0">
                  <c:v>Año presupuestario</c:v>
                </c:pt>
                <c:pt idx="1">
                  <c:v>Año presupuestario+1</c:v>
                </c:pt>
                <c:pt idx="2">
                  <c:v>Año presupuestario+2</c:v>
                </c:pt>
              </c:strCache>
            </c:strRef>
          </c:cat>
          <c:val>
            <c:numRef>
              <c:f>Gasto!$C$42:$C$44</c:f>
              <c:numCache>
                <c:formatCode>_(* #,##0.00_);_(* \(#,##0.00\);_(* "-"??_);_(@_)</c:formatCode>
                <c:ptCount val="3"/>
                <c:pt idx="0">
                  <c:v>-0.78476951711695087</c:v>
                </c:pt>
                <c:pt idx="1">
                  <c:v>-0.38236080293835928</c:v>
                </c:pt>
                <c:pt idx="2">
                  <c:v>-0.42429923669697478</c:v>
                </c:pt>
              </c:numCache>
            </c:numRef>
          </c:val>
          <c:extLst>
            <c:ext xmlns:c16="http://schemas.microsoft.com/office/drawing/2014/chart" uri="{C3380CC4-5D6E-409C-BE32-E72D297353CC}">
              <c16:uniqueId val="{00000000-8C36-46A0-9BCA-6CC765824B44}"/>
            </c:ext>
          </c:extLst>
        </c:ser>
        <c:dLbls>
          <c:showLegendKey val="0"/>
          <c:showVal val="0"/>
          <c:showCatName val="0"/>
          <c:showSerName val="0"/>
          <c:showPercent val="0"/>
          <c:showBubbleSize val="0"/>
        </c:dLbls>
        <c:gapWidth val="219"/>
        <c:overlap val="-27"/>
        <c:axId val="1217834752"/>
        <c:axId val="1217835168"/>
      </c:barChart>
      <c:catAx>
        <c:axId val="121783475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217835168"/>
        <c:crosses val="autoZero"/>
        <c:auto val="1"/>
        <c:lblAlgn val="ctr"/>
        <c:lblOffset val="100"/>
        <c:noMultiLvlLbl val="0"/>
      </c:catAx>
      <c:valAx>
        <c:axId val="1217835168"/>
        <c:scaling>
          <c:orientation val="minMax"/>
        </c:scaling>
        <c:delete val="1"/>
        <c:axPos val="l"/>
        <c:numFmt formatCode="_(* #,##0.00_);_(* \(#,##0.00\);_(* &quot;-&quot;??_);_(@_)" sourceLinked="1"/>
        <c:majorTickMark val="none"/>
        <c:minorTickMark val="none"/>
        <c:tickLblPos val="nextTo"/>
        <c:crossAx val="12178347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4">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1270100209741321E-2"/>
          <c:y val="0"/>
          <c:w val="0.89745979958051736"/>
          <c:h val="0.75969229998873333"/>
        </c:manualLayout>
      </c:layout>
      <c:barChart>
        <c:barDir val="col"/>
        <c:grouping val="clustered"/>
        <c:varyColors val="0"/>
        <c:ser>
          <c:idx val="0"/>
          <c:order val="0"/>
          <c:tx>
            <c:strRef>
              <c:f>Gasto!$B$42</c:f>
              <c:strCache>
                <c:ptCount val="1"/>
                <c:pt idx="0">
                  <c:v>Año presupuestario</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Gasto!$D$42</c:f>
              <c:numCache>
                <c:formatCode>_(* #,##0.00_);_(* \(#,##0.00\);_(* "-"??_);_(@_)</c:formatCode>
                <c:ptCount val="1"/>
                <c:pt idx="0">
                  <c:v>1.0700738519428432</c:v>
                </c:pt>
              </c:numCache>
            </c:numRef>
          </c:val>
          <c:extLst>
            <c:ext xmlns:c16="http://schemas.microsoft.com/office/drawing/2014/chart" uri="{C3380CC4-5D6E-409C-BE32-E72D297353CC}">
              <c16:uniqueId val="{00000000-E5A1-4B8B-804E-8085A82C5E8F}"/>
            </c:ext>
          </c:extLst>
        </c:ser>
        <c:ser>
          <c:idx val="1"/>
          <c:order val="1"/>
          <c:tx>
            <c:strRef>
              <c:f>Gasto!$B$43</c:f>
              <c:strCache>
                <c:ptCount val="1"/>
                <c:pt idx="0">
                  <c:v>Año presupuestario+1</c:v>
                </c:pt>
              </c:strCache>
            </c:strRef>
          </c:tx>
          <c:spPr>
            <a:solidFill>
              <a:srgbClr val="5B9BD5">
                <a:lumMod val="75000"/>
              </a:srgbClr>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Gasto!$D$43</c:f>
              <c:numCache>
                <c:formatCode>_(* #,##0.00_);_(* \(#,##0.00\);_(* "-"??_);_(@_)</c:formatCode>
                <c:ptCount val="1"/>
                <c:pt idx="0">
                  <c:v>0.84867504501379398</c:v>
                </c:pt>
              </c:numCache>
            </c:numRef>
          </c:val>
          <c:extLst>
            <c:ext xmlns:c16="http://schemas.microsoft.com/office/drawing/2014/chart" uri="{C3380CC4-5D6E-409C-BE32-E72D297353CC}">
              <c16:uniqueId val="{00000001-E5A1-4B8B-804E-8085A82C5E8F}"/>
            </c:ext>
          </c:extLst>
        </c:ser>
        <c:ser>
          <c:idx val="2"/>
          <c:order val="2"/>
          <c:tx>
            <c:strRef>
              <c:f>Gasto!$B$44</c:f>
              <c:strCache>
                <c:ptCount val="1"/>
                <c:pt idx="0">
                  <c:v>Año presupuestario+2</c:v>
                </c:pt>
              </c:strCache>
            </c:strRef>
          </c:tx>
          <c:spPr>
            <a:solidFill>
              <a:schemeClr val="accent3"/>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Gasto!$D$44</c:f>
              <c:numCache>
                <c:formatCode>_(* #,##0.00_);_(* \(#,##0.00\);_(* "-"??_);_(@_)</c:formatCode>
                <c:ptCount val="1"/>
                <c:pt idx="0">
                  <c:v>0.76096790618216659</c:v>
                </c:pt>
              </c:numCache>
            </c:numRef>
          </c:val>
          <c:extLst>
            <c:ext xmlns:c16="http://schemas.microsoft.com/office/drawing/2014/chart" uri="{C3380CC4-5D6E-409C-BE32-E72D297353CC}">
              <c16:uniqueId val="{00000002-E5A1-4B8B-804E-8085A82C5E8F}"/>
            </c:ext>
          </c:extLst>
        </c:ser>
        <c:dLbls>
          <c:showLegendKey val="0"/>
          <c:showVal val="1"/>
          <c:showCatName val="0"/>
          <c:showSerName val="0"/>
          <c:showPercent val="0"/>
          <c:showBubbleSize val="0"/>
        </c:dLbls>
        <c:gapWidth val="75"/>
        <c:overlap val="-32"/>
        <c:axId val="1621583263"/>
        <c:axId val="1621581599"/>
      </c:barChart>
      <c:catAx>
        <c:axId val="1621583263"/>
        <c:scaling>
          <c:orientation val="minMax"/>
        </c:scaling>
        <c:delete val="1"/>
        <c:axPos val="b"/>
        <c:majorTickMark val="none"/>
        <c:minorTickMark val="none"/>
        <c:tickLblPos val="nextTo"/>
        <c:crossAx val="1621581599"/>
        <c:crosses val="autoZero"/>
        <c:auto val="1"/>
        <c:lblAlgn val="ctr"/>
        <c:lblOffset val="100"/>
        <c:noMultiLvlLbl val="0"/>
      </c:catAx>
      <c:valAx>
        <c:axId val="1621581599"/>
        <c:scaling>
          <c:orientation val="minMax"/>
        </c:scaling>
        <c:delete val="1"/>
        <c:axPos val="l"/>
        <c:numFmt formatCode="_(* #,##0.00_);_(* \(#,##0.00\);_(* &quot;-&quot;??_);_(@_)" sourceLinked="1"/>
        <c:majorTickMark val="none"/>
        <c:minorTickMark val="none"/>
        <c:tickLblPos val="nextTo"/>
        <c:crossAx val="1621583263"/>
        <c:crosses val="autoZero"/>
        <c:crossBetween val="between"/>
      </c:valAx>
      <c:spPr>
        <a:noFill/>
        <a:ln>
          <a:noFill/>
        </a:ln>
        <a:effectLst/>
      </c:spPr>
    </c:plotArea>
    <c:legend>
      <c:legendPos val="b"/>
      <c:layout>
        <c:manualLayout>
          <c:xMode val="edge"/>
          <c:yMode val="edge"/>
          <c:x val="0"/>
          <c:y val="0.8153361791620245"/>
          <c:w val="0.99528072857124505"/>
          <c:h val="0.1846638208379755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4951797663604402E-2"/>
          <c:y val="0"/>
          <c:w val="0.95009640467279122"/>
          <c:h val="0.85265639743292554"/>
        </c:manualLayout>
      </c:layout>
      <c:barChart>
        <c:barDir val="col"/>
        <c:grouping val="clustered"/>
        <c:varyColors val="0"/>
        <c:ser>
          <c:idx val="0"/>
          <c:order val="0"/>
          <c:tx>
            <c:strRef>
              <c:f>Déficit!$B$30</c:f>
              <c:strCache>
                <c:ptCount val="1"/>
                <c:pt idx="0">
                  <c:v>Año presupuestario</c:v>
                </c:pt>
              </c:strCache>
            </c:strRef>
          </c:tx>
          <c:spPr>
            <a:solidFill>
              <a:schemeClr val="accent1">
                <a:shade val="65000"/>
              </a:schemeClr>
            </a:solidFill>
            <a:ln w="3175">
              <a:solidFill>
                <a:sysClr val="windowText" lastClr="000000"/>
              </a:solidFill>
            </a:ln>
            <a:effectLst/>
          </c:spPr>
          <c:invertIfNegative val="0"/>
          <c:cat>
            <c:numRef>
              <c:f>Déficit!$D$29:$N$29</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Déficit!$D$30:$N$30</c:f>
              <c:numCache>
                <c:formatCode>_(* #,##0.00_);_(* \(#,##0.00\);_(* "-"??_);_(@_)</c:formatCode>
                <c:ptCount val="11"/>
                <c:pt idx="0">
                  <c:v>-0.21753499734837956</c:v>
                </c:pt>
                <c:pt idx="1">
                  <c:v>-0.3738654979085938</c:v>
                </c:pt>
                <c:pt idx="2">
                  <c:v>-0.47352452947059764</c:v>
                </c:pt>
                <c:pt idx="3">
                  <c:v>-0.62555966245280903</c:v>
                </c:pt>
                <c:pt idx="4">
                  <c:v>-0.55914840614134964</c:v>
                </c:pt>
                <c:pt idx="5">
                  <c:v>-0.52528850141860972</c:v>
                </c:pt>
                <c:pt idx="6">
                  <c:v>-0.96833348513051876</c:v>
                </c:pt>
                <c:pt idx="7">
                  <c:v>-0.32355653540234064</c:v>
                </c:pt>
                <c:pt idx="8">
                  <c:v>2.2015195831709553</c:v>
                </c:pt>
                <c:pt idx="9">
                  <c:v>-3.3580471518694424</c:v>
                </c:pt>
                <c:pt idx="10">
                  <c:v>-0.99748934229669661</c:v>
                </c:pt>
              </c:numCache>
            </c:numRef>
          </c:val>
          <c:extLst>
            <c:ext xmlns:c16="http://schemas.microsoft.com/office/drawing/2014/chart" uri="{C3380CC4-5D6E-409C-BE32-E72D297353CC}">
              <c16:uniqueId val="{00000000-2E72-45EA-980C-0DEAF312EF66}"/>
            </c:ext>
          </c:extLst>
        </c:ser>
        <c:ser>
          <c:idx val="1"/>
          <c:order val="1"/>
          <c:tx>
            <c:strRef>
              <c:f>Déficit!$B$31</c:f>
              <c:strCache>
                <c:ptCount val="1"/>
                <c:pt idx="0">
                  <c:v>Año presupuestario+1</c:v>
                </c:pt>
              </c:strCache>
            </c:strRef>
          </c:tx>
          <c:spPr>
            <a:solidFill>
              <a:srgbClr val="5B9BD5">
                <a:lumMod val="75000"/>
              </a:srgbClr>
            </a:solidFill>
            <a:ln w="3175">
              <a:solidFill>
                <a:sysClr val="windowText" lastClr="000000"/>
              </a:solidFill>
            </a:ln>
            <a:effectLst/>
          </c:spPr>
          <c:invertIfNegative val="0"/>
          <c:cat>
            <c:numRef>
              <c:f>Déficit!$D$29:$N$29</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Déficit!$D$31:$N$31</c:f>
              <c:numCache>
                <c:formatCode>_(* #,##0.00_);_(* \(#,##0.00\);_(* "-"??_);_(@_)</c:formatCode>
                <c:ptCount val="11"/>
                <c:pt idx="0">
                  <c:v>0.24764255543654645</c:v>
                </c:pt>
                <c:pt idx="1">
                  <c:v>-0.29293044012054503</c:v>
                </c:pt>
                <c:pt idx="2">
                  <c:v>-8.3630195548944686E-2</c:v>
                </c:pt>
                <c:pt idx="3">
                  <c:v>-0.43676619293265362</c:v>
                </c:pt>
                <c:pt idx="4">
                  <c:v>-1.4384482098474125</c:v>
                </c:pt>
                <c:pt idx="5">
                  <c:v>-0.28743804783296345</c:v>
                </c:pt>
                <c:pt idx="6">
                  <c:v>-2.4408727786014994E-2</c:v>
                </c:pt>
                <c:pt idx="7">
                  <c:v>-8.0901999498291577E-2</c:v>
                </c:pt>
                <c:pt idx="8">
                  <c:v>2.1072003034103064</c:v>
                </c:pt>
                <c:pt idx="9">
                  <c:v>-1.0856719366584922</c:v>
                </c:pt>
                <c:pt idx="10">
                  <c:v>-1.4599344421392466</c:v>
                </c:pt>
              </c:numCache>
            </c:numRef>
          </c:val>
          <c:extLst>
            <c:ext xmlns:c16="http://schemas.microsoft.com/office/drawing/2014/chart" uri="{C3380CC4-5D6E-409C-BE32-E72D297353CC}">
              <c16:uniqueId val="{00000001-2E72-45EA-980C-0DEAF312EF66}"/>
            </c:ext>
          </c:extLst>
        </c:ser>
        <c:ser>
          <c:idx val="2"/>
          <c:order val="2"/>
          <c:tx>
            <c:strRef>
              <c:f>Déficit!$B$32</c:f>
              <c:strCache>
                <c:ptCount val="1"/>
                <c:pt idx="0">
                  <c:v>Año presupuestario+2</c:v>
                </c:pt>
              </c:strCache>
            </c:strRef>
          </c:tx>
          <c:spPr>
            <a:solidFill>
              <a:schemeClr val="accent1">
                <a:tint val="65000"/>
              </a:schemeClr>
            </a:solidFill>
            <a:ln w="3175">
              <a:solidFill>
                <a:sysClr val="windowText" lastClr="000000"/>
              </a:solidFill>
            </a:ln>
            <a:effectLst/>
          </c:spPr>
          <c:invertIfNegative val="0"/>
          <c:cat>
            <c:numRef>
              <c:f>Déficit!$D$29:$N$29</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Déficit!$D$32:$N$32</c:f>
              <c:numCache>
                <c:formatCode>_(* #,##0.00_);_(* \(#,##0.00\);_(* "-"??_);_(@_)</c:formatCode>
                <c:ptCount val="11"/>
                <c:pt idx="1">
                  <c:v>-4.3929051649775896E-2</c:v>
                </c:pt>
                <c:pt idx="2">
                  <c:v>-0.37909682082516105</c:v>
                </c:pt>
                <c:pt idx="3">
                  <c:v>-0.45516867199125577</c:v>
                </c:pt>
                <c:pt idx="4">
                  <c:v>-0.49022433734311277</c:v>
                </c:pt>
                <c:pt idx="5">
                  <c:v>-0.92921438530099221</c:v>
                </c:pt>
                <c:pt idx="6">
                  <c:v>0.33912331629827697</c:v>
                </c:pt>
                <c:pt idx="7">
                  <c:v>0.58476910957755712</c:v>
                </c:pt>
                <c:pt idx="8">
                  <c:v>2.5648821088213003</c:v>
                </c:pt>
                <c:pt idx="9">
                  <c:v>-1.1534786923629063</c:v>
                </c:pt>
                <c:pt idx="10">
                  <c:v>-0.38422418727210106</c:v>
                </c:pt>
              </c:numCache>
            </c:numRef>
          </c:val>
          <c:extLst>
            <c:ext xmlns:c16="http://schemas.microsoft.com/office/drawing/2014/chart" uri="{C3380CC4-5D6E-409C-BE32-E72D297353CC}">
              <c16:uniqueId val="{00000002-2E72-45EA-980C-0DEAF312EF66}"/>
            </c:ext>
          </c:extLst>
        </c:ser>
        <c:dLbls>
          <c:showLegendKey val="0"/>
          <c:showVal val="0"/>
          <c:showCatName val="0"/>
          <c:showSerName val="0"/>
          <c:showPercent val="0"/>
          <c:showBubbleSize val="0"/>
        </c:dLbls>
        <c:gapWidth val="219"/>
        <c:axId val="1149594064"/>
        <c:axId val="1149579504"/>
      </c:barChart>
      <c:catAx>
        <c:axId val="114959406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149579504"/>
        <c:crosses val="autoZero"/>
        <c:auto val="1"/>
        <c:lblAlgn val="ctr"/>
        <c:lblOffset val="100"/>
        <c:noMultiLvlLbl val="0"/>
      </c:catAx>
      <c:valAx>
        <c:axId val="1149579504"/>
        <c:scaling>
          <c:orientation val="minMax"/>
        </c:scaling>
        <c:delete val="1"/>
        <c:axPos val="l"/>
        <c:numFmt formatCode="_(* #,##0.00_);_(* \(#,##0.00\);_(* &quot;-&quot;??_);_(@_)" sourceLinked="1"/>
        <c:majorTickMark val="none"/>
        <c:minorTickMark val="none"/>
        <c:tickLblPos val="nextTo"/>
        <c:crossAx val="1149594064"/>
        <c:crosses val="autoZero"/>
        <c:crossBetween val="between"/>
      </c:valAx>
      <c:spPr>
        <a:noFill/>
        <a:ln>
          <a:noFill/>
        </a:ln>
        <a:effectLst/>
      </c:spPr>
    </c:plotArea>
    <c:legend>
      <c:legendPos val="b"/>
      <c:layout>
        <c:manualLayout>
          <c:xMode val="edge"/>
          <c:yMode val="edge"/>
          <c:x val="0.11170135716703326"/>
          <c:y val="0.9407423536821502"/>
          <c:w val="0.77659728566593345"/>
          <c:h val="5.9257646317849882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076929857978061E-3"/>
          <c:y val="4.4904530703629989E-4"/>
          <c:w val="0.98124246364446344"/>
          <c:h val="0.77783011748132136"/>
        </c:manualLayout>
      </c:layout>
      <c:barChart>
        <c:barDir val="col"/>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Déficit!$B$42:$B$44</c:f>
              <c:strCache>
                <c:ptCount val="3"/>
                <c:pt idx="0">
                  <c:v>Año presupuestario</c:v>
                </c:pt>
                <c:pt idx="1">
                  <c:v>Año presupuestario+1</c:v>
                </c:pt>
                <c:pt idx="2">
                  <c:v>Año presupuestario+2</c:v>
                </c:pt>
              </c:strCache>
            </c:strRef>
          </c:cat>
          <c:val>
            <c:numRef>
              <c:f>Déficit!$C$42:$C$44</c:f>
              <c:numCache>
                <c:formatCode>_(* #,##0.00_);_(* \(#,##0.00\);_(* "-"??_);_(@_)</c:formatCode>
                <c:ptCount val="3"/>
                <c:pt idx="0">
                  <c:v>-0.56552986602439848</c:v>
                </c:pt>
                <c:pt idx="1">
                  <c:v>-0.2577533939561556</c:v>
                </c:pt>
                <c:pt idx="2">
                  <c:v>-3.4656161204817071E-2</c:v>
                </c:pt>
              </c:numCache>
            </c:numRef>
          </c:val>
          <c:extLst>
            <c:ext xmlns:c16="http://schemas.microsoft.com/office/drawing/2014/chart" uri="{C3380CC4-5D6E-409C-BE32-E72D297353CC}">
              <c16:uniqueId val="{00000000-3E16-471A-BBCA-92407F5335BD}"/>
            </c:ext>
          </c:extLst>
        </c:ser>
        <c:dLbls>
          <c:showLegendKey val="0"/>
          <c:showVal val="0"/>
          <c:showCatName val="0"/>
          <c:showSerName val="0"/>
          <c:showPercent val="0"/>
          <c:showBubbleSize val="0"/>
        </c:dLbls>
        <c:gapWidth val="219"/>
        <c:overlap val="-27"/>
        <c:axId val="1217834752"/>
        <c:axId val="1217835168"/>
      </c:barChart>
      <c:catAx>
        <c:axId val="121783475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217835168"/>
        <c:crosses val="autoZero"/>
        <c:auto val="1"/>
        <c:lblAlgn val="ctr"/>
        <c:lblOffset val="100"/>
        <c:noMultiLvlLbl val="0"/>
      </c:catAx>
      <c:valAx>
        <c:axId val="1217835168"/>
        <c:scaling>
          <c:orientation val="minMax"/>
        </c:scaling>
        <c:delete val="1"/>
        <c:axPos val="l"/>
        <c:numFmt formatCode="_(* #,##0.00_);_(* \(#,##0.00\);_(* &quot;-&quot;??_);_(@_)" sourceLinked="1"/>
        <c:majorTickMark val="none"/>
        <c:minorTickMark val="none"/>
        <c:tickLblPos val="nextTo"/>
        <c:crossAx val="12178347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4">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9341227685204684E-2"/>
          <c:y val="8.0021973997435904E-4"/>
          <c:w val="0.97944002676542918"/>
          <c:h val="0.7686992614295306"/>
        </c:manualLayout>
      </c:layout>
      <c:barChart>
        <c:barDir val="col"/>
        <c:grouping val="clustered"/>
        <c:varyColors val="0"/>
        <c:ser>
          <c:idx val="0"/>
          <c:order val="0"/>
          <c:tx>
            <c:strRef>
              <c:f>Déficit!$B$42</c:f>
              <c:strCache>
                <c:ptCount val="1"/>
                <c:pt idx="0">
                  <c:v>Año presupuestario</c:v>
                </c:pt>
              </c:strCache>
            </c:strRef>
          </c:tx>
          <c:spPr>
            <a:solidFill>
              <a:schemeClr val="accent1"/>
            </a:solidFill>
            <a:ln w="6350">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Déficit!$D$42</c:f>
              <c:numCache>
                <c:formatCode>_(* #,##0.00_);_(* \(#,##0.00\);_(* "-"??_);_(@_)</c:formatCode>
                <c:ptCount val="1"/>
                <c:pt idx="0">
                  <c:v>0.96580615387366298</c:v>
                </c:pt>
              </c:numCache>
            </c:numRef>
          </c:val>
          <c:extLst>
            <c:ext xmlns:c16="http://schemas.microsoft.com/office/drawing/2014/chart" uri="{C3380CC4-5D6E-409C-BE32-E72D297353CC}">
              <c16:uniqueId val="{00000000-DD98-4213-BA78-C1940F624B9D}"/>
            </c:ext>
          </c:extLst>
        </c:ser>
        <c:ser>
          <c:idx val="1"/>
          <c:order val="1"/>
          <c:tx>
            <c:strRef>
              <c:f>Déficit!$B$43</c:f>
              <c:strCache>
                <c:ptCount val="1"/>
                <c:pt idx="0">
                  <c:v>Año presupuestario+1</c:v>
                </c:pt>
              </c:strCache>
            </c:strRef>
          </c:tx>
          <c:spPr>
            <a:solidFill>
              <a:srgbClr val="5B9BD5">
                <a:lumMod val="75000"/>
              </a:srgbClr>
            </a:solidFill>
            <a:ln w="6350">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Déficit!$D$43</c:f>
              <c:numCache>
                <c:formatCode>_(* #,##0.00_);_(* \(#,##0.00\);_(* "-"??_);_(@_)</c:formatCode>
                <c:ptCount val="1"/>
                <c:pt idx="0">
                  <c:v>0.68590664101921983</c:v>
                </c:pt>
              </c:numCache>
            </c:numRef>
          </c:val>
          <c:extLst>
            <c:ext xmlns:c16="http://schemas.microsoft.com/office/drawing/2014/chart" uri="{C3380CC4-5D6E-409C-BE32-E72D297353CC}">
              <c16:uniqueId val="{00000001-DD98-4213-BA78-C1940F624B9D}"/>
            </c:ext>
          </c:extLst>
        </c:ser>
        <c:ser>
          <c:idx val="2"/>
          <c:order val="2"/>
          <c:tx>
            <c:strRef>
              <c:f>Déficit!$B$44</c:f>
              <c:strCache>
                <c:ptCount val="1"/>
                <c:pt idx="0">
                  <c:v>Año presupuestario+2</c:v>
                </c:pt>
              </c:strCache>
            </c:strRef>
          </c:tx>
          <c:spPr>
            <a:solidFill>
              <a:schemeClr val="accent3"/>
            </a:solidFill>
            <a:ln w="6350">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Déficit!$D$44</c:f>
              <c:numCache>
                <c:formatCode>_(* #,##0.00_);_(* \(#,##0.00\);_(* "-"??_);_(@_)</c:formatCode>
                <c:ptCount val="1"/>
                <c:pt idx="0">
                  <c:v>0.73241106814424395</c:v>
                </c:pt>
              </c:numCache>
            </c:numRef>
          </c:val>
          <c:extLst>
            <c:ext xmlns:c16="http://schemas.microsoft.com/office/drawing/2014/chart" uri="{C3380CC4-5D6E-409C-BE32-E72D297353CC}">
              <c16:uniqueId val="{00000002-DD98-4213-BA78-C1940F624B9D}"/>
            </c:ext>
          </c:extLst>
        </c:ser>
        <c:dLbls>
          <c:showLegendKey val="0"/>
          <c:showVal val="1"/>
          <c:showCatName val="0"/>
          <c:showSerName val="0"/>
          <c:showPercent val="0"/>
          <c:showBubbleSize val="0"/>
        </c:dLbls>
        <c:gapWidth val="57"/>
        <c:overlap val="-26"/>
        <c:axId val="548688143"/>
        <c:axId val="548689807"/>
      </c:barChart>
      <c:catAx>
        <c:axId val="548688143"/>
        <c:scaling>
          <c:orientation val="minMax"/>
        </c:scaling>
        <c:delete val="1"/>
        <c:axPos val="b"/>
        <c:majorTickMark val="none"/>
        <c:minorTickMark val="none"/>
        <c:tickLblPos val="nextTo"/>
        <c:crossAx val="548689807"/>
        <c:crosses val="autoZero"/>
        <c:auto val="1"/>
        <c:lblAlgn val="ctr"/>
        <c:lblOffset val="100"/>
        <c:noMultiLvlLbl val="0"/>
      </c:catAx>
      <c:valAx>
        <c:axId val="548689807"/>
        <c:scaling>
          <c:orientation val="minMax"/>
        </c:scaling>
        <c:delete val="1"/>
        <c:axPos val="l"/>
        <c:numFmt formatCode="_(* #,##0.00_);_(* \(#,##0.00\);_(* &quot;-&quot;??_);_(@_)" sourceLinked="1"/>
        <c:majorTickMark val="none"/>
        <c:minorTickMark val="none"/>
        <c:tickLblPos val="nextTo"/>
        <c:crossAx val="548688143"/>
        <c:crosses val="autoZero"/>
        <c:crossBetween val="between"/>
      </c:valAx>
      <c:spPr>
        <a:noFill/>
        <a:ln>
          <a:noFill/>
        </a:ln>
        <a:effectLst/>
      </c:spPr>
    </c:plotArea>
    <c:legend>
      <c:legendPos val="b"/>
      <c:layout>
        <c:manualLayout>
          <c:xMode val="edge"/>
          <c:yMode val="edge"/>
          <c:x val="2.1893576297034017E-2"/>
          <c:y val="0.8018214002319477"/>
          <c:w val="0.9759756932557343"/>
          <c:h val="0.1554587071964841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4">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
          <c:y val="0"/>
          <c:w val="1"/>
          <c:h val="0.81189425252959768"/>
        </c:manualLayout>
      </c:layout>
      <c:barChart>
        <c:barDir val="col"/>
        <c:grouping val="clustered"/>
        <c:varyColors val="0"/>
        <c:ser>
          <c:idx val="0"/>
          <c:order val="0"/>
          <c:tx>
            <c:strRef>
              <c:f>Techos!$B$30</c:f>
              <c:strCache>
                <c:ptCount val="1"/>
                <c:pt idx="0">
                  <c:v>Año presupuestario</c:v>
                </c:pt>
              </c:strCache>
            </c:strRef>
          </c:tx>
          <c:spPr>
            <a:solidFill>
              <a:schemeClr val="accent1">
                <a:shade val="65000"/>
              </a:schemeClr>
            </a:solidFill>
            <a:ln w="3175">
              <a:solidFill>
                <a:sysClr val="windowText" lastClr="000000"/>
              </a:solidFill>
            </a:ln>
            <a:effectLst/>
          </c:spPr>
          <c:invertIfNegative val="0"/>
          <c:cat>
            <c:numRef>
              <c:f>Techos!$D$29:$N$29</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Techos!$D$30:$N$30</c:f>
              <c:numCache>
                <c:formatCode>_(* #,##0.00_);_(* \(#,##0.00\);_(* "-"??_);_(@_)</c:formatCode>
                <c:ptCount val="11"/>
                <c:pt idx="0">
                  <c:v>-3.9884786389166038E-6</c:v>
                </c:pt>
                <c:pt idx="1">
                  <c:v>8.9309554702765581E-6</c:v>
                </c:pt>
                <c:pt idx="2">
                  <c:v>-0.79998931504583126</c:v>
                </c:pt>
                <c:pt idx="3">
                  <c:v>0</c:v>
                </c:pt>
                <c:pt idx="4">
                  <c:v>1.0366498663927359E-6</c:v>
                </c:pt>
                <c:pt idx="5">
                  <c:v>-0.5395082939424416</c:v>
                </c:pt>
                <c:pt idx="6">
                  <c:v>-1.9829668243418279</c:v>
                </c:pt>
                <c:pt idx="7">
                  <c:v>-0.34345726734593818</c:v>
                </c:pt>
                <c:pt idx="8">
                  <c:v>-0.69738542290531846</c:v>
                </c:pt>
                <c:pt idx="9">
                  <c:v>1.1751564340768237</c:v>
                </c:pt>
                <c:pt idx="10">
                  <c:v>0.30389072813944829</c:v>
                </c:pt>
              </c:numCache>
            </c:numRef>
          </c:val>
          <c:extLst>
            <c:ext xmlns:c16="http://schemas.microsoft.com/office/drawing/2014/chart" uri="{C3380CC4-5D6E-409C-BE32-E72D297353CC}">
              <c16:uniqueId val="{00000000-963E-44FD-8BE6-B0B07009317B}"/>
            </c:ext>
          </c:extLst>
        </c:ser>
        <c:ser>
          <c:idx val="1"/>
          <c:order val="1"/>
          <c:tx>
            <c:strRef>
              <c:f>Techos!$B$31</c:f>
              <c:strCache>
                <c:ptCount val="1"/>
                <c:pt idx="0">
                  <c:v>Año presupuestario+1</c:v>
                </c:pt>
              </c:strCache>
            </c:strRef>
          </c:tx>
          <c:spPr>
            <a:solidFill>
              <a:srgbClr val="5B9BD5">
                <a:lumMod val="75000"/>
              </a:srgbClr>
            </a:solidFill>
            <a:ln w="3175">
              <a:solidFill>
                <a:sysClr val="windowText" lastClr="000000"/>
              </a:solidFill>
            </a:ln>
            <a:effectLst/>
          </c:spPr>
          <c:invertIfNegative val="0"/>
          <c:cat>
            <c:numRef>
              <c:f>Techos!$D$29:$N$29</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Techos!$D$31:$N$31</c:f>
              <c:numCache>
                <c:formatCode>_(* #,##0.00_);_(* \(#,##0.00\);_(* "-"??_);_(@_)</c:formatCode>
                <c:ptCount val="11"/>
                <c:pt idx="0">
                  <c:v>1.0613733565943413</c:v>
                </c:pt>
                <c:pt idx="1">
                  <c:v>1.310772605719901</c:v>
                </c:pt>
                <c:pt idx="2">
                  <c:v>-0.28276064673866586</c:v>
                </c:pt>
                <c:pt idx="3">
                  <c:v>0.17686126848672146</c:v>
                </c:pt>
                <c:pt idx="4">
                  <c:v>-9.7189868456084128E-2</c:v>
                </c:pt>
                <c:pt idx="5">
                  <c:v>0.97462084305316665</c:v>
                </c:pt>
                <c:pt idx="6">
                  <c:v>-0.8779155890599899</c:v>
                </c:pt>
                <c:pt idx="7">
                  <c:v>-0.65887617598136039</c:v>
                </c:pt>
                <c:pt idx="8">
                  <c:v>-1.3272415743387551</c:v>
                </c:pt>
                <c:pt idx="9">
                  <c:v>1.7631505365568252</c:v>
                </c:pt>
                <c:pt idx="10">
                  <c:v>1.2767901221150684</c:v>
                </c:pt>
              </c:numCache>
            </c:numRef>
          </c:val>
          <c:extLst>
            <c:ext xmlns:c16="http://schemas.microsoft.com/office/drawing/2014/chart" uri="{C3380CC4-5D6E-409C-BE32-E72D297353CC}">
              <c16:uniqueId val="{00000001-963E-44FD-8BE6-B0B07009317B}"/>
            </c:ext>
          </c:extLst>
        </c:ser>
        <c:ser>
          <c:idx val="2"/>
          <c:order val="2"/>
          <c:tx>
            <c:strRef>
              <c:f>Techos!$B$32</c:f>
              <c:strCache>
                <c:ptCount val="1"/>
                <c:pt idx="0">
                  <c:v>Año presupuestario+2</c:v>
                </c:pt>
              </c:strCache>
            </c:strRef>
          </c:tx>
          <c:spPr>
            <a:solidFill>
              <a:schemeClr val="accent1">
                <a:tint val="65000"/>
              </a:schemeClr>
            </a:solidFill>
            <a:ln w="3175">
              <a:solidFill>
                <a:sysClr val="windowText" lastClr="000000"/>
              </a:solidFill>
            </a:ln>
            <a:effectLst/>
          </c:spPr>
          <c:invertIfNegative val="0"/>
          <c:cat>
            <c:numRef>
              <c:f>Techos!$D$29:$N$29</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Techos!$D$32:$N$32</c:f>
              <c:numCache>
                <c:formatCode>_(* #,##0.00_);_(* \(#,##0.00\);_(* "-"??_);_(@_)</c:formatCode>
                <c:ptCount val="11"/>
                <c:pt idx="1">
                  <c:v>2.1301139800513784</c:v>
                </c:pt>
                <c:pt idx="2">
                  <c:v>0.55579943351677485</c:v>
                </c:pt>
                <c:pt idx="3">
                  <c:v>-0.26355879254477443</c:v>
                </c:pt>
                <c:pt idx="4">
                  <c:v>-0.37826461144542733</c:v>
                </c:pt>
                <c:pt idx="5">
                  <c:v>0.59441727029687641</c:v>
                </c:pt>
                <c:pt idx="6">
                  <c:v>0.36901864035836596</c:v>
                </c:pt>
                <c:pt idx="7">
                  <c:v>0.27022485908426752</c:v>
                </c:pt>
                <c:pt idx="8">
                  <c:v>-2.071630660364935</c:v>
                </c:pt>
                <c:pt idx="9">
                  <c:v>0.8954554448914962</c:v>
                </c:pt>
                <c:pt idx="10">
                  <c:v>0.41695822221980983</c:v>
                </c:pt>
              </c:numCache>
            </c:numRef>
          </c:val>
          <c:extLst>
            <c:ext xmlns:c16="http://schemas.microsoft.com/office/drawing/2014/chart" uri="{C3380CC4-5D6E-409C-BE32-E72D297353CC}">
              <c16:uniqueId val="{00000002-963E-44FD-8BE6-B0B07009317B}"/>
            </c:ext>
          </c:extLst>
        </c:ser>
        <c:dLbls>
          <c:showLegendKey val="0"/>
          <c:showVal val="0"/>
          <c:showCatName val="0"/>
          <c:showSerName val="0"/>
          <c:showPercent val="0"/>
          <c:showBubbleSize val="0"/>
        </c:dLbls>
        <c:gapWidth val="219"/>
        <c:axId val="1149594064"/>
        <c:axId val="1149579504"/>
      </c:barChart>
      <c:catAx>
        <c:axId val="114959406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149579504"/>
        <c:crosses val="autoZero"/>
        <c:auto val="1"/>
        <c:lblAlgn val="ctr"/>
        <c:lblOffset val="100"/>
        <c:noMultiLvlLbl val="0"/>
      </c:catAx>
      <c:valAx>
        <c:axId val="1149579504"/>
        <c:scaling>
          <c:orientation val="minMax"/>
        </c:scaling>
        <c:delete val="1"/>
        <c:axPos val="l"/>
        <c:numFmt formatCode="_(* #,##0.00_);_(* \(#,##0.00\);_(* &quot;-&quot;??_);_(@_)" sourceLinked="1"/>
        <c:majorTickMark val="none"/>
        <c:minorTickMark val="none"/>
        <c:tickLblPos val="nextTo"/>
        <c:crossAx val="1149594064"/>
        <c:crosses val="autoZero"/>
        <c:crossBetween val="between"/>
      </c:valAx>
      <c:spPr>
        <a:noFill/>
        <a:ln>
          <a:noFill/>
        </a:ln>
        <a:effectLst/>
      </c:spPr>
    </c:plotArea>
    <c:legend>
      <c:legendPos val="b"/>
      <c:layout>
        <c:manualLayout>
          <c:xMode val="edge"/>
          <c:yMode val="edge"/>
          <c:x val="0.14759927085486632"/>
          <c:y val="0.90578768212168237"/>
          <c:w val="0.70025548715718411"/>
          <c:h val="9.421231787831746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
          <c:y val="0"/>
          <c:w val="0.98295657738042341"/>
          <c:h val="0.77668963254593171"/>
        </c:manualLayout>
      </c:layout>
      <c:barChart>
        <c:barDir val="col"/>
        <c:grouping val="clustered"/>
        <c:varyColors val="0"/>
        <c:ser>
          <c:idx val="0"/>
          <c:order val="0"/>
          <c:spPr>
            <a:solidFill>
              <a:srgbClr val="002060"/>
            </a:solidFill>
            <a:ln w="3175">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Techos!$B$42:$B$44</c:f>
              <c:strCache>
                <c:ptCount val="3"/>
                <c:pt idx="0">
                  <c:v>Año presupuestario</c:v>
                </c:pt>
                <c:pt idx="1">
                  <c:v>Año presupuestario+1</c:v>
                </c:pt>
                <c:pt idx="2">
                  <c:v>Año presupuestario+2</c:v>
                </c:pt>
              </c:strCache>
            </c:strRef>
          </c:cat>
          <c:val>
            <c:numRef>
              <c:f>Techos!$C$42:$C$44</c:f>
              <c:numCache>
                <c:formatCode>_(* #,##0.00_);_(* \(#,##0.00\);_(* "-"??_);_(@_)</c:formatCode>
                <c:ptCount val="3"/>
                <c:pt idx="0">
                  <c:v>-0.26220490747621705</c:v>
                </c:pt>
                <c:pt idx="1">
                  <c:v>0.30178044345010624</c:v>
                </c:pt>
                <c:pt idx="2">
                  <c:v>0.25185337860638324</c:v>
                </c:pt>
              </c:numCache>
            </c:numRef>
          </c:val>
          <c:extLst>
            <c:ext xmlns:c16="http://schemas.microsoft.com/office/drawing/2014/chart" uri="{C3380CC4-5D6E-409C-BE32-E72D297353CC}">
              <c16:uniqueId val="{00000000-EDEE-4D78-84E3-4EED9081CE3F}"/>
            </c:ext>
          </c:extLst>
        </c:ser>
        <c:dLbls>
          <c:showLegendKey val="0"/>
          <c:showVal val="0"/>
          <c:showCatName val="0"/>
          <c:showSerName val="0"/>
          <c:showPercent val="0"/>
          <c:showBubbleSize val="0"/>
        </c:dLbls>
        <c:gapWidth val="219"/>
        <c:overlap val="-27"/>
        <c:axId val="1217834752"/>
        <c:axId val="1217835168"/>
      </c:barChart>
      <c:catAx>
        <c:axId val="121783475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217835168"/>
        <c:crosses val="autoZero"/>
        <c:auto val="1"/>
        <c:lblAlgn val="ctr"/>
        <c:lblOffset val="100"/>
        <c:noMultiLvlLbl val="0"/>
      </c:catAx>
      <c:valAx>
        <c:axId val="1217835168"/>
        <c:scaling>
          <c:orientation val="minMax"/>
        </c:scaling>
        <c:delete val="1"/>
        <c:axPos val="l"/>
        <c:numFmt formatCode="_(* #,##0.00_);_(* \(#,##0.00\);_(* &quot;-&quot;??_);_(@_)" sourceLinked="1"/>
        <c:majorTickMark val="none"/>
        <c:minorTickMark val="none"/>
        <c:tickLblPos val="nextTo"/>
        <c:crossAx val="12178347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02879544785201"/>
          <c:y val="0.19323611111111111"/>
          <c:w val="0.80415650231441604"/>
          <c:h val="0.6048768518518518"/>
        </c:manualLayout>
      </c:layout>
      <c:lineChart>
        <c:grouping val="standard"/>
        <c:varyColors val="0"/>
        <c:ser>
          <c:idx val="0"/>
          <c:order val="0"/>
          <c:tx>
            <c:strRef>
              <c:f>MEX_2!$B$1</c:f>
              <c:strCache>
                <c:ptCount val="1"/>
                <c:pt idx="0">
                  <c:v>Tasa de politica </c:v>
                </c:pt>
              </c:strCache>
            </c:strRef>
          </c:tx>
          <c:spPr>
            <a:ln w="25400" cap="rnd">
              <a:solidFill>
                <a:srgbClr val="002060"/>
              </a:solidFill>
              <a:round/>
            </a:ln>
            <a:effectLst/>
          </c:spPr>
          <c:marker>
            <c:symbol val="none"/>
          </c:marker>
          <c:dLbls>
            <c:dLbl>
              <c:idx val="0"/>
              <c:layout>
                <c:manualLayout>
                  <c:x val="-0.10142388888888887"/>
                  <c:y val="-5.76231481481481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60A-4AFF-ADA8-908834B50978}"/>
                </c:ext>
              </c:extLst>
            </c:dLbl>
            <c:dLbl>
              <c:idx val="23"/>
              <c:layout>
                <c:manualLayout>
                  <c:x val="-1.7361111111111112E-4"/>
                  <c:y val="-2.8287037037037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60A-4AFF-ADA8-908834B5097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ext>
            </c:extLst>
          </c:dLbls>
          <c:cat>
            <c:numRef>
              <c:f>MEX_2!$A$2:$A$25</c:f>
              <c:numCache>
                <c:formatCode>mmm\-yy</c:formatCode>
                <c:ptCount val="24"/>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pt idx="22">
                  <c:v>44866</c:v>
                </c:pt>
                <c:pt idx="23">
                  <c:v>44896</c:v>
                </c:pt>
              </c:numCache>
            </c:numRef>
          </c:cat>
          <c:val>
            <c:numRef>
              <c:f>MEX_2!$B$2:$B$25</c:f>
              <c:numCache>
                <c:formatCode>_-* #,##0.0_-;\-* #,##0.0_-;_-* "-"??_-;_-@_-</c:formatCode>
                <c:ptCount val="24"/>
                <c:pt idx="0">
                  <c:v>4.25</c:v>
                </c:pt>
                <c:pt idx="1">
                  <c:v>4</c:v>
                </c:pt>
                <c:pt idx="2">
                  <c:v>4</c:v>
                </c:pt>
                <c:pt idx="3">
                  <c:v>4</c:v>
                </c:pt>
                <c:pt idx="4">
                  <c:v>4</c:v>
                </c:pt>
                <c:pt idx="5">
                  <c:v>4.25</c:v>
                </c:pt>
                <c:pt idx="6">
                  <c:v>4.25</c:v>
                </c:pt>
                <c:pt idx="7">
                  <c:v>4.5</c:v>
                </c:pt>
                <c:pt idx="8">
                  <c:v>4.5</c:v>
                </c:pt>
                <c:pt idx="9">
                  <c:v>4.75</c:v>
                </c:pt>
                <c:pt idx="10">
                  <c:v>5</c:v>
                </c:pt>
                <c:pt idx="11">
                  <c:v>5.5</c:v>
                </c:pt>
                <c:pt idx="12">
                  <c:v>5.5</c:v>
                </c:pt>
                <c:pt idx="13">
                  <c:v>6</c:v>
                </c:pt>
                <c:pt idx="14">
                  <c:v>6.5</c:v>
                </c:pt>
                <c:pt idx="15">
                  <c:v>6.5</c:v>
                </c:pt>
                <c:pt idx="16">
                  <c:v>7</c:v>
                </c:pt>
                <c:pt idx="17">
                  <c:v>7.75</c:v>
                </c:pt>
                <c:pt idx="18">
                  <c:v>7.75</c:v>
                </c:pt>
                <c:pt idx="19">
                  <c:v>8.5</c:v>
                </c:pt>
                <c:pt idx="20">
                  <c:v>9.25</c:v>
                </c:pt>
                <c:pt idx="21">
                  <c:v>9.25</c:v>
                </c:pt>
                <c:pt idx="22">
                  <c:v>10</c:v>
                </c:pt>
                <c:pt idx="23">
                  <c:v>10.5</c:v>
                </c:pt>
              </c:numCache>
            </c:numRef>
          </c:val>
          <c:smooth val="0"/>
          <c:extLst>
            <c:ext xmlns:c16="http://schemas.microsoft.com/office/drawing/2014/chart" uri="{C3380CC4-5D6E-409C-BE32-E72D297353CC}">
              <c16:uniqueId val="{00000002-960A-4AFF-ADA8-908834B50978}"/>
            </c:ext>
          </c:extLst>
        </c:ser>
        <c:ser>
          <c:idx val="1"/>
          <c:order val="1"/>
          <c:tx>
            <c:strRef>
              <c:f>MEX_2!$C$1</c:f>
              <c:strCache>
                <c:ptCount val="1"/>
                <c:pt idx="0">
                  <c:v>Inflación </c:v>
                </c:pt>
              </c:strCache>
            </c:strRef>
          </c:tx>
          <c:spPr>
            <a:ln w="25400" cap="rnd">
              <a:solidFill>
                <a:schemeClr val="accent1"/>
              </a:solidFill>
              <a:round/>
            </a:ln>
            <a:effectLst/>
          </c:spPr>
          <c:marker>
            <c:symbol val="none"/>
          </c:marker>
          <c:dLbls>
            <c:dLbl>
              <c:idx val="0"/>
              <c:layout>
                <c:manualLayout>
                  <c:x val="-0.1146527777777778"/>
                  <c:y val="7.8781481481481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60A-4AFF-ADA8-908834B50978}"/>
                </c:ext>
              </c:extLst>
            </c:dLbl>
            <c:dLbl>
              <c:idx val="23"/>
              <c:layout>
                <c:manualLayout>
                  <c:x val="-1.2935035758548312E-16"/>
                  <c:y val="5.37962962962962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60A-4AFF-ADA8-908834B50978}"/>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MEX_2!$A$2:$A$25</c:f>
              <c:numCache>
                <c:formatCode>mmm\-yy</c:formatCode>
                <c:ptCount val="24"/>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pt idx="22">
                  <c:v>44866</c:v>
                </c:pt>
                <c:pt idx="23">
                  <c:v>44896</c:v>
                </c:pt>
              </c:numCache>
            </c:numRef>
          </c:cat>
          <c:val>
            <c:numRef>
              <c:f>MEX_2!$C$2:$C$25</c:f>
              <c:numCache>
                <c:formatCode>_-* #,##0.0_-;\-* #,##0.0_-;_-* "-"??_-;_-@_-</c:formatCode>
                <c:ptCount val="24"/>
                <c:pt idx="0">
                  <c:v>3.54</c:v>
                </c:pt>
                <c:pt idx="1">
                  <c:v>3.76</c:v>
                </c:pt>
                <c:pt idx="2">
                  <c:v>4.67</c:v>
                </c:pt>
                <c:pt idx="3">
                  <c:v>6.08</c:v>
                </c:pt>
                <c:pt idx="4">
                  <c:v>5.89</c:v>
                </c:pt>
                <c:pt idx="5">
                  <c:v>5.88</c:v>
                </c:pt>
                <c:pt idx="6">
                  <c:v>5.81</c:v>
                </c:pt>
                <c:pt idx="7">
                  <c:v>5.59</c:v>
                </c:pt>
                <c:pt idx="8">
                  <c:v>6</c:v>
                </c:pt>
                <c:pt idx="9">
                  <c:v>6.24</c:v>
                </c:pt>
                <c:pt idx="10">
                  <c:v>7.37</c:v>
                </c:pt>
                <c:pt idx="11">
                  <c:v>7.36</c:v>
                </c:pt>
                <c:pt idx="12">
                  <c:v>7.07</c:v>
                </c:pt>
                <c:pt idx="13">
                  <c:v>7.28</c:v>
                </c:pt>
                <c:pt idx="14">
                  <c:v>7.45</c:v>
                </c:pt>
                <c:pt idx="15">
                  <c:v>7.68</c:v>
                </c:pt>
                <c:pt idx="16">
                  <c:v>7.65</c:v>
                </c:pt>
                <c:pt idx="17">
                  <c:v>7.99</c:v>
                </c:pt>
                <c:pt idx="18">
                  <c:v>8.15</c:v>
                </c:pt>
                <c:pt idx="19">
                  <c:v>8.6999999999999993</c:v>
                </c:pt>
                <c:pt idx="20">
                  <c:v>8.6999999999999993</c:v>
                </c:pt>
                <c:pt idx="21">
                  <c:v>8.41</c:v>
                </c:pt>
                <c:pt idx="22">
                  <c:v>7.8</c:v>
                </c:pt>
                <c:pt idx="23">
                  <c:v>7.82</c:v>
                </c:pt>
              </c:numCache>
            </c:numRef>
          </c:val>
          <c:smooth val="0"/>
          <c:extLst>
            <c:ext xmlns:c16="http://schemas.microsoft.com/office/drawing/2014/chart" uri="{C3380CC4-5D6E-409C-BE32-E72D297353CC}">
              <c16:uniqueId val="{00000005-960A-4AFF-ADA8-908834B50978}"/>
            </c:ext>
          </c:extLst>
        </c:ser>
        <c:dLbls>
          <c:showLegendKey val="0"/>
          <c:showVal val="0"/>
          <c:showCatName val="0"/>
          <c:showSerName val="0"/>
          <c:showPercent val="0"/>
          <c:showBubbleSize val="0"/>
        </c:dLbls>
        <c:smooth val="0"/>
        <c:axId val="997090992"/>
        <c:axId val="997091408"/>
      </c:lineChart>
      <c:dateAx>
        <c:axId val="997090992"/>
        <c:scaling>
          <c:orientation val="minMax"/>
        </c:scaling>
        <c:delete val="0"/>
        <c:axPos val="b"/>
        <c:numFmt formatCode="mmm\-yy"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97091408"/>
        <c:crosses val="autoZero"/>
        <c:auto val="1"/>
        <c:lblOffset val="100"/>
        <c:baseTimeUnit val="months"/>
      </c:dateAx>
      <c:valAx>
        <c:axId val="997091408"/>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97090992"/>
        <c:crosses val="autoZero"/>
        <c:crossBetween val="between"/>
        <c:majorUnit val="2"/>
      </c:valAx>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1643192488262914E-2"/>
          <c:y val="6.7964164349706521E-2"/>
          <c:w val="0.94835680751173712"/>
          <c:h val="0.72053933480743082"/>
        </c:manualLayout>
      </c:layout>
      <c:barChart>
        <c:barDir val="col"/>
        <c:grouping val="clustered"/>
        <c:varyColors val="0"/>
        <c:ser>
          <c:idx val="0"/>
          <c:order val="0"/>
          <c:tx>
            <c:strRef>
              <c:f>Techos!$B$42</c:f>
              <c:strCache>
                <c:ptCount val="1"/>
                <c:pt idx="0">
                  <c:v>Año presupuestario</c:v>
                </c:pt>
              </c:strCache>
            </c:strRef>
          </c:tx>
          <c:spPr>
            <a:solidFill>
              <a:schemeClr val="accent1"/>
            </a:solidFill>
            <a:ln w="3175">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Techos!$D$42</c:f>
              <c:numCache>
                <c:formatCode>_(* #,##0.00_);_(* \(#,##0.00\);_(* "-"??_);_(@_)</c:formatCode>
                <c:ptCount val="1"/>
                <c:pt idx="0">
                  <c:v>0.53112438562560049</c:v>
                </c:pt>
              </c:numCache>
            </c:numRef>
          </c:val>
          <c:extLst>
            <c:ext xmlns:c16="http://schemas.microsoft.com/office/drawing/2014/chart" uri="{C3380CC4-5D6E-409C-BE32-E72D297353CC}">
              <c16:uniqueId val="{00000000-AB34-48F8-B030-6FDEE31867B3}"/>
            </c:ext>
          </c:extLst>
        </c:ser>
        <c:ser>
          <c:idx val="1"/>
          <c:order val="1"/>
          <c:tx>
            <c:strRef>
              <c:f>Techos!$B$43</c:f>
              <c:strCache>
                <c:ptCount val="1"/>
                <c:pt idx="0">
                  <c:v>Año presupuestario+1</c:v>
                </c:pt>
              </c:strCache>
            </c:strRef>
          </c:tx>
          <c:spPr>
            <a:solidFill>
              <a:srgbClr val="5B9BD5">
                <a:lumMod val="75000"/>
              </a:srgbClr>
            </a:solidFill>
            <a:ln w="3175">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Techos!$D$43</c:f>
              <c:numCache>
                <c:formatCode>_(* #,##0.00_);_(* \(#,##0.00\);_(* "-"??_);_(@_)</c:formatCode>
                <c:ptCount val="1"/>
                <c:pt idx="0">
                  <c:v>0.89159568973644354</c:v>
                </c:pt>
              </c:numCache>
            </c:numRef>
          </c:val>
          <c:extLst>
            <c:ext xmlns:c16="http://schemas.microsoft.com/office/drawing/2014/chart" uri="{C3380CC4-5D6E-409C-BE32-E72D297353CC}">
              <c16:uniqueId val="{00000001-AB34-48F8-B030-6FDEE31867B3}"/>
            </c:ext>
          </c:extLst>
        </c:ser>
        <c:ser>
          <c:idx val="2"/>
          <c:order val="2"/>
          <c:tx>
            <c:strRef>
              <c:f>Techos!$B$44</c:f>
              <c:strCache>
                <c:ptCount val="1"/>
                <c:pt idx="0">
                  <c:v>Año presupuestario+2</c:v>
                </c:pt>
              </c:strCache>
            </c:strRef>
          </c:tx>
          <c:spPr>
            <a:solidFill>
              <a:schemeClr val="accent3"/>
            </a:solidFill>
            <a:ln w="3175">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Techos!$D$44</c:f>
              <c:numCache>
                <c:formatCode>_(* #,##0.00_);_(* \(#,##0.00\);_(* "-"??_);_(@_)</c:formatCode>
                <c:ptCount val="1"/>
                <c:pt idx="0">
                  <c:v>0.79454419147741062</c:v>
                </c:pt>
              </c:numCache>
            </c:numRef>
          </c:val>
          <c:extLst>
            <c:ext xmlns:c16="http://schemas.microsoft.com/office/drawing/2014/chart" uri="{C3380CC4-5D6E-409C-BE32-E72D297353CC}">
              <c16:uniqueId val="{00000002-AB34-48F8-B030-6FDEE31867B3}"/>
            </c:ext>
          </c:extLst>
        </c:ser>
        <c:dLbls>
          <c:showLegendKey val="0"/>
          <c:showVal val="1"/>
          <c:showCatName val="0"/>
          <c:showSerName val="0"/>
          <c:showPercent val="0"/>
          <c:showBubbleSize val="0"/>
        </c:dLbls>
        <c:gapWidth val="75"/>
        <c:overlap val="-24"/>
        <c:axId val="1622033951"/>
        <c:axId val="1622027711"/>
      </c:barChart>
      <c:catAx>
        <c:axId val="1622033951"/>
        <c:scaling>
          <c:orientation val="minMax"/>
        </c:scaling>
        <c:delete val="1"/>
        <c:axPos val="b"/>
        <c:majorTickMark val="none"/>
        <c:minorTickMark val="none"/>
        <c:tickLblPos val="nextTo"/>
        <c:crossAx val="1622027711"/>
        <c:crosses val="autoZero"/>
        <c:auto val="1"/>
        <c:lblAlgn val="ctr"/>
        <c:lblOffset val="100"/>
        <c:noMultiLvlLbl val="0"/>
      </c:catAx>
      <c:valAx>
        <c:axId val="1622027711"/>
        <c:scaling>
          <c:orientation val="minMax"/>
        </c:scaling>
        <c:delete val="1"/>
        <c:axPos val="l"/>
        <c:numFmt formatCode="_(* #,##0.00_);_(* \(#,##0.00\);_(* &quot;-&quot;??_);_(@_)" sourceLinked="1"/>
        <c:majorTickMark val="none"/>
        <c:minorTickMark val="none"/>
        <c:tickLblPos val="nextTo"/>
        <c:crossAx val="1622033951"/>
        <c:crosses val="autoZero"/>
        <c:crossBetween val="between"/>
      </c:valAx>
      <c:spPr>
        <a:noFill/>
        <a:ln>
          <a:noFill/>
        </a:ln>
        <a:effectLst/>
      </c:spPr>
    </c:plotArea>
    <c:legend>
      <c:legendPos val="b"/>
      <c:layout>
        <c:manualLayout>
          <c:xMode val="edge"/>
          <c:yMode val="edge"/>
          <c:x val="0"/>
          <c:y val="0.81939630113427675"/>
          <c:w val="1"/>
          <c:h val="0.1435323364931561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2228390667392079E-2"/>
          <c:y val="2.6093407233920795E-2"/>
          <c:w val="0.90538946468061376"/>
          <c:h val="0.86077298884072873"/>
        </c:manualLayout>
      </c:layout>
      <c:barChart>
        <c:barDir val="col"/>
        <c:grouping val="clustered"/>
        <c:varyColors val="0"/>
        <c:ser>
          <c:idx val="0"/>
          <c:order val="0"/>
          <c:tx>
            <c:strRef>
              <c:f>Hoja1!$B$1</c:f>
              <c:strCache>
                <c:ptCount val="1"/>
                <c:pt idx="0">
                  <c:v>Meta</c:v>
                </c:pt>
              </c:strCache>
            </c:strRef>
          </c:tx>
          <c:spPr>
            <a:solidFill>
              <a:schemeClr val="accent1"/>
            </a:solidFill>
            <a:ln>
              <a:noFill/>
            </a:ln>
            <a:effectLst>
              <a:outerShdw blurRad="50800" dist="38100" dir="2700000" algn="tl" rotWithShape="0">
                <a:prstClr val="black">
                  <a:alpha val="40000"/>
                </a:prstClr>
              </a:outerShdw>
            </a:effectLst>
          </c:spPr>
          <c:invertIfNegative val="0"/>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Hoja1!$A$2:$A$7</c:f>
              <c:strCache>
                <c:ptCount val="6"/>
                <c:pt idx="0">
                  <c:v>ene</c:v>
                </c:pt>
                <c:pt idx="1">
                  <c:v>feb</c:v>
                </c:pt>
                <c:pt idx="2">
                  <c:v>mar</c:v>
                </c:pt>
                <c:pt idx="3">
                  <c:v>abr</c:v>
                </c:pt>
                <c:pt idx="4">
                  <c:v>may</c:v>
                </c:pt>
                <c:pt idx="5">
                  <c:v>jun</c:v>
                </c:pt>
              </c:strCache>
            </c:strRef>
          </c:cat>
          <c:val>
            <c:numRef>
              <c:f>Hoja1!$B$2:$B$7</c:f>
              <c:numCache>
                <c:formatCode>#,##0.0</c:formatCode>
                <c:ptCount val="6"/>
                <c:pt idx="0">
                  <c:v>8006.9883923214684</c:v>
                </c:pt>
                <c:pt idx="1">
                  <c:v>13399.190804586648</c:v>
                </c:pt>
                <c:pt idx="2">
                  <c:v>20893.901390386371</c:v>
                </c:pt>
                <c:pt idx="3">
                  <c:v>29481.139310436745</c:v>
                </c:pt>
                <c:pt idx="4">
                  <c:v>35700.327441830748</c:v>
                </c:pt>
                <c:pt idx="5">
                  <c:v>41782.432698885379</c:v>
                </c:pt>
              </c:numCache>
            </c:numRef>
          </c:val>
          <c:extLst>
            <c:ext xmlns:c16="http://schemas.microsoft.com/office/drawing/2014/chart" uri="{C3380CC4-5D6E-409C-BE32-E72D297353CC}">
              <c16:uniqueId val="{00000000-9EB9-43B2-A8B0-F6687C2BB20E}"/>
            </c:ext>
          </c:extLst>
        </c:ser>
        <c:dLbls>
          <c:showLegendKey val="0"/>
          <c:showVal val="0"/>
          <c:showCatName val="0"/>
          <c:showSerName val="0"/>
          <c:showPercent val="0"/>
          <c:showBubbleSize val="0"/>
        </c:dLbls>
        <c:gapWidth val="30"/>
        <c:overlap val="-27"/>
        <c:axId val="643078032"/>
        <c:axId val="643078360"/>
      </c:barChart>
      <c:lineChart>
        <c:grouping val="standard"/>
        <c:varyColors val="0"/>
        <c:ser>
          <c:idx val="1"/>
          <c:order val="1"/>
          <c:tx>
            <c:strRef>
              <c:f>Hoja1!$C$1</c:f>
              <c:strCache>
                <c:ptCount val="1"/>
                <c:pt idx="0">
                  <c:v>Observado</c:v>
                </c:pt>
              </c:strCache>
            </c:strRef>
          </c:tx>
          <c:spPr>
            <a:ln w="9525" cap="rnd">
              <a:solidFill>
                <a:srgbClr val="FF0000"/>
              </a:solidFill>
              <a:round/>
            </a:ln>
            <a:effectLst>
              <a:outerShdw blurRad="50800" dist="38100" dir="2700000" algn="tl" rotWithShape="0">
                <a:prstClr val="black">
                  <a:alpha val="40000"/>
                </a:prstClr>
              </a:outerShdw>
            </a:effectLst>
          </c:spPr>
          <c:marker>
            <c:symbol val="circle"/>
            <c:size val="5"/>
            <c:spPr>
              <a:solidFill>
                <a:schemeClr val="bg1"/>
              </a:solidFill>
              <a:ln w="9525">
                <a:solidFill>
                  <a:schemeClr val="accent2"/>
                </a:solidFill>
              </a:ln>
              <a:effectLst>
                <a:outerShdw blurRad="50800" dist="38100" dir="2700000" algn="tl" rotWithShape="0">
                  <a:prstClr val="black">
                    <a:alpha val="40000"/>
                  </a:prstClr>
                </a:outerShdw>
              </a:effectLst>
            </c:spPr>
          </c:marker>
          <c:dLbls>
            <c:dLbl>
              <c:idx val="0"/>
              <c:layout>
                <c:manualLayout>
                  <c:x val="-7.713297134518303E-2"/>
                  <c:y val="-6.80355971128608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EB9-43B2-A8B0-F6687C2BB20E}"/>
                </c:ext>
              </c:extLst>
            </c:dLbl>
            <c:dLbl>
              <c:idx val="1"/>
              <c:layout>
                <c:manualLayout>
                  <c:x val="-0.11050786628095854"/>
                  <c:y val="-6.28272637795275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EB9-43B2-A8B0-F6687C2BB20E}"/>
                </c:ext>
              </c:extLst>
            </c:dLbl>
            <c:dLbl>
              <c:idx val="2"/>
              <c:layout>
                <c:manualLayout>
                  <c:x val="-0.10803747763356693"/>
                  <c:y val="-5.71247539370078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EB9-43B2-A8B0-F6687C2BB20E}"/>
                </c:ext>
              </c:extLst>
            </c:dLbl>
            <c:dLbl>
              <c:idx val="3"/>
              <c:layout>
                <c:manualLayout>
                  <c:x val="-5.7929036929761042E-2"/>
                  <c:y val="-5.07775309425579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EB9-43B2-A8B0-F6687C2BB20E}"/>
                </c:ext>
              </c:extLst>
            </c:dLbl>
            <c:dLbl>
              <c:idx val="4"/>
              <c:layout>
                <c:manualLayout>
                  <c:x val="-9.6253007906497073E-2"/>
                  <c:y val="-5.87199060481503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EB9-43B2-A8B0-F6687C2BB20E}"/>
                </c:ext>
              </c:extLst>
            </c:dLbl>
            <c:dLbl>
              <c:idx val="5"/>
              <c:layout>
                <c:manualLayout>
                  <c:x val="-7.7919101638593044E-2"/>
                  <c:y val="-4.1103934233705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EB9-43B2-A8B0-F6687C2BB20E}"/>
                </c:ext>
              </c:extLst>
            </c:dLbl>
            <c:numFmt formatCode="#,##0.0" sourceLinked="0"/>
            <c:spPr>
              <a:noFill/>
              <a:ln>
                <a:noFill/>
              </a:ln>
              <a:effectLst/>
            </c:spPr>
            <c:txPr>
              <a:bodyPr rot="0" spcFirstLastPara="1" vertOverflow="ellipsis" vert="horz" wrap="square" anchor="ctr" anchorCtr="1"/>
              <a:lstStyle/>
              <a:p>
                <a:pPr>
                  <a:defRPr sz="9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Hoja1!$A$2:$A$7</c:f>
              <c:strCache>
                <c:ptCount val="6"/>
                <c:pt idx="0">
                  <c:v>ene</c:v>
                </c:pt>
                <c:pt idx="1">
                  <c:v>feb</c:v>
                </c:pt>
                <c:pt idx="2">
                  <c:v>mar</c:v>
                </c:pt>
                <c:pt idx="3">
                  <c:v>abr</c:v>
                </c:pt>
                <c:pt idx="4">
                  <c:v>may</c:v>
                </c:pt>
                <c:pt idx="5">
                  <c:v>jun</c:v>
                </c:pt>
              </c:strCache>
            </c:strRef>
          </c:cat>
          <c:val>
            <c:numRef>
              <c:f>Hoja1!$C$2:$C$7</c:f>
              <c:numCache>
                <c:formatCode>#,##0.0</c:formatCode>
                <c:ptCount val="6"/>
                <c:pt idx="0">
                  <c:v>8872.9790806299989</c:v>
                </c:pt>
                <c:pt idx="1">
                  <c:v>14618.577397669998</c:v>
                </c:pt>
                <c:pt idx="2">
                  <c:v>22981.374418299998</c:v>
                </c:pt>
                <c:pt idx="3">
                  <c:v>32821.984081139992</c:v>
                </c:pt>
                <c:pt idx="4">
                  <c:v>39681.107500089995</c:v>
                </c:pt>
                <c:pt idx="5">
                  <c:v>46252.802679429995</c:v>
                </c:pt>
              </c:numCache>
            </c:numRef>
          </c:val>
          <c:smooth val="0"/>
          <c:extLst>
            <c:ext xmlns:c16="http://schemas.microsoft.com/office/drawing/2014/chart" uri="{C3380CC4-5D6E-409C-BE32-E72D297353CC}">
              <c16:uniqueId val="{00000007-9EB9-43B2-A8B0-F6687C2BB20E}"/>
            </c:ext>
          </c:extLst>
        </c:ser>
        <c:dLbls>
          <c:showLegendKey val="0"/>
          <c:showVal val="0"/>
          <c:showCatName val="0"/>
          <c:showSerName val="0"/>
          <c:showPercent val="0"/>
          <c:showBubbleSize val="0"/>
        </c:dLbls>
        <c:marker val="1"/>
        <c:smooth val="0"/>
        <c:axId val="643078032"/>
        <c:axId val="643078360"/>
      </c:lineChart>
      <c:catAx>
        <c:axId val="64307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643078360"/>
        <c:crosses val="autoZero"/>
        <c:auto val="1"/>
        <c:lblAlgn val="ctr"/>
        <c:lblOffset val="100"/>
        <c:noMultiLvlLbl val="0"/>
      </c:catAx>
      <c:valAx>
        <c:axId val="6430783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643078032"/>
        <c:crosses val="autoZero"/>
        <c:crossBetween val="between"/>
      </c:valAx>
      <c:spPr>
        <a:noFill/>
        <a:ln>
          <a:noFill/>
        </a:ln>
        <a:effectLst/>
      </c:spPr>
    </c:plotArea>
    <c:legend>
      <c:legendPos val="b"/>
      <c:layout>
        <c:manualLayout>
          <c:xMode val="edge"/>
          <c:yMode val="edge"/>
          <c:x val="0.12155283852474295"/>
          <c:y val="4.4683714670255725E-2"/>
          <c:w val="0.48579778641386123"/>
          <c:h val="8.0484492715598391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53417466652285"/>
          <c:y val="4.3560459658615817E-2"/>
          <c:w val="0.84411030812929211"/>
          <c:h val="0.48602721983511854"/>
        </c:manualLayout>
      </c:layout>
      <c:lineChart>
        <c:grouping val="standard"/>
        <c:varyColors val="0"/>
        <c:ser>
          <c:idx val="0"/>
          <c:order val="0"/>
          <c:tx>
            <c:strRef>
              <c:f>Hoja1!$B$1</c:f>
              <c:strCache>
                <c:ptCount val="1"/>
                <c:pt idx="0">
                  <c:v>Var</c:v>
                </c:pt>
              </c:strCache>
            </c:strRef>
          </c:tx>
          <c:spPr>
            <a:ln w="28575" cap="rnd">
              <a:solidFill>
                <a:schemeClr val="accent1"/>
              </a:solidFill>
              <a:round/>
            </a:ln>
            <a:effectLst/>
          </c:spPr>
          <c:marker>
            <c:symbol val="circle"/>
            <c:size val="6"/>
            <c:spPr>
              <a:solidFill>
                <a:schemeClr val="bg1"/>
              </a:solidFill>
              <a:ln w="9525">
                <a:solidFill>
                  <a:schemeClr val="accent1"/>
                </a:solidFill>
              </a:ln>
              <a:effectLst/>
            </c:spPr>
          </c:marker>
          <c:dPt>
            <c:idx val="0"/>
            <c:marker>
              <c:symbol val="circle"/>
              <c:size val="6"/>
              <c:spPr>
                <a:solidFill>
                  <a:schemeClr val="bg1"/>
                </a:solidFill>
                <a:ln w="9525">
                  <a:solidFill>
                    <a:schemeClr val="accent1"/>
                  </a:solidFill>
                </a:ln>
                <a:effectLst/>
              </c:spPr>
            </c:marker>
            <c:bubble3D val="0"/>
            <c:spPr>
              <a:ln w="28575" cap="rnd">
                <a:solidFill>
                  <a:schemeClr val="accent1"/>
                </a:solidFill>
                <a:round/>
              </a:ln>
              <a:effectLst/>
            </c:spPr>
            <c:extLst>
              <c:ext xmlns:c16="http://schemas.microsoft.com/office/drawing/2014/chart" uri="{C3380CC4-5D6E-409C-BE32-E72D297353CC}">
                <c16:uniqueId val="{00000001-5229-4467-90F3-2FD7E6A83620}"/>
              </c:ext>
            </c:extLst>
          </c:dPt>
          <c:dPt>
            <c:idx val="1"/>
            <c:marker>
              <c:symbol val="circle"/>
              <c:size val="6"/>
              <c:spPr>
                <a:solidFill>
                  <a:schemeClr val="bg1"/>
                </a:solidFill>
                <a:ln w="9525">
                  <a:solidFill>
                    <a:schemeClr val="accent1"/>
                  </a:solidFill>
                </a:ln>
                <a:effectLst/>
              </c:spPr>
            </c:marker>
            <c:bubble3D val="0"/>
            <c:spPr>
              <a:ln w="28575" cap="rnd">
                <a:solidFill>
                  <a:schemeClr val="accent1"/>
                </a:solidFill>
                <a:round/>
              </a:ln>
              <a:effectLst/>
            </c:spPr>
            <c:extLst>
              <c:ext xmlns:c16="http://schemas.microsoft.com/office/drawing/2014/chart" uri="{C3380CC4-5D6E-409C-BE32-E72D297353CC}">
                <c16:uniqueId val="{00000003-5229-4467-90F3-2FD7E6A83620}"/>
              </c:ext>
            </c:extLst>
          </c:dPt>
          <c:dPt>
            <c:idx val="2"/>
            <c:marker>
              <c:symbol val="circle"/>
              <c:size val="6"/>
              <c:spPr>
                <a:solidFill>
                  <a:schemeClr val="bg1"/>
                </a:solidFill>
                <a:ln w="9525">
                  <a:solidFill>
                    <a:schemeClr val="accent1"/>
                  </a:solidFill>
                </a:ln>
                <a:effectLst/>
              </c:spPr>
            </c:marker>
            <c:bubble3D val="0"/>
            <c:spPr>
              <a:ln w="28575" cap="rnd">
                <a:solidFill>
                  <a:schemeClr val="accent1"/>
                </a:solidFill>
                <a:round/>
              </a:ln>
              <a:effectLst/>
            </c:spPr>
            <c:extLst>
              <c:ext xmlns:c16="http://schemas.microsoft.com/office/drawing/2014/chart" uri="{C3380CC4-5D6E-409C-BE32-E72D297353CC}">
                <c16:uniqueId val="{00000005-5229-4467-90F3-2FD7E6A83620}"/>
              </c:ext>
            </c:extLst>
          </c:dPt>
          <c:dPt>
            <c:idx val="3"/>
            <c:marker>
              <c:symbol val="circle"/>
              <c:size val="6"/>
              <c:spPr>
                <a:solidFill>
                  <a:srgbClr val="FF0000"/>
                </a:solidFill>
                <a:ln w="9525">
                  <a:solidFill>
                    <a:schemeClr val="accent1"/>
                  </a:solidFill>
                </a:ln>
                <a:effectLst/>
              </c:spPr>
            </c:marker>
            <c:bubble3D val="0"/>
            <c:spPr>
              <a:ln w="28575" cap="rnd">
                <a:solidFill>
                  <a:schemeClr val="accent1"/>
                </a:solidFill>
                <a:round/>
              </a:ln>
              <a:effectLst/>
            </c:spPr>
            <c:extLst>
              <c:ext xmlns:c16="http://schemas.microsoft.com/office/drawing/2014/chart" uri="{C3380CC4-5D6E-409C-BE32-E72D297353CC}">
                <c16:uniqueId val="{00000007-5229-4467-90F3-2FD7E6A83620}"/>
              </c:ext>
            </c:extLst>
          </c:dPt>
          <c:dPt>
            <c:idx val="10"/>
            <c:marker>
              <c:symbol val="circle"/>
              <c:size val="6"/>
              <c:spPr>
                <a:solidFill>
                  <a:srgbClr val="FF0000"/>
                </a:solidFill>
                <a:ln w="9525">
                  <a:solidFill>
                    <a:schemeClr val="accent1"/>
                  </a:solidFill>
                </a:ln>
                <a:effectLst/>
              </c:spPr>
            </c:marker>
            <c:bubble3D val="0"/>
            <c:extLst>
              <c:ext xmlns:c16="http://schemas.microsoft.com/office/drawing/2014/chart" uri="{C3380CC4-5D6E-409C-BE32-E72D297353CC}">
                <c16:uniqueId val="{00000008-5229-4467-90F3-2FD7E6A83620}"/>
              </c:ext>
            </c:extLst>
          </c:dPt>
          <c:dLbls>
            <c:dLbl>
              <c:idx val="3"/>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extLst>
                <c:ext xmlns:c16="http://schemas.microsoft.com/office/drawing/2014/chart" uri="{C3380CC4-5D6E-409C-BE32-E72D297353CC}">
                  <c16:uniqueId val="{00000007-5229-4467-90F3-2FD7E6A83620}"/>
                </c:ext>
              </c:extLst>
            </c:dLbl>
            <c:dLbl>
              <c:idx val="10"/>
              <c:layout>
                <c:manualLayout>
                  <c:x val="-6.3657821881853816E-2"/>
                  <c:y val="8.2680591818973023E-3"/>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229-4467-90F3-2FD7E6A83620}"/>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Hoja1!$A$2:$A$12</c:f>
              <c:strCache>
                <c:ptCount val="11"/>
                <c:pt idx="0">
                  <c:v>Comercio al por mayor y al por menor</c:v>
                </c:pt>
                <c:pt idx="1">
                  <c:v>Industrias manufactureras</c:v>
                </c:pt>
                <c:pt idx="2">
                  <c:v>Actividades financieras y de seguros</c:v>
                </c:pt>
                <c:pt idx="3">
                  <c:v>Información y comunicaciones</c:v>
                </c:pt>
                <c:pt idx="4">
                  <c:v>Actividades inmobiliarias</c:v>
                </c:pt>
                <c:pt idx="5">
                  <c:v>Actividades de servicios administrativos y de apoyo</c:v>
                </c:pt>
                <c:pt idx="6">
                  <c:v>Administración pública y defensa</c:v>
                </c:pt>
                <c:pt idx="7">
                  <c:v>Actividades profesionales, científicas y técnicas</c:v>
                </c:pt>
                <c:pt idx="8">
                  <c:v>Suministro de electricidad, gas, etc.</c:v>
                </c:pt>
                <c:pt idx="9">
                  <c:v>Transporte y almacenamiento</c:v>
                </c:pt>
                <c:pt idx="10">
                  <c:v>Agricultura, ganadería, silvicultura y pesca</c:v>
                </c:pt>
              </c:strCache>
            </c:strRef>
          </c:cat>
          <c:val>
            <c:numRef>
              <c:f>Hoja1!$B$2:$B$12</c:f>
              <c:numCache>
                <c:formatCode>0.0</c:formatCode>
                <c:ptCount val="11"/>
                <c:pt idx="0">
                  <c:v>11.451286105719852</c:v>
                </c:pt>
                <c:pt idx="1">
                  <c:v>13.33089245608836</c:v>
                </c:pt>
                <c:pt idx="2">
                  <c:v>19.463449394497086</c:v>
                </c:pt>
                <c:pt idx="3">
                  <c:v>-4.1728512652808716</c:v>
                </c:pt>
                <c:pt idx="4">
                  <c:v>8.3954194000315709</c:v>
                </c:pt>
                <c:pt idx="5">
                  <c:v>21.581956462984291</c:v>
                </c:pt>
                <c:pt idx="6">
                  <c:v>3.0015978638686094</c:v>
                </c:pt>
                <c:pt idx="7">
                  <c:v>42.020325023294404</c:v>
                </c:pt>
                <c:pt idx="8">
                  <c:v>20.411400696705662</c:v>
                </c:pt>
                <c:pt idx="9">
                  <c:v>4.3148496337627202</c:v>
                </c:pt>
                <c:pt idx="10">
                  <c:v>-26.665255658132374</c:v>
                </c:pt>
              </c:numCache>
            </c:numRef>
          </c:val>
          <c:smooth val="1"/>
          <c:extLst>
            <c:ext xmlns:c16="http://schemas.microsoft.com/office/drawing/2014/chart" uri="{C3380CC4-5D6E-409C-BE32-E72D297353CC}">
              <c16:uniqueId val="{00000009-5229-4467-90F3-2FD7E6A83620}"/>
            </c:ext>
          </c:extLst>
        </c:ser>
        <c:dLbls>
          <c:showLegendKey val="0"/>
          <c:showVal val="0"/>
          <c:showCatName val="0"/>
          <c:showSerName val="0"/>
          <c:showPercent val="0"/>
          <c:showBubbleSize val="0"/>
        </c:dLbls>
        <c:marker val="1"/>
        <c:smooth val="0"/>
        <c:axId val="291055391"/>
        <c:axId val="291052063"/>
      </c:lineChart>
      <c:catAx>
        <c:axId val="291055391"/>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91052063"/>
        <c:crosses val="autoZero"/>
        <c:auto val="1"/>
        <c:lblAlgn val="ctr"/>
        <c:lblOffset val="100"/>
        <c:noMultiLvlLbl val="0"/>
      </c:catAx>
      <c:valAx>
        <c:axId val="291052063"/>
        <c:scaling>
          <c:orientation val="minMax"/>
          <c:max val="50"/>
          <c:min val="-4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91055391"/>
        <c:crosses val="autoZero"/>
        <c:crossBetween val="between"/>
        <c:majorUnit val="1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Times New Roman" panose="02020603050405020304" pitchFamily="18" charset="0"/>
                <a:ea typeface="+mj-ea"/>
                <a:cs typeface="Times New Roman" panose="02020603050405020304" pitchFamily="18" charset="0"/>
              </a:defRPr>
            </a:pPr>
            <a:r>
              <a:rPr lang="es-GT" sz="1200"/>
              <a:t>IVA doméstico vrs Meta</a:t>
            </a:r>
          </a:p>
        </c:rich>
      </c:tx>
      <c:overlay val="0"/>
      <c:spPr>
        <a:noFill/>
        <a:ln>
          <a:noFill/>
        </a:ln>
        <a:effectLst/>
      </c:spPr>
      <c:txPr>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Times New Roman" panose="02020603050405020304" pitchFamily="18" charset="0"/>
              <a:ea typeface="+mj-ea"/>
              <a:cs typeface="Times New Roman" panose="02020603050405020304" pitchFamily="18" charset="0"/>
            </a:defRPr>
          </a:pPr>
          <a:endParaRPr lang="es-GT"/>
        </a:p>
      </c:txPr>
    </c:title>
    <c:autoTitleDeleted val="0"/>
    <c:plotArea>
      <c:layout/>
      <c:lineChart>
        <c:grouping val="standard"/>
        <c:varyColors val="0"/>
        <c:ser>
          <c:idx val="0"/>
          <c:order val="0"/>
          <c:tx>
            <c:strRef>
              <c:f>Hoja1!$B$1</c:f>
              <c:strCache>
                <c:ptCount val="1"/>
                <c:pt idx="0">
                  <c:v>IVA dom Meta</c:v>
                </c:pt>
              </c:strCache>
            </c:strRef>
          </c:tx>
          <c:spPr>
            <a:ln w="22225" cap="rnd">
              <a:solidFill>
                <a:schemeClr val="accent1"/>
              </a:solidFill>
              <a:round/>
            </a:ln>
            <a:effectLst/>
          </c:spPr>
          <c:marker>
            <c:symbol val="diamond"/>
            <c:size val="5"/>
            <c:spPr>
              <a:solidFill>
                <a:schemeClr val="bg1"/>
              </a:solidFill>
              <a:ln w="15875">
                <a:solidFill>
                  <a:schemeClr val="accent1"/>
                </a:solidFill>
                <a:round/>
              </a:ln>
              <a:effectLst/>
            </c:spPr>
          </c:marker>
          <c:dLbls>
            <c:numFmt formatCode="#,##0.0" sourceLinked="0"/>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Hoja1!$A$2:$A$7</c:f>
              <c:strCache>
                <c:ptCount val="6"/>
                <c:pt idx="0">
                  <c:v>ene</c:v>
                </c:pt>
                <c:pt idx="1">
                  <c:v>feb</c:v>
                </c:pt>
                <c:pt idx="2">
                  <c:v>mar</c:v>
                </c:pt>
                <c:pt idx="3">
                  <c:v>abr</c:v>
                </c:pt>
                <c:pt idx="4">
                  <c:v>may</c:v>
                </c:pt>
                <c:pt idx="5">
                  <c:v>jun</c:v>
                </c:pt>
              </c:strCache>
            </c:strRef>
          </c:cat>
          <c:val>
            <c:numRef>
              <c:f>Hoja1!$B$2:$B$7</c:f>
              <c:numCache>
                <c:formatCode>General</c:formatCode>
                <c:ptCount val="6"/>
                <c:pt idx="0">
                  <c:v>1829.92977767</c:v>
                </c:pt>
                <c:pt idx="1">
                  <c:v>1477.2912715099999</c:v>
                </c:pt>
                <c:pt idx="2">
                  <c:v>1456.8392973099999</c:v>
                </c:pt>
                <c:pt idx="3">
                  <c:v>1534.39675132</c:v>
                </c:pt>
                <c:pt idx="4">
                  <c:v>1537.66989586</c:v>
                </c:pt>
                <c:pt idx="5">
                  <c:v>1608.0366941899999</c:v>
                </c:pt>
              </c:numCache>
            </c:numRef>
          </c:val>
          <c:smooth val="1"/>
          <c:extLst>
            <c:ext xmlns:c16="http://schemas.microsoft.com/office/drawing/2014/chart" uri="{C3380CC4-5D6E-409C-BE32-E72D297353CC}">
              <c16:uniqueId val="{00000000-0185-4D79-A5CB-7BA1BDC0703A}"/>
            </c:ext>
          </c:extLst>
        </c:ser>
        <c:ser>
          <c:idx val="1"/>
          <c:order val="1"/>
          <c:tx>
            <c:strRef>
              <c:f>Hoja1!$C$1</c:f>
              <c:strCache>
                <c:ptCount val="1"/>
                <c:pt idx="0">
                  <c:v>IVA dom Obs</c:v>
                </c:pt>
              </c:strCache>
            </c:strRef>
          </c:tx>
          <c:spPr>
            <a:ln w="22225" cap="rnd">
              <a:solidFill>
                <a:schemeClr val="accent2"/>
              </a:solidFill>
              <a:round/>
            </a:ln>
            <a:effectLst/>
          </c:spPr>
          <c:marker>
            <c:symbol val="circle"/>
            <c:size val="5"/>
            <c:spPr>
              <a:solidFill>
                <a:schemeClr val="bg1"/>
              </a:solidFill>
              <a:ln w="15875">
                <a:solidFill>
                  <a:schemeClr val="accent2"/>
                </a:solidFill>
                <a:round/>
              </a:ln>
              <a:effectLst/>
            </c:spPr>
          </c:marker>
          <c:dLbls>
            <c:numFmt formatCode="#,##0.0" sourceLinked="0"/>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Hoja1!$A$2:$A$7</c:f>
              <c:strCache>
                <c:ptCount val="6"/>
                <c:pt idx="0">
                  <c:v>ene</c:v>
                </c:pt>
                <c:pt idx="1">
                  <c:v>feb</c:v>
                </c:pt>
                <c:pt idx="2">
                  <c:v>mar</c:v>
                </c:pt>
                <c:pt idx="3">
                  <c:v>abr</c:v>
                </c:pt>
                <c:pt idx="4">
                  <c:v>may</c:v>
                </c:pt>
                <c:pt idx="5">
                  <c:v>jun</c:v>
                </c:pt>
              </c:strCache>
            </c:strRef>
          </c:cat>
          <c:val>
            <c:numRef>
              <c:f>Hoja1!$C$2:$C$7</c:f>
              <c:numCache>
                <c:formatCode>General</c:formatCode>
                <c:ptCount val="6"/>
                <c:pt idx="0">
                  <c:v>2000.1930876099998</c:v>
                </c:pt>
                <c:pt idx="1">
                  <c:v>1613.58731227</c:v>
                </c:pt>
                <c:pt idx="2">
                  <c:v>1586.38016573</c:v>
                </c:pt>
                <c:pt idx="3">
                  <c:v>1794.04671745</c:v>
                </c:pt>
                <c:pt idx="4">
                  <c:v>1753.3325340899999</c:v>
                </c:pt>
                <c:pt idx="5">
                  <c:v>1722.8267836</c:v>
                </c:pt>
              </c:numCache>
            </c:numRef>
          </c:val>
          <c:smooth val="1"/>
          <c:extLst>
            <c:ext xmlns:c16="http://schemas.microsoft.com/office/drawing/2014/chart" uri="{C3380CC4-5D6E-409C-BE32-E72D297353CC}">
              <c16:uniqueId val="{00000001-0185-4D79-A5CB-7BA1BDC0703A}"/>
            </c:ext>
          </c:extLst>
        </c:ser>
        <c:dLbls>
          <c:showLegendKey val="0"/>
          <c:showVal val="0"/>
          <c:showCatName val="0"/>
          <c:showSerName val="0"/>
          <c:showPercent val="0"/>
          <c:showBubbleSize val="0"/>
        </c:dLbls>
        <c:marker val="1"/>
        <c:smooth val="0"/>
        <c:axId val="1906988159"/>
        <c:axId val="1635298479"/>
      </c:lineChart>
      <c:catAx>
        <c:axId val="1906988159"/>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35298479"/>
        <c:crosses val="autoZero"/>
        <c:auto val="1"/>
        <c:lblAlgn val="ctr"/>
        <c:lblOffset val="100"/>
        <c:noMultiLvlLbl val="0"/>
      </c:catAx>
      <c:valAx>
        <c:axId val="1635298479"/>
        <c:scaling>
          <c:orientation val="minMax"/>
          <c:min val="1400"/>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906988159"/>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8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Times New Roman" panose="02020603050405020304" pitchFamily="18" charset="0"/>
                <a:ea typeface="+mj-ea"/>
                <a:cs typeface="Times New Roman" panose="02020603050405020304" pitchFamily="18" charset="0"/>
              </a:defRPr>
            </a:pPr>
            <a:r>
              <a:rPr lang="es-GT" sz="1200"/>
              <a:t>IVA Importaciones vrs Meta</a:t>
            </a:r>
          </a:p>
        </c:rich>
      </c:tx>
      <c:overlay val="0"/>
      <c:spPr>
        <a:noFill/>
        <a:ln>
          <a:noFill/>
        </a:ln>
        <a:effectLst/>
      </c:spPr>
      <c:txPr>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Times New Roman" panose="02020603050405020304" pitchFamily="18" charset="0"/>
              <a:ea typeface="+mj-ea"/>
              <a:cs typeface="Times New Roman" panose="02020603050405020304" pitchFamily="18" charset="0"/>
            </a:defRPr>
          </a:pPr>
          <a:endParaRPr lang="es-GT"/>
        </a:p>
      </c:txPr>
    </c:title>
    <c:autoTitleDeleted val="0"/>
    <c:plotArea>
      <c:layout/>
      <c:lineChart>
        <c:grouping val="standard"/>
        <c:varyColors val="0"/>
        <c:ser>
          <c:idx val="0"/>
          <c:order val="0"/>
          <c:tx>
            <c:strRef>
              <c:f>Hoja1!$B$1</c:f>
              <c:strCache>
                <c:ptCount val="1"/>
                <c:pt idx="0">
                  <c:v>IVA Imp Meta</c:v>
                </c:pt>
              </c:strCache>
            </c:strRef>
          </c:tx>
          <c:spPr>
            <a:ln w="22225" cap="rnd">
              <a:solidFill>
                <a:schemeClr val="accent1"/>
              </a:solidFill>
              <a:round/>
            </a:ln>
            <a:effectLst/>
          </c:spPr>
          <c:marker>
            <c:symbol val="diamond"/>
            <c:size val="5"/>
            <c:spPr>
              <a:solidFill>
                <a:schemeClr val="bg1"/>
              </a:solidFill>
              <a:ln w="15875">
                <a:solidFill>
                  <a:schemeClr val="accent1"/>
                </a:solidFill>
                <a:round/>
              </a:ln>
              <a:effectLst/>
            </c:spPr>
          </c:marker>
          <c:dLbls>
            <c:dLbl>
              <c:idx val="2"/>
              <c:layout>
                <c:manualLayout>
                  <c:x val="-7.4487895716946001E-2"/>
                  <c:y val="0.1042970800524934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229-4F69-83D3-72B08FF2A7D9}"/>
                </c:ext>
              </c:extLst>
            </c:dLbl>
            <c:dLbl>
              <c:idx val="3"/>
              <c:layout>
                <c:manualLayout>
                  <c:x val="-8.8454376163873458E-2"/>
                  <c:y val="-8.32029199475066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229-4F69-83D3-72B08FF2A7D9}"/>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Hoja1!$A$2:$A$7</c:f>
              <c:strCache>
                <c:ptCount val="6"/>
                <c:pt idx="0">
                  <c:v>ene</c:v>
                </c:pt>
                <c:pt idx="1">
                  <c:v>feb</c:v>
                </c:pt>
                <c:pt idx="2">
                  <c:v>mar</c:v>
                </c:pt>
                <c:pt idx="3">
                  <c:v>abr</c:v>
                </c:pt>
                <c:pt idx="4">
                  <c:v>may</c:v>
                </c:pt>
                <c:pt idx="5">
                  <c:v>jun</c:v>
                </c:pt>
              </c:strCache>
            </c:strRef>
          </c:cat>
          <c:val>
            <c:numRef>
              <c:f>Hoja1!$B$2:$B$7</c:f>
              <c:numCache>
                <c:formatCode>General</c:formatCode>
                <c:ptCount val="6"/>
                <c:pt idx="0">
                  <c:v>1740.7238174200002</c:v>
                </c:pt>
                <c:pt idx="1">
                  <c:v>1676.9073837599999</c:v>
                </c:pt>
                <c:pt idx="2">
                  <c:v>1893.4448267499999</c:v>
                </c:pt>
                <c:pt idx="3">
                  <c:v>1870.8019994599999</c:v>
                </c:pt>
                <c:pt idx="4">
                  <c:v>2013.6496494200001</c:v>
                </c:pt>
                <c:pt idx="5">
                  <c:v>1916.66913277</c:v>
                </c:pt>
              </c:numCache>
            </c:numRef>
          </c:val>
          <c:smooth val="1"/>
          <c:extLst>
            <c:ext xmlns:c16="http://schemas.microsoft.com/office/drawing/2014/chart" uri="{C3380CC4-5D6E-409C-BE32-E72D297353CC}">
              <c16:uniqueId val="{00000002-9229-4F69-83D3-72B08FF2A7D9}"/>
            </c:ext>
          </c:extLst>
        </c:ser>
        <c:ser>
          <c:idx val="1"/>
          <c:order val="1"/>
          <c:tx>
            <c:strRef>
              <c:f>Hoja1!$C$1</c:f>
              <c:strCache>
                <c:ptCount val="1"/>
                <c:pt idx="0">
                  <c:v>IVA Imp Obs</c:v>
                </c:pt>
              </c:strCache>
            </c:strRef>
          </c:tx>
          <c:spPr>
            <a:ln w="22225" cap="rnd">
              <a:solidFill>
                <a:schemeClr val="accent2"/>
              </a:solidFill>
              <a:round/>
            </a:ln>
            <a:effectLst/>
          </c:spPr>
          <c:marker>
            <c:symbol val="circle"/>
            <c:size val="5"/>
            <c:spPr>
              <a:solidFill>
                <a:schemeClr val="bg1"/>
              </a:solidFill>
              <a:ln w="15875">
                <a:solidFill>
                  <a:schemeClr val="accent2"/>
                </a:solidFill>
                <a:round/>
              </a:ln>
              <a:effectLst/>
            </c:spPr>
          </c:marker>
          <c:dLbls>
            <c:dLbl>
              <c:idx val="1"/>
              <c:layout>
                <c:manualLayout>
                  <c:x val="-9.7765363128491614E-2"/>
                  <c:y val="-8.86716699475066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229-4F69-83D3-72B08FF2A7D9}"/>
                </c:ext>
              </c:extLst>
            </c:dLbl>
            <c:dLbl>
              <c:idx val="3"/>
              <c:layout>
                <c:manualLayout>
                  <c:x val="-8.8454376163873458E-2"/>
                  <c:y val="8.84116633858267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229-4F69-83D3-72B08FF2A7D9}"/>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Hoja1!$A$2:$A$7</c:f>
              <c:strCache>
                <c:ptCount val="6"/>
                <c:pt idx="0">
                  <c:v>ene</c:v>
                </c:pt>
                <c:pt idx="1">
                  <c:v>feb</c:v>
                </c:pt>
                <c:pt idx="2">
                  <c:v>mar</c:v>
                </c:pt>
                <c:pt idx="3">
                  <c:v>abr</c:v>
                </c:pt>
                <c:pt idx="4">
                  <c:v>may</c:v>
                </c:pt>
                <c:pt idx="5">
                  <c:v>jun</c:v>
                </c:pt>
              </c:strCache>
            </c:strRef>
          </c:cat>
          <c:val>
            <c:numRef>
              <c:f>Hoja1!$C$2:$C$7</c:f>
              <c:numCache>
                <c:formatCode>General</c:formatCode>
                <c:ptCount val="6"/>
                <c:pt idx="0">
                  <c:v>1940.6491865099999</c:v>
                </c:pt>
                <c:pt idx="1">
                  <c:v>1752.0499015599999</c:v>
                </c:pt>
                <c:pt idx="2">
                  <c:v>2040.5328904100002</c:v>
                </c:pt>
                <c:pt idx="3">
                  <c:v>1741.8712604100001</c:v>
                </c:pt>
                <c:pt idx="4">
                  <c:v>2123.0983384599999</c:v>
                </c:pt>
                <c:pt idx="5">
                  <c:v>2070.7163673800001</c:v>
                </c:pt>
              </c:numCache>
            </c:numRef>
          </c:val>
          <c:smooth val="1"/>
          <c:extLst>
            <c:ext xmlns:c16="http://schemas.microsoft.com/office/drawing/2014/chart" uri="{C3380CC4-5D6E-409C-BE32-E72D297353CC}">
              <c16:uniqueId val="{00000005-9229-4F69-83D3-72B08FF2A7D9}"/>
            </c:ext>
          </c:extLst>
        </c:ser>
        <c:dLbls>
          <c:showLegendKey val="0"/>
          <c:showVal val="0"/>
          <c:showCatName val="0"/>
          <c:showSerName val="0"/>
          <c:showPercent val="0"/>
          <c:showBubbleSize val="0"/>
        </c:dLbls>
        <c:marker val="1"/>
        <c:smooth val="0"/>
        <c:axId val="1906988159"/>
        <c:axId val="1635298479"/>
      </c:lineChart>
      <c:catAx>
        <c:axId val="1906988159"/>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35298479"/>
        <c:crosses val="autoZero"/>
        <c:auto val="1"/>
        <c:lblAlgn val="ctr"/>
        <c:lblOffset val="100"/>
        <c:noMultiLvlLbl val="0"/>
      </c:catAx>
      <c:valAx>
        <c:axId val="1635298479"/>
        <c:scaling>
          <c:orientation val="minMax"/>
          <c:min val="1400"/>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906988159"/>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8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1787891174185084E-2"/>
          <c:y val="4.3560459658615817E-2"/>
          <c:w val="0.9376642066917904"/>
          <c:h val="0.48602721983511854"/>
        </c:manualLayout>
      </c:layout>
      <c:lineChart>
        <c:grouping val="standard"/>
        <c:varyColors val="0"/>
        <c:ser>
          <c:idx val="0"/>
          <c:order val="0"/>
          <c:tx>
            <c:strRef>
              <c:f>Hoja1!$B$1</c:f>
              <c:strCache>
                <c:ptCount val="1"/>
                <c:pt idx="0">
                  <c:v>Var</c:v>
                </c:pt>
              </c:strCache>
            </c:strRef>
          </c:tx>
          <c:spPr>
            <a:ln w="28575" cap="rnd">
              <a:solidFill>
                <a:schemeClr val="accent1"/>
              </a:solidFill>
              <a:round/>
            </a:ln>
            <a:effectLst/>
          </c:spPr>
          <c:marker>
            <c:symbol val="circle"/>
            <c:size val="6"/>
            <c:spPr>
              <a:solidFill>
                <a:schemeClr val="bg1"/>
              </a:solidFill>
              <a:ln w="9525">
                <a:solidFill>
                  <a:schemeClr val="accent1"/>
                </a:solidFill>
              </a:ln>
              <a:effectLst/>
            </c:spPr>
          </c:marker>
          <c:dPt>
            <c:idx val="0"/>
            <c:marker>
              <c:symbol val="circle"/>
              <c:size val="6"/>
              <c:spPr>
                <a:solidFill>
                  <a:schemeClr val="bg1"/>
                </a:solidFill>
                <a:ln w="9525">
                  <a:solidFill>
                    <a:schemeClr val="accent1"/>
                  </a:solidFill>
                </a:ln>
                <a:effectLst/>
              </c:spPr>
            </c:marker>
            <c:bubble3D val="0"/>
            <c:spPr>
              <a:ln w="28575" cap="rnd">
                <a:solidFill>
                  <a:schemeClr val="accent1"/>
                </a:solidFill>
                <a:round/>
              </a:ln>
              <a:effectLst/>
            </c:spPr>
            <c:extLst>
              <c:ext xmlns:c16="http://schemas.microsoft.com/office/drawing/2014/chart" uri="{C3380CC4-5D6E-409C-BE32-E72D297353CC}">
                <c16:uniqueId val="{00000001-564A-4947-A737-6470E0142649}"/>
              </c:ext>
            </c:extLst>
          </c:dPt>
          <c:dPt>
            <c:idx val="1"/>
            <c:marker>
              <c:symbol val="circle"/>
              <c:size val="6"/>
              <c:spPr>
                <a:solidFill>
                  <a:schemeClr val="bg1"/>
                </a:solidFill>
                <a:ln w="9525">
                  <a:solidFill>
                    <a:schemeClr val="accent1"/>
                  </a:solidFill>
                </a:ln>
                <a:effectLst/>
              </c:spPr>
            </c:marker>
            <c:bubble3D val="0"/>
            <c:spPr>
              <a:ln w="28575" cap="rnd">
                <a:solidFill>
                  <a:schemeClr val="accent1"/>
                </a:solidFill>
                <a:round/>
              </a:ln>
              <a:effectLst/>
            </c:spPr>
            <c:extLst>
              <c:ext xmlns:c16="http://schemas.microsoft.com/office/drawing/2014/chart" uri="{C3380CC4-5D6E-409C-BE32-E72D297353CC}">
                <c16:uniqueId val="{00000003-564A-4947-A737-6470E0142649}"/>
              </c:ext>
            </c:extLst>
          </c:dPt>
          <c:dPt>
            <c:idx val="2"/>
            <c:marker>
              <c:symbol val="circle"/>
              <c:size val="6"/>
              <c:spPr>
                <a:solidFill>
                  <a:schemeClr val="bg1"/>
                </a:solidFill>
                <a:ln w="9525">
                  <a:solidFill>
                    <a:schemeClr val="accent1"/>
                  </a:solidFill>
                </a:ln>
                <a:effectLst/>
              </c:spPr>
            </c:marker>
            <c:bubble3D val="0"/>
            <c:spPr>
              <a:ln w="28575" cap="rnd">
                <a:solidFill>
                  <a:schemeClr val="accent1"/>
                </a:solidFill>
                <a:round/>
              </a:ln>
              <a:effectLst/>
            </c:spPr>
            <c:extLst>
              <c:ext xmlns:c16="http://schemas.microsoft.com/office/drawing/2014/chart" uri="{C3380CC4-5D6E-409C-BE32-E72D297353CC}">
                <c16:uniqueId val="{00000005-564A-4947-A737-6470E0142649}"/>
              </c:ext>
            </c:extLst>
          </c:dPt>
          <c:dPt>
            <c:idx val="3"/>
            <c:marker>
              <c:symbol val="circle"/>
              <c:size val="6"/>
              <c:spPr>
                <a:solidFill>
                  <a:schemeClr val="bg1"/>
                </a:solidFill>
                <a:ln w="9525">
                  <a:solidFill>
                    <a:schemeClr val="accent1"/>
                  </a:solidFill>
                </a:ln>
                <a:effectLst/>
              </c:spPr>
            </c:marker>
            <c:bubble3D val="0"/>
            <c:spPr>
              <a:ln w="28575" cap="rnd">
                <a:solidFill>
                  <a:schemeClr val="accent1"/>
                </a:solidFill>
                <a:round/>
              </a:ln>
              <a:effectLst/>
            </c:spPr>
            <c:extLst>
              <c:ext xmlns:c16="http://schemas.microsoft.com/office/drawing/2014/chart" uri="{C3380CC4-5D6E-409C-BE32-E72D297353CC}">
                <c16:uniqueId val="{00000007-564A-4947-A737-6470E0142649}"/>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Hoja1!$A$2:$A$10</c:f>
              <c:strCache>
                <c:ptCount val="9"/>
                <c:pt idx="0">
                  <c:v>Comercio al por mayor y al por menor</c:v>
                </c:pt>
                <c:pt idx="1">
                  <c:v>Actividades financieras y de seguros</c:v>
                </c:pt>
                <c:pt idx="2">
                  <c:v>Industrias manufactureras</c:v>
                </c:pt>
                <c:pt idx="3">
                  <c:v>Actividades de servicios administrativos y de apoyo</c:v>
                </c:pt>
                <c:pt idx="4">
                  <c:v>Actividades profesionales, científicas y técnicas</c:v>
                </c:pt>
                <c:pt idx="5">
                  <c:v>Información y comunicaciones</c:v>
                </c:pt>
                <c:pt idx="6">
                  <c:v>Actividades inmobiliarias</c:v>
                </c:pt>
                <c:pt idx="7">
                  <c:v>Transporte y almacenamiento</c:v>
                </c:pt>
                <c:pt idx="8">
                  <c:v>Suministro de electricidad, gas, etc.</c:v>
                </c:pt>
              </c:strCache>
            </c:strRef>
          </c:cat>
          <c:val>
            <c:numRef>
              <c:f>Hoja1!$B$2:$B$10</c:f>
              <c:numCache>
                <c:formatCode>_-* #,##0.0\ _Q_-;\-* #,##0.0\ _Q_-;_-* "-"??\ _Q_-;_-@_-</c:formatCode>
                <c:ptCount val="9"/>
                <c:pt idx="0">
                  <c:v>29.655087492030844</c:v>
                </c:pt>
                <c:pt idx="1">
                  <c:v>18.995421563192938</c:v>
                </c:pt>
                <c:pt idx="2">
                  <c:v>13.335548290436908</c:v>
                </c:pt>
                <c:pt idx="3">
                  <c:v>15.491193056529701</c:v>
                </c:pt>
                <c:pt idx="4">
                  <c:v>14.73709198433272</c:v>
                </c:pt>
                <c:pt idx="5">
                  <c:v>3.0510323639216002</c:v>
                </c:pt>
                <c:pt idx="6">
                  <c:v>14.927036284955729</c:v>
                </c:pt>
                <c:pt idx="7">
                  <c:v>25.004301230339816</c:v>
                </c:pt>
                <c:pt idx="8">
                  <c:v>55.533886424542111</c:v>
                </c:pt>
              </c:numCache>
            </c:numRef>
          </c:val>
          <c:smooth val="1"/>
          <c:extLst>
            <c:ext xmlns:c16="http://schemas.microsoft.com/office/drawing/2014/chart" uri="{C3380CC4-5D6E-409C-BE32-E72D297353CC}">
              <c16:uniqueId val="{00000008-564A-4947-A737-6470E0142649}"/>
            </c:ext>
          </c:extLst>
        </c:ser>
        <c:dLbls>
          <c:showLegendKey val="0"/>
          <c:showVal val="0"/>
          <c:showCatName val="0"/>
          <c:showSerName val="0"/>
          <c:showPercent val="0"/>
          <c:showBubbleSize val="0"/>
        </c:dLbls>
        <c:marker val="1"/>
        <c:smooth val="0"/>
        <c:axId val="291055391"/>
        <c:axId val="291052063"/>
      </c:lineChart>
      <c:catAx>
        <c:axId val="291055391"/>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91052063"/>
        <c:crosses val="autoZero"/>
        <c:auto val="1"/>
        <c:lblAlgn val="ctr"/>
        <c:lblOffset val="100"/>
        <c:noMultiLvlLbl val="0"/>
      </c:catAx>
      <c:valAx>
        <c:axId val="29105206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9105539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8633299046404128E-2"/>
          <c:y val="4.3560459658615817E-2"/>
          <c:w val="0.93081879881957119"/>
          <c:h val="0.48602721983511854"/>
        </c:manualLayout>
      </c:layout>
      <c:lineChart>
        <c:grouping val="standard"/>
        <c:varyColors val="0"/>
        <c:ser>
          <c:idx val="0"/>
          <c:order val="0"/>
          <c:tx>
            <c:strRef>
              <c:f>Hoja1!$B$1</c:f>
              <c:strCache>
                <c:ptCount val="1"/>
                <c:pt idx="0">
                  <c:v>Var</c:v>
                </c:pt>
              </c:strCache>
            </c:strRef>
          </c:tx>
          <c:spPr>
            <a:ln w="28575" cap="rnd">
              <a:solidFill>
                <a:schemeClr val="accent1"/>
              </a:solidFill>
              <a:round/>
            </a:ln>
            <a:effectLst/>
          </c:spPr>
          <c:marker>
            <c:symbol val="circle"/>
            <c:size val="6"/>
            <c:spPr>
              <a:solidFill>
                <a:schemeClr val="bg1"/>
              </a:solidFill>
              <a:ln w="9525">
                <a:solidFill>
                  <a:schemeClr val="accent1"/>
                </a:solidFill>
              </a:ln>
              <a:effectLst/>
            </c:spPr>
          </c:marker>
          <c:dPt>
            <c:idx val="0"/>
            <c:marker>
              <c:symbol val="circle"/>
              <c:size val="6"/>
              <c:spPr>
                <a:solidFill>
                  <a:schemeClr val="bg1"/>
                </a:solidFill>
                <a:ln w="9525">
                  <a:solidFill>
                    <a:schemeClr val="accent1"/>
                  </a:solidFill>
                </a:ln>
                <a:effectLst/>
              </c:spPr>
            </c:marker>
            <c:bubble3D val="0"/>
            <c:spPr>
              <a:ln w="28575" cap="rnd">
                <a:solidFill>
                  <a:schemeClr val="accent1"/>
                </a:solidFill>
                <a:round/>
              </a:ln>
              <a:effectLst/>
            </c:spPr>
            <c:extLst>
              <c:ext xmlns:c16="http://schemas.microsoft.com/office/drawing/2014/chart" uri="{C3380CC4-5D6E-409C-BE32-E72D297353CC}">
                <c16:uniqueId val="{00000001-68D3-4A69-A5D1-B95E8E1F156C}"/>
              </c:ext>
            </c:extLst>
          </c:dPt>
          <c:dPt>
            <c:idx val="1"/>
            <c:marker>
              <c:symbol val="circle"/>
              <c:size val="6"/>
              <c:spPr>
                <a:solidFill>
                  <a:schemeClr val="bg1"/>
                </a:solidFill>
                <a:ln w="9525">
                  <a:solidFill>
                    <a:schemeClr val="accent1"/>
                  </a:solidFill>
                </a:ln>
                <a:effectLst/>
              </c:spPr>
            </c:marker>
            <c:bubble3D val="0"/>
            <c:spPr>
              <a:ln w="28575" cap="rnd">
                <a:solidFill>
                  <a:schemeClr val="accent1"/>
                </a:solidFill>
                <a:round/>
              </a:ln>
              <a:effectLst/>
            </c:spPr>
            <c:extLst>
              <c:ext xmlns:c16="http://schemas.microsoft.com/office/drawing/2014/chart" uri="{C3380CC4-5D6E-409C-BE32-E72D297353CC}">
                <c16:uniqueId val="{00000003-68D3-4A69-A5D1-B95E8E1F156C}"/>
              </c:ext>
            </c:extLst>
          </c:dPt>
          <c:dPt>
            <c:idx val="2"/>
            <c:marker>
              <c:symbol val="circle"/>
              <c:size val="6"/>
              <c:spPr>
                <a:solidFill>
                  <a:schemeClr val="bg1"/>
                </a:solidFill>
                <a:ln w="9525">
                  <a:solidFill>
                    <a:schemeClr val="accent1"/>
                  </a:solidFill>
                </a:ln>
                <a:effectLst/>
              </c:spPr>
            </c:marker>
            <c:bubble3D val="0"/>
            <c:spPr>
              <a:ln w="28575" cap="rnd">
                <a:solidFill>
                  <a:schemeClr val="accent1"/>
                </a:solidFill>
                <a:round/>
              </a:ln>
              <a:effectLst/>
            </c:spPr>
            <c:extLst>
              <c:ext xmlns:c16="http://schemas.microsoft.com/office/drawing/2014/chart" uri="{C3380CC4-5D6E-409C-BE32-E72D297353CC}">
                <c16:uniqueId val="{00000005-68D3-4A69-A5D1-B95E8E1F156C}"/>
              </c:ext>
            </c:extLst>
          </c:dPt>
          <c:dPt>
            <c:idx val="3"/>
            <c:marker>
              <c:symbol val="circle"/>
              <c:size val="6"/>
              <c:spPr>
                <a:solidFill>
                  <a:schemeClr val="bg1"/>
                </a:solidFill>
                <a:ln w="9525">
                  <a:solidFill>
                    <a:schemeClr val="accent1"/>
                  </a:solidFill>
                </a:ln>
                <a:effectLst/>
              </c:spPr>
            </c:marker>
            <c:bubble3D val="0"/>
            <c:spPr>
              <a:ln w="28575" cap="rnd">
                <a:solidFill>
                  <a:schemeClr val="accent1"/>
                </a:solidFill>
                <a:round/>
              </a:ln>
              <a:effectLst/>
            </c:spPr>
            <c:extLst>
              <c:ext xmlns:c16="http://schemas.microsoft.com/office/drawing/2014/chart" uri="{C3380CC4-5D6E-409C-BE32-E72D297353CC}">
                <c16:uniqueId val="{00000007-68D3-4A69-A5D1-B95E8E1F156C}"/>
              </c:ext>
            </c:extLst>
          </c:dPt>
          <c:dLbls>
            <c:dLbl>
              <c:idx val="1"/>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extLst>
                <c:ext xmlns:c16="http://schemas.microsoft.com/office/drawing/2014/chart" uri="{C3380CC4-5D6E-409C-BE32-E72D297353CC}">
                  <c16:uniqueId val="{00000003-68D3-4A69-A5D1-B95E8E1F156C}"/>
                </c:ext>
              </c:extLst>
            </c:dLbl>
            <c:dLbl>
              <c:idx val="2"/>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extLst>
                <c:ext xmlns:c16="http://schemas.microsoft.com/office/drawing/2014/chart" uri="{C3380CC4-5D6E-409C-BE32-E72D297353CC}">
                  <c16:uniqueId val="{00000005-68D3-4A69-A5D1-B95E8E1F156C}"/>
                </c:ext>
              </c:extLst>
            </c:dLbl>
            <c:dLbl>
              <c:idx val="4"/>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extLst>
                <c:ext xmlns:c16="http://schemas.microsoft.com/office/drawing/2014/chart" uri="{C3380CC4-5D6E-409C-BE32-E72D297353CC}">
                  <c16:uniqueId val="{00000008-68D3-4A69-A5D1-B95E8E1F156C}"/>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Comercio al por mayor y al por menor</c:v>
                </c:pt>
                <c:pt idx="1">
                  <c:v>Industrias manufactureras</c:v>
                </c:pt>
                <c:pt idx="2">
                  <c:v>Información y comunicaciones</c:v>
                </c:pt>
                <c:pt idx="3">
                  <c:v>Transporte y almacenamiento</c:v>
                </c:pt>
                <c:pt idx="4">
                  <c:v>Suministro de electricidad, gas, etc.</c:v>
                </c:pt>
              </c:strCache>
            </c:strRef>
          </c:cat>
          <c:val>
            <c:numRef>
              <c:f>Hoja1!$B$2:$B$6</c:f>
              <c:numCache>
                <c:formatCode>_-* #,##0.0\ _Q_-;\-* #,##0.0\ _Q_-;_-* "-"??\ _Q_-;_-@_-</c:formatCode>
                <c:ptCount val="5"/>
                <c:pt idx="0">
                  <c:v>2.7236615415801455</c:v>
                </c:pt>
                <c:pt idx="1">
                  <c:v>-8.8511387307782741</c:v>
                </c:pt>
                <c:pt idx="2">
                  <c:v>-2.3762030561603034</c:v>
                </c:pt>
                <c:pt idx="3">
                  <c:v>24.233591170258656</c:v>
                </c:pt>
                <c:pt idx="4">
                  <c:v>-29.966548104972262</c:v>
                </c:pt>
              </c:numCache>
            </c:numRef>
          </c:val>
          <c:smooth val="1"/>
          <c:extLst>
            <c:ext xmlns:c16="http://schemas.microsoft.com/office/drawing/2014/chart" uri="{C3380CC4-5D6E-409C-BE32-E72D297353CC}">
              <c16:uniqueId val="{00000009-68D3-4A69-A5D1-B95E8E1F156C}"/>
            </c:ext>
          </c:extLst>
        </c:ser>
        <c:dLbls>
          <c:showLegendKey val="0"/>
          <c:showVal val="0"/>
          <c:showCatName val="0"/>
          <c:showSerName val="0"/>
          <c:showPercent val="0"/>
          <c:showBubbleSize val="0"/>
        </c:dLbls>
        <c:marker val="1"/>
        <c:smooth val="0"/>
        <c:axId val="291055391"/>
        <c:axId val="291052063"/>
      </c:lineChart>
      <c:catAx>
        <c:axId val="291055391"/>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91052063"/>
        <c:crosses val="autoZero"/>
        <c:auto val="1"/>
        <c:lblAlgn val="ctr"/>
        <c:lblOffset val="100"/>
        <c:noMultiLvlLbl val="0"/>
      </c:catAx>
      <c:valAx>
        <c:axId val="29105206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9105539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0"/>
      <c:depthPercent val="100"/>
      <c:rAngAx val="0"/>
      <c:perspective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8.5105245822172784E-2"/>
          <c:w val="1"/>
          <c:h val="0.8885856861900211"/>
        </c:manualLayout>
      </c:layout>
      <c:pie3DChart>
        <c:varyColors val="1"/>
        <c:ser>
          <c:idx val="0"/>
          <c:order val="0"/>
          <c:tx>
            <c:strRef>
              <c:f>Hoja1!$B$1</c:f>
              <c:strCache>
                <c:ptCount val="1"/>
                <c:pt idx="0">
                  <c:v>Recaudado a marzo</c:v>
                </c:pt>
              </c:strCache>
            </c:strRef>
          </c:tx>
          <c:dPt>
            <c:idx val="0"/>
            <c:bubble3D val="0"/>
            <c:explosion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5CA2-440E-A53A-5EE96EEEC866}"/>
              </c:ext>
            </c:extLst>
          </c:dPt>
          <c:dPt>
            <c:idx val="1"/>
            <c:bubble3D val="0"/>
            <c:explosion val="1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5CA2-440E-A53A-5EE96EEEC866}"/>
              </c:ext>
            </c:extLst>
          </c:dPt>
          <c:dPt>
            <c:idx val="2"/>
            <c:bubble3D val="0"/>
            <c:explosion val="5"/>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5CA2-440E-A53A-5EE96EEEC866}"/>
              </c:ext>
            </c:extLst>
          </c:dPt>
          <c:dPt>
            <c:idx val="3"/>
            <c:bubble3D val="0"/>
            <c:explosion val="4"/>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5CA2-440E-A53A-5EE96EEEC866}"/>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5CA2-440E-A53A-5EE96EEEC866}"/>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B-5CA2-440E-A53A-5EE96EEEC866}"/>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D-5CA2-440E-A53A-5EE96EEEC866}"/>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F-5CA2-440E-A53A-5EE96EEEC866}"/>
              </c:ext>
            </c:extLst>
          </c:dPt>
          <c:dPt>
            <c:idx val="8"/>
            <c:bubble3D val="0"/>
            <c:spPr>
              <a:gradFill rotWithShape="1">
                <a:gsLst>
                  <a:gs pos="0">
                    <a:schemeClr val="accent4">
                      <a:lumMod val="60000"/>
                      <a:shade val="51000"/>
                      <a:satMod val="130000"/>
                    </a:schemeClr>
                  </a:gs>
                  <a:gs pos="80000">
                    <a:schemeClr val="accent4">
                      <a:lumMod val="60000"/>
                      <a:shade val="93000"/>
                      <a:satMod val="130000"/>
                    </a:schemeClr>
                  </a:gs>
                  <a:gs pos="100000">
                    <a:schemeClr val="accent4">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1-5CA2-440E-A53A-5EE96EEEC866}"/>
              </c:ext>
            </c:extLst>
          </c:dPt>
          <c:dLbls>
            <c:dLbl>
              <c:idx val="0"/>
              <c:layout>
                <c:manualLayout>
                  <c:x val="-1.2221969457918412E-2"/>
                  <c:y val="-0.1601971231656089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CA2-440E-A53A-5EE96EEEC866}"/>
                </c:ext>
              </c:extLst>
            </c:dLbl>
            <c:dLbl>
              <c:idx val="1"/>
              <c:layout>
                <c:manualLayout>
                  <c:x val="0.48486153349851108"/>
                  <c:y val="-1.3152361479676919E-3"/>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1"/>
              <c:showSerName val="0"/>
              <c:showPercent val="1"/>
              <c:showBubbleSize val="0"/>
              <c:extLst>
                <c:ext xmlns:c15="http://schemas.microsoft.com/office/drawing/2012/chart" uri="{CE6537A1-D6FC-4f65-9D91-7224C49458BB}">
                  <c15:layout>
                    <c:manualLayout>
                      <c:w val="0.43562816024893036"/>
                      <c:h val="0.15206524598789789"/>
                    </c:manualLayout>
                  </c15:layout>
                </c:ext>
                <c:ext xmlns:c16="http://schemas.microsoft.com/office/drawing/2014/chart" uri="{C3380CC4-5D6E-409C-BE32-E72D297353CC}">
                  <c16:uniqueId val="{00000003-5CA2-440E-A53A-5EE96EEEC866}"/>
                </c:ext>
              </c:extLst>
            </c:dLbl>
            <c:dLbl>
              <c:idx val="2"/>
              <c:layout>
                <c:manualLayout>
                  <c:x val="4.0698903767849189E-3"/>
                  <c:y val="0.1320044964909838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CA2-440E-A53A-5EE96EEEC866}"/>
                </c:ext>
              </c:extLst>
            </c:dLbl>
            <c:dLbl>
              <c:idx val="3"/>
              <c:layout>
                <c:manualLayout>
                  <c:x val="-2.9988768033707537E-3"/>
                  <c:y val="-2.5468384779631071E-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CA2-440E-A53A-5EE96EEEC866}"/>
                </c:ext>
              </c:extLst>
            </c:dLbl>
            <c:dLbl>
              <c:idx val="4"/>
              <c:layout>
                <c:manualLayout>
                  <c:x val="-0.12322241845937482"/>
                  <c:y val="-8.039956299878758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5CA2-440E-A53A-5EE96EEEC866}"/>
                </c:ext>
              </c:extLst>
            </c:dLbl>
            <c:dLbl>
              <c:idx val="5"/>
              <c:layout>
                <c:manualLayout>
                  <c:x val="-8.5894637002150425E-3"/>
                  <c:y val="-0.126450897318038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5CA2-440E-A53A-5EE96EEEC866}"/>
                </c:ext>
              </c:extLst>
            </c:dLbl>
            <c:dLbl>
              <c:idx val="6"/>
              <c:layout>
                <c:manualLayout>
                  <c:x val="5.6907694514552E-2"/>
                  <c:y val="-6.724002483006601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5CA2-440E-A53A-5EE96EEEC866}"/>
                </c:ext>
              </c:extLst>
            </c:dLbl>
            <c:dLbl>
              <c:idx val="7"/>
              <c:layout>
                <c:manualLayout>
                  <c:x val="0.12485064182339098"/>
                  <c:y val="-0.1362464873441359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5CA2-440E-A53A-5EE96EEEC866}"/>
                </c:ext>
              </c:extLst>
            </c:dLbl>
            <c:dLbl>
              <c:idx val="8"/>
              <c:layout>
                <c:manualLayout>
                  <c:x val="0.1755680650701528"/>
                  <c:y val="-3.837533065972249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5CA2-440E-A53A-5EE96EEEC866}"/>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Hoja1!$A$2:$A$10</c:f>
              <c:strCache>
                <c:ptCount val="9"/>
                <c:pt idx="0">
                  <c:v>Sobre la Renta</c:v>
                </c:pt>
                <c:pt idx="1">
                  <c:v>IVA Importaciones</c:v>
                </c:pt>
                <c:pt idx="2">
                  <c:v>IVA Doméstico</c:v>
                </c:pt>
                <c:pt idx="3">
                  <c:v>Impuesto de Solidaridad</c:v>
                </c:pt>
                <c:pt idx="4">
                  <c:v>Derivados del Petróleo</c:v>
                </c:pt>
                <c:pt idx="5">
                  <c:v>Derechos Arancelarios</c:v>
                </c:pt>
                <c:pt idx="6">
                  <c:v>IPRIMA</c:v>
                </c:pt>
                <c:pt idx="7">
                  <c:v>Bebidas</c:v>
                </c:pt>
                <c:pt idx="8">
                  <c:v>Los demás</c:v>
                </c:pt>
              </c:strCache>
            </c:strRef>
          </c:cat>
          <c:val>
            <c:numRef>
              <c:f>Hoja1!$B$2:$B$10</c:f>
              <c:numCache>
                <c:formatCode>_(* #,##0.0_);_(* \(#,##0.0\);_(* "-"??_);_(@_)</c:formatCode>
                <c:ptCount val="9"/>
                <c:pt idx="0">
                  <c:v>2046.1498554800182</c:v>
                </c:pt>
                <c:pt idx="1">
                  <c:v>556.72113514997909</c:v>
                </c:pt>
                <c:pt idx="2">
                  <c:v>1026.2029128900031</c:v>
                </c:pt>
                <c:pt idx="3">
                  <c:v>518.58579252000027</c:v>
                </c:pt>
                <c:pt idx="4">
                  <c:v>59.873218989998804</c:v>
                </c:pt>
                <c:pt idx="5">
                  <c:v>88.904458460001251</c:v>
                </c:pt>
                <c:pt idx="6">
                  <c:v>106.47190646000013</c:v>
                </c:pt>
                <c:pt idx="7">
                  <c:v>50.027731500000186</c:v>
                </c:pt>
                <c:pt idx="8">
                  <c:v>17.432969094630607</c:v>
                </c:pt>
              </c:numCache>
            </c:numRef>
          </c:val>
          <c:extLst>
            <c:ext xmlns:c16="http://schemas.microsoft.com/office/drawing/2014/chart" uri="{C3380CC4-5D6E-409C-BE32-E72D297353CC}">
              <c16:uniqueId val="{00000012-5CA2-440E-A53A-5EE96EEEC866}"/>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4">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Hoja1!$B$1</c:f>
              <c:strCache>
                <c:ptCount val="1"/>
                <c:pt idx="0">
                  <c:v>Var</c:v>
                </c:pt>
              </c:strCache>
            </c:strRef>
          </c:tx>
          <c:spPr>
            <a:solidFill>
              <a:schemeClr val="accent1"/>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F868-4DB6-BD36-BB5D9E7B6425}"/>
              </c:ext>
            </c:extLst>
          </c:dPt>
          <c:dPt>
            <c:idx val="1"/>
            <c:invertIfNegative val="0"/>
            <c:bubble3D val="0"/>
            <c:spPr>
              <a:solidFill>
                <a:srgbClr val="FF0000"/>
              </a:solidFill>
              <a:ln>
                <a:noFill/>
              </a:ln>
              <a:effectLst/>
            </c:spPr>
            <c:extLst>
              <c:ext xmlns:c16="http://schemas.microsoft.com/office/drawing/2014/chart" uri="{C3380CC4-5D6E-409C-BE32-E72D297353CC}">
                <c16:uniqueId val="{00000003-F868-4DB6-BD36-BB5D9E7B6425}"/>
              </c:ext>
            </c:extLst>
          </c:dPt>
          <c:dPt>
            <c:idx val="2"/>
            <c:invertIfNegative val="0"/>
            <c:bubble3D val="0"/>
            <c:spPr>
              <a:solidFill>
                <a:srgbClr val="FF0000"/>
              </a:solidFill>
              <a:ln>
                <a:noFill/>
              </a:ln>
              <a:effectLst/>
            </c:spPr>
            <c:extLst>
              <c:ext xmlns:c16="http://schemas.microsoft.com/office/drawing/2014/chart" uri="{C3380CC4-5D6E-409C-BE32-E72D297353CC}">
                <c16:uniqueId val="{00000005-F868-4DB6-BD36-BB5D9E7B6425}"/>
              </c:ext>
            </c:extLst>
          </c:dPt>
          <c:dPt>
            <c:idx val="3"/>
            <c:invertIfNegative val="0"/>
            <c:bubble3D val="0"/>
            <c:spPr>
              <a:solidFill>
                <a:srgbClr val="FF0000"/>
              </a:solidFill>
              <a:ln>
                <a:noFill/>
              </a:ln>
              <a:effectLst/>
            </c:spPr>
            <c:extLst>
              <c:ext xmlns:c16="http://schemas.microsoft.com/office/drawing/2014/chart" uri="{C3380CC4-5D6E-409C-BE32-E72D297353CC}">
                <c16:uniqueId val="{00000007-F868-4DB6-BD36-BB5D9E7B6425}"/>
              </c:ext>
            </c:extLst>
          </c:dPt>
          <c:dLbls>
            <c:dLbl>
              <c:idx val="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6="http://schemas.microsoft.com/office/drawing/2014/chart" uri="{C3380CC4-5D6E-409C-BE32-E72D297353CC}">
                  <c16:uniqueId val="{00000001-F868-4DB6-BD36-BB5D9E7B6425}"/>
                </c:ext>
              </c:extLst>
            </c:dLbl>
            <c:dLbl>
              <c:idx val="1"/>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6="http://schemas.microsoft.com/office/drawing/2014/chart" uri="{C3380CC4-5D6E-409C-BE32-E72D297353CC}">
                  <c16:uniqueId val="{00000003-F868-4DB6-BD36-BB5D9E7B6425}"/>
                </c:ext>
              </c:extLst>
            </c:dLbl>
            <c:dLbl>
              <c:idx val="2"/>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6="http://schemas.microsoft.com/office/drawing/2014/chart" uri="{C3380CC4-5D6E-409C-BE32-E72D297353CC}">
                  <c16:uniqueId val="{00000005-F868-4DB6-BD36-BB5D9E7B6425}"/>
                </c:ext>
              </c:extLst>
            </c:dLbl>
            <c:dLbl>
              <c:idx val="3"/>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6="http://schemas.microsoft.com/office/drawing/2014/chart" uri="{C3380CC4-5D6E-409C-BE32-E72D297353CC}">
                  <c16:uniqueId val="{00000007-F868-4DB6-BD36-BB5D9E7B6425}"/>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Hoja1!$A$2:$A$22</c:f>
              <c:strCache>
                <c:ptCount val="21"/>
                <c:pt idx="0">
                  <c:v>Explotación de minas y canteras</c:v>
                </c:pt>
                <c:pt idx="1">
                  <c:v>Agricultura, ganadería, silvicultura y pesca</c:v>
                </c:pt>
                <c:pt idx="2">
                  <c:v>Suministro de agua</c:v>
                </c:pt>
                <c:pt idx="3">
                  <c:v>Información y comunicaciones</c:v>
                </c:pt>
                <c:pt idx="4">
                  <c:v>Industrias manufactureras</c:v>
                </c:pt>
                <c:pt idx="5">
                  <c:v>Administración pública y defensa</c:v>
                </c:pt>
                <c:pt idx="6">
                  <c:v>Comercio al por mayor y al por menor</c:v>
                </c:pt>
                <c:pt idx="7">
                  <c:v>Actividades inmobiliarias</c:v>
                </c:pt>
                <c:pt idx="8">
                  <c:v>Enseñanza</c:v>
                </c:pt>
                <c:pt idx="9">
                  <c:v>Actividades de los hogares como empleadores</c:v>
                </c:pt>
                <c:pt idx="10">
                  <c:v>Actividades de organizaciones y órganos extraterritoriales</c:v>
                </c:pt>
                <c:pt idx="11">
                  <c:v>Actividades de atención de la salud humana y de asistencia social</c:v>
                </c:pt>
                <c:pt idx="12">
                  <c:v>Construcción</c:v>
                </c:pt>
                <c:pt idx="13">
                  <c:v>Suministro de electricidad, gas, etc.</c:v>
                </c:pt>
                <c:pt idx="14">
                  <c:v>Transporte y almacenamiento</c:v>
                </c:pt>
                <c:pt idx="15">
                  <c:v>Otras actividades de servicios</c:v>
                </c:pt>
                <c:pt idx="16">
                  <c:v>Actividades de servicios administrativos y de apoyo</c:v>
                </c:pt>
                <c:pt idx="17">
                  <c:v>Actividades financieras y de seguros</c:v>
                </c:pt>
                <c:pt idx="18">
                  <c:v>Actividades profesionales, científicas y técnicas</c:v>
                </c:pt>
                <c:pt idx="19">
                  <c:v>Actividades artísticas, de entretenimiento y recreativas</c:v>
                </c:pt>
                <c:pt idx="20">
                  <c:v>Actividades de alojamiento y de servicio de comidas</c:v>
                </c:pt>
              </c:strCache>
            </c:strRef>
          </c:cat>
          <c:val>
            <c:numRef>
              <c:f>Hoja1!$B$2:$B$22</c:f>
              <c:numCache>
                <c:formatCode>#,##0.0</c:formatCode>
                <c:ptCount val="21"/>
                <c:pt idx="0">
                  <c:v>-23.366580584919657</c:v>
                </c:pt>
                <c:pt idx="1">
                  <c:v>-14.817293455567146</c:v>
                </c:pt>
                <c:pt idx="2">
                  <c:v>-3.4419003498151026</c:v>
                </c:pt>
                <c:pt idx="3">
                  <c:v>-0.69550248526352032</c:v>
                </c:pt>
                <c:pt idx="4">
                  <c:v>4.4573912253616577</c:v>
                </c:pt>
                <c:pt idx="5">
                  <c:v>8.1045297042544249</c:v>
                </c:pt>
                <c:pt idx="6">
                  <c:v>9.7709231001242713</c:v>
                </c:pt>
                <c:pt idx="7">
                  <c:v>11.640134177198888</c:v>
                </c:pt>
                <c:pt idx="8">
                  <c:v>11.68638281268767</c:v>
                </c:pt>
                <c:pt idx="9">
                  <c:v>13.061002866585882</c:v>
                </c:pt>
                <c:pt idx="10">
                  <c:v>13.538641452656714</c:v>
                </c:pt>
                <c:pt idx="11">
                  <c:v>13.752793045006623</c:v>
                </c:pt>
                <c:pt idx="12">
                  <c:v>14.01922354599377</c:v>
                </c:pt>
                <c:pt idx="13">
                  <c:v>14.364920786332194</c:v>
                </c:pt>
                <c:pt idx="14">
                  <c:v>16.331988260991352</c:v>
                </c:pt>
                <c:pt idx="15">
                  <c:v>16.379624595614168</c:v>
                </c:pt>
                <c:pt idx="16">
                  <c:v>17.189521909134712</c:v>
                </c:pt>
                <c:pt idx="17">
                  <c:v>18.701231715697478</c:v>
                </c:pt>
                <c:pt idx="18">
                  <c:v>20.430936430688419</c:v>
                </c:pt>
                <c:pt idx="19">
                  <c:v>27.085526805460585</c:v>
                </c:pt>
                <c:pt idx="20">
                  <c:v>32.938362942542483</c:v>
                </c:pt>
              </c:numCache>
            </c:numRef>
          </c:val>
          <c:extLst>
            <c:ext xmlns:c16="http://schemas.microsoft.com/office/drawing/2014/chart" uri="{C3380CC4-5D6E-409C-BE32-E72D297353CC}">
              <c16:uniqueId val="{00000008-F868-4DB6-BD36-BB5D9E7B6425}"/>
            </c:ext>
          </c:extLst>
        </c:ser>
        <c:dLbls>
          <c:showLegendKey val="0"/>
          <c:showVal val="0"/>
          <c:showCatName val="0"/>
          <c:showSerName val="0"/>
          <c:showPercent val="0"/>
          <c:showBubbleSize val="0"/>
        </c:dLbls>
        <c:gapWidth val="20"/>
        <c:axId val="1872527791"/>
        <c:axId val="1785709103"/>
      </c:barChart>
      <c:catAx>
        <c:axId val="1872527791"/>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low"/>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7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785709103"/>
        <c:crosses val="autoZero"/>
        <c:auto val="1"/>
        <c:lblAlgn val="ctr"/>
        <c:lblOffset val="100"/>
        <c:noMultiLvlLbl val="0"/>
      </c:catAx>
      <c:valAx>
        <c:axId val="1785709103"/>
        <c:scaling>
          <c:orientation val="minMax"/>
        </c:scaling>
        <c:delete val="0"/>
        <c:axPos val="b"/>
        <c:majorGridlines>
          <c:spPr>
            <a:ln w="9525" cap="flat" cmpd="sng" algn="ctr">
              <a:solidFill>
                <a:schemeClr val="dk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872527791"/>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966781665488969E-2"/>
          <c:y val="3.6579148181225131E-2"/>
          <c:w val="0.89578648893354706"/>
          <c:h val="0.85021364075134132"/>
        </c:manualLayout>
      </c:layout>
      <c:barChart>
        <c:barDir val="col"/>
        <c:grouping val="clustered"/>
        <c:varyColors val="0"/>
        <c:ser>
          <c:idx val="0"/>
          <c:order val="0"/>
          <c:tx>
            <c:strRef>
              <c:f>Hoja1!$B$1</c:f>
              <c:strCache>
                <c:ptCount val="1"/>
                <c:pt idx="0">
                  <c:v>Presupuesto </c:v>
                </c:pt>
              </c:strCache>
            </c:strRef>
          </c:tx>
          <c:spPr>
            <a:solidFill>
              <a:schemeClr val="accent1">
                <a:lumMod val="50000"/>
              </a:schemeClr>
            </a:solidFill>
            <a:ln>
              <a:noFill/>
            </a:ln>
            <a:effectLst/>
          </c:spPr>
          <c:invertIfNegative val="0"/>
          <c:dLbls>
            <c:dLbl>
              <c:idx val="1"/>
              <c:layout>
                <c:manualLayout>
                  <c:x val="-2.295157218269451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5F2-4A94-BBB8-A2D38EEE7FBE}"/>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2">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Hoja1!$A$2:$A$3</c:f>
              <c:strCache>
                <c:ptCount val="2"/>
                <c:pt idx="0">
                  <c:v>Vacuna COVID-19</c:v>
                </c:pt>
                <c:pt idx="1">
                  <c:v>Prevención y tratamiento de COVID-19</c:v>
                </c:pt>
              </c:strCache>
            </c:strRef>
          </c:cat>
          <c:val>
            <c:numRef>
              <c:f>Hoja1!$B$2:$B$3</c:f>
              <c:numCache>
                <c:formatCode>#,##0.0</c:formatCode>
                <c:ptCount val="2"/>
                <c:pt idx="0">
                  <c:v>114.3</c:v>
                </c:pt>
                <c:pt idx="1">
                  <c:v>651.83000000000004</c:v>
                </c:pt>
              </c:numCache>
            </c:numRef>
          </c:val>
          <c:extLst>
            <c:ext xmlns:c16="http://schemas.microsoft.com/office/drawing/2014/chart" uri="{C3380CC4-5D6E-409C-BE32-E72D297353CC}">
              <c16:uniqueId val="{00000001-C5F2-4A94-BBB8-A2D38EEE7FBE}"/>
            </c:ext>
          </c:extLst>
        </c:ser>
        <c:ser>
          <c:idx val="1"/>
          <c:order val="1"/>
          <c:tx>
            <c:strRef>
              <c:f>Hoja1!$C$1</c:f>
              <c:strCache>
                <c:ptCount val="1"/>
                <c:pt idx="0">
                  <c:v>Ejecución</c:v>
                </c:pt>
              </c:strCache>
            </c:strRef>
          </c:tx>
          <c:spPr>
            <a:solidFill>
              <a:schemeClr val="accent5">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5">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Hoja1!$A$2:$A$3</c:f>
              <c:strCache>
                <c:ptCount val="2"/>
                <c:pt idx="0">
                  <c:v>Vacuna COVID-19</c:v>
                </c:pt>
                <c:pt idx="1">
                  <c:v>Prevención y tratamiento de COVID-19</c:v>
                </c:pt>
              </c:strCache>
            </c:strRef>
          </c:cat>
          <c:val>
            <c:numRef>
              <c:f>Hoja1!$C$2:$C$3</c:f>
              <c:numCache>
                <c:formatCode>#,##0.0</c:formatCode>
                <c:ptCount val="2"/>
                <c:pt idx="0">
                  <c:v>71.150000000000006</c:v>
                </c:pt>
                <c:pt idx="1">
                  <c:v>291.89999999999998</c:v>
                </c:pt>
              </c:numCache>
            </c:numRef>
          </c:val>
          <c:extLst>
            <c:ext xmlns:c16="http://schemas.microsoft.com/office/drawing/2014/chart" uri="{C3380CC4-5D6E-409C-BE32-E72D297353CC}">
              <c16:uniqueId val="{00000002-C5F2-4A94-BBB8-A2D38EEE7FBE}"/>
            </c:ext>
          </c:extLst>
        </c:ser>
        <c:dLbls>
          <c:showLegendKey val="0"/>
          <c:showVal val="0"/>
          <c:showCatName val="0"/>
          <c:showSerName val="0"/>
          <c:showPercent val="0"/>
          <c:showBubbleSize val="0"/>
        </c:dLbls>
        <c:gapWidth val="238"/>
        <c:overlap val="-7"/>
        <c:axId val="1875877376"/>
        <c:axId val="1875878624"/>
      </c:barChart>
      <c:catAx>
        <c:axId val="187587737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875878624"/>
        <c:crosses val="autoZero"/>
        <c:auto val="1"/>
        <c:lblAlgn val="ctr"/>
        <c:lblOffset val="100"/>
        <c:noMultiLvlLbl val="0"/>
      </c:catAx>
      <c:valAx>
        <c:axId val="1875878624"/>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875877376"/>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10808076061871653"/>
          <c:y val="7.8499435506972567E-2"/>
          <c:w val="0.32021672067213769"/>
          <c:h val="5.9379077615298086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'G-SE'!$AM$110:$AM$117</cx:f>
        <cx:lvl ptCount="8">
          <cx:pt idx="0">EE.UU.</cx:pt>
          <cx:pt idx="1">CA</cx:pt>
          <cx:pt idx="2">MEX</cx:pt>
          <cx:pt idx="3">NLD</cx:pt>
          <cx:pt idx="4">CHN</cx:pt>
          <cx:pt idx="5">ITA</cx:pt>
          <cx:pt idx="6">ESP</cx:pt>
          <cx:pt idx="7">Otros</cx:pt>
        </cx:lvl>
      </cx:strDim>
      <cx:numDim type="size">
        <cx:f>'G-SE'!$AN$110:$AN$117</cx:f>
        <cx:lvl ptCount="8" formatCode="_ * #,##0.0_ ;_ * \-#,##0.0_ ;_ * &quot;-&quot;??_ ;_ @_ ">
          <cx:pt idx="0">31.012130100027008</cx:pt>
          <cx:pt idx="1">35.728379698100824</cx:pt>
          <cx:pt idx="2">4.4010938526142827</cx:pt>
          <cx:pt idx="3">4.0949447813779685</cx:pt>
          <cx:pt idx="4">2.8217549672272546</cx:pt>
          <cx:pt idx="5">1.3139866760785253</cx:pt>
          <cx:pt idx="6">1.9626148458385659</cx:pt>
          <cx:pt idx="7">18.665095078735572</cx:pt>
        </cx:lvl>
      </cx:numDim>
    </cx:data>
  </cx:chartData>
  <cx:chart>
    <cx:plotArea>
      <cx:plotAreaRegion>
        <cx:plotSurface>
          <cx:spPr>
            <a:noFill/>
            <a:ln>
              <a:noFill/>
            </a:ln>
          </cx:spPr>
        </cx:plotSurface>
        <cx:series layoutId="treemap" uniqueId="{B8E0FB56-A853-4273-9EEE-5F02F3E5F105}">
          <cx:dataPt idx="0">
            <cx:spPr>
              <a:solidFill>
                <a:srgbClr val="002060"/>
              </a:solidFill>
            </cx:spPr>
          </cx:dataPt>
          <cx:dataPt idx="1">
            <cx:spPr>
              <a:solidFill>
                <a:srgbClr val="063852"/>
              </a:solidFill>
            </cx:spPr>
          </cx:dataPt>
          <cx:dataPt idx="2">
            <cx:spPr>
              <a:solidFill>
                <a:srgbClr val="5B9BD5"/>
              </a:solidFill>
            </cx:spPr>
          </cx:dataPt>
          <cx:dataPt idx="4">
            <cx:spPr>
              <a:solidFill>
                <a:srgbClr val="3C1048"/>
              </a:solidFill>
            </cx:spPr>
          </cx:dataPt>
          <cx:dataPt idx="5">
            <cx:spPr>
              <a:solidFill>
                <a:srgbClr val="B80D48"/>
              </a:solidFill>
            </cx:spPr>
          </cx:dataPt>
          <cx:dataPt idx="7">
            <cx:spPr>
              <a:solidFill>
                <a:srgbClr val="F0810F"/>
              </a:solidFill>
            </cx:spPr>
          </cx:dataPt>
          <cx:dataLabels pos="inEnd">
            <cx:txPr>
              <a:bodyPr spcFirstLastPara="1" vertOverflow="ellipsis" horzOverflow="overflow" wrap="square" lIns="0" tIns="0" rIns="0" bIns="0" anchor="ctr" anchorCtr="1"/>
              <a:lstStyle/>
              <a:p>
                <a:pPr algn="ctr" rtl="0">
                  <a:defRPr sz="700" b="1">
                    <a:latin typeface="Times New Roman" panose="02020603050405020304" pitchFamily="18" charset="0"/>
                    <a:ea typeface="Times New Roman" panose="02020603050405020304" pitchFamily="18" charset="0"/>
                    <a:cs typeface="Times New Roman" panose="02020603050405020304" pitchFamily="18" charset="0"/>
                  </a:defRPr>
                </a:pPr>
                <a:endParaRPr lang="es-ES" sz="700" b="1" i="0" u="none" strike="noStrike" baseline="0">
                  <a:solidFill>
                    <a:sysClr val="window" lastClr="FFFFFF"/>
                  </a:solidFill>
                  <a:latin typeface="Times New Roman" panose="02020603050405020304" pitchFamily="18" charset="0"/>
                  <a:cs typeface="Times New Roman" panose="02020603050405020304" pitchFamily="18" charset="0"/>
                </a:endParaRPr>
              </a:p>
            </cx:txPr>
            <cx:visibility seriesName="0" categoryName="1" value="1"/>
            <cx:separator> </cx:separator>
            <cx:dataLabel idx="6">
              <cx:txPr>
                <a:bodyPr spcFirstLastPara="1" vertOverflow="ellipsis" horzOverflow="overflow" wrap="square" lIns="0" tIns="0" rIns="0" bIns="0" anchor="ctr" anchorCtr="1"/>
                <a:lstStyle/>
                <a:p>
                  <a:pPr algn="ctr" rtl="0">
                    <a:defRPr sz="600"/>
                  </a:pPr>
                  <a:r>
                    <a:rPr lang="es-ES" sz="600" b="1" i="0" u="none" strike="noStrike" baseline="0">
                      <a:solidFill>
                        <a:sysClr val="window" lastClr="FFFFFF"/>
                      </a:solidFill>
                      <a:latin typeface="Calibri" panose="020F0502020204030204"/>
                    </a:rPr>
                    <a:t>ESP,  2.0 </a:t>
                  </a:r>
                </a:p>
              </cx:txPr>
              <cx:visibility seriesName="0" categoryName="1" value="1"/>
              <cx:separator>, </cx:separator>
            </cx:dataLabel>
          </cx:dataLabels>
          <cx:dataId val="0"/>
          <cx:layoutPr>
            <cx:parentLabelLayout val="banner"/>
          </cx:layoutPr>
        </cx:series>
      </cx:plotAreaRegion>
    </cx:plotArea>
  </cx:chart>
  <cx:spPr>
    <a:solidFill>
      <a:schemeClr val="bg1"/>
    </a:solidFill>
    <a:ln>
      <a:noFill/>
    </a:ln>
  </cx:spPr>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'G-SE'!$AJ$110:$AJ$117</cx:f>
        <cx:lvl ptCount="8">
          <cx:pt idx="0">EE.UU.</cx:pt>
          <cx:pt idx="1">CA</cx:pt>
          <cx:pt idx="2">CHN</cx:pt>
          <cx:pt idx="3">MEX</cx:pt>
          <cx:pt idx="4">COL</cx:pt>
          <cx:pt idx="5">IND</cx:pt>
          <cx:pt idx="6">BRA</cx:pt>
          <cx:pt idx="7">Otros</cx:pt>
        </cx:lvl>
      </cx:strDim>
      <cx:numDim type="size">
        <cx:f>'G-SE'!$AK$110:$AK$117</cx:f>
        <cx:lvl ptCount="8" formatCode="_ * #,##0.0_ ;_ * \-#,##0.0_ ;_ * &quot;-&quot;??_ ;_ @_ ">
          <cx:pt idx="0">34.969275283246546</cx:pt>
          <cx:pt idx="1">13.973805037538261</cx:pt>
          <cx:pt idx="2">13.596503207958941</cx:pt>
          <cx:pt idx="3">10.633775321593507</cx:pt>
          <cx:pt idx="4">2.0389816465688919</cx:pt>
          <cx:pt idx="5">1.8956629654589041</cx:pt>
          <cx:pt idx="6">2.1981380480106871</cx:pt>
          <cx:pt idx="7">20.693858489624258</cx:pt>
        </cx:lvl>
      </cx:numDim>
    </cx:data>
  </cx:chartData>
  <cx:chart>
    <cx:plotArea>
      <cx:plotAreaRegion>
        <cx:plotSurface>
          <cx:spPr>
            <a:noFill/>
            <a:ln>
              <a:noFill/>
            </a:ln>
          </cx:spPr>
        </cx:plotSurface>
        <cx:series layoutId="treemap" uniqueId="{B8E0FB56-A853-4273-9EEE-5F02F3E5F105}">
          <cx:dataPt idx="0">
            <cx:spPr>
              <a:solidFill>
                <a:srgbClr val="002060"/>
              </a:solidFill>
            </cx:spPr>
          </cx:dataPt>
          <cx:dataPt idx="1">
            <cx:spPr>
              <a:solidFill>
                <a:srgbClr val="063852"/>
              </a:solidFill>
            </cx:spPr>
          </cx:dataPt>
          <cx:dataPt idx="2">
            <cx:spPr>
              <a:solidFill>
                <a:srgbClr val="5B9BD5"/>
              </a:solidFill>
            </cx:spPr>
          </cx:dataPt>
          <cx:dataPt idx="4">
            <cx:spPr>
              <a:solidFill>
                <a:srgbClr val="3C1048"/>
              </a:solidFill>
            </cx:spPr>
          </cx:dataPt>
          <cx:dataPt idx="5">
            <cx:spPr>
              <a:solidFill>
                <a:srgbClr val="B80D48"/>
              </a:solidFill>
            </cx:spPr>
          </cx:dataPt>
          <cx:dataPt idx="7">
            <cx:spPr>
              <a:solidFill>
                <a:srgbClr val="F0810F"/>
              </a:solidFill>
            </cx:spPr>
          </cx:dataPt>
          <cx:dataLabels pos="inEnd">
            <cx:txPr>
              <a:bodyPr spcFirstLastPara="1" vertOverflow="ellipsis" horzOverflow="overflow" wrap="square" lIns="0" tIns="0" rIns="0" bIns="0" anchor="ctr" anchorCtr="1"/>
              <a:lstStyle/>
              <a:p>
                <a:pPr algn="ctr" rtl="0">
                  <a:defRPr sz="700" b="1">
                    <a:latin typeface="Times New Roman" panose="02020603050405020304" pitchFamily="18" charset="0"/>
                    <a:ea typeface="Times New Roman" panose="02020603050405020304" pitchFamily="18" charset="0"/>
                    <a:cs typeface="Times New Roman" panose="02020603050405020304" pitchFamily="18" charset="0"/>
                  </a:defRPr>
                </a:pPr>
                <a:endParaRPr lang="es-ES" sz="700" b="1" i="0" u="none" strike="noStrike" baseline="0">
                  <a:solidFill>
                    <a:sysClr val="window" lastClr="FFFFFF"/>
                  </a:solidFill>
                  <a:latin typeface="Times New Roman" panose="02020603050405020304" pitchFamily="18" charset="0"/>
                  <a:cs typeface="Times New Roman" panose="02020603050405020304" pitchFamily="18" charset="0"/>
                </a:endParaRPr>
              </a:p>
            </cx:txPr>
            <cx:visibility seriesName="0" categoryName="1" value="1"/>
            <cx:separator> </cx:separator>
            <cx:dataLabel idx="5">
              <cx:txPr>
                <a:bodyPr spcFirstLastPara="1" vertOverflow="ellipsis" horzOverflow="overflow" wrap="square" lIns="0" tIns="0" rIns="0" bIns="0" anchor="ctr" anchorCtr="1"/>
                <a:lstStyle/>
                <a:p>
                  <a:pPr algn="ctr" rtl="0">
                    <a:defRPr sz="600"/>
                  </a:pPr>
                  <a:r>
                    <a:rPr lang="es-ES" sz="600" b="1" i="0" u="none" strike="noStrike" baseline="0">
                      <a:solidFill>
                        <a:sysClr val="window" lastClr="FFFFFF"/>
                      </a:solidFill>
                      <a:latin typeface="Calibri" panose="020F0502020204030204"/>
                    </a:rPr>
                    <a:t>IND  1.9 </a:t>
                  </a:r>
                </a:p>
              </cx:txPr>
              <cx:visibility seriesName="0" categoryName="1" value="1"/>
              <cx:separator> </cx:separator>
            </cx:dataLabel>
            <cx:dataLabel idx="6">
              <cx:txPr>
                <a:bodyPr spcFirstLastPara="1" vertOverflow="ellipsis" horzOverflow="overflow" wrap="square" lIns="0" tIns="0" rIns="0" bIns="0" anchor="ctr" anchorCtr="1"/>
                <a:lstStyle/>
                <a:p>
                  <a:pPr algn="ctr" rtl="0">
                    <a:defRPr sz="500"/>
                  </a:pPr>
                  <a:r>
                    <a:rPr lang="es-ES" sz="500" b="1" i="0" u="none" strike="noStrike" baseline="0">
                      <a:solidFill>
                        <a:sysClr val="window" lastClr="FFFFFF"/>
                      </a:solidFill>
                      <a:latin typeface="Calibri" panose="020F0502020204030204"/>
                    </a:rPr>
                    <a:t>BRA,  2.2 </a:t>
                  </a:r>
                </a:p>
              </cx:txPr>
              <cx:visibility seriesName="0" categoryName="1" value="1"/>
              <cx:separator>, </cx:separator>
            </cx:dataLabel>
          </cx:dataLabels>
          <cx:dataId val="0"/>
          <cx:layoutPr>
            <cx:parentLabelLayout val="banner"/>
          </cx:layoutPr>
        </cx:series>
      </cx:plotAreaRegion>
    </cx:plotArea>
  </cx:chart>
  <cx:spPr>
    <a:solidFill>
      <a:schemeClr val="bg1"/>
    </a:solidFill>
    <a:ln>
      <a:noFill/>
    </a:ln>
  </cx:spPr>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 dir="row">Ingreso!$C$30:$N$30</cx:f>
        <cx:lvl ptCount="12" formatCode="_-* #,##0.00_-;\-* #,##0.00_-;_-* &quot;-&quot;??_-;_-@_-">
          <cx:pt idx="1">-0.20258061390876847</cx:pt>
          <cx:pt idx="2">-0.97029663340489769</cx:pt>
          <cx:pt idx="3">-0.6727060655530952</cx:pt>
          <cx:pt idx="4">-1.0441446880886573</cx:pt>
          <cx:pt idx="5">-0.088912767130056025</cx:pt>
          <cx:pt idx="6">-0.24894767127620554</cx:pt>
          <cx:pt idx="7">-0.75753496145674859</cx:pt>
          <cx:pt idx="8">-0.24144945244051996</cx:pt>
          <cx:pt idx="9">-1.1214342822143042</cx:pt>
          <cx:pt idx="10">2.4930513974843542</cx:pt>
          <cx:pt idx="11">1.6660636294832027</cx:pt>
        </cx:lvl>
      </cx:numDim>
    </cx:data>
    <cx:data id="1">
      <cx:numDim type="val">
        <cx:f dir="row">Ingreso!$D$31:$N$31</cx:f>
        <cx:lvl ptCount="11" formatCode="_-* #,##0.00_-;\-* #,##0.00_-;_-* &quot;-&quot;??_-;_-@_-">
          <cx:pt idx="0">0.58958977127921841</cx:pt>
          <cx:pt idx="1">0.10402619746536779</cx:pt>
          <cx:pt idx="2">-1.0049914493849545</cx:pt>
          <cx:pt idx="3">-1.0692485265304708</cx:pt>
          <cx:pt idx="4">0.20026951805607318</cx:pt>
          <cx:pt idx="5">0.0015144379858291757</cx:pt>
          <cx:pt idx="6">-0.74786809824866651</cx:pt>
          <cx:pt idx="7">-1.1555161087812245</cx:pt>
          <cx:pt idx="8">-1.9078837679076024</cx:pt>
          <cx:pt idx="9">0.71463029274057099</cx:pt>
          <cx:pt idx="10">3.0226154444997295</cx:pt>
        </cx:lvl>
      </cx:numDim>
    </cx:data>
    <cx:data id="2">
      <cx:numDim type="val">
        <cx:f dir="row">Ingreso!$E$32:$N$32</cx:f>
        <cx:lvl ptCount="10" formatCode="_-* #,##0.00_-;\-* #,##0.00_-;_-* &quot;-&quot;??_-;_-@_-">
          <cx:pt idx="0">0.75470083267356181</cx:pt>
          <cx:pt idx="1">0.16965437229460889</cx:pt>
          <cx:pt idx="2">-1.428685075266408</cx:pt>
          <cx:pt idx="3">-0.87247584406030221</cx:pt>
          <cx:pt idx="4">0.1193855226359215</cx:pt>
          <cx:pt idx="5">-0.18265620820209882</cx:pt>
          <cx:pt idx="6">-0.90366922037571129</cx:pt>
          <cx:pt idx="7">-2.6798187495953307</cx:pt>
          <cx:pt idx="8">-0.1401134531642434</cx:pt>
          <cx:pt idx="9">1.1444289259270732</cx:pt>
        </cx:lvl>
      </cx:numDim>
    </cx:data>
  </cx:chartData>
  <cx:chart>
    <cx:plotArea>
      <cx:plotAreaRegion>
        <cx:series layoutId="boxWhisker" uniqueId="{F7326F1D-1E12-47CF-9CDB-B581A12CE881}" formatIdx="0">
          <cx:tx>
            <cx:txData>
              <cx:f>Ingreso!$B$30</cx:f>
              <cx:v>Año presupuestario</cx:v>
            </cx:txData>
          </cx:tx>
          <cx:dataId val="0"/>
          <cx:layoutPr>
            <cx:visibility meanLine="0" meanMarker="1" nonoutliers="0" outliers="1"/>
            <cx:statistics quartileMethod="exclusive"/>
          </cx:layoutPr>
        </cx:series>
        <cx:series layoutId="boxWhisker" uniqueId="{2CC80B29-BEDF-4D60-84C8-809717B2BBC0}" formatIdx="1">
          <cx:tx>
            <cx:txData>
              <cx:f>Ingreso!$B$31</cx:f>
              <cx:v>Año presupuestario+1</cx:v>
            </cx:txData>
          </cx:tx>
          <cx:dataId val="1"/>
          <cx:layoutPr>
            <cx:visibility meanLine="0" meanMarker="1" nonoutliers="0" outliers="1"/>
            <cx:statistics quartileMethod="exclusive"/>
          </cx:layoutPr>
        </cx:series>
        <cx:series layoutId="boxWhisker" uniqueId="{B2A2E548-75C3-4175-9333-AE25EDAE0008}" formatIdx="2">
          <cx:tx>
            <cx:txData>
              <cx:f>Ingreso!$B$32</cx:f>
              <cx:v>Año presupuestario+2</cx:v>
            </cx:txData>
          </cx:tx>
          <cx:dataId val="2"/>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rgbClr val="595959"/>
                </a:solidFill>
                <a:latin typeface="Times New Roman" panose="02020603050405020304" pitchFamily="18" charset="0"/>
                <a:ea typeface="Times New Roman" panose="02020603050405020304" pitchFamily="18" charset="0"/>
                <a:cs typeface="Times New Roman" panose="02020603050405020304" pitchFamily="18" charset="0"/>
              </a:defRPr>
            </a:pPr>
            <a:endParaRPr lang="es-GT">
              <a:latin typeface="Times New Roman" panose="02020603050405020304" pitchFamily="18" charset="0"/>
              <a:cs typeface="Times New Roman" panose="02020603050405020304" pitchFamily="18" charset="0"/>
            </a:endParaRPr>
          </a:p>
        </cx:txPr>
      </cx:axis>
      <cx:axis id="1">
        <cx:valScaling/>
        <cx:tickLabels/>
        <cx:txPr>
          <a:bodyPr vertOverflow="overflow" horzOverflow="overflow" wrap="square" lIns="0" tIns="0" rIns="0" bIns="0"/>
          <a:lstStyle/>
          <a:p>
            <a:pPr algn="ctr" rtl="0">
              <a:defRPr sz="900" b="0" i="0">
                <a:solidFill>
                  <a:srgbClr val="595959"/>
                </a:solidFill>
                <a:latin typeface="Times New Roman" panose="02020603050405020304" pitchFamily="18" charset="0"/>
                <a:ea typeface="Times New Roman" panose="02020603050405020304" pitchFamily="18" charset="0"/>
                <a:cs typeface="Times New Roman" panose="02020603050405020304" pitchFamily="18" charset="0"/>
              </a:defRPr>
            </a:pPr>
            <a:endParaRPr lang="es-GT">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900" b="0" i="0">
              <a:solidFill>
                <a:srgbClr val="595959"/>
              </a:solidFill>
              <a:latin typeface="Times New Roman" panose="02020603050405020304" pitchFamily="18" charset="0"/>
              <a:ea typeface="Times New Roman" panose="02020603050405020304" pitchFamily="18" charset="0"/>
              <a:cs typeface="Times New Roman" panose="02020603050405020304" pitchFamily="18" charset="0"/>
            </a:defRPr>
          </a:pPr>
          <a:endParaRPr lang="es-GT">
            <a:latin typeface="Times New Roman" panose="02020603050405020304" pitchFamily="18" charset="0"/>
            <a:cs typeface="Times New Roman" panose="02020603050405020304" pitchFamily="18" charset="0"/>
          </a:endParaRPr>
        </a:p>
      </cx:txPr>
    </cx:legend>
  </cx:chart>
  <cx:spPr>
    <a:ln>
      <a:noFill/>
    </a:ln>
  </cx:spPr>
  <cx:clrMapOvr bg1="lt1" tx1="dk1" bg2="lt2" tx2="dk2" accent1="accent1" accent2="accent2" accent3="accent3" accent4="accent4" accent5="accent5" accent6="accent6" hlink="hlink" folHlink="folHlink"/>
</cx:chartSpace>
</file>

<file path=word/charts/chartEx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Gasto!$C$30:$N$30</cx:f>
        <cx:lvl ptCount="12" formatCode="_-* #,##0.00_-;\-* #,##0.00_-;_-* &quot;-&quot;??_-;_-@_-">
          <cx:pt idx="1">-0.50636225120144651</cx:pt>
          <cx:pt idx="2">-1.5184924808425517</cx:pt>
          <cx:pt idx="3">-1.3508801301991191</cx:pt>
          <cx:pt idx="4">-1.7663297418835988</cx:pt>
          <cx:pt idx="5">-0.64660526326530388</cx:pt>
          <cx:pt idx="6">-0.97984665600095511</cx:pt>
          <cx:pt idx="7">-1.9414623154013633</cx:pt>
          <cx:pt idx="8">-0.65903091544719139</cx:pt>
          <cx:pt idx="9">0.99292222203941272</cx:pt>
          <cx:pt idx="10">-0.83262877558733805</cx:pt>
          <cx:pt idx="11">0.57625161950299564</cx:pt>
        </cx:lvl>
      </cx:numDim>
    </cx:data>
    <cx:data id="1">
      <cx:numDim type="val">
        <cx:f>Gasto!$D$31:$N$31</cx:f>
        <cx:lvl ptCount="11" formatCode="_-* #,##0.00_-;\-* #,##0.00_-;_-* &quot;-&quot;??_-;_-@_-">
          <cx:pt idx="0">0.74581846842323785</cx:pt>
          <cx:pt idx="1">-0.16959086193348405</cx:pt>
          <cx:pt idx="2">-1.0675970042628098</cx:pt>
          <cx:pt idx="3">-1.4894732675533291</cx:pt>
          <cx:pt idx="4">-1.1341932493850884</cx:pt>
          <cx:pt idx="5">-0.25941958043742019</cx:pt>
          <cx:pt idx="6">-0.92072861680690465</cx:pt>
          <cx:pt idx="7">-1.3656130438976923</cx:pt>
          <cx:pt idx="8">0.1901918288679969</cx:pt>
          <cx:pt idx="9">-0.36408153946011446</cx:pt>
          <cx:pt idx="10">1.628718034123656</cx:pt>
        </cx:lvl>
      </cx:numDim>
    </cx:data>
    <cx:data id="2">
      <cx:numDim type="val">
        <cx:f>Gasto!$E$32:$N$32</cx:f>
        <cx:lvl ptCount="10" formatCode="_-* #,##0.00_-;\-* #,##0.00_-;_-* &quot;-&quot;??_-;_-@_-">
          <cx:pt idx="0">0.65063911689003007</cx:pt>
          <cx:pt idx="1">-0.14583144778144153</cx:pt>
          <cx:pt idx="2">-1.8550439759754678</cx:pt>
          <cx:pt idx="3">-1.2870811765603669</cx:pt>
          <cx:pt idx="4">-0.74273661090646215</cx:pt>
          <cx:pt idx="5">0.2378980219707163</cx:pt>
          <cx:pt idx="6">-0.36304053206211684</cx:pt>
          <cx:pt idx="7">-0.28302099575446604</cx:pt>
          <cx:pt idx="8">-1.2495809753553857</cx:pt>
          <cx:pt idx="9">0.79480620856521256</cx:pt>
        </cx:lvl>
      </cx:numDim>
    </cx:data>
  </cx:chartData>
  <cx:chart>
    <cx:plotArea>
      <cx:plotAreaRegion>
        <cx:series layoutId="boxWhisker" uniqueId="{F7326F1D-1E12-47CF-9CDB-B581A12CE881}" formatIdx="0">
          <cx:tx>
            <cx:txData>
              <cx:f>Gasto!$B$30</cx:f>
              <cx:v>Año presupuestario</cx:v>
            </cx:txData>
          </cx:tx>
          <cx:dataId val="0"/>
          <cx:layoutPr>
            <cx:visibility meanLine="0" meanMarker="1" nonoutliers="0" outliers="1"/>
            <cx:statistics quartileMethod="exclusive"/>
          </cx:layoutPr>
        </cx:series>
        <cx:series layoutId="boxWhisker" uniqueId="{2CC80B29-BEDF-4D60-84C8-809717B2BBC0}" formatIdx="1">
          <cx:tx>
            <cx:txData>
              <cx:f>Gasto!$B$31</cx:f>
              <cx:v>Año presupuestario+1</cx:v>
            </cx:txData>
          </cx:tx>
          <cx:dataId val="1"/>
          <cx:layoutPr>
            <cx:visibility meanLine="0" meanMarker="1" nonoutliers="0" outliers="1"/>
            <cx:statistics quartileMethod="exclusive"/>
          </cx:layoutPr>
        </cx:series>
        <cx:series layoutId="boxWhisker" uniqueId="{B2A2E548-75C3-4175-9333-AE25EDAE0008}" formatIdx="2">
          <cx:tx>
            <cx:txData>
              <cx:f>Gasto!$B$32</cx:f>
              <cx:v>Año presupuestario+2</cx:v>
            </cx:txData>
          </cx:tx>
          <cx:dataId val="2"/>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rgbClr val="595959"/>
                </a:solidFill>
                <a:latin typeface="Times New Roman" panose="02020603050405020304" pitchFamily="18" charset="0"/>
                <a:ea typeface="Times New Roman" panose="02020603050405020304" pitchFamily="18" charset="0"/>
                <a:cs typeface="Times New Roman" panose="02020603050405020304" pitchFamily="18" charset="0"/>
              </a:defRPr>
            </a:pPr>
            <a:endParaRPr lang="es-GT">
              <a:latin typeface="Times New Roman" panose="02020603050405020304" pitchFamily="18" charset="0"/>
              <a:cs typeface="Times New Roman" panose="02020603050405020304" pitchFamily="18" charset="0"/>
            </a:endParaRPr>
          </a:p>
        </cx:txPr>
      </cx:axis>
      <cx:axis id="1" hidden="1">
        <cx:valScaling/>
        <cx:tickLabels/>
        <cx:txPr>
          <a:bodyPr vertOverflow="overflow" horzOverflow="overflow" wrap="square" lIns="0" tIns="0" rIns="0" bIns="0"/>
          <a:lstStyle/>
          <a:p>
            <a:pPr algn="ctr" rtl="0">
              <a:defRPr sz="900" b="0" i="0">
                <a:solidFill>
                  <a:srgbClr val="595959"/>
                </a:solidFill>
                <a:latin typeface="Times New Roman" panose="02020603050405020304" pitchFamily="18" charset="0"/>
                <a:ea typeface="Times New Roman" panose="02020603050405020304" pitchFamily="18" charset="0"/>
                <a:cs typeface="Times New Roman" panose="02020603050405020304" pitchFamily="18" charset="0"/>
              </a:defRPr>
            </a:pPr>
            <a:endParaRPr lang="es-GT">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0" i="0">
              <a:solidFill>
                <a:srgbClr val="595959"/>
              </a:solidFill>
              <a:latin typeface="Times New Roman" panose="02020603050405020304" pitchFamily="18" charset="0"/>
              <a:ea typeface="Times New Roman" panose="02020603050405020304" pitchFamily="18" charset="0"/>
              <a:cs typeface="Times New Roman" panose="02020603050405020304" pitchFamily="18" charset="0"/>
            </a:defRPr>
          </a:pPr>
          <a:endParaRPr lang="es-GT" sz="1000">
            <a:latin typeface="Times New Roman" panose="02020603050405020304" pitchFamily="18" charset="0"/>
            <a:cs typeface="Times New Roman" panose="02020603050405020304" pitchFamily="18" charset="0"/>
          </a:endParaRPr>
        </a:p>
      </cx:txPr>
    </cx:legend>
  </cx:chart>
  <cx:spPr>
    <a:ln>
      <a:noFill/>
    </a:ln>
  </cx:spPr>
  <cx:clrMapOvr bg1="lt1" tx1="dk1" bg2="lt2" tx2="dk2" accent1="accent1" accent2="accent2" accent3="accent3" accent4="accent4" accent5="accent5" accent6="accent6" hlink="hlink" folHlink="folHlink"/>
</cx:chartSpace>
</file>

<file path=word/charts/chartEx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Déficit!$C$30:$N$30</cx:f>
        <cx:lvl ptCount="12" formatCode="_-* #,##0.00_-;\-* #,##0.00_-;_-* &quot;-&quot;??_-;_-@_-">
          <cx:pt idx="1">-0.21753499734837956</cx:pt>
          <cx:pt idx="2">-0.3738654979085938</cx:pt>
          <cx:pt idx="3">-0.47352452947059764</cx:pt>
          <cx:pt idx="4">-0.62555966245280903</cx:pt>
          <cx:pt idx="5">-0.55914840614134964</cx:pt>
          <cx:pt idx="6">-0.52528850141860972</cx:pt>
          <cx:pt idx="7">-0.96833348513051876</cx:pt>
          <cx:pt idx="8">-0.32355653540234064</cx:pt>
          <cx:pt idx="9">2.2015195831709553</cx:pt>
          <cx:pt idx="10">-3.3580471518694424</cx:pt>
          <cx:pt idx="11">-0.99748934229669661</cx:pt>
        </cx:lvl>
      </cx:numDim>
    </cx:data>
    <cx:data id="1">
      <cx:numDim type="val">
        <cx:f>Déficit!$D$31:$N$31</cx:f>
        <cx:lvl ptCount="11" formatCode="_-* #,##0.00_-;\-* #,##0.00_-;_-* &quot;-&quot;??_-;_-@_-">
          <cx:pt idx="0">0.24764255543654645</cx:pt>
          <cx:pt idx="1">-0.29293044012054503</cx:pt>
          <cx:pt idx="2">-0.083630195548944686</cx:pt>
          <cx:pt idx="3">-0.43676619293265362</cx:pt>
          <cx:pt idx="4">-1.4384482098474125</cx:pt>
          <cx:pt idx="5">-0.28743804783296345</cx:pt>
          <cx:pt idx="6">-0.024408727786014994</cx:pt>
          <cx:pt idx="7">-0.080901999498291577</cx:pt>
          <cx:pt idx="8">2.1072003034103064</cx:pt>
          <cx:pt idx="9">-1.0856719366584922</cx:pt>
          <cx:pt idx="10">-1.4599344421392466</cx:pt>
        </cx:lvl>
      </cx:numDim>
    </cx:data>
    <cx:data id="2">
      <cx:numDim type="val">
        <cx:f>Déficit!$E$32:$N$32</cx:f>
        <cx:lvl ptCount="10" formatCode="_-* #,##0.00_-;\-* #,##0.00_-;_-* &quot;-&quot;??_-;_-@_-">
          <cx:pt idx="0">-0.043929051649775896</cx:pt>
          <cx:pt idx="1">-0.37909682082516105</cx:pt>
          <cx:pt idx="2">-0.45516867199125577</cx:pt>
          <cx:pt idx="3">-0.49022433734311277</cx:pt>
          <cx:pt idx="4">-0.92921438530099221</cx:pt>
          <cx:pt idx="5">0.33912331629827697</cx:pt>
          <cx:pt idx="6">0.58476910957755712</cx:pt>
          <cx:pt idx="7">2.5648821088213003</cx:pt>
          <cx:pt idx="8">-1.1534786923629063</cx:pt>
          <cx:pt idx="9">-0.38422418727210106</cx:pt>
        </cx:lvl>
      </cx:numDim>
    </cx:data>
  </cx:chartData>
  <cx:chart>
    <cx:plotArea>
      <cx:plotAreaRegion>
        <cx:series layoutId="boxWhisker" uniqueId="{F7326F1D-1E12-47CF-9CDB-B581A12CE881}" formatIdx="0">
          <cx:tx>
            <cx:txData>
              <cx:f>Déficit!$B$30</cx:f>
              <cx:v>Año presupuestario</cx:v>
            </cx:txData>
          </cx:tx>
          <cx:dataId val="0"/>
          <cx:layoutPr>
            <cx:visibility meanLine="0" meanMarker="1" nonoutliers="0" outliers="1"/>
            <cx:statistics quartileMethod="exclusive"/>
          </cx:layoutPr>
        </cx:series>
        <cx:series layoutId="boxWhisker" uniqueId="{2CC80B29-BEDF-4D60-84C8-809717B2BBC0}" formatIdx="1">
          <cx:tx>
            <cx:txData>
              <cx:f>Déficit!$B$31</cx:f>
              <cx:v>Año presupuestario+1</cx:v>
            </cx:txData>
          </cx:tx>
          <cx:dataId val="1"/>
          <cx:layoutPr>
            <cx:visibility meanLine="0" meanMarker="1" nonoutliers="0" outliers="1"/>
            <cx:statistics quartileMethod="exclusive"/>
          </cx:layoutPr>
        </cx:series>
        <cx:series layoutId="boxWhisker" uniqueId="{B2A2E548-75C3-4175-9333-AE25EDAE0008}" formatIdx="2">
          <cx:tx>
            <cx:txData>
              <cx:f>Déficit!$B$32</cx:f>
              <cx:v>Año presupuestario+2</cx:v>
            </cx:txData>
          </cx:tx>
          <cx:dataId val="2"/>
          <cx:layoutPr>
            <cx:visibility meanLine="0" meanMarker="1" nonoutliers="0" outliers="1"/>
            <cx:statistics quartileMethod="exclusive"/>
          </cx:layoutPr>
        </cx:series>
      </cx:plotAreaRegion>
      <cx:axis id="0" hidden="1">
        <cx:catScaling gapWidth="1"/>
        <cx:tickLabels/>
      </cx:axis>
      <cx:axis id="1" hidden="1">
        <cx:valScaling/>
        <cx:tickLabels/>
      </cx:axis>
    </cx:plotArea>
    <cx:legend pos="t" align="ctr" overlay="0">
      <cx:txPr>
        <a:bodyPr spcFirstLastPara="1" vertOverflow="ellipsis" horzOverflow="overflow" wrap="square" lIns="0" tIns="0" rIns="0" bIns="0" anchor="ctr" anchorCtr="1"/>
        <a:lstStyle/>
        <a:p>
          <a:pPr algn="ctr" rtl="0">
            <a:defRPr>
              <a:latin typeface="Times New Roman" panose="02020603050405020304" pitchFamily="18" charset="0"/>
              <a:ea typeface="Times New Roman" panose="02020603050405020304" pitchFamily="18" charset="0"/>
              <a:cs typeface="Times New Roman" panose="02020603050405020304" pitchFamily="18" charset="0"/>
            </a:defRPr>
          </a:pPr>
          <a:endParaRPr lang="es-ES" sz="900" b="0" i="0" u="none" strike="noStrike" baseline="0">
            <a:solidFill>
              <a:sysClr val="windowText" lastClr="000000">
                <a:lumMod val="65000"/>
                <a:lumOff val="35000"/>
              </a:sysClr>
            </a:solidFill>
            <a:latin typeface="Times New Roman" panose="02020603050405020304" pitchFamily="18" charset="0"/>
            <a:cs typeface="Times New Roman" panose="02020603050405020304" pitchFamily="18" charset="0"/>
          </a:endParaRPr>
        </a:p>
      </cx:txPr>
    </cx:legend>
  </cx:chart>
  <cx:spPr>
    <a:ln>
      <a:noFill/>
    </a:ln>
  </cx:spPr>
  <cx:clrMapOvr bg1="lt1" tx1="dk1" bg2="lt2" tx2="dk2" accent1="accent1" accent2="accent2" accent3="accent3" accent4="accent4" accent5="accent5" accent6="accent6" hlink="hlink" folHlink="folHlink"/>
</cx:chartSpace>
</file>

<file path=word/charts/chartEx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Techos!$C$30:$N$30</cx:f>
        <cx:lvl ptCount="12" formatCode="_-* #,##0.00_-;\-* #,##0.00_-;_-* &quot;-&quot;??_-;_-@_-">
          <cx:pt idx="1">-3.9884786389166038e-06</cx:pt>
          <cx:pt idx="2">8.9309554702765581e-06</cx:pt>
          <cx:pt idx="3">-0.79998931504583126</cx:pt>
          <cx:pt idx="4">0</cx:pt>
          <cx:pt idx="5">1.0366498663927359e-06</cx:pt>
          <cx:pt idx="6">-0.5395082939424416</cx:pt>
          <cx:pt idx="7">-1.9829668243418279</cx:pt>
          <cx:pt idx="8">-0.34345726734593818</cx:pt>
          <cx:pt idx="9">-0.69738542290531846</cx:pt>
          <cx:pt idx="10">1.1751564340768237</cx:pt>
          <cx:pt idx="11">0.30389072813944829</cx:pt>
        </cx:lvl>
      </cx:numDim>
    </cx:data>
    <cx:data id="1">
      <cx:numDim type="val">
        <cx:f>Techos!$D$31:$N$31</cx:f>
        <cx:lvl ptCount="11" formatCode="_-* #,##0.00_-;\-* #,##0.00_-;_-* &quot;-&quot;??_-;_-@_-">
          <cx:pt idx="0">1.0613733565943413</cx:pt>
          <cx:pt idx="1">1.310772605719901</cx:pt>
          <cx:pt idx="2">-0.28276064673866586</cx:pt>
          <cx:pt idx="3">0.17686126848672146</cx:pt>
          <cx:pt idx="4">-0.097189868456084128</cx:pt>
          <cx:pt idx="5">0.97462084305316665</cx:pt>
          <cx:pt idx="6">-0.8779155890599899</cx:pt>
          <cx:pt idx="7">-0.65887617598136039</cx:pt>
          <cx:pt idx="8">-1.3272415743387551</cx:pt>
          <cx:pt idx="9">1.7631505365568252</cx:pt>
          <cx:pt idx="10">1.2767901221150684</cx:pt>
        </cx:lvl>
      </cx:numDim>
    </cx:data>
    <cx:data id="2">
      <cx:numDim type="val">
        <cx:f>Techos!$E$32:$N$32</cx:f>
        <cx:lvl ptCount="10" formatCode="_-* #,##0.00_-;\-* #,##0.00_-;_-* &quot;-&quot;??_-;_-@_-">
          <cx:pt idx="0">2.1301139800513784</cx:pt>
          <cx:pt idx="1">0.55579943351677485</cx:pt>
          <cx:pt idx="2">-0.26355879254477443</cx:pt>
          <cx:pt idx="3">-0.37826461144542733</cx:pt>
          <cx:pt idx="4">0.59441727029687641</cx:pt>
          <cx:pt idx="5">0.36901864035836596</cx:pt>
          <cx:pt idx="6">0.27022485908426752</cx:pt>
          <cx:pt idx="7">-2.071630660364935</cx:pt>
          <cx:pt idx="8">0.8954554448914962</cx:pt>
          <cx:pt idx="9">0.41695822221980983</cx:pt>
        </cx:lvl>
      </cx:numDim>
    </cx:data>
  </cx:chartData>
  <cx:chart>
    <cx:plotArea>
      <cx:plotAreaRegion>
        <cx:series layoutId="boxWhisker" uniqueId="{F7326F1D-1E12-47CF-9CDB-B581A12CE881}" formatIdx="0">
          <cx:tx>
            <cx:txData>
              <cx:f>Techos!$B$30</cx:f>
              <cx:v>Año presupuestario</cx:v>
            </cx:txData>
          </cx:tx>
          <cx:dataId val="0"/>
          <cx:layoutPr>
            <cx:visibility meanLine="0" meanMarker="1" nonoutliers="0" outliers="1"/>
            <cx:statistics quartileMethod="exclusive"/>
          </cx:layoutPr>
        </cx:series>
        <cx:series layoutId="boxWhisker" uniqueId="{2CC80B29-BEDF-4D60-84C8-809717B2BBC0}" formatIdx="1">
          <cx:tx>
            <cx:txData>
              <cx:f>Techos!$B$31</cx:f>
              <cx:v>Año presupuestario+1</cx:v>
            </cx:txData>
          </cx:tx>
          <cx:dataId val="1"/>
          <cx:layoutPr>
            <cx:visibility meanLine="0" meanMarker="1" nonoutliers="0" outliers="1"/>
            <cx:statistics quartileMethod="exclusive"/>
          </cx:layoutPr>
        </cx:series>
        <cx:series layoutId="boxWhisker" uniqueId="{B2A2E548-75C3-4175-9333-AE25EDAE0008}" formatIdx="2">
          <cx:tx>
            <cx:txData>
              <cx:f>Techos!$B$32</cx:f>
              <cx:v>Año presupuestario+2</cx:v>
            </cx:txData>
          </cx:tx>
          <cx:dataId val="2"/>
          <cx:layoutPr>
            <cx:visibility meanLine="0" meanMarker="1" nonoutliers="0" outliers="1"/>
            <cx:statistics quartileMethod="exclusive"/>
          </cx:layoutPr>
        </cx:series>
      </cx:plotAreaRegion>
      <cx:axis id="0" hidden="1">
        <cx:catScaling gapWidth="1"/>
        <cx:tickLabels/>
      </cx:axis>
      <cx:axis id="1" hidden="1">
        <cx:valScaling/>
        <cx:tickLabels/>
      </cx:axis>
    </cx:plotArea>
    <cx:legend pos="t" align="ctr" overlay="0">
      <cx:txPr>
        <a:bodyPr spcFirstLastPara="1" vertOverflow="ellipsis" horzOverflow="overflow" wrap="square" lIns="0" tIns="0" rIns="0" bIns="0" anchor="ctr" anchorCtr="1"/>
        <a:lstStyle/>
        <a:p>
          <a:pPr algn="ctr" rtl="0">
            <a:defRPr>
              <a:latin typeface="Times New Roman" panose="02020603050405020304" pitchFamily="18" charset="0"/>
              <a:ea typeface="Times New Roman" panose="02020603050405020304" pitchFamily="18" charset="0"/>
              <a:cs typeface="Times New Roman" panose="02020603050405020304" pitchFamily="18" charset="0"/>
            </a:defRPr>
          </a:pPr>
          <a:endParaRPr lang="es-ES" sz="900" b="0" i="0" u="none" strike="noStrike" baseline="0">
            <a:solidFill>
              <a:sysClr val="windowText" lastClr="000000">
                <a:lumMod val="65000"/>
                <a:lumOff val="35000"/>
              </a:sysClr>
            </a:solidFill>
            <a:latin typeface="Times New Roman" panose="02020603050405020304" pitchFamily="18" charset="0"/>
            <a:cs typeface="Times New Roman" panose="02020603050405020304" pitchFamily="18" charset="0"/>
          </a:endParaRPr>
        </a:p>
      </cx:txPr>
    </cx:legend>
  </cx:chart>
  <cx:spPr>
    <a:ln>
      <a:noFill/>
    </a:ln>
  </cx:spPr>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withinLinear" id="14">
  <a:schemeClr val="accent1"/>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withinLinear" id="14">
  <a:schemeClr val="accent1"/>
</cs:colorStyle>
</file>

<file path=word/charts/colors64.xml><?xml version="1.0" encoding="utf-8"?>
<cs:colorStyle xmlns:cs="http://schemas.microsoft.com/office/drawing/2012/chartStyle" xmlns:a="http://schemas.openxmlformats.org/drawingml/2006/main" meth="withinLinear" id="14">
  <a:schemeClr val="accent1"/>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withinLinear" id="14">
  <a:schemeClr val="accent1"/>
</cs:colorStyle>
</file>

<file path=word/charts/colors68.xml><?xml version="1.0" encoding="utf-8"?>
<cs:colorStyle xmlns:cs="http://schemas.microsoft.com/office/drawing/2012/chartStyle" xmlns:a="http://schemas.openxmlformats.org/drawingml/2006/main" meth="withinLinear" id="14">
  <a:schemeClr val="accent1"/>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withinLinear" id="14">
  <a:schemeClr val="accent1"/>
</cs:colorStyle>
</file>

<file path=word/charts/colors72.xml><?xml version="1.0" encoding="utf-8"?>
<cs:colorStyle xmlns:cs="http://schemas.microsoft.com/office/drawing/2012/chartStyle" xmlns:a="http://schemas.openxmlformats.org/drawingml/2006/main" meth="withinLinear" id="14">
  <a:schemeClr val="accent1"/>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withinLinear" id="14">
  <a:schemeClr val="accent1"/>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417">
  <cs:axisTitle>
    <cs:lnRef idx="0"/>
    <cs:fillRef idx="0"/>
    <cs:effectRef idx="0"/>
    <cs:fontRef idx="minor">
      <a:schemeClr val="dk1">
        <a:lumMod val="65000"/>
        <a:lumOff val="35000"/>
      </a:schemeClr>
    </cs:fontRef>
    <cs:spPr>
      <a:solidFill>
        <a:schemeClr val="bg1">
          <a:lumMod val="65000"/>
        </a:schemeClr>
      </a:solidFill>
      <a:ln>
        <a:solidFill>
          <a:schemeClr val="bg1"/>
        </a:solidFill>
      </a:ln>
    </cs:spPr>
    <cs:defRPr sz="900"/>
  </cs:axisTitle>
  <cs:categoryAxis>
    <cs:lnRef idx="0"/>
    <cs:fillRef idx="0"/>
    <cs:effectRef idx="0"/>
    <cs:fontRef idx="minor">
      <a:schemeClr val="dk1">
        <a:lumMod val="65000"/>
        <a:lumOff val="35000"/>
      </a:schemeClr>
    </cs:fontRef>
    <cs:defRPr sz="9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cs:chartArea>
  <cs:dataLabel>
    <cs:lnRef idx="0"/>
    <cs:fillRef idx="0"/>
    <cs:effectRef idx="0"/>
    <cs:fontRef idx="minor">
      <a:schemeClr val="lt1"/>
    </cs:fontRef>
    <cs:defRPr sz="900" b="1"/>
    <cs:bodyPr lIns="38100" tIns="19050" rIns="38100" bIns="19050">
      <a:spAutoFit/>
    </cs:bodyPr>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ln w="9525">
        <a:solidFill>
          <a:schemeClr val="lt1"/>
        </a:solidFill>
      </a:ln>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solidFill>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lumOff val="10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cs:seriesAxis>
  <cs:seriesLine>
    <cs:lnRef idx="0"/>
    <cs:fillRef idx="0"/>
    <cs:effectRef idx="0"/>
    <cs:fontRef idx="minor">
      <a:schemeClr val="dk1"/>
    </cs:fontRef>
    <cs:spPr>
      <a:ln w="9525" cap="flat">
        <a:solidFill>
          <a:schemeClr val="bg1">
            <a:lumMod val="50000"/>
          </a:schemeClr>
        </a:solidFill>
        <a:round/>
      </a:ln>
    </cs:spPr>
  </cs:seriesLine>
  <cs:title>
    <cs:lnRef idx="0"/>
    <cs:fillRef idx="0"/>
    <cs:effectRef idx="0"/>
    <cs:fontRef idx="minor">
      <a:schemeClr val="dk1">
        <a:lumMod val="65000"/>
        <a:lumOff val="35000"/>
      </a:schemeClr>
    </cs:fontRef>
    <cs:defRPr sz="1800" b="1"/>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defRPr sz="9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69">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alpha val="75000"/>
        </a:schemeClr>
      </a:solidFill>
    </cs:spPr>
  </cs:dataPoint>
  <cs:dataPoint3D>
    <cs:lnRef idx="0"/>
    <cs:fillRef idx="1">
      <cs:styleClr val="auto"/>
    </cs:fillRef>
    <cs:effectRef idx="0"/>
    <cs:fontRef idx="minor">
      <a:schemeClr val="tx1"/>
    </cs:fontRef>
    <cs:spPr>
      <a:solidFill>
        <a:schemeClr val="phClr">
          <a:alpha val="75000"/>
        </a:schemeClr>
      </a:solidFill>
    </cs:spPr>
  </cs:dataPoint3D>
  <cs:dataPointLine>
    <cs:lnRef idx="0">
      <cs:styleClr val="auto"/>
    </cs:lnRef>
    <cs:fillRef idx="1"/>
    <cs:effectRef idx="0"/>
    <cs:fontRef idx="minor">
      <a:schemeClr val="tx1"/>
    </cs:fontRef>
    <cs:spPr>
      <a:ln w="19050" cap="rnd">
        <a:solidFill>
          <a:schemeClr val="phClr">
            <a:alpha val="50000"/>
          </a:scheme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417">
  <cs:axisTitle>
    <cs:lnRef idx="0"/>
    <cs:fillRef idx="0"/>
    <cs:effectRef idx="0"/>
    <cs:fontRef idx="minor">
      <a:schemeClr val="dk1">
        <a:lumMod val="65000"/>
        <a:lumOff val="35000"/>
      </a:schemeClr>
    </cs:fontRef>
    <cs:spPr>
      <a:solidFill>
        <a:schemeClr val="bg1">
          <a:lumMod val="65000"/>
        </a:schemeClr>
      </a:solidFill>
      <a:ln>
        <a:solidFill>
          <a:schemeClr val="bg1"/>
        </a:solidFill>
      </a:ln>
    </cs:spPr>
    <cs:defRPr sz="900"/>
  </cs:axisTitle>
  <cs:categoryAxis>
    <cs:lnRef idx="0"/>
    <cs:fillRef idx="0"/>
    <cs:effectRef idx="0"/>
    <cs:fontRef idx="minor">
      <a:schemeClr val="dk1">
        <a:lumMod val="65000"/>
        <a:lumOff val="35000"/>
      </a:schemeClr>
    </cs:fontRef>
    <cs:defRPr sz="9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cs:chartArea>
  <cs:dataLabel>
    <cs:lnRef idx="0"/>
    <cs:fillRef idx="0"/>
    <cs:effectRef idx="0"/>
    <cs:fontRef idx="minor">
      <a:schemeClr val="lt1"/>
    </cs:fontRef>
    <cs:defRPr sz="900" b="1"/>
    <cs:bodyPr lIns="38100" tIns="19050" rIns="38100" bIns="19050">
      <a:spAutoFit/>
    </cs:bodyPr>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ln w="9525">
        <a:solidFill>
          <a:schemeClr val="lt1"/>
        </a:solidFill>
      </a:ln>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solidFill>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lumOff val="10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cs:seriesAxis>
  <cs:seriesLine>
    <cs:lnRef idx="0"/>
    <cs:fillRef idx="0"/>
    <cs:effectRef idx="0"/>
    <cs:fontRef idx="minor">
      <a:schemeClr val="dk1"/>
    </cs:fontRef>
    <cs:spPr>
      <a:ln w="9525" cap="flat">
        <a:solidFill>
          <a:schemeClr val="bg1">
            <a:lumMod val="50000"/>
          </a:schemeClr>
        </a:solidFill>
        <a:round/>
      </a:ln>
    </cs:spPr>
  </cs:seriesLine>
  <cs:title>
    <cs:lnRef idx="0"/>
    <cs:fillRef idx="0"/>
    <cs:effectRef idx="0"/>
    <cs:fontRef idx="minor">
      <a:schemeClr val="dk1">
        <a:lumMod val="65000"/>
        <a:lumOff val="35000"/>
      </a:schemeClr>
    </cs:fontRef>
    <cs:defRPr sz="1800" b="1"/>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defRPr sz="9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69">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alpha val="75000"/>
        </a:schemeClr>
      </a:solidFill>
    </cs:spPr>
  </cs:dataPoint>
  <cs:dataPoint3D>
    <cs:lnRef idx="0"/>
    <cs:fillRef idx="1">
      <cs:styleClr val="auto"/>
    </cs:fillRef>
    <cs:effectRef idx="0"/>
    <cs:fontRef idx="minor">
      <a:schemeClr val="tx1"/>
    </cs:fontRef>
    <cs:spPr>
      <a:solidFill>
        <a:schemeClr val="phClr">
          <a:alpha val="75000"/>
        </a:schemeClr>
      </a:solidFill>
    </cs:spPr>
  </cs:dataPoint3D>
  <cs:dataPointLine>
    <cs:lnRef idx="0">
      <cs:styleClr val="auto"/>
    </cs:lnRef>
    <cs:fillRef idx="1"/>
    <cs:effectRef idx="0"/>
    <cs:fontRef idx="minor">
      <a:schemeClr val="tx1"/>
    </cs:fontRef>
    <cs:spPr>
      <a:ln w="19050" cap="rnd">
        <a:solidFill>
          <a:schemeClr val="phClr">
            <a:alpha val="50000"/>
          </a:scheme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5.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79.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3.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84.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85.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97.xml><?xml version="1.0" encoding="utf-8"?>
<cs:chartStyle xmlns:cs="http://schemas.microsoft.com/office/drawing/2012/chartStyle" xmlns:a="http://schemas.openxmlformats.org/drawingml/2006/main" id="237">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38100" cap="flat" cmpd="dbl" algn="ctr">
        <a:solidFill>
          <a:schemeClr val="phClr"/>
        </a:solidFill>
        <a:miter lim="800000"/>
      </a:ln>
    </cs:spPr>
  </cs:dataPointLine>
  <cs:dataPointMarker>
    <cs:lnRef idx="0">
      <cs:styleClr val="auto"/>
    </cs:lnRef>
    <cs:fillRef idx="0">
      <cs:styleClr val="auto"/>
    </cs:fillRef>
    <cs:effectRef idx="0"/>
    <cs:fontRef idx="minor">
      <a:schemeClr val="tx1"/>
    </cs:fontRef>
    <cs:spPr>
      <a:solidFill>
        <a:schemeClr val="phClr"/>
      </a:solidFill>
      <a:ln w="9525" cap="flat" cmpd="sng" algn="ctr">
        <a:solidFill>
          <a:schemeClr val="lt1"/>
        </a:solidFill>
        <a:round/>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ln>
    </cs:spPr>
  </cs:dropLine>
  <cs:errorBar>
    <cs:lnRef idx="0"/>
    <cs:fillRef idx="0"/>
    <cs:effectRef idx="0"/>
    <cs:fontRef idx="minor">
      <a:schemeClr val="tx1"/>
    </cs:fontRef>
    <cs:spPr>
      <a:ln w="9525">
        <a:solidFill>
          <a:schemeClr val="tx1">
            <a:lumMod val="65000"/>
            <a:lumOff val="35000"/>
          </a:schemeClr>
        </a:solidFill>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alpha val="32000"/>
          </a:schemeClr>
        </a:solidFill>
        <a:round/>
      </a:ln>
    </cs:spPr>
  </cs:gridlineMajor>
  <cs:gridlineMinor>
    <cs:lnRef idx="0"/>
    <cs:fillRef idx="0"/>
    <cs:effectRef idx="0"/>
    <cs:fontRef idx="minor">
      <a:schemeClr val="tx1"/>
    </cs:fontRef>
    <cs:spPr>
      <a:ln>
        <a:solidFill>
          <a:schemeClr val="tx1">
            <a:lumMod val="5000"/>
            <a:lumOff val="95000"/>
            <a:alpha val="32000"/>
          </a:schemeClr>
        </a:solidFill>
      </a:ln>
    </cs:spPr>
  </cs:gridlineMinor>
  <cs:hiLoLine>
    <cs:lnRef idx="0"/>
    <cs:fillRef idx="0"/>
    <cs:effectRef idx="0"/>
    <cs:fontRef idx="minor">
      <a:schemeClr val="tx1"/>
    </cs:fontRef>
    <cs:spPr>
      <a:ln w="9525">
        <a:solidFill>
          <a:schemeClr val="tx1"/>
        </a:solidFill>
      </a:ln>
    </cs:spPr>
  </cs:hiLoLine>
  <cs:leaderLine>
    <cs:lnRef idx="0"/>
    <cs:fillRef idx="0"/>
    <cs:effectRef idx="0"/>
    <cs:fontRef idx="minor">
      <a:schemeClr val="tx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cs:fontRef>
    <cs:spPr>
      <a:ln w="3175" cap="flat" cmpd="sng" algn="ctr">
        <a:solidFill>
          <a:schemeClr val="tx1">
            <a:lumMod val="15000"/>
            <a:lumOff val="85000"/>
          </a:schemeClr>
        </a:solidFill>
        <a:round/>
        <a:tailEnd type="none" w="med" len="lg"/>
      </a:ln>
    </cs:spPr>
    <cs:defRPr sz="900" kern="1200"/>
  </cs:seriesAxis>
  <cs:seriesLine>
    <cs:lnRef idx="0"/>
    <cs:fillRef idx="0"/>
    <cs:effectRef idx="0"/>
    <cs:fontRef idx="minor">
      <a:schemeClr val="tx1"/>
    </cs:fontRef>
    <cs:spPr>
      <a:ln w="9525">
        <a:solidFill>
          <a:schemeClr val="tx1">
            <a:lumMod val="35000"/>
            <a:lumOff val="65000"/>
          </a:schemeClr>
        </a:solidFill>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tx1"/>
    </cs:fontRef>
    <cs:spPr>
      <a:ln w="12700" cap="rnd"/>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valueAxis>
  <cs:wall>
    <cs:lnRef idx="0"/>
    <cs:fillRef idx="0"/>
    <cs:effectRef idx="0"/>
    <cs:fontRef idx="minor">
      <a:schemeClr val="tx1"/>
    </cs:fontRef>
  </cs:wall>
</cs:chartStyl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CC4BBAA-5428-4500-94E3-1B2FEF3A27BE}" type="doc">
      <dgm:prSet loTypeId="urn:microsoft.com/office/officeart/2005/8/layout/StepDownProcess" loCatId="process" qsTypeId="urn:microsoft.com/office/officeart/2005/8/quickstyle/simple1" qsCatId="simple" csTypeId="urn:microsoft.com/office/officeart/2005/8/colors/colorful2" csCatId="colorful" phldr="1"/>
      <dgm:spPr/>
      <dgm:t>
        <a:bodyPr/>
        <a:lstStyle/>
        <a:p>
          <a:endParaRPr lang="es-GT"/>
        </a:p>
      </dgm:t>
    </dgm:pt>
    <dgm:pt modelId="{11930497-E386-4339-AD62-B7BBA7DFF6FD}">
      <dgm:prSet phldrT="[Texto]" custT="1"/>
      <dgm:spPr>
        <a:ln w="3175">
          <a:solidFill>
            <a:schemeClr val="tx1"/>
          </a:solidFill>
        </a:ln>
      </dgm:spPr>
      <dgm:t>
        <a:bodyPr/>
        <a:lstStyle/>
        <a:p>
          <a:r>
            <a:rPr lang="es-GT" sz="800" b="1">
              <a:solidFill>
                <a:sysClr val="windowText" lastClr="000000"/>
              </a:solidFill>
              <a:latin typeface="Times New Roman" panose="02020603050405020304" pitchFamily="18" charset="0"/>
              <a:cs typeface="Times New Roman" panose="02020603050405020304" pitchFamily="18" charset="0"/>
            </a:rPr>
            <a:t>Ampliacion en el Ministerio de Energía y Minas por Q2,805 millones</a:t>
          </a:r>
        </a:p>
      </dgm:t>
    </dgm:pt>
    <dgm:pt modelId="{59AADF93-72CE-46ED-AE98-4B1957D5563C}" type="parTrans" cxnId="{F7900BDD-CD91-4C7E-A81F-8BADAEFBE8CD}">
      <dgm:prSet/>
      <dgm:spPr/>
      <dgm:t>
        <a:bodyPr/>
        <a:lstStyle/>
        <a:p>
          <a:endParaRPr lang="es-GT">
            <a:latin typeface="Times New Roman" panose="02020603050405020304" pitchFamily="18" charset="0"/>
            <a:cs typeface="Times New Roman" panose="02020603050405020304" pitchFamily="18" charset="0"/>
          </a:endParaRPr>
        </a:p>
      </dgm:t>
    </dgm:pt>
    <dgm:pt modelId="{2A547091-FA1D-4099-88E6-A2B97A55CE9E}" type="sibTrans" cxnId="{F7900BDD-CD91-4C7E-A81F-8BADAEFBE8CD}">
      <dgm:prSet/>
      <dgm:spPr/>
      <dgm:t>
        <a:bodyPr/>
        <a:lstStyle/>
        <a:p>
          <a:endParaRPr lang="es-GT">
            <a:latin typeface="Times New Roman" panose="02020603050405020304" pitchFamily="18" charset="0"/>
            <a:cs typeface="Times New Roman" panose="02020603050405020304" pitchFamily="18" charset="0"/>
          </a:endParaRPr>
        </a:p>
      </dgm:t>
    </dgm:pt>
    <dgm:pt modelId="{F5D9C8DF-75DF-4D5F-9870-F2392D052D8D}">
      <dgm:prSet custT="1"/>
      <dgm:spPr>
        <a:ln w="3175">
          <a:solidFill>
            <a:schemeClr val="tx1"/>
          </a:solidFill>
        </a:ln>
      </dgm:spPr>
      <dgm:t>
        <a:bodyPr/>
        <a:lstStyle/>
        <a:p>
          <a:r>
            <a:rPr lang="es-GT" sz="700" b="1">
              <a:latin typeface="Times New Roman" panose="02020603050405020304" pitchFamily="18" charset="0"/>
              <a:cs typeface="Times New Roman" panose="02020603050405020304" pitchFamily="18" charset="0"/>
            </a:rPr>
            <a:t>Ampliacion en el Ministerio de Agricultura, Ganadería y Alimentacion por Q78.7 millones</a:t>
          </a:r>
        </a:p>
      </dgm:t>
    </dgm:pt>
    <dgm:pt modelId="{7066B5F8-7A09-4CF3-8421-FB195D03BE56}" type="parTrans" cxnId="{F313F03F-03BA-4D12-AE9D-5544E376F996}">
      <dgm:prSet/>
      <dgm:spPr/>
      <dgm:t>
        <a:bodyPr/>
        <a:lstStyle/>
        <a:p>
          <a:endParaRPr lang="es-GT">
            <a:latin typeface="Times New Roman" panose="02020603050405020304" pitchFamily="18" charset="0"/>
            <a:cs typeface="Times New Roman" panose="02020603050405020304" pitchFamily="18" charset="0"/>
          </a:endParaRPr>
        </a:p>
      </dgm:t>
    </dgm:pt>
    <dgm:pt modelId="{562B8A9F-B678-433D-BC9F-0EEF0A07BC5B}" type="sibTrans" cxnId="{F313F03F-03BA-4D12-AE9D-5544E376F996}">
      <dgm:prSet/>
      <dgm:spPr/>
      <dgm:t>
        <a:bodyPr/>
        <a:lstStyle/>
        <a:p>
          <a:endParaRPr lang="es-GT">
            <a:latin typeface="Times New Roman" panose="02020603050405020304" pitchFamily="18" charset="0"/>
            <a:cs typeface="Times New Roman" panose="02020603050405020304" pitchFamily="18" charset="0"/>
          </a:endParaRPr>
        </a:p>
      </dgm:t>
    </dgm:pt>
    <dgm:pt modelId="{81BDEFFA-B7B9-4A20-9562-6509DE76EEC7}">
      <dgm:prSet custT="1"/>
      <dgm:spPr>
        <a:ln w="3175">
          <a:solidFill>
            <a:schemeClr val="tx1"/>
          </a:solidFill>
        </a:ln>
      </dgm:spPr>
      <dgm:t>
        <a:bodyPr/>
        <a:lstStyle/>
        <a:p>
          <a:r>
            <a:rPr lang="es-GT" sz="800" b="1">
              <a:solidFill>
                <a:schemeClr val="bg1"/>
              </a:solidFill>
              <a:latin typeface="Times New Roman" panose="02020603050405020304" pitchFamily="18" charset="0"/>
              <a:cs typeface="Times New Roman" panose="02020603050405020304" pitchFamily="18" charset="0"/>
            </a:rPr>
            <a:t>Ampliación en el Ministerio de Comunicaciones, Infraestructura y Vivienda por Q3,203.6 millones</a:t>
          </a:r>
        </a:p>
      </dgm:t>
    </dgm:pt>
    <dgm:pt modelId="{179655E2-4139-4481-9164-98A87E88A50C}" type="parTrans" cxnId="{1932B3EF-E6F6-4B41-8D67-7519A092812C}">
      <dgm:prSet/>
      <dgm:spPr/>
      <dgm:t>
        <a:bodyPr/>
        <a:lstStyle/>
        <a:p>
          <a:endParaRPr lang="es-GT">
            <a:latin typeface="Times New Roman" panose="02020603050405020304" pitchFamily="18" charset="0"/>
            <a:cs typeface="Times New Roman" panose="02020603050405020304" pitchFamily="18" charset="0"/>
          </a:endParaRPr>
        </a:p>
      </dgm:t>
    </dgm:pt>
    <dgm:pt modelId="{934572F1-3F64-4197-BB94-8978D2F2D439}" type="sibTrans" cxnId="{1932B3EF-E6F6-4B41-8D67-7519A092812C}">
      <dgm:prSet/>
      <dgm:spPr/>
      <dgm:t>
        <a:bodyPr/>
        <a:lstStyle/>
        <a:p>
          <a:endParaRPr lang="es-GT">
            <a:latin typeface="Times New Roman" panose="02020603050405020304" pitchFamily="18" charset="0"/>
            <a:cs typeface="Times New Roman" panose="02020603050405020304" pitchFamily="18" charset="0"/>
          </a:endParaRPr>
        </a:p>
      </dgm:t>
    </dgm:pt>
    <dgm:pt modelId="{9A3727F7-3B57-4624-B46D-0E086C0E9383}">
      <dgm:prSet custT="1"/>
      <dgm:spPr>
        <a:ln w="3175">
          <a:solidFill>
            <a:schemeClr val="tx1"/>
          </a:solidFill>
        </a:ln>
      </dgm:spPr>
      <dgm:t>
        <a:bodyPr/>
        <a:lstStyle/>
        <a:p>
          <a:r>
            <a:rPr lang="es-GT" sz="800" b="1">
              <a:solidFill>
                <a:sysClr val="windowText" lastClr="000000"/>
              </a:solidFill>
              <a:latin typeface="Times New Roman" panose="02020603050405020304" pitchFamily="18" charset="0"/>
              <a:cs typeface="Times New Roman" panose="02020603050405020304" pitchFamily="18" charset="0"/>
            </a:rPr>
            <a:t>Ampliaciones en las Obligaciones por Q570 millones</a:t>
          </a:r>
        </a:p>
      </dgm:t>
    </dgm:pt>
    <dgm:pt modelId="{D3B01AEE-65C7-4329-820C-46EA9CE0794D}" type="parTrans" cxnId="{521C92C5-CB02-4E7F-93B4-F42BEC26BC32}">
      <dgm:prSet/>
      <dgm:spPr/>
      <dgm:t>
        <a:bodyPr/>
        <a:lstStyle/>
        <a:p>
          <a:endParaRPr lang="es-GT"/>
        </a:p>
      </dgm:t>
    </dgm:pt>
    <dgm:pt modelId="{ABEDC84C-B257-4BCB-B416-99F21F19A989}" type="sibTrans" cxnId="{521C92C5-CB02-4E7F-93B4-F42BEC26BC32}">
      <dgm:prSet/>
      <dgm:spPr/>
      <dgm:t>
        <a:bodyPr/>
        <a:lstStyle/>
        <a:p>
          <a:endParaRPr lang="es-GT"/>
        </a:p>
      </dgm:t>
    </dgm:pt>
    <dgm:pt modelId="{2160E400-C63A-41B0-8C80-11E45DE67FDC}">
      <dgm:prSet custT="1"/>
      <dgm:spPr>
        <a:ln w="3175">
          <a:solidFill>
            <a:schemeClr val="tx1"/>
          </a:solidFill>
        </a:ln>
      </dgm:spPr>
      <dgm:t>
        <a:bodyPr/>
        <a:lstStyle/>
        <a:p>
          <a:r>
            <a:rPr lang="es-GT" sz="800" b="1">
              <a:solidFill>
                <a:sysClr val="windowText" lastClr="000000"/>
              </a:solidFill>
              <a:latin typeface="Times New Roman" panose="02020603050405020304" pitchFamily="18" charset="0"/>
              <a:cs typeface="Times New Roman" panose="02020603050405020304" pitchFamily="18" charset="0"/>
            </a:rPr>
            <a:t>Otras ampliaciones por Q53.0 millones </a:t>
          </a:r>
        </a:p>
      </dgm:t>
    </dgm:pt>
    <dgm:pt modelId="{A14F2544-AF72-4043-8551-15CB46A31256}" type="parTrans" cxnId="{7FC8A3B7-4204-4D20-9349-B825E94DF1A2}">
      <dgm:prSet/>
      <dgm:spPr/>
      <dgm:t>
        <a:bodyPr/>
        <a:lstStyle/>
        <a:p>
          <a:endParaRPr lang="es-GT"/>
        </a:p>
      </dgm:t>
    </dgm:pt>
    <dgm:pt modelId="{476A1C8E-0C5E-4388-923F-92FEC40DB6ED}" type="sibTrans" cxnId="{7FC8A3B7-4204-4D20-9349-B825E94DF1A2}">
      <dgm:prSet/>
      <dgm:spPr/>
      <dgm:t>
        <a:bodyPr/>
        <a:lstStyle/>
        <a:p>
          <a:endParaRPr lang="es-GT"/>
        </a:p>
      </dgm:t>
    </dgm:pt>
    <dgm:pt modelId="{46A9321D-0F70-4191-8D1C-1E7ECC07BC3E}" type="pres">
      <dgm:prSet presAssocID="{1CC4BBAA-5428-4500-94E3-1B2FEF3A27BE}" presName="rootnode" presStyleCnt="0">
        <dgm:presLayoutVars>
          <dgm:chMax/>
          <dgm:chPref/>
          <dgm:dir/>
          <dgm:animLvl val="lvl"/>
        </dgm:presLayoutVars>
      </dgm:prSet>
      <dgm:spPr/>
    </dgm:pt>
    <dgm:pt modelId="{2DA4E5CE-FA3F-4E44-B4B3-5E329886F03E}" type="pres">
      <dgm:prSet presAssocID="{F5D9C8DF-75DF-4D5F-9870-F2392D052D8D}" presName="composite" presStyleCnt="0"/>
      <dgm:spPr/>
    </dgm:pt>
    <dgm:pt modelId="{EA36DD45-7613-4E03-AAB1-37C5240C8000}" type="pres">
      <dgm:prSet presAssocID="{F5D9C8DF-75DF-4D5F-9870-F2392D052D8D}" presName="bentUpArrow1" presStyleLbl="alignImgPlace1" presStyleIdx="0" presStyleCnt="4" custScaleX="37648" custScaleY="41970" custLinFactY="-2289" custLinFactNeighborX="11754" custLinFactNeighborY="-100000"/>
      <dgm:spPr>
        <a:ln w="3175">
          <a:solidFill>
            <a:schemeClr val="tx1"/>
          </a:solidFill>
        </a:ln>
      </dgm:spPr>
    </dgm:pt>
    <dgm:pt modelId="{1873106A-FF11-45EB-AADC-BC884EBB79D6}" type="pres">
      <dgm:prSet presAssocID="{F5D9C8DF-75DF-4D5F-9870-F2392D052D8D}" presName="ParentText" presStyleLbl="node1" presStyleIdx="0" presStyleCnt="5" custScaleX="86458" custScaleY="54160" custLinFactNeighborX="-41" custLinFactNeighborY="-41371">
        <dgm:presLayoutVars>
          <dgm:chMax val="1"/>
          <dgm:chPref val="1"/>
          <dgm:bulletEnabled val="1"/>
        </dgm:presLayoutVars>
      </dgm:prSet>
      <dgm:spPr/>
    </dgm:pt>
    <dgm:pt modelId="{59364924-D17A-47C4-83CC-8965040456B2}" type="pres">
      <dgm:prSet presAssocID="{F5D9C8DF-75DF-4D5F-9870-F2392D052D8D}" presName="ChildText" presStyleLbl="revTx" presStyleIdx="0" presStyleCnt="4" custLinFactX="-33430" custLinFactY="100000" custLinFactNeighborX="-100000" custLinFactNeighborY="180807">
        <dgm:presLayoutVars>
          <dgm:chMax val="0"/>
          <dgm:chPref val="0"/>
          <dgm:bulletEnabled val="1"/>
        </dgm:presLayoutVars>
      </dgm:prSet>
      <dgm:spPr/>
    </dgm:pt>
    <dgm:pt modelId="{1E1BF101-6324-4988-B937-87B2D1ABED21}" type="pres">
      <dgm:prSet presAssocID="{562B8A9F-B678-433D-BC9F-0EEF0A07BC5B}" presName="sibTrans" presStyleCnt="0"/>
      <dgm:spPr/>
    </dgm:pt>
    <dgm:pt modelId="{5BB63AF8-515D-42C6-AA68-B673B5F08B40}" type="pres">
      <dgm:prSet presAssocID="{81BDEFFA-B7B9-4A20-9562-6509DE76EEC7}" presName="composite" presStyleCnt="0"/>
      <dgm:spPr/>
    </dgm:pt>
    <dgm:pt modelId="{8C752374-D818-4318-A0DD-8B8891C8100E}" type="pres">
      <dgm:prSet presAssocID="{81BDEFFA-B7B9-4A20-9562-6509DE76EEC7}" presName="bentUpArrow1" presStyleLbl="alignImgPlace1" presStyleIdx="1" presStyleCnt="4" custScaleX="40265" custScaleY="42792" custLinFactY="-3737" custLinFactNeighborX="-17134" custLinFactNeighborY="-100000"/>
      <dgm:spPr>
        <a:ln w="3175">
          <a:solidFill>
            <a:schemeClr val="tx1"/>
          </a:solidFill>
        </a:ln>
      </dgm:spPr>
    </dgm:pt>
    <dgm:pt modelId="{27528871-5693-4E24-B05F-185EA8450425}" type="pres">
      <dgm:prSet presAssocID="{81BDEFFA-B7B9-4A20-9562-6509DE76EEC7}" presName="ParentText" presStyleLbl="node1" presStyleIdx="1" presStyleCnt="5" custScaleX="85087" custScaleY="75780" custLinFactNeighborX="-21056" custLinFactNeighborY="-53064">
        <dgm:presLayoutVars>
          <dgm:chMax val="1"/>
          <dgm:chPref val="1"/>
          <dgm:bulletEnabled val="1"/>
        </dgm:presLayoutVars>
      </dgm:prSet>
      <dgm:spPr/>
    </dgm:pt>
    <dgm:pt modelId="{F5FEE04F-CF51-451A-B7FD-91B4B83F7ADE}" type="pres">
      <dgm:prSet presAssocID="{81BDEFFA-B7B9-4A20-9562-6509DE76EEC7}" presName="ChildText" presStyleLbl="revTx" presStyleIdx="1" presStyleCnt="4">
        <dgm:presLayoutVars>
          <dgm:chMax val="0"/>
          <dgm:chPref val="0"/>
          <dgm:bulletEnabled val="1"/>
        </dgm:presLayoutVars>
      </dgm:prSet>
      <dgm:spPr/>
    </dgm:pt>
    <dgm:pt modelId="{29156697-96CF-4BD9-96FE-A5FE6905504A}" type="pres">
      <dgm:prSet presAssocID="{934572F1-3F64-4197-BB94-8978D2F2D439}" presName="sibTrans" presStyleCnt="0"/>
      <dgm:spPr/>
    </dgm:pt>
    <dgm:pt modelId="{28066CC4-A024-4C83-90C4-AC95CCC028BC}" type="pres">
      <dgm:prSet presAssocID="{11930497-E386-4339-AD62-B7BBA7DFF6FD}" presName="composite" presStyleCnt="0"/>
      <dgm:spPr/>
    </dgm:pt>
    <dgm:pt modelId="{3831DAA5-9738-4080-A111-44533551CF1C}" type="pres">
      <dgm:prSet presAssocID="{11930497-E386-4339-AD62-B7BBA7DFF6FD}" presName="bentUpArrow1" presStyleLbl="alignImgPlace1" presStyleIdx="2" presStyleCnt="4" custScaleX="44761" custScaleY="35466" custLinFactY="-25453" custLinFactNeighborX="-35707" custLinFactNeighborY="-100000"/>
      <dgm:spPr>
        <a:ln w="3175">
          <a:solidFill>
            <a:schemeClr val="tx1"/>
          </a:solidFill>
        </a:ln>
      </dgm:spPr>
    </dgm:pt>
    <dgm:pt modelId="{314EA230-488B-4D0E-8908-0D31675D24FF}" type="pres">
      <dgm:prSet presAssocID="{11930497-E386-4339-AD62-B7BBA7DFF6FD}" presName="ParentText" presStyleLbl="node1" presStyleIdx="2" presStyleCnt="5" custScaleX="78077" custScaleY="61840" custLinFactNeighborX="-37813" custLinFactNeighborY="-60406">
        <dgm:presLayoutVars>
          <dgm:chMax val="1"/>
          <dgm:chPref val="1"/>
          <dgm:bulletEnabled val="1"/>
        </dgm:presLayoutVars>
      </dgm:prSet>
      <dgm:spPr/>
    </dgm:pt>
    <dgm:pt modelId="{CAFD344C-CEB8-40B7-AE16-B90BEBC04FEB}" type="pres">
      <dgm:prSet presAssocID="{11930497-E386-4339-AD62-B7BBA7DFF6FD}" presName="ChildText" presStyleLbl="revTx" presStyleIdx="2" presStyleCnt="4" custScaleX="251047" custLinFactNeighborX="-3917" custLinFactNeighborY="-9474">
        <dgm:presLayoutVars>
          <dgm:chMax val="0"/>
          <dgm:chPref val="0"/>
          <dgm:bulletEnabled val="1"/>
        </dgm:presLayoutVars>
      </dgm:prSet>
      <dgm:spPr/>
    </dgm:pt>
    <dgm:pt modelId="{99F7BA34-E096-443D-A8BF-40EFE3205354}" type="pres">
      <dgm:prSet presAssocID="{2A547091-FA1D-4099-88E6-A2B97A55CE9E}" presName="sibTrans" presStyleCnt="0"/>
      <dgm:spPr/>
    </dgm:pt>
    <dgm:pt modelId="{083DEB51-6796-4340-BEC3-54DB2DC3336A}" type="pres">
      <dgm:prSet presAssocID="{9A3727F7-3B57-4624-B46D-0E086C0E9383}" presName="composite" presStyleCnt="0"/>
      <dgm:spPr/>
    </dgm:pt>
    <dgm:pt modelId="{E42AD823-B154-4F0F-BC0E-119D2815D7E5}" type="pres">
      <dgm:prSet presAssocID="{9A3727F7-3B57-4624-B46D-0E086C0E9383}" presName="bentUpArrow1" presStyleLbl="alignImgPlace1" presStyleIdx="3" presStyleCnt="4" custScaleX="36837" custScaleY="35029" custLinFactY="-58140" custLinFactNeighborX="-66555" custLinFactNeighborY="-100000"/>
      <dgm:spPr>
        <a:ln w="3175">
          <a:solidFill>
            <a:schemeClr val="tx1"/>
          </a:solidFill>
        </a:ln>
      </dgm:spPr>
    </dgm:pt>
    <dgm:pt modelId="{1AAB5B56-86A2-4453-B9C1-60445F702A68}" type="pres">
      <dgm:prSet presAssocID="{9A3727F7-3B57-4624-B46D-0E086C0E9383}" presName="ParentText" presStyleLbl="node1" presStyleIdx="3" presStyleCnt="5" custScaleX="65699" custScaleY="47800" custLinFactNeighborX="-54312" custLinFactNeighborY="-83372">
        <dgm:presLayoutVars>
          <dgm:chMax val="1"/>
          <dgm:chPref val="1"/>
          <dgm:bulletEnabled val="1"/>
        </dgm:presLayoutVars>
      </dgm:prSet>
      <dgm:spPr/>
    </dgm:pt>
    <dgm:pt modelId="{5A6ECE4B-54A3-4F0F-B1AE-55F959F67475}" type="pres">
      <dgm:prSet presAssocID="{9A3727F7-3B57-4624-B46D-0E086C0E9383}" presName="ChildText" presStyleLbl="revTx" presStyleIdx="3" presStyleCnt="4">
        <dgm:presLayoutVars>
          <dgm:chMax val="0"/>
          <dgm:chPref val="0"/>
          <dgm:bulletEnabled val="1"/>
        </dgm:presLayoutVars>
      </dgm:prSet>
      <dgm:spPr/>
    </dgm:pt>
    <dgm:pt modelId="{8C1685EC-F9B0-426C-82E2-08B701CE8C90}" type="pres">
      <dgm:prSet presAssocID="{ABEDC84C-B257-4BCB-B416-99F21F19A989}" presName="sibTrans" presStyleCnt="0"/>
      <dgm:spPr/>
    </dgm:pt>
    <dgm:pt modelId="{D7E4C290-94F4-43A8-B63C-B72BD9461FEF}" type="pres">
      <dgm:prSet presAssocID="{2160E400-C63A-41B0-8C80-11E45DE67FDC}" presName="composite" presStyleCnt="0"/>
      <dgm:spPr/>
    </dgm:pt>
    <dgm:pt modelId="{5AAF193D-B1A7-4079-87D1-FEF028422F28}" type="pres">
      <dgm:prSet presAssocID="{2160E400-C63A-41B0-8C80-11E45DE67FDC}" presName="ParentText" presStyleLbl="node1" presStyleIdx="4" presStyleCnt="5" custScaleX="63533" custScaleY="42360" custLinFactNeighborX="-82018" custLinFactNeighborY="-91912">
        <dgm:presLayoutVars>
          <dgm:chMax val="1"/>
          <dgm:chPref val="1"/>
          <dgm:bulletEnabled val="1"/>
        </dgm:presLayoutVars>
      </dgm:prSet>
      <dgm:spPr/>
    </dgm:pt>
  </dgm:ptLst>
  <dgm:cxnLst>
    <dgm:cxn modelId="{AFC8A705-59AF-4807-8430-E74CCFF7E937}" type="presOf" srcId="{1CC4BBAA-5428-4500-94E3-1B2FEF3A27BE}" destId="{46A9321D-0F70-4191-8D1C-1E7ECC07BC3E}" srcOrd="0" destOrd="0" presId="urn:microsoft.com/office/officeart/2005/8/layout/StepDownProcess"/>
    <dgm:cxn modelId="{D8990826-0CC6-4D04-8332-AB8A75A8E6AB}" type="presOf" srcId="{2160E400-C63A-41B0-8C80-11E45DE67FDC}" destId="{5AAF193D-B1A7-4079-87D1-FEF028422F28}" srcOrd="0" destOrd="0" presId="urn:microsoft.com/office/officeart/2005/8/layout/StepDownProcess"/>
    <dgm:cxn modelId="{F313F03F-03BA-4D12-AE9D-5544E376F996}" srcId="{1CC4BBAA-5428-4500-94E3-1B2FEF3A27BE}" destId="{F5D9C8DF-75DF-4D5F-9870-F2392D052D8D}" srcOrd="0" destOrd="0" parTransId="{7066B5F8-7A09-4CF3-8421-FB195D03BE56}" sibTransId="{562B8A9F-B678-433D-BC9F-0EEF0A07BC5B}"/>
    <dgm:cxn modelId="{0F1CF779-63D1-44FC-AF1A-3A579A3AAD7D}" type="presOf" srcId="{81BDEFFA-B7B9-4A20-9562-6509DE76EEC7}" destId="{27528871-5693-4E24-B05F-185EA8450425}" srcOrd="0" destOrd="0" presId="urn:microsoft.com/office/officeart/2005/8/layout/StepDownProcess"/>
    <dgm:cxn modelId="{F96A5D7D-C2F0-4302-A744-02B1E4151AB1}" type="presOf" srcId="{11930497-E386-4339-AD62-B7BBA7DFF6FD}" destId="{314EA230-488B-4D0E-8908-0D31675D24FF}" srcOrd="0" destOrd="0" presId="urn:microsoft.com/office/officeart/2005/8/layout/StepDownProcess"/>
    <dgm:cxn modelId="{888CB87E-04AD-4C6C-9873-0A6CA78101FD}" type="presOf" srcId="{9A3727F7-3B57-4624-B46D-0E086C0E9383}" destId="{1AAB5B56-86A2-4453-B9C1-60445F702A68}" srcOrd="0" destOrd="0" presId="urn:microsoft.com/office/officeart/2005/8/layout/StepDownProcess"/>
    <dgm:cxn modelId="{7FC8A3B7-4204-4D20-9349-B825E94DF1A2}" srcId="{1CC4BBAA-5428-4500-94E3-1B2FEF3A27BE}" destId="{2160E400-C63A-41B0-8C80-11E45DE67FDC}" srcOrd="4" destOrd="0" parTransId="{A14F2544-AF72-4043-8551-15CB46A31256}" sibTransId="{476A1C8E-0C5E-4388-923F-92FEC40DB6ED}"/>
    <dgm:cxn modelId="{521C92C5-CB02-4E7F-93B4-F42BEC26BC32}" srcId="{1CC4BBAA-5428-4500-94E3-1B2FEF3A27BE}" destId="{9A3727F7-3B57-4624-B46D-0E086C0E9383}" srcOrd="3" destOrd="0" parTransId="{D3B01AEE-65C7-4329-820C-46EA9CE0794D}" sibTransId="{ABEDC84C-B257-4BCB-B416-99F21F19A989}"/>
    <dgm:cxn modelId="{F7900BDD-CD91-4C7E-A81F-8BADAEFBE8CD}" srcId="{1CC4BBAA-5428-4500-94E3-1B2FEF3A27BE}" destId="{11930497-E386-4339-AD62-B7BBA7DFF6FD}" srcOrd="2" destOrd="0" parTransId="{59AADF93-72CE-46ED-AE98-4B1957D5563C}" sibTransId="{2A547091-FA1D-4099-88E6-A2B97A55CE9E}"/>
    <dgm:cxn modelId="{4960A3E4-5384-433B-95A8-3800F7015475}" type="presOf" srcId="{F5D9C8DF-75DF-4D5F-9870-F2392D052D8D}" destId="{1873106A-FF11-45EB-AADC-BC884EBB79D6}" srcOrd="0" destOrd="0" presId="urn:microsoft.com/office/officeart/2005/8/layout/StepDownProcess"/>
    <dgm:cxn modelId="{1932B3EF-E6F6-4B41-8D67-7519A092812C}" srcId="{1CC4BBAA-5428-4500-94E3-1B2FEF3A27BE}" destId="{81BDEFFA-B7B9-4A20-9562-6509DE76EEC7}" srcOrd="1" destOrd="0" parTransId="{179655E2-4139-4481-9164-98A87E88A50C}" sibTransId="{934572F1-3F64-4197-BB94-8978D2F2D439}"/>
    <dgm:cxn modelId="{8FB0D01D-8C06-4E2C-A5B9-521A219B452E}" type="presParOf" srcId="{46A9321D-0F70-4191-8D1C-1E7ECC07BC3E}" destId="{2DA4E5CE-FA3F-4E44-B4B3-5E329886F03E}" srcOrd="0" destOrd="0" presId="urn:microsoft.com/office/officeart/2005/8/layout/StepDownProcess"/>
    <dgm:cxn modelId="{CFF40E4C-3224-480A-A179-530FC368D736}" type="presParOf" srcId="{2DA4E5CE-FA3F-4E44-B4B3-5E329886F03E}" destId="{EA36DD45-7613-4E03-AAB1-37C5240C8000}" srcOrd="0" destOrd="0" presId="urn:microsoft.com/office/officeart/2005/8/layout/StepDownProcess"/>
    <dgm:cxn modelId="{68474A72-8909-4BB8-A8C0-2D9D607C052D}" type="presParOf" srcId="{2DA4E5CE-FA3F-4E44-B4B3-5E329886F03E}" destId="{1873106A-FF11-45EB-AADC-BC884EBB79D6}" srcOrd="1" destOrd="0" presId="urn:microsoft.com/office/officeart/2005/8/layout/StepDownProcess"/>
    <dgm:cxn modelId="{251B61D7-1CC7-43FC-8037-ABEBA1FC09D2}" type="presParOf" srcId="{2DA4E5CE-FA3F-4E44-B4B3-5E329886F03E}" destId="{59364924-D17A-47C4-83CC-8965040456B2}" srcOrd="2" destOrd="0" presId="urn:microsoft.com/office/officeart/2005/8/layout/StepDownProcess"/>
    <dgm:cxn modelId="{0472A99D-5950-422B-9880-5C4823DFBE01}" type="presParOf" srcId="{46A9321D-0F70-4191-8D1C-1E7ECC07BC3E}" destId="{1E1BF101-6324-4988-B937-87B2D1ABED21}" srcOrd="1" destOrd="0" presId="urn:microsoft.com/office/officeart/2005/8/layout/StepDownProcess"/>
    <dgm:cxn modelId="{F8610AB6-A005-4E27-835A-A2FB0EC47324}" type="presParOf" srcId="{46A9321D-0F70-4191-8D1C-1E7ECC07BC3E}" destId="{5BB63AF8-515D-42C6-AA68-B673B5F08B40}" srcOrd="2" destOrd="0" presId="urn:microsoft.com/office/officeart/2005/8/layout/StepDownProcess"/>
    <dgm:cxn modelId="{19350685-6BB4-4275-BDC4-B424C47DC7C1}" type="presParOf" srcId="{5BB63AF8-515D-42C6-AA68-B673B5F08B40}" destId="{8C752374-D818-4318-A0DD-8B8891C8100E}" srcOrd="0" destOrd="0" presId="urn:microsoft.com/office/officeart/2005/8/layout/StepDownProcess"/>
    <dgm:cxn modelId="{FB1049B7-FF64-482E-BBF5-02FBC477FDEC}" type="presParOf" srcId="{5BB63AF8-515D-42C6-AA68-B673B5F08B40}" destId="{27528871-5693-4E24-B05F-185EA8450425}" srcOrd="1" destOrd="0" presId="urn:microsoft.com/office/officeart/2005/8/layout/StepDownProcess"/>
    <dgm:cxn modelId="{ABC706C7-4C40-4435-BE3B-EEC4EBC6E0C6}" type="presParOf" srcId="{5BB63AF8-515D-42C6-AA68-B673B5F08B40}" destId="{F5FEE04F-CF51-451A-B7FD-91B4B83F7ADE}" srcOrd="2" destOrd="0" presId="urn:microsoft.com/office/officeart/2005/8/layout/StepDownProcess"/>
    <dgm:cxn modelId="{C234E5DC-B8A8-47B9-A6E6-48B96ED1DAB1}" type="presParOf" srcId="{46A9321D-0F70-4191-8D1C-1E7ECC07BC3E}" destId="{29156697-96CF-4BD9-96FE-A5FE6905504A}" srcOrd="3" destOrd="0" presId="urn:microsoft.com/office/officeart/2005/8/layout/StepDownProcess"/>
    <dgm:cxn modelId="{AC8AA95D-E23A-43C5-A029-9E849C9131FF}" type="presParOf" srcId="{46A9321D-0F70-4191-8D1C-1E7ECC07BC3E}" destId="{28066CC4-A024-4C83-90C4-AC95CCC028BC}" srcOrd="4" destOrd="0" presId="urn:microsoft.com/office/officeart/2005/8/layout/StepDownProcess"/>
    <dgm:cxn modelId="{D532F8A1-A9B8-47EC-8729-995BFBE84F55}" type="presParOf" srcId="{28066CC4-A024-4C83-90C4-AC95CCC028BC}" destId="{3831DAA5-9738-4080-A111-44533551CF1C}" srcOrd="0" destOrd="0" presId="urn:microsoft.com/office/officeart/2005/8/layout/StepDownProcess"/>
    <dgm:cxn modelId="{E4079C38-0E95-43FF-9EF2-96AC0680F2AE}" type="presParOf" srcId="{28066CC4-A024-4C83-90C4-AC95CCC028BC}" destId="{314EA230-488B-4D0E-8908-0D31675D24FF}" srcOrd="1" destOrd="0" presId="urn:microsoft.com/office/officeart/2005/8/layout/StepDownProcess"/>
    <dgm:cxn modelId="{74DE1902-40C7-413F-BE8F-E46149A9301D}" type="presParOf" srcId="{28066CC4-A024-4C83-90C4-AC95CCC028BC}" destId="{CAFD344C-CEB8-40B7-AE16-B90BEBC04FEB}" srcOrd="2" destOrd="0" presId="urn:microsoft.com/office/officeart/2005/8/layout/StepDownProcess"/>
    <dgm:cxn modelId="{41F2FF1D-10C9-4FB6-B549-8499B47807ED}" type="presParOf" srcId="{46A9321D-0F70-4191-8D1C-1E7ECC07BC3E}" destId="{99F7BA34-E096-443D-A8BF-40EFE3205354}" srcOrd="5" destOrd="0" presId="urn:microsoft.com/office/officeart/2005/8/layout/StepDownProcess"/>
    <dgm:cxn modelId="{8C11E234-64EA-4791-80A1-9EC24B765DA1}" type="presParOf" srcId="{46A9321D-0F70-4191-8D1C-1E7ECC07BC3E}" destId="{083DEB51-6796-4340-BEC3-54DB2DC3336A}" srcOrd="6" destOrd="0" presId="urn:microsoft.com/office/officeart/2005/8/layout/StepDownProcess"/>
    <dgm:cxn modelId="{40D5BCA1-874F-4AEC-8FBD-BD1228936897}" type="presParOf" srcId="{083DEB51-6796-4340-BEC3-54DB2DC3336A}" destId="{E42AD823-B154-4F0F-BC0E-119D2815D7E5}" srcOrd="0" destOrd="0" presId="urn:microsoft.com/office/officeart/2005/8/layout/StepDownProcess"/>
    <dgm:cxn modelId="{084D03E1-B996-474A-8ADC-A0575919B94E}" type="presParOf" srcId="{083DEB51-6796-4340-BEC3-54DB2DC3336A}" destId="{1AAB5B56-86A2-4453-B9C1-60445F702A68}" srcOrd="1" destOrd="0" presId="urn:microsoft.com/office/officeart/2005/8/layout/StepDownProcess"/>
    <dgm:cxn modelId="{CB93B883-F8B2-493B-A572-A43CFCE4D2CC}" type="presParOf" srcId="{083DEB51-6796-4340-BEC3-54DB2DC3336A}" destId="{5A6ECE4B-54A3-4F0F-B1AE-55F959F67475}" srcOrd="2" destOrd="0" presId="urn:microsoft.com/office/officeart/2005/8/layout/StepDownProcess"/>
    <dgm:cxn modelId="{B1526AFC-FBA2-487F-8FBF-93DEFB597119}" type="presParOf" srcId="{46A9321D-0F70-4191-8D1C-1E7ECC07BC3E}" destId="{8C1685EC-F9B0-426C-82E2-08B701CE8C90}" srcOrd="7" destOrd="0" presId="urn:microsoft.com/office/officeart/2005/8/layout/StepDownProcess"/>
    <dgm:cxn modelId="{EB3D44DB-1BA9-41D4-8C91-B92D43C17B60}" type="presParOf" srcId="{46A9321D-0F70-4191-8D1C-1E7ECC07BC3E}" destId="{D7E4C290-94F4-43A8-B63C-B72BD9461FEF}" srcOrd="8" destOrd="0" presId="urn:microsoft.com/office/officeart/2005/8/layout/StepDownProcess"/>
    <dgm:cxn modelId="{30BC89F9-71B8-4BE1-8C57-5617C2922004}" type="presParOf" srcId="{D7E4C290-94F4-43A8-B63C-B72BD9461FEF}" destId="{5AAF193D-B1A7-4079-87D1-FEF028422F28}" srcOrd="0" destOrd="0" presId="urn:microsoft.com/office/officeart/2005/8/layout/StepDownProcess"/>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FBFF4CB-6D61-4903-AE35-5198C15679CD}" type="doc">
      <dgm:prSet loTypeId="urn:microsoft.com/office/officeart/2005/8/layout/chevron2" loCatId="list" qsTypeId="urn:microsoft.com/office/officeart/2005/8/quickstyle/simple1" qsCatId="simple" csTypeId="urn:microsoft.com/office/officeart/2005/8/colors/accent1_4" csCatId="accent1" phldr="1"/>
      <dgm:spPr/>
      <dgm:t>
        <a:bodyPr/>
        <a:lstStyle/>
        <a:p>
          <a:endParaRPr lang="es-GT"/>
        </a:p>
      </dgm:t>
    </dgm:pt>
    <dgm:pt modelId="{B9CCAEE6-DBF1-4A58-8283-55F145B2D95D}">
      <dgm:prSet phldrT="[Texto]" custT="1"/>
      <dgm:spPr>
        <a:xfrm rot="5400000">
          <a:off x="-203711" y="502646"/>
          <a:ext cx="1358078" cy="950654"/>
        </a:xfrm>
        <a:prstGeom prst="chevron">
          <a:avLst/>
        </a:prstGeom>
        <a:solidFill>
          <a:srgbClr val="4472C4">
            <a:shade val="50000"/>
            <a:hueOff val="0"/>
            <a:satOff val="0"/>
            <a:lumOff val="0"/>
            <a:alphaOff val="0"/>
          </a:srgbClr>
        </a:solidFill>
        <a:ln w="12700" cap="flat" cmpd="sng" algn="ctr">
          <a:solidFill>
            <a:srgbClr val="5B9BD5">
              <a:lumMod val="50000"/>
            </a:srgbClr>
          </a:solidFill>
          <a:prstDash val="solid"/>
          <a:miter lim="800000"/>
        </a:ln>
        <a:effectLst/>
      </dgm:spPr>
      <dgm:t>
        <a:bodyPr/>
        <a:lstStyle/>
        <a:p>
          <a:pPr>
            <a:buNone/>
          </a:pPr>
          <a:r>
            <a:rPr lang="es-GT" sz="900" b="1">
              <a:solidFill>
                <a:sysClr val="window" lastClr="FFFFFF"/>
              </a:solidFill>
              <a:latin typeface="Times New Roman" panose="02020603050405020304" pitchFamily="18" charset="0"/>
              <a:ea typeface="+mn-ea"/>
              <a:cs typeface="Times New Roman" panose="02020603050405020304" pitchFamily="18" charset="0"/>
            </a:rPr>
            <a:t>Gas Propano (Q570 millones)</a:t>
          </a:r>
        </a:p>
      </dgm:t>
    </dgm:pt>
    <dgm:pt modelId="{94BBAF7D-C258-49D8-A6F3-26F8D3D6C05F}" type="parTrans" cxnId="{E1BD933C-2747-4C2D-A9C9-3436D32C6BA7}">
      <dgm:prSet/>
      <dgm:spPr/>
      <dgm:t>
        <a:bodyPr/>
        <a:lstStyle/>
        <a:p>
          <a:endParaRPr lang="es-GT" sz="1600"/>
        </a:p>
      </dgm:t>
    </dgm:pt>
    <dgm:pt modelId="{B1F520B9-6E12-499B-8CFA-707BDE48DA93}" type="sibTrans" cxnId="{E1BD933C-2747-4C2D-A9C9-3436D32C6BA7}">
      <dgm:prSet/>
      <dgm:spPr/>
      <dgm:t>
        <a:bodyPr/>
        <a:lstStyle/>
        <a:p>
          <a:endParaRPr lang="es-GT" sz="1600"/>
        </a:p>
      </dgm:t>
    </dgm:pt>
    <dgm:pt modelId="{A49A0C08-792D-40F2-963C-0206C34A8748}">
      <dgm:prSet phldrT="[Texto]" custT="1"/>
      <dgm:spPr>
        <a:xfrm rot="5400000">
          <a:off x="2539546" y="-1527330"/>
          <a:ext cx="1357960"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0"/>
              <a:satOff val="0"/>
              <a:lumOff val="0"/>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Se aprobaron 5 decretos (15-2021, 17-2022, 33-2022, 45-2022 y 55-2022) de apoyo temporal a los consumidores de gas propano, manteniéndose las condiciones del subsidio en cada decreto:</a:t>
          </a:r>
        </a:p>
      </dgm:t>
    </dgm:pt>
    <dgm:pt modelId="{4F8DFD97-C1DD-4D78-88C3-A949F82100AC}" type="parTrans" cxnId="{5D7D4542-1908-4FFC-9D66-0E5BE8AB3601}">
      <dgm:prSet/>
      <dgm:spPr/>
      <dgm:t>
        <a:bodyPr/>
        <a:lstStyle/>
        <a:p>
          <a:endParaRPr lang="es-GT" sz="1600"/>
        </a:p>
      </dgm:t>
    </dgm:pt>
    <dgm:pt modelId="{03A841B2-3F11-4DDF-BA04-D2B7282D325F}" type="sibTrans" cxnId="{5D7D4542-1908-4FFC-9D66-0E5BE8AB3601}">
      <dgm:prSet/>
      <dgm:spPr/>
      <dgm:t>
        <a:bodyPr/>
        <a:lstStyle/>
        <a:p>
          <a:endParaRPr lang="es-GT" sz="1600"/>
        </a:p>
      </dgm:t>
    </dgm:pt>
    <dgm:pt modelId="{0D8E6E9E-A844-4D17-986B-509517868F17}">
      <dgm:prSet phldrT="[Texto]" custT="1"/>
      <dgm:spPr>
        <a:xfrm rot="5400000">
          <a:off x="-203711" y="1938575"/>
          <a:ext cx="1358078" cy="950654"/>
        </a:xfrm>
        <a:prstGeom prst="chevron">
          <a:avLst/>
        </a:prstGeom>
        <a:solidFill>
          <a:srgbClr val="4472C4">
            <a:shade val="50000"/>
            <a:hueOff val="268329"/>
            <a:satOff val="-6535"/>
            <a:lumOff val="28597"/>
            <a:alphaOff val="0"/>
          </a:srgbClr>
        </a:solidFill>
        <a:ln w="12700" cap="flat" cmpd="sng" algn="ctr">
          <a:solidFill>
            <a:srgbClr val="5B9BD5">
              <a:lumMod val="50000"/>
            </a:srgbClr>
          </a:solidFill>
          <a:prstDash val="solid"/>
          <a:miter lim="800000"/>
        </a:ln>
        <a:effectLst/>
      </dgm:spPr>
      <dgm:t>
        <a:bodyPr/>
        <a:lstStyle/>
        <a:p>
          <a:pPr>
            <a:buNone/>
          </a:pPr>
          <a:r>
            <a:rPr lang="es-GT" sz="800" b="1">
              <a:solidFill>
                <a:sysClr val="window" lastClr="FFFFFF"/>
              </a:solidFill>
              <a:latin typeface="Times New Roman" panose="02020603050405020304" pitchFamily="18" charset="0"/>
              <a:ea typeface="+mn-ea"/>
              <a:cs typeface="Times New Roman" panose="02020603050405020304" pitchFamily="18" charset="0"/>
            </a:rPr>
            <a:t>Combustibles (Q2,460 millones)</a:t>
          </a:r>
        </a:p>
      </dgm:t>
    </dgm:pt>
    <dgm:pt modelId="{889C9C2A-46CA-44C1-AB8D-FB74A668E6EA}" type="parTrans" cxnId="{0ECBB813-3DB4-45CA-809B-DB0582559F98}">
      <dgm:prSet/>
      <dgm:spPr/>
      <dgm:t>
        <a:bodyPr/>
        <a:lstStyle/>
        <a:p>
          <a:endParaRPr lang="es-GT" sz="1600"/>
        </a:p>
      </dgm:t>
    </dgm:pt>
    <dgm:pt modelId="{2DD62AEE-FCDB-494C-9A1C-886252C6C56A}" type="sibTrans" cxnId="{0ECBB813-3DB4-45CA-809B-DB0582559F98}">
      <dgm:prSet/>
      <dgm:spPr/>
      <dgm:t>
        <a:bodyPr/>
        <a:lstStyle/>
        <a:p>
          <a:endParaRPr lang="es-GT" sz="1600"/>
        </a:p>
      </dgm:t>
    </dgm:pt>
    <dgm:pt modelId="{7680425C-36E1-43EC-877D-634B88B1F8BC}">
      <dgm:prSet phldrT="[Texto]" custT="1"/>
      <dgm:spPr>
        <a:xfrm rot="5400000">
          <a:off x="2539903" y="-91633"/>
          <a:ext cx="1357247"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268329"/>
              <a:satOff val="-6535"/>
              <a:lumOff val="28597"/>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Se aprobaron 3 decretos:</a:t>
          </a:r>
        </a:p>
      </dgm:t>
    </dgm:pt>
    <dgm:pt modelId="{BC3031BC-DE09-4FD9-96AA-50F51DB1AD5A}" type="parTrans" cxnId="{66809AAC-7C51-4C77-916E-DC7F939F5BA4}">
      <dgm:prSet/>
      <dgm:spPr/>
      <dgm:t>
        <a:bodyPr/>
        <a:lstStyle/>
        <a:p>
          <a:endParaRPr lang="es-GT" sz="1600"/>
        </a:p>
      </dgm:t>
    </dgm:pt>
    <dgm:pt modelId="{E2B54A47-CC3E-4764-A796-F99B98045754}" type="sibTrans" cxnId="{66809AAC-7C51-4C77-916E-DC7F939F5BA4}">
      <dgm:prSet/>
      <dgm:spPr/>
      <dgm:t>
        <a:bodyPr/>
        <a:lstStyle/>
        <a:p>
          <a:endParaRPr lang="es-GT" sz="1600"/>
        </a:p>
      </dgm:t>
    </dgm:pt>
    <dgm:pt modelId="{03A56EA5-D4F8-4EC6-A14C-572AC494B0C9}">
      <dgm:prSet phldrT="[Texto]" custT="1"/>
      <dgm:spPr>
        <a:xfrm rot="5400000">
          <a:off x="-203711" y="3348110"/>
          <a:ext cx="1358078" cy="950654"/>
        </a:xfrm>
        <a:prstGeom prst="chevron">
          <a:avLst/>
        </a:prstGeom>
        <a:solidFill>
          <a:srgbClr val="5B9BD5">
            <a:lumMod val="50000"/>
          </a:srgbClr>
        </a:solidFill>
        <a:ln w="12700" cap="flat" cmpd="sng" algn="ctr">
          <a:solidFill>
            <a:srgbClr val="5B9BD5">
              <a:lumMod val="50000"/>
            </a:srgbClr>
          </a:solidFill>
          <a:prstDash val="solid"/>
          <a:miter lim="800000"/>
        </a:ln>
        <a:effectLst/>
      </dgm:spPr>
      <dgm:t>
        <a:bodyPr/>
        <a:lstStyle/>
        <a:p>
          <a:pPr>
            <a:buNone/>
          </a:pPr>
          <a:endParaRPr lang="es-GT" sz="1000" b="1">
            <a:solidFill>
              <a:sysClr val="window" lastClr="FFFFFF"/>
            </a:solidFill>
            <a:latin typeface="Calibri" panose="020F0502020204030204"/>
            <a:ea typeface="+mn-ea"/>
            <a:cs typeface="+mn-cs"/>
          </a:endParaRPr>
        </a:p>
        <a:p>
          <a:pPr>
            <a:buNone/>
          </a:pPr>
          <a:r>
            <a:rPr lang="es-GT" sz="800" b="1">
              <a:solidFill>
                <a:sysClr val="window" lastClr="FFFFFF"/>
              </a:solidFill>
              <a:latin typeface="Times New Roman" panose="02020603050405020304" pitchFamily="18" charset="0"/>
              <a:ea typeface="+mn-ea"/>
              <a:cs typeface="Times New Roman" panose="02020603050405020304" pitchFamily="18" charset="0"/>
            </a:rPr>
            <a:t>Tarifa Social Energía Eléctrica (Q227.5 millones)</a:t>
          </a:r>
        </a:p>
      </dgm:t>
    </dgm:pt>
    <dgm:pt modelId="{9665ED9F-2288-437D-99A4-366F2D55DD0C}" type="parTrans" cxnId="{AAF1402A-1A0E-413B-8D3C-84C02E3A42B0}">
      <dgm:prSet/>
      <dgm:spPr/>
      <dgm:t>
        <a:bodyPr/>
        <a:lstStyle/>
        <a:p>
          <a:endParaRPr lang="es-GT" sz="1600"/>
        </a:p>
      </dgm:t>
    </dgm:pt>
    <dgm:pt modelId="{C468CF5B-0037-400D-9873-19ED91BD535B}" type="sibTrans" cxnId="{AAF1402A-1A0E-413B-8D3C-84C02E3A42B0}">
      <dgm:prSet/>
      <dgm:spPr/>
      <dgm:t>
        <a:bodyPr/>
        <a:lstStyle/>
        <a:p>
          <a:endParaRPr lang="es-GT" sz="1600"/>
        </a:p>
      </dgm:t>
    </dgm:pt>
    <dgm:pt modelId="{BD00F985-5BF1-406F-B8A6-E69E74DCC2D0}">
      <dgm:prSet phldrT="[Texto]" custT="1"/>
      <dgm:spPr>
        <a:xfrm rot="5400000">
          <a:off x="2566298" y="1317901"/>
          <a:ext cx="1304458"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268329"/>
              <a:satOff val="-6535"/>
              <a:lumOff val="28597"/>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Se aprobaron 2 decretos para el fortalecimiento al aporte social de la tarifa eléctrica, anteriormente la tarifa social unicamente aplicaba a rangos de consumo de 1 a 88 kWh:</a:t>
          </a:r>
        </a:p>
      </dgm:t>
    </dgm:pt>
    <dgm:pt modelId="{3160FA2A-57C6-4076-BC39-3710EE8D9636}" type="parTrans" cxnId="{A0136895-5402-4FAC-9B7C-1836421F7442}">
      <dgm:prSet/>
      <dgm:spPr/>
      <dgm:t>
        <a:bodyPr/>
        <a:lstStyle/>
        <a:p>
          <a:endParaRPr lang="es-GT" sz="1600"/>
        </a:p>
      </dgm:t>
    </dgm:pt>
    <dgm:pt modelId="{E6C88FBB-B0B4-451D-8645-BE5DCF0E94A1}" type="sibTrans" cxnId="{A0136895-5402-4FAC-9B7C-1836421F7442}">
      <dgm:prSet/>
      <dgm:spPr/>
      <dgm:t>
        <a:bodyPr/>
        <a:lstStyle/>
        <a:p>
          <a:endParaRPr lang="es-GT" sz="1600"/>
        </a:p>
      </dgm:t>
    </dgm:pt>
    <dgm:pt modelId="{45CFA25F-971B-47DE-B908-8A1262EE1320}">
      <dgm:prSet phldrT="[Texto]" custT="1"/>
      <dgm:spPr>
        <a:xfrm rot="5400000">
          <a:off x="2539546" y="-1527330"/>
          <a:ext cx="1357960"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0"/>
              <a:satOff val="0"/>
              <a:lumOff val="0"/>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20 libras - Q16.00</a:t>
          </a:r>
        </a:p>
      </dgm:t>
    </dgm:pt>
    <dgm:pt modelId="{971B66EC-6520-467B-9A5F-612CBF104027}" type="sibTrans" cxnId="{15B7CFA5-32B6-4E47-8378-570EB2C152E0}">
      <dgm:prSet/>
      <dgm:spPr/>
      <dgm:t>
        <a:bodyPr/>
        <a:lstStyle/>
        <a:p>
          <a:endParaRPr lang="es-GT" sz="1600"/>
        </a:p>
      </dgm:t>
    </dgm:pt>
    <dgm:pt modelId="{748F79D9-6C32-4CC0-9DE3-3FE1D54EAC61}" type="parTrans" cxnId="{15B7CFA5-32B6-4E47-8378-570EB2C152E0}">
      <dgm:prSet/>
      <dgm:spPr/>
      <dgm:t>
        <a:bodyPr/>
        <a:lstStyle/>
        <a:p>
          <a:endParaRPr lang="es-GT" sz="1600"/>
        </a:p>
      </dgm:t>
    </dgm:pt>
    <dgm:pt modelId="{C7FC55D6-6B8F-4819-AFE7-1F604745E109}">
      <dgm:prSet phldrT="[Texto]" custT="1"/>
      <dgm:spPr>
        <a:xfrm rot="5400000">
          <a:off x="2539546" y="-1527330"/>
          <a:ext cx="1357960"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0"/>
              <a:satOff val="0"/>
              <a:lumOff val="0"/>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25 libras - Q20.00</a:t>
          </a:r>
        </a:p>
      </dgm:t>
    </dgm:pt>
    <dgm:pt modelId="{57DE69A8-5EA9-48D7-B578-6F5975BF72EF}" type="sibTrans" cxnId="{49C60116-26E1-4180-BFB8-BDCBF32B1A45}">
      <dgm:prSet/>
      <dgm:spPr/>
      <dgm:t>
        <a:bodyPr/>
        <a:lstStyle/>
        <a:p>
          <a:endParaRPr lang="es-GT" sz="1600"/>
        </a:p>
      </dgm:t>
    </dgm:pt>
    <dgm:pt modelId="{27305780-F8B2-451F-8CA6-C3BBD1BE17F2}" type="parTrans" cxnId="{49C60116-26E1-4180-BFB8-BDCBF32B1A45}">
      <dgm:prSet/>
      <dgm:spPr/>
      <dgm:t>
        <a:bodyPr/>
        <a:lstStyle/>
        <a:p>
          <a:endParaRPr lang="es-GT" sz="1600"/>
        </a:p>
      </dgm:t>
    </dgm:pt>
    <dgm:pt modelId="{93F6ED90-DE5E-4C60-B4BD-9272BF069B9C}">
      <dgm:prSet phldrT="[Texto]" custT="1"/>
      <dgm:spPr>
        <a:xfrm rot="5400000">
          <a:off x="2539546" y="-1527330"/>
          <a:ext cx="1357960"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0"/>
              <a:satOff val="0"/>
              <a:lumOff val="0"/>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35 libras - Q28.00</a:t>
          </a:r>
        </a:p>
      </dgm:t>
    </dgm:pt>
    <dgm:pt modelId="{1CEB2C6E-432F-43BE-B639-ECE177EBC5B2}" type="sibTrans" cxnId="{70C96CB6-7A18-442E-8A29-B029749AF5E7}">
      <dgm:prSet/>
      <dgm:spPr/>
      <dgm:t>
        <a:bodyPr/>
        <a:lstStyle/>
        <a:p>
          <a:endParaRPr lang="es-GT" sz="1600"/>
        </a:p>
      </dgm:t>
    </dgm:pt>
    <dgm:pt modelId="{2AE256DF-92D5-4947-A5D4-3A0FF6FE8A88}" type="parTrans" cxnId="{70C96CB6-7A18-442E-8A29-B029749AF5E7}">
      <dgm:prSet/>
      <dgm:spPr/>
      <dgm:t>
        <a:bodyPr/>
        <a:lstStyle/>
        <a:p>
          <a:endParaRPr lang="es-GT" sz="1600"/>
        </a:p>
      </dgm:t>
    </dgm:pt>
    <dgm:pt modelId="{88C32BA9-F59C-4213-AA4C-DC1C81195C36}">
      <dgm:prSet phldrT="[Texto]" custT="1"/>
      <dgm:spPr>
        <a:xfrm rot="5400000">
          <a:off x="2539546" y="-1527330"/>
          <a:ext cx="1357960"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0"/>
              <a:satOff val="0"/>
              <a:lumOff val="0"/>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10 libras - Q8.00</a:t>
          </a:r>
        </a:p>
      </dgm:t>
    </dgm:pt>
    <dgm:pt modelId="{3CD4CA2E-3E56-4E73-A29F-83B29CA19A0A}" type="parTrans" cxnId="{118E2F1E-C342-480E-9389-E1E3D9C612C4}">
      <dgm:prSet/>
      <dgm:spPr/>
      <dgm:t>
        <a:bodyPr/>
        <a:lstStyle/>
        <a:p>
          <a:endParaRPr lang="es-GT" sz="1600"/>
        </a:p>
      </dgm:t>
    </dgm:pt>
    <dgm:pt modelId="{3045F446-7B67-41C9-876C-B5738C7DE13B}" type="sibTrans" cxnId="{118E2F1E-C342-480E-9389-E1E3D9C612C4}">
      <dgm:prSet/>
      <dgm:spPr/>
      <dgm:t>
        <a:bodyPr/>
        <a:lstStyle/>
        <a:p>
          <a:endParaRPr lang="es-GT" sz="1600"/>
        </a:p>
      </dgm:t>
    </dgm:pt>
    <dgm:pt modelId="{3C1543B5-7FF6-4E5F-93FA-FA497D7CA727}">
      <dgm:prSet phldrT="[Texto]" custT="1"/>
      <dgm:spPr>
        <a:xfrm rot="5400000">
          <a:off x="2539903" y="-91633"/>
          <a:ext cx="1357247"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268329"/>
              <a:satOff val="-6535"/>
              <a:lumOff val="28597"/>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Decreto 20-2022 considero un subsidio a los consumidores de diésel siendo Q5.00 por galon y Q2.50 a los consumidores de gasolina regular</a:t>
          </a:r>
        </a:p>
      </dgm:t>
    </dgm:pt>
    <dgm:pt modelId="{2203E417-D9C4-402B-9C6D-BE4A80BB0143}" type="parTrans" cxnId="{F86A3493-BC02-4B63-ADFE-CE9ADC4E4390}">
      <dgm:prSet/>
      <dgm:spPr/>
      <dgm:t>
        <a:bodyPr/>
        <a:lstStyle/>
        <a:p>
          <a:endParaRPr lang="es-GT" sz="1600"/>
        </a:p>
      </dgm:t>
    </dgm:pt>
    <dgm:pt modelId="{3E820E41-2F03-4E85-8315-457FC40DE3D8}" type="sibTrans" cxnId="{F86A3493-BC02-4B63-ADFE-CE9ADC4E4390}">
      <dgm:prSet/>
      <dgm:spPr/>
      <dgm:t>
        <a:bodyPr/>
        <a:lstStyle/>
        <a:p>
          <a:endParaRPr lang="es-GT" sz="1600"/>
        </a:p>
      </dgm:t>
    </dgm:pt>
    <dgm:pt modelId="{AE732180-FA6B-4959-97B2-CFF254F928C8}">
      <dgm:prSet phldrT="[Texto]" custT="1"/>
      <dgm:spPr>
        <a:xfrm rot="5400000">
          <a:off x="2539903" y="-91633"/>
          <a:ext cx="1357247"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268329"/>
              <a:satOff val="-6535"/>
              <a:lumOff val="28597"/>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Decreto 42-2022, en este decreto unicamente se considera al combustible diésel (Q5.00 por galón)  </a:t>
          </a:r>
        </a:p>
      </dgm:t>
    </dgm:pt>
    <dgm:pt modelId="{9964B640-41BB-4E51-B5FE-875639E1E335}" type="parTrans" cxnId="{BF1D3455-FBA0-47D9-AD6E-13B86E8F86F6}">
      <dgm:prSet/>
      <dgm:spPr/>
      <dgm:t>
        <a:bodyPr/>
        <a:lstStyle/>
        <a:p>
          <a:endParaRPr lang="es-GT" sz="1600"/>
        </a:p>
      </dgm:t>
    </dgm:pt>
    <dgm:pt modelId="{B1597D36-2703-4B8F-927C-41648ED264EC}" type="sibTrans" cxnId="{BF1D3455-FBA0-47D9-AD6E-13B86E8F86F6}">
      <dgm:prSet/>
      <dgm:spPr/>
      <dgm:t>
        <a:bodyPr/>
        <a:lstStyle/>
        <a:p>
          <a:endParaRPr lang="es-GT" sz="1600"/>
        </a:p>
      </dgm:t>
    </dgm:pt>
    <dgm:pt modelId="{74F6701F-3794-46D8-B467-2A06CD453442}">
      <dgm:prSet phldrT="[Texto]" custT="1"/>
      <dgm:spPr>
        <a:xfrm rot="5400000">
          <a:off x="2566298" y="1317901"/>
          <a:ext cx="1304458"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268329"/>
              <a:satOff val="-6535"/>
              <a:lumOff val="28597"/>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Decreto 25-2022, estuvo enfocado en usuarios regulados de distribución final de energía eléctrica que consuman mensualmente entre 89 kWh hasta 100 kWh al mes, pagando una tarifa de Q1.00 por kWh</a:t>
          </a:r>
        </a:p>
      </dgm:t>
    </dgm:pt>
    <dgm:pt modelId="{4373CC5E-2261-4C31-8642-BD87C17D6EB9}" type="parTrans" cxnId="{87C601F0-C3AE-47F8-958E-B73837F2DF5D}">
      <dgm:prSet/>
      <dgm:spPr/>
      <dgm:t>
        <a:bodyPr/>
        <a:lstStyle/>
        <a:p>
          <a:endParaRPr lang="es-GT" sz="1600"/>
        </a:p>
      </dgm:t>
    </dgm:pt>
    <dgm:pt modelId="{E1B59FC9-7900-43D8-A93E-8768B715EA31}" type="sibTrans" cxnId="{87C601F0-C3AE-47F8-958E-B73837F2DF5D}">
      <dgm:prSet/>
      <dgm:spPr/>
      <dgm:t>
        <a:bodyPr/>
        <a:lstStyle/>
        <a:p>
          <a:endParaRPr lang="es-GT" sz="1600"/>
        </a:p>
      </dgm:t>
    </dgm:pt>
    <dgm:pt modelId="{C92D4F64-54DA-480C-BCE1-9FB85BBDBD28}">
      <dgm:prSet phldrT="[Texto]" custT="1"/>
      <dgm:spPr>
        <a:xfrm rot="5400000">
          <a:off x="2566298" y="1317901"/>
          <a:ext cx="1304458"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268329"/>
              <a:satOff val="-6535"/>
              <a:lumOff val="28597"/>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Decreto 43-2022, amplia a los beneficiarios del aporte social a la energía eléctrica al cubrir a los usuarios regulados que consuman entre 101 kWh hasta 125 kWh. </a:t>
          </a:r>
        </a:p>
      </dgm:t>
    </dgm:pt>
    <dgm:pt modelId="{34FC9B6B-3317-48F8-8F4A-BD0FBDE3B13C}" type="parTrans" cxnId="{F3E23064-6645-46A3-9FD8-A9FD0DA5893E}">
      <dgm:prSet/>
      <dgm:spPr/>
      <dgm:t>
        <a:bodyPr/>
        <a:lstStyle/>
        <a:p>
          <a:endParaRPr lang="es-GT" sz="1600"/>
        </a:p>
      </dgm:t>
    </dgm:pt>
    <dgm:pt modelId="{358A23D5-F96C-4461-B278-63D5E684A175}" type="sibTrans" cxnId="{F3E23064-6645-46A3-9FD8-A9FD0DA5893E}">
      <dgm:prSet/>
      <dgm:spPr/>
      <dgm:t>
        <a:bodyPr/>
        <a:lstStyle/>
        <a:p>
          <a:endParaRPr lang="es-GT" sz="1600"/>
        </a:p>
      </dgm:t>
    </dgm:pt>
    <dgm:pt modelId="{6161273B-8538-4209-93A4-C2355D48D3AD}">
      <dgm:prSet phldrT="[Texto]" custT="1"/>
      <dgm:spPr>
        <a:xfrm rot="5400000">
          <a:off x="2539903" y="-91633"/>
          <a:ext cx="1357247"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268329"/>
              <a:satOff val="-6535"/>
              <a:lumOff val="28597"/>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Decreto 28-2022, se amplió el apoyo temporal a los consumidores de diésel a Q7.00 por galón y gasolina regular Q5.00 por galón y se incluyó a la gasolina superior Q5.00 por galón</a:t>
          </a:r>
        </a:p>
      </dgm:t>
    </dgm:pt>
    <dgm:pt modelId="{84557D97-9FA6-4A3C-9B31-6B7CA62A1A0F}" type="parTrans" cxnId="{BFBA3826-7430-48F9-AB91-1ABF81E1C449}">
      <dgm:prSet/>
      <dgm:spPr/>
      <dgm:t>
        <a:bodyPr/>
        <a:lstStyle/>
        <a:p>
          <a:endParaRPr lang="es-GT" sz="1600"/>
        </a:p>
      </dgm:t>
    </dgm:pt>
    <dgm:pt modelId="{9B44B7B9-AD0D-4D24-B7B4-60CBE1945B1A}" type="sibTrans" cxnId="{BFBA3826-7430-48F9-AB91-1ABF81E1C449}">
      <dgm:prSet/>
      <dgm:spPr/>
      <dgm:t>
        <a:bodyPr/>
        <a:lstStyle/>
        <a:p>
          <a:endParaRPr lang="es-GT" sz="1600"/>
        </a:p>
      </dgm:t>
    </dgm:pt>
    <dgm:pt modelId="{03EC9564-8A28-401E-B9C6-992EA8B7778E}" type="pres">
      <dgm:prSet presAssocID="{5FBFF4CB-6D61-4903-AE35-5198C15679CD}" presName="linearFlow" presStyleCnt="0">
        <dgm:presLayoutVars>
          <dgm:dir/>
          <dgm:animLvl val="lvl"/>
          <dgm:resizeHandles val="exact"/>
        </dgm:presLayoutVars>
      </dgm:prSet>
      <dgm:spPr/>
    </dgm:pt>
    <dgm:pt modelId="{F9C4B97F-0B04-4C52-AB79-10D0B5F7047E}" type="pres">
      <dgm:prSet presAssocID="{B9CCAEE6-DBF1-4A58-8283-55F145B2D95D}" presName="composite" presStyleCnt="0"/>
      <dgm:spPr/>
    </dgm:pt>
    <dgm:pt modelId="{C41B02D8-8A1D-42B6-9D65-A25EB00D6AA5}" type="pres">
      <dgm:prSet presAssocID="{B9CCAEE6-DBF1-4A58-8283-55F145B2D95D}" presName="parentText" presStyleLbl="alignNode1" presStyleIdx="0" presStyleCnt="3" custLinFactNeighborX="0" custLinFactNeighborY="-8609">
        <dgm:presLayoutVars>
          <dgm:chMax val="1"/>
          <dgm:bulletEnabled val="1"/>
        </dgm:presLayoutVars>
      </dgm:prSet>
      <dgm:spPr/>
    </dgm:pt>
    <dgm:pt modelId="{7F15AAFB-C41D-4E5C-8958-7E3A1351D8D6}" type="pres">
      <dgm:prSet presAssocID="{B9CCAEE6-DBF1-4A58-8283-55F145B2D95D}" presName="descendantText" presStyleLbl="alignAcc1" presStyleIdx="0" presStyleCnt="3" custScaleY="100000">
        <dgm:presLayoutVars>
          <dgm:bulletEnabled val="1"/>
        </dgm:presLayoutVars>
      </dgm:prSet>
      <dgm:spPr/>
    </dgm:pt>
    <dgm:pt modelId="{67ACF56A-E9AD-4993-99B8-4B026BCF96B7}" type="pres">
      <dgm:prSet presAssocID="{B1F520B9-6E12-499B-8CFA-707BDE48DA93}" presName="sp" presStyleCnt="0"/>
      <dgm:spPr/>
    </dgm:pt>
    <dgm:pt modelId="{FC74235A-250D-499B-ACB3-0D72E2C3BDF7}" type="pres">
      <dgm:prSet presAssocID="{0D8E6E9E-A844-4D17-986B-509517868F17}" presName="composite" presStyleCnt="0"/>
      <dgm:spPr/>
    </dgm:pt>
    <dgm:pt modelId="{02854CE8-8D42-4870-A4B2-C197234DDB8D}" type="pres">
      <dgm:prSet presAssocID="{0D8E6E9E-A844-4D17-986B-509517868F17}" presName="parentText" presStyleLbl="alignNode1" presStyleIdx="1" presStyleCnt="3" custLinFactNeighborX="0" custLinFactNeighborY="-15456">
        <dgm:presLayoutVars>
          <dgm:chMax val="1"/>
          <dgm:bulletEnabled val="1"/>
        </dgm:presLayoutVars>
      </dgm:prSet>
      <dgm:spPr/>
    </dgm:pt>
    <dgm:pt modelId="{29506806-400B-403D-8F74-34021F55C601}" type="pres">
      <dgm:prSet presAssocID="{0D8E6E9E-A844-4D17-986B-509517868F17}" presName="descendantText" presStyleLbl="alignAcc1" presStyleIdx="1" presStyleCnt="3" custScaleY="103099" custLinFactNeighborY="-25870">
        <dgm:presLayoutVars>
          <dgm:bulletEnabled val="1"/>
        </dgm:presLayoutVars>
      </dgm:prSet>
      <dgm:spPr/>
    </dgm:pt>
    <dgm:pt modelId="{73E23A84-8C0B-4BBA-A83A-96661243AFEC}" type="pres">
      <dgm:prSet presAssocID="{2DD62AEE-FCDB-494C-9A1C-886252C6C56A}" presName="sp" presStyleCnt="0"/>
      <dgm:spPr/>
    </dgm:pt>
    <dgm:pt modelId="{09F3FFB6-AC82-48F0-AFE7-660406B796A4}" type="pres">
      <dgm:prSet presAssocID="{03A56EA5-D4F8-4EC6-A14C-572AC494B0C9}" presName="composite" presStyleCnt="0"/>
      <dgm:spPr/>
    </dgm:pt>
    <dgm:pt modelId="{4E846E43-CFA7-42C4-9D36-63725B338952}" type="pres">
      <dgm:prSet presAssocID="{03A56EA5-D4F8-4EC6-A14C-572AC494B0C9}" presName="parentText" presStyleLbl="alignNode1" presStyleIdx="2" presStyleCnt="3" custLinFactNeighborX="0" custLinFactNeighborY="-31298">
        <dgm:presLayoutVars>
          <dgm:chMax val="1"/>
          <dgm:bulletEnabled val="1"/>
        </dgm:presLayoutVars>
      </dgm:prSet>
      <dgm:spPr/>
    </dgm:pt>
    <dgm:pt modelId="{2C059829-FA43-4B35-828E-A42751D5BE0E}" type="pres">
      <dgm:prSet presAssocID="{03A56EA5-D4F8-4EC6-A14C-572AC494B0C9}" presName="descendantText" presStyleLbl="alignAcc1" presStyleIdx="2" presStyleCnt="3" custScaleY="120032" custLinFactNeighborX="17" custLinFactNeighborY="-48979">
        <dgm:presLayoutVars>
          <dgm:bulletEnabled val="1"/>
        </dgm:presLayoutVars>
      </dgm:prSet>
      <dgm:spPr/>
    </dgm:pt>
  </dgm:ptLst>
  <dgm:cxnLst>
    <dgm:cxn modelId="{B0698201-B054-4258-9F5B-BAD67DEF44BB}" type="presOf" srcId="{B9CCAEE6-DBF1-4A58-8283-55F145B2D95D}" destId="{C41B02D8-8A1D-42B6-9D65-A25EB00D6AA5}" srcOrd="0" destOrd="0" presId="urn:microsoft.com/office/officeart/2005/8/layout/chevron2"/>
    <dgm:cxn modelId="{0C51A112-D125-4EAB-8B3E-B4E83D1B2361}" type="presOf" srcId="{0D8E6E9E-A844-4D17-986B-509517868F17}" destId="{02854CE8-8D42-4870-A4B2-C197234DDB8D}" srcOrd="0" destOrd="0" presId="urn:microsoft.com/office/officeart/2005/8/layout/chevron2"/>
    <dgm:cxn modelId="{0ECBB813-3DB4-45CA-809B-DB0582559F98}" srcId="{5FBFF4CB-6D61-4903-AE35-5198C15679CD}" destId="{0D8E6E9E-A844-4D17-986B-509517868F17}" srcOrd="1" destOrd="0" parTransId="{889C9C2A-46CA-44C1-AB8D-FB74A668E6EA}" sibTransId="{2DD62AEE-FCDB-494C-9A1C-886252C6C56A}"/>
    <dgm:cxn modelId="{49C60116-26E1-4180-BFB8-BDCBF32B1A45}" srcId="{A49A0C08-792D-40F2-963C-0206C34A8748}" destId="{C7FC55D6-6B8F-4819-AFE7-1F604745E109}" srcOrd="2" destOrd="0" parTransId="{27305780-F8B2-451F-8CA6-C3BBD1BE17F2}" sibTransId="{57DE69A8-5EA9-48D7-B578-6F5975BF72EF}"/>
    <dgm:cxn modelId="{994B0D1C-9D34-4EB6-9892-DFEABF17F25F}" type="presOf" srcId="{45CFA25F-971B-47DE-B908-8A1262EE1320}" destId="{7F15AAFB-C41D-4E5C-8958-7E3A1351D8D6}" srcOrd="0" destOrd="2" presId="urn:microsoft.com/office/officeart/2005/8/layout/chevron2"/>
    <dgm:cxn modelId="{118E2F1E-C342-480E-9389-E1E3D9C612C4}" srcId="{A49A0C08-792D-40F2-963C-0206C34A8748}" destId="{88C32BA9-F59C-4213-AA4C-DC1C81195C36}" srcOrd="0" destOrd="0" parTransId="{3CD4CA2E-3E56-4E73-A29F-83B29CA19A0A}" sibTransId="{3045F446-7B67-41C9-876C-B5738C7DE13B}"/>
    <dgm:cxn modelId="{B4424420-10B5-4991-8595-656B29C51D96}" type="presOf" srcId="{5FBFF4CB-6D61-4903-AE35-5198C15679CD}" destId="{03EC9564-8A28-401E-B9C6-992EA8B7778E}" srcOrd="0" destOrd="0" presId="urn:microsoft.com/office/officeart/2005/8/layout/chevron2"/>
    <dgm:cxn modelId="{BFBA3826-7430-48F9-AB91-1ABF81E1C449}" srcId="{7680425C-36E1-43EC-877D-634B88B1F8BC}" destId="{6161273B-8538-4209-93A4-C2355D48D3AD}" srcOrd="1" destOrd="0" parTransId="{84557D97-9FA6-4A3C-9B31-6B7CA62A1A0F}" sibTransId="{9B44B7B9-AD0D-4D24-B7B4-60CBE1945B1A}"/>
    <dgm:cxn modelId="{AAF1402A-1A0E-413B-8D3C-84C02E3A42B0}" srcId="{5FBFF4CB-6D61-4903-AE35-5198C15679CD}" destId="{03A56EA5-D4F8-4EC6-A14C-572AC494B0C9}" srcOrd="2" destOrd="0" parTransId="{9665ED9F-2288-437D-99A4-366F2D55DD0C}" sibTransId="{C468CF5B-0037-400D-9873-19ED91BD535B}"/>
    <dgm:cxn modelId="{E1BD933C-2747-4C2D-A9C9-3436D32C6BA7}" srcId="{5FBFF4CB-6D61-4903-AE35-5198C15679CD}" destId="{B9CCAEE6-DBF1-4A58-8283-55F145B2D95D}" srcOrd="0" destOrd="0" parTransId="{94BBAF7D-C258-49D8-A6F3-26F8D3D6C05F}" sibTransId="{B1F520B9-6E12-499B-8CFA-707BDE48DA93}"/>
    <dgm:cxn modelId="{5D7D4542-1908-4FFC-9D66-0E5BE8AB3601}" srcId="{B9CCAEE6-DBF1-4A58-8283-55F145B2D95D}" destId="{A49A0C08-792D-40F2-963C-0206C34A8748}" srcOrd="0" destOrd="0" parTransId="{4F8DFD97-C1DD-4D78-88C3-A949F82100AC}" sibTransId="{03A841B2-3F11-4DDF-BA04-D2B7282D325F}"/>
    <dgm:cxn modelId="{BEEA3143-7A6C-410E-8A24-3DB47B4BC470}" type="presOf" srcId="{BD00F985-5BF1-406F-B8A6-E69E74DCC2D0}" destId="{2C059829-FA43-4B35-828E-A42751D5BE0E}" srcOrd="0" destOrd="0" presId="urn:microsoft.com/office/officeart/2005/8/layout/chevron2"/>
    <dgm:cxn modelId="{F3E23064-6645-46A3-9FD8-A9FD0DA5893E}" srcId="{BD00F985-5BF1-406F-B8A6-E69E74DCC2D0}" destId="{C92D4F64-54DA-480C-BCE1-9FB85BBDBD28}" srcOrd="1" destOrd="0" parTransId="{34FC9B6B-3317-48F8-8F4A-BD0FBDE3B13C}" sibTransId="{358A23D5-F96C-4461-B278-63D5E684A175}"/>
    <dgm:cxn modelId="{4E515B48-A51D-4695-87FE-B7A867797F36}" type="presOf" srcId="{03A56EA5-D4F8-4EC6-A14C-572AC494B0C9}" destId="{4E846E43-CFA7-42C4-9D36-63725B338952}" srcOrd="0" destOrd="0" presId="urn:microsoft.com/office/officeart/2005/8/layout/chevron2"/>
    <dgm:cxn modelId="{C9B3BC6C-0097-4234-A5F1-86AA400FC3EC}" type="presOf" srcId="{7680425C-36E1-43EC-877D-634B88B1F8BC}" destId="{29506806-400B-403D-8F74-34021F55C601}" srcOrd="0" destOrd="0" presId="urn:microsoft.com/office/officeart/2005/8/layout/chevron2"/>
    <dgm:cxn modelId="{BF1D3455-FBA0-47D9-AD6E-13B86E8F86F6}" srcId="{7680425C-36E1-43EC-877D-634B88B1F8BC}" destId="{AE732180-FA6B-4959-97B2-CFF254F928C8}" srcOrd="2" destOrd="0" parTransId="{9964B640-41BB-4E51-B5FE-875639E1E335}" sibTransId="{B1597D36-2703-4B8F-927C-41648ED264EC}"/>
    <dgm:cxn modelId="{2B465056-B735-45D9-A366-5C56B65798BD}" type="presOf" srcId="{C92D4F64-54DA-480C-BCE1-9FB85BBDBD28}" destId="{2C059829-FA43-4B35-828E-A42751D5BE0E}" srcOrd="0" destOrd="2" presId="urn:microsoft.com/office/officeart/2005/8/layout/chevron2"/>
    <dgm:cxn modelId="{314AB277-FB25-4EF7-994F-7A33092E3AA5}" type="presOf" srcId="{AE732180-FA6B-4959-97B2-CFF254F928C8}" destId="{29506806-400B-403D-8F74-34021F55C601}" srcOrd="0" destOrd="3" presId="urn:microsoft.com/office/officeart/2005/8/layout/chevron2"/>
    <dgm:cxn modelId="{94EC8559-04F0-4F0D-B52E-D5B6FF390F58}" type="presOf" srcId="{6161273B-8538-4209-93A4-C2355D48D3AD}" destId="{29506806-400B-403D-8F74-34021F55C601}" srcOrd="0" destOrd="2" presId="urn:microsoft.com/office/officeart/2005/8/layout/chevron2"/>
    <dgm:cxn modelId="{F86A3493-BC02-4B63-ADFE-CE9ADC4E4390}" srcId="{7680425C-36E1-43EC-877D-634B88B1F8BC}" destId="{3C1543B5-7FF6-4E5F-93FA-FA497D7CA727}" srcOrd="0" destOrd="0" parTransId="{2203E417-D9C4-402B-9C6D-BE4A80BB0143}" sibTransId="{3E820E41-2F03-4E85-8315-457FC40DE3D8}"/>
    <dgm:cxn modelId="{A0136895-5402-4FAC-9B7C-1836421F7442}" srcId="{03A56EA5-D4F8-4EC6-A14C-572AC494B0C9}" destId="{BD00F985-5BF1-406F-B8A6-E69E74DCC2D0}" srcOrd="0" destOrd="0" parTransId="{3160FA2A-57C6-4076-BC39-3710EE8D9636}" sibTransId="{E6C88FBB-B0B4-451D-8645-BE5DCF0E94A1}"/>
    <dgm:cxn modelId="{011D3E9B-0CF3-4866-A7D5-7E624E2C0E40}" type="presOf" srcId="{93F6ED90-DE5E-4C60-B4BD-9272BF069B9C}" destId="{7F15AAFB-C41D-4E5C-8958-7E3A1351D8D6}" srcOrd="0" destOrd="4" presId="urn:microsoft.com/office/officeart/2005/8/layout/chevron2"/>
    <dgm:cxn modelId="{15B7CFA5-32B6-4E47-8378-570EB2C152E0}" srcId="{A49A0C08-792D-40F2-963C-0206C34A8748}" destId="{45CFA25F-971B-47DE-B908-8A1262EE1320}" srcOrd="1" destOrd="0" parTransId="{748F79D9-6C32-4CC0-9DE3-3FE1D54EAC61}" sibTransId="{971B66EC-6520-467B-9A5F-612CBF104027}"/>
    <dgm:cxn modelId="{66809AAC-7C51-4C77-916E-DC7F939F5BA4}" srcId="{0D8E6E9E-A844-4D17-986B-509517868F17}" destId="{7680425C-36E1-43EC-877D-634B88B1F8BC}" srcOrd="0" destOrd="0" parTransId="{BC3031BC-DE09-4FD9-96AA-50F51DB1AD5A}" sibTransId="{E2B54A47-CC3E-4764-A796-F99B98045754}"/>
    <dgm:cxn modelId="{BC620BB4-80AC-4F33-9A63-7DB826C81791}" type="presOf" srcId="{3C1543B5-7FF6-4E5F-93FA-FA497D7CA727}" destId="{29506806-400B-403D-8F74-34021F55C601}" srcOrd="0" destOrd="1" presId="urn:microsoft.com/office/officeart/2005/8/layout/chevron2"/>
    <dgm:cxn modelId="{70C96CB6-7A18-442E-8A29-B029749AF5E7}" srcId="{A49A0C08-792D-40F2-963C-0206C34A8748}" destId="{93F6ED90-DE5E-4C60-B4BD-9272BF069B9C}" srcOrd="3" destOrd="0" parTransId="{2AE256DF-92D5-4947-A5D4-3A0FF6FE8A88}" sibTransId="{1CEB2C6E-432F-43BE-B639-ECE177EBC5B2}"/>
    <dgm:cxn modelId="{3D21A6BB-6CC8-4F5A-90DE-9CE2435BF243}" type="presOf" srcId="{88C32BA9-F59C-4213-AA4C-DC1C81195C36}" destId="{7F15AAFB-C41D-4E5C-8958-7E3A1351D8D6}" srcOrd="0" destOrd="1" presId="urn:microsoft.com/office/officeart/2005/8/layout/chevron2"/>
    <dgm:cxn modelId="{578DBDD0-A702-4C30-9749-EBD561F77429}" type="presOf" srcId="{74F6701F-3794-46D8-B467-2A06CD453442}" destId="{2C059829-FA43-4B35-828E-A42751D5BE0E}" srcOrd="0" destOrd="1" presId="urn:microsoft.com/office/officeart/2005/8/layout/chevron2"/>
    <dgm:cxn modelId="{E1458AE2-E420-4CB1-A0F8-755C7444EB3D}" type="presOf" srcId="{C7FC55D6-6B8F-4819-AFE7-1F604745E109}" destId="{7F15AAFB-C41D-4E5C-8958-7E3A1351D8D6}" srcOrd="0" destOrd="3" presId="urn:microsoft.com/office/officeart/2005/8/layout/chevron2"/>
    <dgm:cxn modelId="{87C601F0-C3AE-47F8-958E-B73837F2DF5D}" srcId="{BD00F985-5BF1-406F-B8A6-E69E74DCC2D0}" destId="{74F6701F-3794-46D8-B467-2A06CD453442}" srcOrd="0" destOrd="0" parTransId="{4373CC5E-2261-4C31-8642-BD87C17D6EB9}" sibTransId="{E1B59FC9-7900-43D8-A93E-8768B715EA31}"/>
    <dgm:cxn modelId="{E2E0FEF9-11FE-4C68-826E-E0B04077184B}" type="presOf" srcId="{A49A0C08-792D-40F2-963C-0206C34A8748}" destId="{7F15AAFB-C41D-4E5C-8958-7E3A1351D8D6}" srcOrd="0" destOrd="0" presId="urn:microsoft.com/office/officeart/2005/8/layout/chevron2"/>
    <dgm:cxn modelId="{160DC113-B3AD-47E3-B267-692BB5AE9FC9}" type="presParOf" srcId="{03EC9564-8A28-401E-B9C6-992EA8B7778E}" destId="{F9C4B97F-0B04-4C52-AB79-10D0B5F7047E}" srcOrd="0" destOrd="0" presId="urn:microsoft.com/office/officeart/2005/8/layout/chevron2"/>
    <dgm:cxn modelId="{8D2A13C8-5017-4BBB-937E-E0689C1F9FCA}" type="presParOf" srcId="{F9C4B97F-0B04-4C52-AB79-10D0B5F7047E}" destId="{C41B02D8-8A1D-42B6-9D65-A25EB00D6AA5}" srcOrd="0" destOrd="0" presId="urn:microsoft.com/office/officeart/2005/8/layout/chevron2"/>
    <dgm:cxn modelId="{5DECF8AF-D642-45E9-B618-D53767D67583}" type="presParOf" srcId="{F9C4B97F-0B04-4C52-AB79-10D0B5F7047E}" destId="{7F15AAFB-C41D-4E5C-8958-7E3A1351D8D6}" srcOrd="1" destOrd="0" presId="urn:microsoft.com/office/officeart/2005/8/layout/chevron2"/>
    <dgm:cxn modelId="{2E357276-765A-40B9-8064-FCAC3A7229CC}" type="presParOf" srcId="{03EC9564-8A28-401E-B9C6-992EA8B7778E}" destId="{67ACF56A-E9AD-4993-99B8-4B026BCF96B7}" srcOrd="1" destOrd="0" presId="urn:microsoft.com/office/officeart/2005/8/layout/chevron2"/>
    <dgm:cxn modelId="{CDE6B994-6A22-4FAF-8D8B-CFABC91151B7}" type="presParOf" srcId="{03EC9564-8A28-401E-B9C6-992EA8B7778E}" destId="{FC74235A-250D-499B-ACB3-0D72E2C3BDF7}" srcOrd="2" destOrd="0" presId="urn:microsoft.com/office/officeart/2005/8/layout/chevron2"/>
    <dgm:cxn modelId="{4E2A68B1-39DA-49E4-984F-7663BB9A268D}" type="presParOf" srcId="{FC74235A-250D-499B-ACB3-0D72E2C3BDF7}" destId="{02854CE8-8D42-4870-A4B2-C197234DDB8D}" srcOrd="0" destOrd="0" presId="urn:microsoft.com/office/officeart/2005/8/layout/chevron2"/>
    <dgm:cxn modelId="{A30E3A99-8D04-4A49-A466-84C54A75B449}" type="presParOf" srcId="{FC74235A-250D-499B-ACB3-0D72E2C3BDF7}" destId="{29506806-400B-403D-8F74-34021F55C601}" srcOrd="1" destOrd="0" presId="urn:microsoft.com/office/officeart/2005/8/layout/chevron2"/>
    <dgm:cxn modelId="{F82FA9AF-FF01-4A03-BBA7-A33A1ABCEE77}" type="presParOf" srcId="{03EC9564-8A28-401E-B9C6-992EA8B7778E}" destId="{73E23A84-8C0B-4BBA-A83A-96661243AFEC}" srcOrd="3" destOrd="0" presId="urn:microsoft.com/office/officeart/2005/8/layout/chevron2"/>
    <dgm:cxn modelId="{F6967AD5-D0BC-47B2-B0D7-7F806573B99C}" type="presParOf" srcId="{03EC9564-8A28-401E-B9C6-992EA8B7778E}" destId="{09F3FFB6-AC82-48F0-AFE7-660406B796A4}" srcOrd="4" destOrd="0" presId="urn:microsoft.com/office/officeart/2005/8/layout/chevron2"/>
    <dgm:cxn modelId="{1A8582EA-7E06-4FD6-916A-EFFA6D8AE7AF}" type="presParOf" srcId="{09F3FFB6-AC82-48F0-AFE7-660406B796A4}" destId="{4E846E43-CFA7-42C4-9D36-63725B338952}" srcOrd="0" destOrd="0" presId="urn:microsoft.com/office/officeart/2005/8/layout/chevron2"/>
    <dgm:cxn modelId="{454A16AB-32B8-4D2B-A648-9C397FEE7952}" type="presParOf" srcId="{09F3FFB6-AC82-48F0-AFE7-660406B796A4}" destId="{2C059829-FA43-4B35-828E-A42751D5BE0E}" srcOrd="1" destOrd="0" presId="urn:microsoft.com/office/officeart/2005/8/layout/chevron2"/>
  </dgm:cxnLst>
  <dgm:bg/>
  <dgm:whole/>
  <dgm:extLst>
    <a:ext uri="http://schemas.microsoft.com/office/drawing/2008/diagram">
      <dsp:dataModelExt xmlns:dsp="http://schemas.microsoft.com/office/drawing/2008/diagram" relId="rId10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FBFF4CB-6D61-4903-AE35-5198C15679CD}" type="doc">
      <dgm:prSet loTypeId="urn:microsoft.com/office/officeart/2005/8/layout/chevron2" loCatId="list" qsTypeId="urn:microsoft.com/office/officeart/2005/8/quickstyle/simple1" qsCatId="simple" csTypeId="urn:microsoft.com/office/officeart/2005/8/colors/accent1_4" csCatId="accent1" phldr="1"/>
      <dgm:spPr/>
      <dgm:t>
        <a:bodyPr/>
        <a:lstStyle/>
        <a:p>
          <a:endParaRPr lang="es-GT"/>
        </a:p>
      </dgm:t>
    </dgm:pt>
    <dgm:pt modelId="{B9CCAEE6-DBF1-4A58-8283-55F145B2D95D}">
      <dgm:prSet phldrT="[Texto]" custT="1"/>
      <dgm:spPr>
        <a:xfrm rot="5400000">
          <a:off x="-203711" y="502646"/>
          <a:ext cx="1358078" cy="950654"/>
        </a:xfrm>
        <a:prstGeom prst="chevron">
          <a:avLst/>
        </a:prstGeom>
        <a:solidFill>
          <a:srgbClr val="4472C4">
            <a:shade val="50000"/>
            <a:hueOff val="0"/>
            <a:satOff val="0"/>
            <a:lumOff val="0"/>
            <a:alphaOff val="0"/>
          </a:srgbClr>
        </a:solidFill>
        <a:ln w="12700" cap="flat" cmpd="sng" algn="ctr">
          <a:solidFill>
            <a:srgbClr val="5B9BD5">
              <a:lumMod val="50000"/>
            </a:srgbClr>
          </a:solidFill>
          <a:prstDash val="solid"/>
          <a:miter lim="800000"/>
        </a:ln>
        <a:effectLst/>
      </dgm:spPr>
      <dgm:t>
        <a:bodyPr/>
        <a:lstStyle/>
        <a:p>
          <a:pPr>
            <a:buNone/>
          </a:pPr>
          <a:r>
            <a:rPr lang="es-GT" sz="900" b="1">
              <a:solidFill>
                <a:sysClr val="window" lastClr="FFFFFF"/>
              </a:solidFill>
              <a:latin typeface="Times New Roman" panose="02020603050405020304" pitchFamily="18" charset="0"/>
              <a:ea typeface="+mn-ea"/>
              <a:cs typeface="Times New Roman" panose="02020603050405020304" pitchFamily="18" charset="0"/>
            </a:rPr>
            <a:t>Gas Propano (Q570 millones)</a:t>
          </a:r>
        </a:p>
      </dgm:t>
    </dgm:pt>
    <dgm:pt modelId="{94BBAF7D-C258-49D8-A6F3-26F8D3D6C05F}" type="parTrans" cxnId="{E1BD933C-2747-4C2D-A9C9-3436D32C6BA7}">
      <dgm:prSet/>
      <dgm:spPr/>
      <dgm:t>
        <a:bodyPr/>
        <a:lstStyle/>
        <a:p>
          <a:endParaRPr lang="es-GT" sz="1600"/>
        </a:p>
      </dgm:t>
    </dgm:pt>
    <dgm:pt modelId="{B1F520B9-6E12-499B-8CFA-707BDE48DA93}" type="sibTrans" cxnId="{E1BD933C-2747-4C2D-A9C9-3436D32C6BA7}">
      <dgm:prSet/>
      <dgm:spPr/>
      <dgm:t>
        <a:bodyPr/>
        <a:lstStyle/>
        <a:p>
          <a:endParaRPr lang="es-GT" sz="1600"/>
        </a:p>
      </dgm:t>
    </dgm:pt>
    <dgm:pt modelId="{A49A0C08-792D-40F2-963C-0206C34A8748}">
      <dgm:prSet phldrT="[Texto]" custT="1"/>
      <dgm:spPr>
        <a:xfrm rot="5400000">
          <a:off x="2539546" y="-1527330"/>
          <a:ext cx="1357960"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0"/>
              <a:satOff val="0"/>
              <a:lumOff val="0"/>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Se aprobaron 5 decretos (15-2021, 17-2022, 33-2022, 45-2022 y 55-2022) de apoyo temporal a los consumidores de gas propano, manteniéndose las condiciones del subsidio en cada decreto:</a:t>
          </a:r>
        </a:p>
      </dgm:t>
    </dgm:pt>
    <dgm:pt modelId="{4F8DFD97-C1DD-4D78-88C3-A949F82100AC}" type="parTrans" cxnId="{5D7D4542-1908-4FFC-9D66-0E5BE8AB3601}">
      <dgm:prSet/>
      <dgm:spPr/>
      <dgm:t>
        <a:bodyPr/>
        <a:lstStyle/>
        <a:p>
          <a:endParaRPr lang="es-GT" sz="1600"/>
        </a:p>
      </dgm:t>
    </dgm:pt>
    <dgm:pt modelId="{03A841B2-3F11-4DDF-BA04-D2B7282D325F}" type="sibTrans" cxnId="{5D7D4542-1908-4FFC-9D66-0E5BE8AB3601}">
      <dgm:prSet/>
      <dgm:spPr/>
      <dgm:t>
        <a:bodyPr/>
        <a:lstStyle/>
        <a:p>
          <a:endParaRPr lang="es-GT" sz="1600"/>
        </a:p>
      </dgm:t>
    </dgm:pt>
    <dgm:pt modelId="{0D8E6E9E-A844-4D17-986B-509517868F17}">
      <dgm:prSet phldrT="[Texto]" custT="1"/>
      <dgm:spPr>
        <a:xfrm rot="5400000">
          <a:off x="-203711" y="1938575"/>
          <a:ext cx="1358078" cy="950654"/>
        </a:xfrm>
        <a:prstGeom prst="chevron">
          <a:avLst/>
        </a:prstGeom>
        <a:solidFill>
          <a:srgbClr val="4472C4">
            <a:shade val="50000"/>
            <a:hueOff val="268329"/>
            <a:satOff val="-6535"/>
            <a:lumOff val="28597"/>
            <a:alphaOff val="0"/>
          </a:srgbClr>
        </a:solidFill>
        <a:ln w="12700" cap="flat" cmpd="sng" algn="ctr">
          <a:solidFill>
            <a:srgbClr val="5B9BD5">
              <a:lumMod val="50000"/>
            </a:srgbClr>
          </a:solidFill>
          <a:prstDash val="solid"/>
          <a:miter lim="800000"/>
        </a:ln>
        <a:effectLst/>
      </dgm:spPr>
      <dgm:t>
        <a:bodyPr/>
        <a:lstStyle/>
        <a:p>
          <a:pPr>
            <a:buNone/>
          </a:pPr>
          <a:r>
            <a:rPr lang="es-GT" sz="800" b="1">
              <a:solidFill>
                <a:sysClr val="window" lastClr="FFFFFF"/>
              </a:solidFill>
              <a:latin typeface="Times New Roman" panose="02020603050405020304" pitchFamily="18" charset="0"/>
              <a:ea typeface="+mn-ea"/>
              <a:cs typeface="Times New Roman" panose="02020603050405020304" pitchFamily="18" charset="0"/>
            </a:rPr>
            <a:t>Combustibles (Q2,460 millones)</a:t>
          </a:r>
        </a:p>
      </dgm:t>
    </dgm:pt>
    <dgm:pt modelId="{889C9C2A-46CA-44C1-AB8D-FB74A668E6EA}" type="parTrans" cxnId="{0ECBB813-3DB4-45CA-809B-DB0582559F98}">
      <dgm:prSet/>
      <dgm:spPr/>
      <dgm:t>
        <a:bodyPr/>
        <a:lstStyle/>
        <a:p>
          <a:endParaRPr lang="es-GT" sz="1600"/>
        </a:p>
      </dgm:t>
    </dgm:pt>
    <dgm:pt modelId="{2DD62AEE-FCDB-494C-9A1C-886252C6C56A}" type="sibTrans" cxnId="{0ECBB813-3DB4-45CA-809B-DB0582559F98}">
      <dgm:prSet/>
      <dgm:spPr/>
      <dgm:t>
        <a:bodyPr/>
        <a:lstStyle/>
        <a:p>
          <a:endParaRPr lang="es-GT" sz="1600"/>
        </a:p>
      </dgm:t>
    </dgm:pt>
    <dgm:pt modelId="{7680425C-36E1-43EC-877D-634B88B1F8BC}">
      <dgm:prSet phldrT="[Texto]" custT="1"/>
      <dgm:spPr>
        <a:xfrm rot="5400000">
          <a:off x="2539903" y="-91633"/>
          <a:ext cx="1357247"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268329"/>
              <a:satOff val="-6535"/>
              <a:lumOff val="28597"/>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Se aprobaron 3 decretos:</a:t>
          </a:r>
        </a:p>
      </dgm:t>
    </dgm:pt>
    <dgm:pt modelId="{BC3031BC-DE09-4FD9-96AA-50F51DB1AD5A}" type="parTrans" cxnId="{66809AAC-7C51-4C77-916E-DC7F939F5BA4}">
      <dgm:prSet/>
      <dgm:spPr/>
      <dgm:t>
        <a:bodyPr/>
        <a:lstStyle/>
        <a:p>
          <a:endParaRPr lang="es-GT" sz="1600"/>
        </a:p>
      </dgm:t>
    </dgm:pt>
    <dgm:pt modelId="{E2B54A47-CC3E-4764-A796-F99B98045754}" type="sibTrans" cxnId="{66809AAC-7C51-4C77-916E-DC7F939F5BA4}">
      <dgm:prSet/>
      <dgm:spPr/>
      <dgm:t>
        <a:bodyPr/>
        <a:lstStyle/>
        <a:p>
          <a:endParaRPr lang="es-GT" sz="1600"/>
        </a:p>
      </dgm:t>
    </dgm:pt>
    <dgm:pt modelId="{03A56EA5-D4F8-4EC6-A14C-572AC494B0C9}">
      <dgm:prSet phldrT="[Texto]" custT="1"/>
      <dgm:spPr>
        <a:xfrm rot="5400000">
          <a:off x="-203711" y="3348110"/>
          <a:ext cx="1358078" cy="950654"/>
        </a:xfrm>
        <a:prstGeom prst="chevron">
          <a:avLst/>
        </a:prstGeom>
        <a:solidFill>
          <a:srgbClr val="5B9BD5">
            <a:lumMod val="50000"/>
          </a:srgbClr>
        </a:solidFill>
        <a:ln w="12700" cap="flat" cmpd="sng" algn="ctr">
          <a:solidFill>
            <a:srgbClr val="5B9BD5">
              <a:lumMod val="50000"/>
            </a:srgbClr>
          </a:solidFill>
          <a:prstDash val="solid"/>
          <a:miter lim="800000"/>
        </a:ln>
        <a:effectLst/>
      </dgm:spPr>
      <dgm:t>
        <a:bodyPr/>
        <a:lstStyle/>
        <a:p>
          <a:pPr>
            <a:buNone/>
          </a:pPr>
          <a:endParaRPr lang="es-GT" sz="1000" b="1">
            <a:solidFill>
              <a:sysClr val="window" lastClr="FFFFFF"/>
            </a:solidFill>
            <a:latin typeface="Calibri" panose="020F0502020204030204"/>
            <a:ea typeface="+mn-ea"/>
            <a:cs typeface="+mn-cs"/>
          </a:endParaRPr>
        </a:p>
        <a:p>
          <a:pPr>
            <a:buNone/>
          </a:pPr>
          <a:r>
            <a:rPr lang="es-GT" sz="800" b="1">
              <a:solidFill>
                <a:sysClr val="window" lastClr="FFFFFF"/>
              </a:solidFill>
              <a:latin typeface="Times New Roman" panose="02020603050405020304" pitchFamily="18" charset="0"/>
              <a:ea typeface="+mn-ea"/>
              <a:cs typeface="Times New Roman" panose="02020603050405020304" pitchFamily="18" charset="0"/>
            </a:rPr>
            <a:t>Tarifa Social Energía Eléctrica (Q227.5 millones)</a:t>
          </a:r>
        </a:p>
      </dgm:t>
    </dgm:pt>
    <dgm:pt modelId="{9665ED9F-2288-437D-99A4-366F2D55DD0C}" type="parTrans" cxnId="{AAF1402A-1A0E-413B-8D3C-84C02E3A42B0}">
      <dgm:prSet/>
      <dgm:spPr/>
      <dgm:t>
        <a:bodyPr/>
        <a:lstStyle/>
        <a:p>
          <a:endParaRPr lang="es-GT" sz="1600"/>
        </a:p>
      </dgm:t>
    </dgm:pt>
    <dgm:pt modelId="{C468CF5B-0037-400D-9873-19ED91BD535B}" type="sibTrans" cxnId="{AAF1402A-1A0E-413B-8D3C-84C02E3A42B0}">
      <dgm:prSet/>
      <dgm:spPr/>
      <dgm:t>
        <a:bodyPr/>
        <a:lstStyle/>
        <a:p>
          <a:endParaRPr lang="es-GT" sz="1600"/>
        </a:p>
      </dgm:t>
    </dgm:pt>
    <dgm:pt modelId="{BD00F985-5BF1-406F-B8A6-E69E74DCC2D0}">
      <dgm:prSet phldrT="[Texto]" custT="1"/>
      <dgm:spPr>
        <a:xfrm rot="5400000">
          <a:off x="2566298" y="1317901"/>
          <a:ext cx="1304458"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268329"/>
              <a:satOff val="-6535"/>
              <a:lumOff val="28597"/>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Se aprobaron 2 decretos para el fortalecimiento al aporte social de la tarifa eléctrica, anteriormente la tarifa social unicamente aplicaba a rangos de consumo de 1 a 88 kWh:</a:t>
          </a:r>
        </a:p>
      </dgm:t>
    </dgm:pt>
    <dgm:pt modelId="{3160FA2A-57C6-4076-BC39-3710EE8D9636}" type="parTrans" cxnId="{A0136895-5402-4FAC-9B7C-1836421F7442}">
      <dgm:prSet/>
      <dgm:spPr/>
      <dgm:t>
        <a:bodyPr/>
        <a:lstStyle/>
        <a:p>
          <a:endParaRPr lang="es-GT" sz="1600"/>
        </a:p>
      </dgm:t>
    </dgm:pt>
    <dgm:pt modelId="{E6C88FBB-B0B4-451D-8645-BE5DCF0E94A1}" type="sibTrans" cxnId="{A0136895-5402-4FAC-9B7C-1836421F7442}">
      <dgm:prSet/>
      <dgm:spPr/>
      <dgm:t>
        <a:bodyPr/>
        <a:lstStyle/>
        <a:p>
          <a:endParaRPr lang="es-GT" sz="1600"/>
        </a:p>
      </dgm:t>
    </dgm:pt>
    <dgm:pt modelId="{45CFA25F-971B-47DE-B908-8A1262EE1320}">
      <dgm:prSet phldrT="[Texto]" custT="1"/>
      <dgm:spPr>
        <a:xfrm rot="5400000">
          <a:off x="2539546" y="-1527330"/>
          <a:ext cx="1357960"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0"/>
              <a:satOff val="0"/>
              <a:lumOff val="0"/>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20 libras - Q16.00</a:t>
          </a:r>
        </a:p>
      </dgm:t>
    </dgm:pt>
    <dgm:pt modelId="{971B66EC-6520-467B-9A5F-612CBF104027}" type="sibTrans" cxnId="{15B7CFA5-32B6-4E47-8378-570EB2C152E0}">
      <dgm:prSet/>
      <dgm:spPr/>
      <dgm:t>
        <a:bodyPr/>
        <a:lstStyle/>
        <a:p>
          <a:endParaRPr lang="es-GT" sz="1600"/>
        </a:p>
      </dgm:t>
    </dgm:pt>
    <dgm:pt modelId="{748F79D9-6C32-4CC0-9DE3-3FE1D54EAC61}" type="parTrans" cxnId="{15B7CFA5-32B6-4E47-8378-570EB2C152E0}">
      <dgm:prSet/>
      <dgm:spPr/>
      <dgm:t>
        <a:bodyPr/>
        <a:lstStyle/>
        <a:p>
          <a:endParaRPr lang="es-GT" sz="1600"/>
        </a:p>
      </dgm:t>
    </dgm:pt>
    <dgm:pt modelId="{C7FC55D6-6B8F-4819-AFE7-1F604745E109}">
      <dgm:prSet phldrT="[Texto]" custT="1"/>
      <dgm:spPr>
        <a:xfrm rot="5400000">
          <a:off x="2539546" y="-1527330"/>
          <a:ext cx="1357960"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0"/>
              <a:satOff val="0"/>
              <a:lumOff val="0"/>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25 libras - Q20.00</a:t>
          </a:r>
        </a:p>
      </dgm:t>
    </dgm:pt>
    <dgm:pt modelId="{57DE69A8-5EA9-48D7-B578-6F5975BF72EF}" type="sibTrans" cxnId="{49C60116-26E1-4180-BFB8-BDCBF32B1A45}">
      <dgm:prSet/>
      <dgm:spPr/>
      <dgm:t>
        <a:bodyPr/>
        <a:lstStyle/>
        <a:p>
          <a:endParaRPr lang="es-GT" sz="1600"/>
        </a:p>
      </dgm:t>
    </dgm:pt>
    <dgm:pt modelId="{27305780-F8B2-451F-8CA6-C3BBD1BE17F2}" type="parTrans" cxnId="{49C60116-26E1-4180-BFB8-BDCBF32B1A45}">
      <dgm:prSet/>
      <dgm:spPr/>
      <dgm:t>
        <a:bodyPr/>
        <a:lstStyle/>
        <a:p>
          <a:endParaRPr lang="es-GT" sz="1600"/>
        </a:p>
      </dgm:t>
    </dgm:pt>
    <dgm:pt modelId="{93F6ED90-DE5E-4C60-B4BD-9272BF069B9C}">
      <dgm:prSet phldrT="[Texto]" custT="1"/>
      <dgm:spPr>
        <a:xfrm rot="5400000">
          <a:off x="2539546" y="-1527330"/>
          <a:ext cx="1357960"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0"/>
              <a:satOff val="0"/>
              <a:lumOff val="0"/>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35 libras - Q28.00</a:t>
          </a:r>
        </a:p>
      </dgm:t>
    </dgm:pt>
    <dgm:pt modelId="{1CEB2C6E-432F-43BE-B639-ECE177EBC5B2}" type="sibTrans" cxnId="{70C96CB6-7A18-442E-8A29-B029749AF5E7}">
      <dgm:prSet/>
      <dgm:spPr/>
      <dgm:t>
        <a:bodyPr/>
        <a:lstStyle/>
        <a:p>
          <a:endParaRPr lang="es-GT" sz="1600"/>
        </a:p>
      </dgm:t>
    </dgm:pt>
    <dgm:pt modelId="{2AE256DF-92D5-4947-A5D4-3A0FF6FE8A88}" type="parTrans" cxnId="{70C96CB6-7A18-442E-8A29-B029749AF5E7}">
      <dgm:prSet/>
      <dgm:spPr/>
      <dgm:t>
        <a:bodyPr/>
        <a:lstStyle/>
        <a:p>
          <a:endParaRPr lang="es-GT" sz="1600"/>
        </a:p>
      </dgm:t>
    </dgm:pt>
    <dgm:pt modelId="{88C32BA9-F59C-4213-AA4C-DC1C81195C36}">
      <dgm:prSet phldrT="[Texto]" custT="1"/>
      <dgm:spPr>
        <a:xfrm rot="5400000">
          <a:off x="2539546" y="-1527330"/>
          <a:ext cx="1357960"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0"/>
              <a:satOff val="0"/>
              <a:lumOff val="0"/>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10 libras - Q8.00</a:t>
          </a:r>
        </a:p>
      </dgm:t>
    </dgm:pt>
    <dgm:pt modelId="{3CD4CA2E-3E56-4E73-A29F-83B29CA19A0A}" type="parTrans" cxnId="{118E2F1E-C342-480E-9389-E1E3D9C612C4}">
      <dgm:prSet/>
      <dgm:spPr/>
      <dgm:t>
        <a:bodyPr/>
        <a:lstStyle/>
        <a:p>
          <a:endParaRPr lang="es-GT" sz="1600"/>
        </a:p>
      </dgm:t>
    </dgm:pt>
    <dgm:pt modelId="{3045F446-7B67-41C9-876C-B5738C7DE13B}" type="sibTrans" cxnId="{118E2F1E-C342-480E-9389-E1E3D9C612C4}">
      <dgm:prSet/>
      <dgm:spPr/>
      <dgm:t>
        <a:bodyPr/>
        <a:lstStyle/>
        <a:p>
          <a:endParaRPr lang="es-GT" sz="1600"/>
        </a:p>
      </dgm:t>
    </dgm:pt>
    <dgm:pt modelId="{3C1543B5-7FF6-4E5F-93FA-FA497D7CA727}">
      <dgm:prSet phldrT="[Texto]" custT="1"/>
      <dgm:spPr>
        <a:xfrm rot="5400000">
          <a:off x="2539903" y="-91633"/>
          <a:ext cx="1357247"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268329"/>
              <a:satOff val="-6535"/>
              <a:lumOff val="28597"/>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Decreto 20-2022 considero un subsidio a los consumidores de diésel siendo Q5.00 por galon y Q2.50 a los consumidores de gasolina regular</a:t>
          </a:r>
        </a:p>
      </dgm:t>
    </dgm:pt>
    <dgm:pt modelId="{2203E417-D9C4-402B-9C6D-BE4A80BB0143}" type="parTrans" cxnId="{F86A3493-BC02-4B63-ADFE-CE9ADC4E4390}">
      <dgm:prSet/>
      <dgm:spPr/>
      <dgm:t>
        <a:bodyPr/>
        <a:lstStyle/>
        <a:p>
          <a:endParaRPr lang="es-GT" sz="1600"/>
        </a:p>
      </dgm:t>
    </dgm:pt>
    <dgm:pt modelId="{3E820E41-2F03-4E85-8315-457FC40DE3D8}" type="sibTrans" cxnId="{F86A3493-BC02-4B63-ADFE-CE9ADC4E4390}">
      <dgm:prSet/>
      <dgm:spPr/>
      <dgm:t>
        <a:bodyPr/>
        <a:lstStyle/>
        <a:p>
          <a:endParaRPr lang="es-GT" sz="1600"/>
        </a:p>
      </dgm:t>
    </dgm:pt>
    <dgm:pt modelId="{AE732180-FA6B-4959-97B2-CFF254F928C8}">
      <dgm:prSet phldrT="[Texto]" custT="1"/>
      <dgm:spPr>
        <a:xfrm rot="5400000">
          <a:off x="2539903" y="-91633"/>
          <a:ext cx="1357247"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268329"/>
              <a:satOff val="-6535"/>
              <a:lumOff val="28597"/>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Decreto 42-2022, en este decreto unicamente se considera al combustible diésel (Q5.00 por galón)  </a:t>
          </a:r>
        </a:p>
      </dgm:t>
    </dgm:pt>
    <dgm:pt modelId="{9964B640-41BB-4E51-B5FE-875639E1E335}" type="parTrans" cxnId="{BF1D3455-FBA0-47D9-AD6E-13B86E8F86F6}">
      <dgm:prSet/>
      <dgm:spPr/>
      <dgm:t>
        <a:bodyPr/>
        <a:lstStyle/>
        <a:p>
          <a:endParaRPr lang="es-GT" sz="1600"/>
        </a:p>
      </dgm:t>
    </dgm:pt>
    <dgm:pt modelId="{B1597D36-2703-4B8F-927C-41648ED264EC}" type="sibTrans" cxnId="{BF1D3455-FBA0-47D9-AD6E-13B86E8F86F6}">
      <dgm:prSet/>
      <dgm:spPr/>
      <dgm:t>
        <a:bodyPr/>
        <a:lstStyle/>
        <a:p>
          <a:endParaRPr lang="es-GT" sz="1600"/>
        </a:p>
      </dgm:t>
    </dgm:pt>
    <dgm:pt modelId="{74F6701F-3794-46D8-B467-2A06CD453442}">
      <dgm:prSet phldrT="[Texto]" custT="1"/>
      <dgm:spPr>
        <a:xfrm rot="5400000">
          <a:off x="2566298" y="1317901"/>
          <a:ext cx="1304458"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268329"/>
              <a:satOff val="-6535"/>
              <a:lumOff val="28597"/>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Decreto 25-2022, estuvo enfocado en usuarios regulados de distribución final de energía eléctrica que consuman mensualmente entre 89 kWh hasta 100 kWh al mes, pagando una tarifa de Q1.00 por kWh</a:t>
          </a:r>
        </a:p>
      </dgm:t>
    </dgm:pt>
    <dgm:pt modelId="{4373CC5E-2261-4C31-8642-BD87C17D6EB9}" type="parTrans" cxnId="{87C601F0-C3AE-47F8-958E-B73837F2DF5D}">
      <dgm:prSet/>
      <dgm:spPr/>
      <dgm:t>
        <a:bodyPr/>
        <a:lstStyle/>
        <a:p>
          <a:endParaRPr lang="es-GT" sz="1600"/>
        </a:p>
      </dgm:t>
    </dgm:pt>
    <dgm:pt modelId="{E1B59FC9-7900-43D8-A93E-8768B715EA31}" type="sibTrans" cxnId="{87C601F0-C3AE-47F8-958E-B73837F2DF5D}">
      <dgm:prSet/>
      <dgm:spPr/>
      <dgm:t>
        <a:bodyPr/>
        <a:lstStyle/>
        <a:p>
          <a:endParaRPr lang="es-GT" sz="1600"/>
        </a:p>
      </dgm:t>
    </dgm:pt>
    <dgm:pt modelId="{C92D4F64-54DA-480C-BCE1-9FB85BBDBD28}">
      <dgm:prSet phldrT="[Texto]" custT="1"/>
      <dgm:spPr>
        <a:xfrm rot="5400000">
          <a:off x="2566298" y="1317901"/>
          <a:ext cx="1304458"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268329"/>
              <a:satOff val="-6535"/>
              <a:lumOff val="28597"/>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Decreto 43-2022, amplia a los beneficiarios del aporte social a la energía eléctrica al cubrir a los usuarios regulados que consuman entre 101 kWh hasta 125 kWh. </a:t>
          </a:r>
        </a:p>
      </dgm:t>
    </dgm:pt>
    <dgm:pt modelId="{34FC9B6B-3317-48F8-8F4A-BD0FBDE3B13C}" type="parTrans" cxnId="{F3E23064-6645-46A3-9FD8-A9FD0DA5893E}">
      <dgm:prSet/>
      <dgm:spPr/>
      <dgm:t>
        <a:bodyPr/>
        <a:lstStyle/>
        <a:p>
          <a:endParaRPr lang="es-GT" sz="1600"/>
        </a:p>
      </dgm:t>
    </dgm:pt>
    <dgm:pt modelId="{358A23D5-F96C-4461-B278-63D5E684A175}" type="sibTrans" cxnId="{F3E23064-6645-46A3-9FD8-A9FD0DA5893E}">
      <dgm:prSet/>
      <dgm:spPr/>
      <dgm:t>
        <a:bodyPr/>
        <a:lstStyle/>
        <a:p>
          <a:endParaRPr lang="es-GT" sz="1600"/>
        </a:p>
      </dgm:t>
    </dgm:pt>
    <dgm:pt modelId="{6161273B-8538-4209-93A4-C2355D48D3AD}">
      <dgm:prSet phldrT="[Texto]" custT="1"/>
      <dgm:spPr>
        <a:xfrm rot="5400000">
          <a:off x="2539903" y="-91633"/>
          <a:ext cx="1357247" cy="4535745"/>
        </a:xfrm>
        <a:prstGeom prst="round2SameRect">
          <a:avLst/>
        </a:prstGeom>
        <a:solidFill>
          <a:sysClr val="window" lastClr="FFFFFF">
            <a:alpha val="90000"/>
            <a:hueOff val="0"/>
            <a:satOff val="0"/>
            <a:lumOff val="0"/>
            <a:alphaOff val="0"/>
          </a:sysClr>
        </a:solidFill>
        <a:ln w="12700" cap="flat" cmpd="sng" algn="ctr">
          <a:solidFill>
            <a:srgbClr val="4472C4">
              <a:shade val="50000"/>
              <a:hueOff val="268329"/>
              <a:satOff val="-6535"/>
              <a:lumOff val="28597"/>
              <a:alphaOff val="0"/>
            </a:srgbClr>
          </a:solidFill>
          <a:prstDash val="solid"/>
          <a:miter lim="800000"/>
        </a:ln>
        <a:effectLst/>
      </dgm:spPr>
      <dgm:t>
        <a:bodyPr/>
        <a:lstStyle/>
        <a:p>
          <a:pPr algn="just">
            <a:buChar char="•"/>
          </a:pPr>
          <a:r>
            <a:rPr lang="es-GT" sz="7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Decreto 28-2022, se amplió el apoyo temporal a los consumidores de diésel a Q7.00 por galón y gasolina regular Q5.00 por galón y se incluyó a la gasolina superior Q5.00 por galón</a:t>
          </a:r>
        </a:p>
      </dgm:t>
    </dgm:pt>
    <dgm:pt modelId="{84557D97-9FA6-4A3C-9B31-6B7CA62A1A0F}" type="parTrans" cxnId="{BFBA3826-7430-48F9-AB91-1ABF81E1C449}">
      <dgm:prSet/>
      <dgm:spPr/>
      <dgm:t>
        <a:bodyPr/>
        <a:lstStyle/>
        <a:p>
          <a:endParaRPr lang="es-GT" sz="1600"/>
        </a:p>
      </dgm:t>
    </dgm:pt>
    <dgm:pt modelId="{9B44B7B9-AD0D-4D24-B7B4-60CBE1945B1A}" type="sibTrans" cxnId="{BFBA3826-7430-48F9-AB91-1ABF81E1C449}">
      <dgm:prSet/>
      <dgm:spPr/>
      <dgm:t>
        <a:bodyPr/>
        <a:lstStyle/>
        <a:p>
          <a:endParaRPr lang="es-GT" sz="1600"/>
        </a:p>
      </dgm:t>
    </dgm:pt>
    <dgm:pt modelId="{03EC9564-8A28-401E-B9C6-992EA8B7778E}" type="pres">
      <dgm:prSet presAssocID="{5FBFF4CB-6D61-4903-AE35-5198C15679CD}" presName="linearFlow" presStyleCnt="0">
        <dgm:presLayoutVars>
          <dgm:dir/>
          <dgm:animLvl val="lvl"/>
          <dgm:resizeHandles val="exact"/>
        </dgm:presLayoutVars>
      </dgm:prSet>
      <dgm:spPr/>
    </dgm:pt>
    <dgm:pt modelId="{F9C4B97F-0B04-4C52-AB79-10D0B5F7047E}" type="pres">
      <dgm:prSet presAssocID="{B9CCAEE6-DBF1-4A58-8283-55F145B2D95D}" presName="composite" presStyleCnt="0"/>
      <dgm:spPr/>
    </dgm:pt>
    <dgm:pt modelId="{C41B02D8-8A1D-42B6-9D65-A25EB00D6AA5}" type="pres">
      <dgm:prSet presAssocID="{B9CCAEE6-DBF1-4A58-8283-55F145B2D95D}" presName="parentText" presStyleLbl="alignNode1" presStyleIdx="0" presStyleCnt="3" custLinFactNeighborX="0" custLinFactNeighborY="-8609">
        <dgm:presLayoutVars>
          <dgm:chMax val="1"/>
          <dgm:bulletEnabled val="1"/>
        </dgm:presLayoutVars>
      </dgm:prSet>
      <dgm:spPr/>
    </dgm:pt>
    <dgm:pt modelId="{7F15AAFB-C41D-4E5C-8958-7E3A1351D8D6}" type="pres">
      <dgm:prSet presAssocID="{B9CCAEE6-DBF1-4A58-8283-55F145B2D95D}" presName="descendantText" presStyleLbl="alignAcc1" presStyleIdx="0" presStyleCnt="3" custScaleY="100000">
        <dgm:presLayoutVars>
          <dgm:bulletEnabled val="1"/>
        </dgm:presLayoutVars>
      </dgm:prSet>
      <dgm:spPr/>
    </dgm:pt>
    <dgm:pt modelId="{67ACF56A-E9AD-4993-99B8-4B026BCF96B7}" type="pres">
      <dgm:prSet presAssocID="{B1F520B9-6E12-499B-8CFA-707BDE48DA93}" presName="sp" presStyleCnt="0"/>
      <dgm:spPr/>
    </dgm:pt>
    <dgm:pt modelId="{FC74235A-250D-499B-ACB3-0D72E2C3BDF7}" type="pres">
      <dgm:prSet presAssocID="{0D8E6E9E-A844-4D17-986B-509517868F17}" presName="composite" presStyleCnt="0"/>
      <dgm:spPr/>
    </dgm:pt>
    <dgm:pt modelId="{02854CE8-8D42-4870-A4B2-C197234DDB8D}" type="pres">
      <dgm:prSet presAssocID="{0D8E6E9E-A844-4D17-986B-509517868F17}" presName="parentText" presStyleLbl="alignNode1" presStyleIdx="1" presStyleCnt="3" custLinFactNeighborX="0" custLinFactNeighborY="-15456">
        <dgm:presLayoutVars>
          <dgm:chMax val="1"/>
          <dgm:bulletEnabled val="1"/>
        </dgm:presLayoutVars>
      </dgm:prSet>
      <dgm:spPr/>
    </dgm:pt>
    <dgm:pt modelId="{29506806-400B-403D-8F74-34021F55C601}" type="pres">
      <dgm:prSet presAssocID="{0D8E6E9E-A844-4D17-986B-509517868F17}" presName="descendantText" presStyleLbl="alignAcc1" presStyleIdx="1" presStyleCnt="3" custScaleY="103099" custLinFactNeighborY="-25870">
        <dgm:presLayoutVars>
          <dgm:bulletEnabled val="1"/>
        </dgm:presLayoutVars>
      </dgm:prSet>
      <dgm:spPr/>
    </dgm:pt>
    <dgm:pt modelId="{73E23A84-8C0B-4BBA-A83A-96661243AFEC}" type="pres">
      <dgm:prSet presAssocID="{2DD62AEE-FCDB-494C-9A1C-886252C6C56A}" presName="sp" presStyleCnt="0"/>
      <dgm:spPr/>
    </dgm:pt>
    <dgm:pt modelId="{09F3FFB6-AC82-48F0-AFE7-660406B796A4}" type="pres">
      <dgm:prSet presAssocID="{03A56EA5-D4F8-4EC6-A14C-572AC494B0C9}" presName="composite" presStyleCnt="0"/>
      <dgm:spPr/>
    </dgm:pt>
    <dgm:pt modelId="{4E846E43-CFA7-42C4-9D36-63725B338952}" type="pres">
      <dgm:prSet presAssocID="{03A56EA5-D4F8-4EC6-A14C-572AC494B0C9}" presName="parentText" presStyleLbl="alignNode1" presStyleIdx="2" presStyleCnt="3" custLinFactNeighborX="0" custLinFactNeighborY="-31298">
        <dgm:presLayoutVars>
          <dgm:chMax val="1"/>
          <dgm:bulletEnabled val="1"/>
        </dgm:presLayoutVars>
      </dgm:prSet>
      <dgm:spPr/>
    </dgm:pt>
    <dgm:pt modelId="{2C059829-FA43-4B35-828E-A42751D5BE0E}" type="pres">
      <dgm:prSet presAssocID="{03A56EA5-D4F8-4EC6-A14C-572AC494B0C9}" presName="descendantText" presStyleLbl="alignAcc1" presStyleIdx="2" presStyleCnt="3" custScaleY="120032" custLinFactNeighborX="17" custLinFactNeighborY="-48979">
        <dgm:presLayoutVars>
          <dgm:bulletEnabled val="1"/>
        </dgm:presLayoutVars>
      </dgm:prSet>
      <dgm:spPr/>
    </dgm:pt>
  </dgm:ptLst>
  <dgm:cxnLst>
    <dgm:cxn modelId="{B0698201-B054-4258-9F5B-BAD67DEF44BB}" type="presOf" srcId="{B9CCAEE6-DBF1-4A58-8283-55F145B2D95D}" destId="{C41B02D8-8A1D-42B6-9D65-A25EB00D6AA5}" srcOrd="0" destOrd="0" presId="urn:microsoft.com/office/officeart/2005/8/layout/chevron2"/>
    <dgm:cxn modelId="{0C51A112-D125-4EAB-8B3E-B4E83D1B2361}" type="presOf" srcId="{0D8E6E9E-A844-4D17-986B-509517868F17}" destId="{02854CE8-8D42-4870-A4B2-C197234DDB8D}" srcOrd="0" destOrd="0" presId="urn:microsoft.com/office/officeart/2005/8/layout/chevron2"/>
    <dgm:cxn modelId="{0ECBB813-3DB4-45CA-809B-DB0582559F98}" srcId="{5FBFF4CB-6D61-4903-AE35-5198C15679CD}" destId="{0D8E6E9E-A844-4D17-986B-509517868F17}" srcOrd="1" destOrd="0" parTransId="{889C9C2A-46CA-44C1-AB8D-FB74A668E6EA}" sibTransId="{2DD62AEE-FCDB-494C-9A1C-886252C6C56A}"/>
    <dgm:cxn modelId="{49C60116-26E1-4180-BFB8-BDCBF32B1A45}" srcId="{A49A0C08-792D-40F2-963C-0206C34A8748}" destId="{C7FC55D6-6B8F-4819-AFE7-1F604745E109}" srcOrd="2" destOrd="0" parTransId="{27305780-F8B2-451F-8CA6-C3BBD1BE17F2}" sibTransId="{57DE69A8-5EA9-48D7-B578-6F5975BF72EF}"/>
    <dgm:cxn modelId="{994B0D1C-9D34-4EB6-9892-DFEABF17F25F}" type="presOf" srcId="{45CFA25F-971B-47DE-B908-8A1262EE1320}" destId="{7F15AAFB-C41D-4E5C-8958-7E3A1351D8D6}" srcOrd="0" destOrd="2" presId="urn:microsoft.com/office/officeart/2005/8/layout/chevron2"/>
    <dgm:cxn modelId="{118E2F1E-C342-480E-9389-E1E3D9C612C4}" srcId="{A49A0C08-792D-40F2-963C-0206C34A8748}" destId="{88C32BA9-F59C-4213-AA4C-DC1C81195C36}" srcOrd="0" destOrd="0" parTransId="{3CD4CA2E-3E56-4E73-A29F-83B29CA19A0A}" sibTransId="{3045F446-7B67-41C9-876C-B5738C7DE13B}"/>
    <dgm:cxn modelId="{B4424420-10B5-4991-8595-656B29C51D96}" type="presOf" srcId="{5FBFF4CB-6D61-4903-AE35-5198C15679CD}" destId="{03EC9564-8A28-401E-B9C6-992EA8B7778E}" srcOrd="0" destOrd="0" presId="urn:microsoft.com/office/officeart/2005/8/layout/chevron2"/>
    <dgm:cxn modelId="{BFBA3826-7430-48F9-AB91-1ABF81E1C449}" srcId="{7680425C-36E1-43EC-877D-634B88B1F8BC}" destId="{6161273B-8538-4209-93A4-C2355D48D3AD}" srcOrd="1" destOrd="0" parTransId="{84557D97-9FA6-4A3C-9B31-6B7CA62A1A0F}" sibTransId="{9B44B7B9-AD0D-4D24-B7B4-60CBE1945B1A}"/>
    <dgm:cxn modelId="{AAF1402A-1A0E-413B-8D3C-84C02E3A42B0}" srcId="{5FBFF4CB-6D61-4903-AE35-5198C15679CD}" destId="{03A56EA5-D4F8-4EC6-A14C-572AC494B0C9}" srcOrd="2" destOrd="0" parTransId="{9665ED9F-2288-437D-99A4-366F2D55DD0C}" sibTransId="{C468CF5B-0037-400D-9873-19ED91BD535B}"/>
    <dgm:cxn modelId="{E1BD933C-2747-4C2D-A9C9-3436D32C6BA7}" srcId="{5FBFF4CB-6D61-4903-AE35-5198C15679CD}" destId="{B9CCAEE6-DBF1-4A58-8283-55F145B2D95D}" srcOrd="0" destOrd="0" parTransId="{94BBAF7D-C258-49D8-A6F3-26F8D3D6C05F}" sibTransId="{B1F520B9-6E12-499B-8CFA-707BDE48DA93}"/>
    <dgm:cxn modelId="{5D7D4542-1908-4FFC-9D66-0E5BE8AB3601}" srcId="{B9CCAEE6-DBF1-4A58-8283-55F145B2D95D}" destId="{A49A0C08-792D-40F2-963C-0206C34A8748}" srcOrd="0" destOrd="0" parTransId="{4F8DFD97-C1DD-4D78-88C3-A949F82100AC}" sibTransId="{03A841B2-3F11-4DDF-BA04-D2B7282D325F}"/>
    <dgm:cxn modelId="{BEEA3143-7A6C-410E-8A24-3DB47B4BC470}" type="presOf" srcId="{BD00F985-5BF1-406F-B8A6-E69E74DCC2D0}" destId="{2C059829-FA43-4B35-828E-A42751D5BE0E}" srcOrd="0" destOrd="0" presId="urn:microsoft.com/office/officeart/2005/8/layout/chevron2"/>
    <dgm:cxn modelId="{F3E23064-6645-46A3-9FD8-A9FD0DA5893E}" srcId="{BD00F985-5BF1-406F-B8A6-E69E74DCC2D0}" destId="{C92D4F64-54DA-480C-BCE1-9FB85BBDBD28}" srcOrd="1" destOrd="0" parTransId="{34FC9B6B-3317-48F8-8F4A-BD0FBDE3B13C}" sibTransId="{358A23D5-F96C-4461-B278-63D5E684A175}"/>
    <dgm:cxn modelId="{4E515B48-A51D-4695-87FE-B7A867797F36}" type="presOf" srcId="{03A56EA5-D4F8-4EC6-A14C-572AC494B0C9}" destId="{4E846E43-CFA7-42C4-9D36-63725B338952}" srcOrd="0" destOrd="0" presId="urn:microsoft.com/office/officeart/2005/8/layout/chevron2"/>
    <dgm:cxn modelId="{C9B3BC6C-0097-4234-A5F1-86AA400FC3EC}" type="presOf" srcId="{7680425C-36E1-43EC-877D-634B88B1F8BC}" destId="{29506806-400B-403D-8F74-34021F55C601}" srcOrd="0" destOrd="0" presId="urn:microsoft.com/office/officeart/2005/8/layout/chevron2"/>
    <dgm:cxn modelId="{BF1D3455-FBA0-47D9-AD6E-13B86E8F86F6}" srcId="{7680425C-36E1-43EC-877D-634B88B1F8BC}" destId="{AE732180-FA6B-4959-97B2-CFF254F928C8}" srcOrd="2" destOrd="0" parTransId="{9964B640-41BB-4E51-B5FE-875639E1E335}" sibTransId="{B1597D36-2703-4B8F-927C-41648ED264EC}"/>
    <dgm:cxn modelId="{2B465056-B735-45D9-A366-5C56B65798BD}" type="presOf" srcId="{C92D4F64-54DA-480C-BCE1-9FB85BBDBD28}" destId="{2C059829-FA43-4B35-828E-A42751D5BE0E}" srcOrd="0" destOrd="2" presId="urn:microsoft.com/office/officeart/2005/8/layout/chevron2"/>
    <dgm:cxn modelId="{314AB277-FB25-4EF7-994F-7A33092E3AA5}" type="presOf" srcId="{AE732180-FA6B-4959-97B2-CFF254F928C8}" destId="{29506806-400B-403D-8F74-34021F55C601}" srcOrd="0" destOrd="3" presId="urn:microsoft.com/office/officeart/2005/8/layout/chevron2"/>
    <dgm:cxn modelId="{94EC8559-04F0-4F0D-B52E-D5B6FF390F58}" type="presOf" srcId="{6161273B-8538-4209-93A4-C2355D48D3AD}" destId="{29506806-400B-403D-8F74-34021F55C601}" srcOrd="0" destOrd="2" presId="urn:microsoft.com/office/officeart/2005/8/layout/chevron2"/>
    <dgm:cxn modelId="{F86A3493-BC02-4B63-ADFE-CE9ADC4E4390}" srcId="{7680425C-36E1-43EC-877D-634B88B1F8BC}" destId="{3C1543B5-7FF6-4E5F-93FA-FA497D7CA727}" srcOrd="0" destOrd="0" parTransId="{2203E417-D9C4-402B-9C6D-BE4A80BB0143}" sibTransId="{3E820E41-2F03-4E85-8315-457FC40DE3D8}"/>
    <dgm:cxn modelId="{A0136895-5402-4FAC-9B7C-1836421F7442}" srcId="{03A56EA5-D4F8-4EC6-A14C-572AC494B0C9}" destId="{BD00F985-5BF1-406F-B8A6-E69E74DCC2D0}" srcOrd="0" destOrd="0" parTransId="{3160FA2A-57C6-4076-BC39-3710EE8D9636}" sibTransId="{E6C88FBB-B0B4-451D-8645-BE5DCF0E94A1}"/>
    <dgm:cxn modelId="{011D3E9B-0CF3-4866-A7D5-7E624E2C0E40}" type="presOf" srcId="{93F6ED90-DE5E-4C60-B4BD-9272BF069B9C}" destId="{7F15AAFB-C41D-4E5C-8958-7E3A1351D8D6}" srcOrd="0" destOrd="4" presId="urn:microsoft.com/office/officeart/2005/8/layout/chevron2"/>
    <dgm:cxn modelId="{15B7CFA5-32B6-4E47-8378-570EB2C152E0}" srcId="{A49A0C08-792D-40F2-963C-0206C34A8748}" destId="{45CFA25F-971B-47DE-B908-8A1262EE1320}" srcOrd="1" destOrd="0" parTransId="{748F79D9-6C32-4CC0-9DE3-3FE1D54EAC61}" sibTransId="{971B66EC-6520-467B-9A5F-612CBF104027}"/>
    <dgm:cxn modelId="{66809AAC-7C51-4C77-916E-DC7F939F5BA4}" srcId="{0D8E6E9E-A844-4D17-986B-509517868F17}" destId="{7680425C-36E1-43EC-877D-634B88B1F8BC}" srcOrd="0" destOrd="0" parTransId="{BC3031BC-DE09-4FD9-96AA-50F51DB1AD5A}" sibTransId="{E2B54A47-CC3E-4764-A796-F99B98045754}"/>
    <dgm:cxn modelId="{BC620BB4-80AC-4F33-9A63-7DB826C81791}" type="presOf" srcId="{3C1543B5-7FF6-4E5F-93FA-FA497D7CA727}" destId="{29506806-400B-403D-8F74-34021F55C601}" srcOrd="0" destOrd="1" presId="urn:microsoft.com/office/officeart/2005/8/layout/chevron2"/>
    <dgm:cxn modelId="{70C96CB6-7A18-442E-8A29-B029749AF5E7}" srcId="{A49A0C08-792D-40F2-963C-0206C34A8748}" destId="{93F6ED90-DE5E-4C60-B4BD-9272BF069B9C}" srcOrd="3" destOrd="0" parTransId="{2AE256DF-92D5-4947-A5D4-3A0FF6FE8A88}" sibTransId="{1CEB2C6E-432F-43BE-B639-ECE177EBC5B2}"/>
    <dgm:cxn modelId="{3D21A6BB-6CC8-4F5A-90DE-9CE2435BF243}" type="presOf" srcId="{88C32BA9-F59C-4213-AA4C-DC1C81195C36}" destId="{7F15AAFB-C41D-4E5C-8958-7E3A1351D8D6}" srcOrd="0" destOrd="1" presId="urn:microsoft.com/office/officeart/2005/8/layout/chevron2"/>
    <dgm:cxn modelId="{578DBDD0-A702-4C30-9749-EBD561F77429}" type="presOf" srcId="{74F6701F-3794-46D8-B467-2A06CD453442}" destId="{2C059829-FA43-4B35-828E-A42751D5BE0E}" srcOrd="0" destOrd="1" presId="urn:microsoft.com/office/officeart/2005/8/layout/chevron2"/>
    <dgm:cxn modelId="{E1458AE2-E420-4CB1-A0F8-755C7444EB3D}" type="presOf" srcId="{C7FC55D6-6B8F-4819-AFE7-1F604745E109}" destId="{7F15AAFB-C41D-4E5C-8958-7E3A1351D8D6}" srcOrd="0" destOrd="3" presId="urn:microsoft.com/office/officeart/2005/8/layout/chevron2"/>
    <dgm:cxn modelId="{87C601F0-C3AE-47F8-958E-B73837F2DF5D}" srcId="{BD00F985-5BF1-406F-B8A6-E69E74DCC2D0}" destId="{74F6701F-3794-46D8-B467-2A06CD453442}" srcOrd="0" destOrd="0" parTransId="{4373CC5E-2261-4C31-8642-BD87C17D6EB9}" sibTransId="{E1B59FC9-7900-43D8-A93E-8768B715EA31}"/>
    <dgm:cxn modelId="{E2E0FEF9-11FE-4C68-826E-E0B04077184B}" type="presOf" srcId="{A49A0C08-792D-40F2-963C-0206C34A8748}" destId="{7F15AAFB-C41D-4E5C-8958-7E3A1351D8D6}" srcOrd="0" destOrd="0" presId="urn:microsoft.com/office/officeart/2005/8/layout/chevron2"/>
    <dgm:cxn modelId="{160DC113-B3AD-47E3-B267-692BB5AE9FC9}" type="presParOf" srcId="{03EC9564-8A28-401E-B9C6-992EA8B7778E}" destId="{F9C4B97F-0B04-4C52-AB79-10D0B5F7047E}" srcOrd="0" destOrd="0" presId="urn:microsoft.com/office/officeart/2005/8/layout/chevron2"/>
    <dgm:cxn modelId="{8D2A13C8-5017-4BBB-937E-E0689C1F9FCA}" type="presParOf" srcId="{F9C4B97F-0B04-4C52-AB79-10D0B5F7047E}" destId="{C41B02D8-8A1D-42B6-9D65-A25EB00D6AA5}" srcOrd="0" destOrd="0" presId="urn:microsoft.com/office/officeart/2005/8/layout/chevron2"/>
    <dgm:cxn modelId="{5DECF8AF-D642-45E9-B618-D53767D67583}" type="presParOf" srcId="{F9C4B97F-0B04-4C52-AB79-10D0B5F7047E}" destId="{7F15AAFB-C41D-4E5C-8958-7E3A1351D8D6}" srcOrd="1" destOrd="0" presId="urn:microsoft.com/office/officeart/2005/8/layout/chevron2"/>
    <dgm:cxn modelId="{2E357276-765A-40B9-8064-FCAC3A7229CC}" type="presParOf" srcId="{03EC9564-8A28-401E-B9C6-992EA8B7778E}" destId="{67ACF56A-E9AD-4993-99B8-4B026BCF96B7}" srcOrd="1" destOrd="0" presId="urn:microsoft.com/office/officeart/2005/8/layout/chevron2"/>
    <dgm:cxn modelId="{CDE6B994-6A22-4FAF-8D8B-CFABC91151B7}" type="presParOf" srcId="{03EC9564-8A28-401E-B9C6-992EA8B7778E}" destId="{FC74235A-250D-499B-ACB3-0D72E2C3BDF7}" srcOrd="2" destOrd="0" presId="urn:microsoft.com/office/officeart/2005/8/layout/chevron2"/>
    <dgm:cxn modelId="{4E2A68B1-39DA-49E4-984F-7663BB9A268D}" type="presParOf" srcId="{FC74235A-250D-499B-ACB3-0D72E2C3BDF7}" destId="{02854CE8-8D42-4870-A4B2-C197234DDB8D}" srcOrd="0" destOrd="0" presId="urn:microsoft.com/office/officeart/2005/8/layout/chevron2"/>
    <dgm:cxn modelId="{A30E3A99-8D04-4A49-A466-84C54A75B449}" type="presParOf" srcId="{FC74235A-250D-499B-ACB3-0D72E2C3BDF7}" destId="{29506806-400B-403D-8F74-34021F55C601}" srcOrd="1" destOrd="0" presId="urn:microsoft.com/office/officeart/2005/8/layout/chevron2"/>
    <dgm:cxn modelId="{F82FA9AF-FF01-4A03-BBA7-A33A1ABCEE77}" type="presParOf" srcId="{03EC9564-8A28-401E-B9C6-992EA8B7778E}" destId="{73E23A84-8C0B-4BBA-A83A-96661243AFEC}" srcOrd="3" destOrd="0" presId="urn:microsoft.com/office/officeart/2005/8/layout/chevron2"/>
    <dgm:cxn modelId="{F6967AD5-D0BC-47B2-B0D7-7F806573B99C}" type="presParOf" srcId="{03EC9564-8A28-401E-B9C6-992EA8B7778E}" destId="{09F3FFB6-AC82-48F0-AFE7-660406B796A4}" srcOrd="4" destOrd="0" presId="urn:microsoft.com/office/officeart/2005/8/layout/chevron2"/>
    <dgm:cxn modelId="{1A8582EA-7E06-4FD6-916A-EFFA6D8AE7AF}" type="presParOf" srcId="{09F3FFB6-AC82-48F0-AFE7-660406B796A4}" destId="{4E846E43-CFA7-42C4-9D36-63725B338952}" srcOrd="0" destOrd="0" presId="urn:microsoft.com/office/officeart/2005/8/layout/chevron2"/>
    <dgm:cxn modelId="{454A16AB-32B8-4D2B-A648-9C397FEE7952}" type="presParOf" srcId="{09F3FFB6-AC82-48F0-AFE7-660406B796A4}" destId="{2C059829-FA43-4B35-828E-A42751D5BE0E}" srcOrd="1" destOrd="0" presId="urn:microsoft.com/office/officeart/2005/8/layout/chevron2"/>
  </dgm:cxnLst>
  <dgm:bg/>
  <dgm:whole/>
  <dgm:extLst>
    <a:ext uri="http://schemas.microsoft.com/office/drawing/2008/diagram">
      <dsp:dataModelExt xmlns:dsp="http://schemas.microsoft.com/office/drawing/2008/diagram" relId="rId10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BF37570-05DF-40A2-8844-077C1A8EB3B5}" type="doc">
      <dgm:prSet loTypeId="urn:microsoft.com/office/officeart/2005/8/layout/process5" loCatId="process" qsTypeId="urn:microsoft.com/office/officeart/2005/8/quickstyle/simple1" qsCatId="simple" csTypeId="urn:microsoft.com/office/officeart/2005/8/colors/colorful4" csCatId="colorful" phldr="1"/>
      <dgm:spPr/>
    </dgm:pt>
    <dgm:pt modelId="{F7B83B79-1DD8-4C3E-AC35-10D087B7569E}">
      <dgm:prSet phldrT="[Texto]" custT="1"/>
      <dgm:spPr>
        <a:solidFill>
          <a:schemeClr val="accent1">
            <a:lumMod val="75000"/>
          </a:schemeClr>
        </a:solidFill>
        <a:ln w="6350">
          <a:solidFill>
            <a:schemeClr val="tx1"/>
          </a:solidFill>
        </a:ln>
      </dgm:spPr>
      <dgm:t>
        <a:bodyPr/>
        <a:lstStyle/>
        <a:p>
          <a:endParaRPr lang="es-GT" sz="800" b="1">
            <a:latin typeface="Times New Roman" panose="02020603050405020304" pitchFamily="18" charset="0"/>
            <a:cs typeface="Times New Roman" panose="02020603050405020304" pitchFamily="18" charset="0"/>
          </a:endParaRPr>
        </a:p>
        <a:p>
          <a:r>
            <a:rPr lang="es-GT" sz="800" b="1">
              <a:latin typeface="Times New Roman" panose="02020603050405020304" pitchFamily="18" charset="0"/>
              <a:cs typeface="Times New Roman" panose="02020603050405020304" pitchFamily="18" charset="0"/>
            </a:rPr>
            <a:t>Q1,198.4 millones </a:t>
          </a:r>
        </a:p>
        <a:p>
          <a:r>
            <a:rPr lang="es-GT" sz="800">
              <a:latin typeface="Times New Roman" panose="02020603050405020304" pitchFamily="18" charset="0"/>
              <a:cs typeface="Times New Roman" panose="02020603050405020304" pitchFamily="18" charset="0"/>
            </a:rPr>
            <a:t>en el CIV por reprogramaciones para infraestructura estratégica y otros.</a:t>
          </a:r>
        </a:p>
        <a:p>
          <a:endParaRPr lang="es-GT" sz="800">
            <a:latin typeface="Times New Roman" panose="02020603050405020304" pitchFamily="18" charset="0"/>
            <a:cs typeface="Times New Roman" panose="02020603050405020304" pitchFamily="18" charset="0"/>
          </a:endParaRPr>
        </a:p>
      </dgm:t>
    </dgm:pt>
    <dgm:pt modelId="{8EFECBBC-DDF8-486A-BCE7-BF8B1489AB8E}" type="parTrans" cxnId="{20CE3AA2-80FB-43EE-BDFF-F51EA462CB0E}">
      <dgm:prSet/>
      <dgm:spPr/>
      <dgm:t>
        <a:bodyPr/>
        <a:lstStyle/>
        <a:p>
          <a:endParaRPr lang="es-GT" sz="1400"/>
        </a:p>
      </dgm:t>
    </dgm:pt>
    <dgm:pt modelId="{F2FC5D11-E005-487A-A32F-1C4DED32E559}" type="sibTrans" cxnId="{20CE3AA2-80FB-43EE-BDFF-F51EA462CB0E}">
      <dgm:prSet custT="1"/>
      <dgm:spPr>
        <a:solidFill>
          <a:schemeClr val="accent1">
            <a:lumMod val="75000"/>
          </a:schemeClr>
        </a:solidFill>
      </dgm:spPr>
      <dgm:t>
        <a:bodyPr/>
        <a:lstStyle/>
        <a:p>
          <a:endParaRPr lang="es-GT" sz="700"/>
        </a:p>
      </dgm:t>
    </dgm:pt>
    <dgm:pt modelId="{8E1D5F67-C438-4EBD-82E1-5711285C4023}">
      <dgm:prSet phldrT="[Texto]" custT="1"/>
      <dgm:spPr>
        <a:solidFill>
          <a:schemeClr val="accent5">
            <a:lumMod val="75000"/>
          </a:schemeClr>
        </a:solidFill>
        <a:ln w="6350">
          <a:solidFill>
            <a:schemeClr val="tx1"/>
          </a:solidFill>
        </a:ln>
      </dgm:spPr>
      <dgm:t>
        <a:bodyPr/>
        <a:lstStyle/>
        <a:p>
          <a:endParaRPr lang="es-GT" sz="800" b="1">
            <a:latin typeface="Times New Roman" panose="02020603050405020304" pitchFamily="18" charset="0"/>
            <a:cs typeface="Times New Roman" panose="02020603050405020304" pitchFamily="18" charset="0"/>
          </a:endParaRPr>
        </a:p>
        <a:p>
          <a:r>
            <a:rPr lang="es-GT" sz="800" b="1">
              <a:latin typeface="Times New Roman" panose="02020603050405020304" pitchFamily="18" charset="0"/>
              <a:cs typeface="Times New Roman" panose="02020603050405020304" pitchFamily="18" charset="0"/>
            </a:rPr>
            <a:t>Q197 millones por </a:t>
          </a:r>
          <a:r>
            <a:rPr lang="es-GT" sz="800">
              <a:latin typeface="Times New Roman" panose="02020603050405020304" pitchFamily="18" charset="0"/>
              <a:cs typeface="Times New Roman" panose="02020603050405020304" pitchFamily="18" charset="0"/>
            </a:rPr>
            <a:t>ampliación de la tarifa social de energía eléctrica, </a:t>
          </a:r>
          <a:r>
            <a:rPr lang="es-GT" sz="800" b="1">
              <a:latin typeface="Times New Roman" panose="02020603050405020304" pitchFamily="18" charset="0"/>
              <a:cs typeface="Times New Roman" panose="02020603050405020304" pitchFamily="18" charset="0"/>
            </a:rPr>
            <a:t>Q200 millones</a:t>
          </a:r>
          <a:r>
            <a:rPr lang="es-GT" sz="800">
              <a:latin typeface="Times New Roman" panose="02020603050405020304" pitchFamily="18" charset="0"/>
              <a:cs typeface="Times New Roman" panose="02020603050405020304" pitchFamily="18" charset="0"/>
            </a:rPr>
            <a:t> por el incremento de jubilaciones y pensiones y </a:t>
          </a:r>
          <a:r>
            <a:rPr lang="es-GT" sz="800" b="1">
              <a:latin typeface="Times New Roman" panose="02020603050405020304" pitchFamily="18" charset="0"/>
              <a:cs typeface="Times New Roman" panose="02020603050405020304" pitchFamily="18" charset="0"/>
            </a:rPr>
            <a:t>Q329.0 millones</a:t>
          </a:r>
          <a:r>
            <a:rPr lang="es-GT" sz="800">
              <a:latin typeface="Times New Roman" panose="02020603050405020304" pitchFamily="18" charset="0"/>
              <a:cs typeface="Times New Roman" panose="02020603050405020304" pitchFamily="18" charset="0"/>
            </a:rPr>
            <a:t> a favor de CODEDES</a:t>
          </a:r>
        </a:p>
        <a:p>
          <a:endParaRPr lang="es-GT" sz="800">
            <a:latin typeface="Times New Roman" panose="02020603050405020304" pitchFamily="18" charset="0"/>
            <a:cs typeface="Times New Roman" panose="02020603050405020304" pitchFamily="18" charset="0"/>
          </a:endParaRPr>
        </a:p>
      </dgm:t>
    </dgm:pt>
    <dgm:pt modelId="{DF2A4CAC-842C-44B8-83D9-CA1CC051D33E}" type="parTrans" cxnId="{5BE3CEAB-9FF6-4176-80FD-F8D8389B42E0}">
      <dgm:prSet/>
      <dgm:spPr/>
      <dgm:t>
        <a:bodyPr/>
        <a:lstStyle/>
        <a:p>
          <a:endParaRPr lang="es-GT" sz="1400"/>
        </a:p>
      </dgm:t>
    </dgm:pt>
    <dgm:pt modelId="{F73797A0-CB75-4EAA-B3B9-A307F421779B}" type="sibTrans" cxnId="{5BE3CEAB-9FF6-4176-80FD-F8D8389B42E0}">
      <dgm:prSet custT="1"/>
      <dgm:spPr>
        <a:solidFill>
          <a:schemeClr val="tx2">
            <a:lumMod val="60000"/>
            <a:lumOff val="40000"/>
          </a:schemeClr>
        </a:solidFill>
      </dgm:spPr>
      <dgm:t>
        <a:bodyPr/>
        <a:lstStyle/>
        <a:p>
          <a:endParaRPr lang="es-GT" sz="700"/>
        </a:p>
      </dgm:t>
    </dgm:pt>
    <dgm:pt modelId="{17110A86-5A17-4615-BC19-07FEF91DEE10}">
      <dgm:prSet phldrT="[Texto]" custT="1"/>
      <dgm:spPr>
        <a:ln w="6350">
          <a:solidFill>
            <a:schemeClr val="tx1"/>
          </a:solidFill>
        </a:ln>
      </dgm:spPr>
      <dgm:t>
        <a:bodyPr/>
        <a:lstStyle/>
        <a:p>
          <a:r>
            <a:rPr lang="es-GT" sz="1000">
              <a:latin typeface="Times New Roman" panose="02020603050405020304" pitchFamily="18" charset="0"/>
              <a:cs typeface="Times New Roman" panose="02020603050405020304" pitchFamily="18" charset="0"/>
            </a:rPr>
            <a:t>Total ampliaciones a junio </a:t>
          </a:r>
        </a:p>
        <a:p>
          <a:r>
            <a:rPr lang="es-GT" sz="1000" b="1">
              <a:latin typeface="Times New Roman" panose="02020603050405020304" pitchFamily="18" charset="0"/>
              <a:cs typeface="Times New Roman" panose="02020603050405020304" pitchFamily="18" charset="0"/>
            </a:rPr>
            <a:t>Q2,716.0 millones</a:t>
          </a:r>
        </a:p>
      </dgm:t>
    </dgm:pt>
    <dgm:pt modelId="{92D733D9-1E41-47EE-AA63-3474107DF53F}" type="parTrans" cxnId="{05AFBF34-D917-48BC-B75A-C7D332957394}">
      <dgm:prSet/>
      <dgm:spPr/>
      <dgm:t>
        <a:bodyPr/>
        <a:lstStyle/>
        <a:p>
          <a:endParaRPr lang="es-GT" sz="1400"/>
        </a:p>
      </dgm:t>
    </dgm:pt>
    <dgm:pt modelId="{05AEF090-0654-4BB4-8328-BEDD95F50C2F}" type="sibTrans" cxnId="{05AFBF34-D917-48BC-B75A-C7D332957394}">
      <dgm:prSet/>
      <dgm:spPr/>
      <dgm:t>
        <a:bodyPr/>
        <a:lstStyle/>
        <a:p>
          <a:endParaRPr lang="es-GT" sz="1400"/>
        </a:p>
      </dgm:t>
    </dgm:pt>
    <dgm:pt modelId="{5F188485-83A3-4008-BEA3-F665A0FE141D}">
      <dgm:prSet custT="1"/>
      <dgm:spPr>
        <a:solidFill>
          <a:schemeClr val="accent1">
            <a:lumMod val="75000"/>
          </a:schemeClr>
        </a:solidFill>
        <a:ln w="6350">
          <a:solidFill>
            <a:schemeClr val="tx1"/>
          </a:solidFill>
        </a:ln>
      </dgm:spPr>
      <dgm:t>
        <a:bodyPr/>
        <a:lstStyle/>
        <a:p>
          <a:r>
            <a:rPr lang="es-GT" sz="800" b="1">
              <a:latin typeface="Times New Roman" panose="02020603050405020304" pitchFamily="18" charset="0"/>
              <a:cs typeface="Times New Roman" panose="02020603050405020304" pitchFamily="18" charset="0"/>
            </a:rPr>
            <a:t>Q150 millones </a:t>
          </a:r>
        </a:p>
        <a:p>
          <a:r>
            <a:rPr lang="es-GT" sz="800">
              <a:latin typeface="Times New Roman" panose="02020603050405020304" pitchFamily="18" charset="0"/>
              <a:cs typeface="Times New Roman" panose="02020603050405020304" pitchFamily="18" charset="0"/>
            </a:rPr>
            <a:t>en el MEM para garantizar el apoyo social a los consumidores de gas propano Decreto 5-2023</a:t>
          </a:r>
        </a:p>
      </dgm:t>
    </dgm:pt>
    <dgm:pt modelId="{95FBDD19-B76B-44F0-84F7-2DAA69ADF3A9}" type="parTrans" cxnId="{A702D688-46C4-4069-AA64-D695F82C771F}">
      <dgm:prSet/>
      <dgm:spPr/>
      <dgm:t>
        <a:bodyPr/>
        <a:lstStyle/>
        <a:p>
          <a:endParaRPr lang="es-GT" sz="1400"/>
        </a:p>
      </dgm:t>
    </dgm:pt>
    <dgm:pt modelId="{B2AA04DE-CBB3-43C1-BA8D-585BE43BE84B}" type="sibTrans" cxnId="{A702D688-46C4-4069-AA64-D695F82C771F}">
      <dgm:prSet custT="1"/>
      <dgm:spPr>
        <a:solidFill>
          <a:schemeClr val="accent5">
            <a:lumMod val="75000"/>
          </a:schemeClr>
        </a:solidFill>
      </dgm:spPr>
      <dgm:t>
        <a:bodyPr/>
        <a:lstStyle/>
        <a:p>
          <a:endParaRPr lang="es-GT" sz="700"/>
        </a:p>
      </dgm:t>
    </dgm:pt>
    <dgm:pt modelId="{953986AC-68ED-43E5-8410-143EA81D5D2A}">
      <dgm:prSet custT="1"/>
      <dgm:spPr>
        <a:solidFill>
          <a:schemeClr val="tx2">
            <a:lumMod val="60000"/>
            <a:lumOff val="40000"/>
          </a:schemeClr>
        </a:solidFill>
        <a:ln w="6350">
          <a:solidFill>
            <a:schemeClr val="tx1"/>
          </a:solidFill>
        </a:ln>
      </dgm:spPr>
      <dgm:t>
        <a:bodyPr/>
        <a:lstStyle/>
        <a:p>
          <a:r>
            <a:rPr lang="es-GT" sz="800" b="1">
              <a:latin typeface="Times New Roman" panose="02020603050405020304" pitchFamily="18" charset="0"/>
              <a:cs typeface="Times New Roman" panose="02020603050405020304" pitchFamily="18" charset="0"/>
            </a:rPr>
            <a:t>Q300 millones </a:t>
          </a:r>
          <a:r>
            <a:rPr lang="es-GT" sz="800">
              <a:latin typeface="Times New Roman" panose="02020603050405020304" pitchFamily="18" charset="0"/>
              <a:cs typeface="Times New Roman" panose="02020603050405020304" pitchFamily="18" charset="0"/>
            </a:rPr>
            <a:t>para beneficiarios del Decreto 51-2022 "Ley Temporal de Desarrollo Integral"</a:t>
          </a:r>
        </a:p>
      </dgm:t>
    </dgm:pt>
    <dgm:pt modelId="{DD210873-3843-4C38-BE5C-D60583EE0A89}" type="parTrans" cxnId="{3055E647-E96D-4903-AB01-373668CF0DBF}">
      <dgm:prSet/>
      <dgm:spPr/>
      <dgm:t>
        <a:bodyPr/>
        <a:lstStyle/>
        <a:p>
          <a:endParaRPr lang="es-GT" sz="1400"/>
        </a:p>
      </dgm:t>
    </dgm:pt>
    <dgm:pt modelId="{AE4925EE-232A-495D-9B3A-0B343FFE5EE2}" type="sibTrans" cxnId="{3055E647-E96D-4903-AB01-373668CF0DBF}">
      <dgm:prSet custT="1"/>
      <dgm:spPr>
        <a:solidFill>
          <a:srgbClr val="00B0F0"/>
        </a:solidFill>
      </dgm:spPr>
      <dgm:t>
        <a:bodyPr/>
        <a:lstStyle/>
        <a:p>
          <a:endParaRPr lang="es-GT" sz="700"/>
        </a:p>
      </dgm:t>
    </dgm:pt>
    <dgm:pt modelId="{6770629A-1D91-499D-AD9E-A9CFD4F3F003}">
      <dgm:prSet custT="1"/>
      <dgm:spPr>
        <a:solidFill>
          <a:srgbClr val="00B0F0"/>
        </a:solidFill>
        <a:ln w="6350">
          <a:solidFill>
            <a:schemeClr val="tx1"/>
          </a:solidFill>
        </a:ln>
      </dgm:spPr>
      <dgm:t>
        <a:bodyPr/>
        <a:lstStyle/>
        <a:p>
          <a:r>
            <a:rPr lang="es-GT" sz="800" b="1">
              <a:latin typeface="Times New Roman" panose="02020603050405020304" pitchFamily="18" charset="0"/>
              <a:cs typeface="Times New Roman" panose="02020603050405020304" pitchFamily="18" charset="0"/>
            </a:rPr>
            <a:t>Q1.6 millones </a:t>
          </a:r>
          <a:r>
            <a:rPr lang="es-GT" sz="800">
              <a:latin typeface="Times New Roman" panose="02020603050405020304" pitchFamily="18" charset="0"/>
              <a:cs typeface="Times New Roman" panose="02020603050405020304" pitchFamily="18" charset="0"/>
            </a:rPr>
            <a:t>en la Secretaría Presidencial de la Mujer </a:t>
          </a:r>
        </a:p>
      </dgm:t>
    </dgm:pt>
    <dgm:pt modelId="{D8516475-EC29-4277-B55A-02C39AA1E6B5}" type="parTrans" cxnId="{0D31B7DB-BDDA-43A2-A43E-F6C31571150C}">
      <dgm:prSet/>
      <dgm:spPr/>
      <dgm:t>
        <a:bodyPr/>
        <a:lstStyle/>
        <a:p>
          <a:endParaRPr lang="es-GT" sz="1400"/>
        </a:p>
      </dgm:t>
    </dgm:pt>
    <dgm:pt modelId="{FB789804-D156-496F-A729-25A9015AEF09}" type="sibTrans" cxnId="{0D31B7DB-BDDA-43A2-A43E-F6C31571150C}">
      <dgm:prSet custT="1"/>
      <dgm:spPr/>
      <dgm:t>
        <a:bodyPr/>
        <a:lstStyle/>
        <a:p>
          <a:endParaRPr lang="es-GT" sz="700"/>
        </a:p>
      </dgm:t>
    </dgm:pt>
    <dgm:pt modelId="{59E3EB31-3F9B-4A41-AF94-89D2D470DC8A}">
      <dgm:prSet custT="1"/>
      <dgm:spPr>
        <a:solidFill>
          <a:schemeClr val="tx2">
            <a:lumMod val="75000"/>
          </a:schemeClr>
        </a:solidFill>
        <a:ln w="3175">
          <a:solidFill>
            <a:schemeClr val="tx1"/>
          </a:solidFill>
        </a:ln>
      </dgm:spPr>
      <dgm:t>
        <a:bodyPr/>
        <a:lstStyle/>
        <a:p>
          <a:r>
            <a:rPr lang="es-GT" sz="800" b="1">
              <a:latin typeface="Times New Roman" panose="02020603050405020304" pitchFamily="18" charset="0"/>
              <a:cs typeface="Times New Roman" panose="02020603050405020304" pitchFamily="18" charset="0"/>
            </a:rPr>
            <a:t>Q339.9 millones </a:t>
          </a:r>
          <a:r>
            <a:rPr lang="es-GT" sz="800" b="0">
              <a:latin typeface="Times New Roman" panose="02020603050405020304" pitchFamily="18" charset="0"/>
              <a:cs typeface="Times New Roman" panose="02020603050405020304" pitchFamily="18" charset="0"/>
            </a:rPr>
            <a:t>a favor del Programa de Aporte Económico del Adulto Mayor según Decreto 10-2023</a:t>
          </a:r>
          <a:endParaRPr lang="es-GT" sz="800" b="1">
            <a:latin typeface="Times New Roman" panose="02020603050405020304" pitchFamily="18" charset="0"/>
            <a:cs typeface="Times New Roman" panose="02020603050405020304" pitchFamily="18" charset="0"/>
          </a:endParaRPr>
        </a:p>
      </dgm:t>
    </dgm:pt>
    <dgm:pt modelId="{426E6C87-857F-4689-AD93-65A23AD6C9FA}" type="parTrans" cxnId="{3794697B-2942-43CF-A0E7-159E01B3416A}">
      <dgm:prSet/>
      <dgm:spPr/>
      <dgm:t>
        <a:bodyPr/>
        <a:lstStyle/>
        <a:p>
          <a:endParaRPr lang="es-GT"/>
        </a:p>
      </dgm:t>
    </dgm:pt>
    <dgm:pt modelId="{4F8071F1-F455-4211-A193-BAE6E766A584}" type="sibTrans" cxnId="{3794697B-2942-43CF-A0E7-159E01B3416A}">
      <dgm:prSet/>
      <dgm:spPr/>
      <dgm:t>
        <a:bodyPr/>
        <a:lstStyle/>
        <a:p>
          <a:endParaRPr lang="es-GT"/>
        </a:p>
      </dgm:t>
    </dgm:pt>
    <dgm:pt modelId="{9CEC6207-3384-422E-B345-615B7BB72FB8}" type="pres">
      <dgm:prSet presAssocID="{9BF37570-05DF-40A2-8844-077C1A8EB3B5}" presName="diagram" presStyleCnt="0">
        <dgm:presLayoutVars>
          <dgm:dir/>
          <dgm:resizeHandles val="exact"/>
        </dgm:presLayoutVars>
      </dgm:prSet>
      <dgm:spPr/>
    </dgm:pt>
    <dgm:pt modelId="{F2301B7D-880C-4553-A687-64E6A00EC80A}" type="pres">
      <dgm:prSet presAssocID="{F7B83B79-1DD8-4C3E-AC35-10D087B7569E}" presName="node" presStyleLbl="node1" presStyleIdx="0" presStyleCnt="7" custScaleX="122015" custScaleY="158106" custLinFactNeighborX="-190" custLinFactNeighborY="-15540">
        <dgm:presLayoutVars>
          <dgm:bulletEnabled val="1"/>
        </dgm:presLayoutVars>
      </dgm:prSet>
      <dgm:spPr/>
    </dgm:pt>
    <dgm:pt modelId="{572BD72D-FA3C-4A68-A0D8-85A501016331}" type="pres">
      <dgm:prSet presAssocID="{F2FC5D11-E005-487A-A32F-1C4DED32E559}" presName="sibTrans" presStyleLbl="sibTrans2D1" presStyleIdx="0" presStyleCnt="6"/>
      <dgm:spPr/>
    </dgm:pt>
    <dgm:pt modelId="{01C9F073-D64D-4837-99CD-5AD94D2EAC0E}" type="pres">
      <dgm:prSet presAssocID="{F2FC5D11-E005-487A-A32F-1C4DED32E559}" presName="connectorText" presStyleLbl="sibTrans2D1" presStyleIdx="0" presStyleCnt="6"/>
      <dgm:spPr/>
    </dgm:pt>
    <dgm:pt modelId="{4A652647-43F6-488C-96CF-1A7AB757924F}" type="pres">
      <dgm:prSet presAssocID="{5F188485-83A3-4008-BEA3-F665A0FE141D}" presName="node" presStyleLbl="node1" presStyleIdx="1" presStyleCnt="7" custScaleX="112123" custScaleY="158740" custLinFactNeighborX="-1283" custLinFactNeighborY="-19073">
        <dgm:presLayoutVars>
          <dgm:bulletEnabled val="1"/>
        </dgm:presLayoutVars>
      </dgm:prSet>
      <dgm:spPr/>
    </dgm:pt>
    <dgm:pt modelId="{980568DE-9C85-4FF8-BD78-03E847F03BE4}" type="pres">
      <dgm:prSet presAssocID="{B2AA04DE-CBB3-43C1-BA8D-585BE43BE84B}" presName="sibTrans" presStyleLbl="sibTrans2D1" presStyleIdx="1" presStyleCnt="6"/>
      <dgm:spPr/>
    </dgm:pt>
    <dgm:pt modelId="{212DDEBA-BD4C-4FC2-B465-1B8ACE0EC076}" type="pres">
      <dgm:prSet presAssocID="{B2AA04DE-CBB3-43C1-BA8D-585BE43BE84B}" presName="connectorText" presStyleLbl="sibTrans2D1" presStyleIdx="1" presStyleCnt="6"/>
      <dgm:spPr/>
    </dgm:pt>
    <dgm:pt modelId="{23C5EB5F-5AA8-4402-8BCA-BA8C60D09D58}" type="pres">
      <dgm:prSet presAssocID="{8E1D5F67-C438-4EBD-82E1-5711285C4023}" presName="node" presStyleLbl="node1" presStyleIdx="2" presStyleCnt="7" custScaleX="145303" custScaleY="160315" custLinFactNeighborX="192" custLinFactNeighborY="-21900">
        <dgm:presLayoutVars>
          <dgm:bulletEnabled val="1"/>
        </dgm:presLayoutVars>
      </dgm:prSet>
      <dgm:spPr/>
    </dgm:pt>
    <dgm:pt modelId="{F9FE49D7-7986-497F-A9E0-77B33EC05437}" type="pres">
      <dgm:prSet presAssocID="{F73797A0-CB75-4EAA-B3B9-A307F421779B}" presName="sibTrans" presStyleLbl="sibTrans2D1" presStyleIdx="2" presStyleCnt="6" custAng="265495" custLinFactNeighborX="22290" custLinFactNeighborY="623"/>
      <dgm:spPr/>
    </dgm:pt>
    <dgm:pt modelId="{D47CE41D-054C-4C58-A0DB-20F08B4835E5}" type="pres">
      <dgm:prSet presAssocID="{F73797A0-CB75-4EAA-B3B9-A307F421779B}" presName="connectorText" presStyleLbl="sibTrans2D1" presStyleIdx="2" presStyleCnt="6"/>
      <dgm:spPr/>
    </dgm:pt>
    <dgm:pt modelId="{1DE68D2B-A103-4F90-B8C3-2FB7664B6CE4}" type="pres">
      <dgm:prSet presAssocID="{953986AC-68ED-43E5-8410-143EA81D5D2A}" presName="node" presStyleLbl="node1" presStyleIdx="3" presStyleCnt="7" custScaleX="136802" custScaleY="131996" custLinFactNeighborX="82" custLinFactNeighborY="-25147">
        <dgm:presLayoutVars>
          <dgm:bulletEnabled val="1"/>
        </dgm:presLayoutVars>
      </dgm:prSet>
      <dgm:spPr/>
    </dgm:pt>
    <dgm:pt modelId="{18EC6934-A9D1-4406-A6C2-E6E17AC0CD98}" type="pres">
      <dgm:prSet presAssocID="{AE4925EE-232A-495D-9B3A-0B343FFE5EE2}" presName="sibTrans" presStyleLbl="sibTrans2D1" presStyleIdx="3" presStyleCnt="6"/>
      <dgm:spPr/>
    </dgm:pt>
    <dgm:pt modelId="{303A7D31-D2F7-4701-A5D3-F097E69CBFC2}" type="pres">
      <dgm:prSet presAssocID="{AE4925EE-232A-495D-9B3A-0B343FFE5EE2}" presName="connectorText" presStyleLbl="sibTrans2D1" presStyleIdx="3" presStyleCnt="6"/>
      <dgm:spPr/>
    </dgm:pt>
    <dgm:pt modelId="{420E957D-C51C-48D1-A3D8-AE218CDE3AE1}" type="pres">
      <dgm:prSet presAssocID="{6770629A-1D91-499D-AD9E-A9CFD4F3F003}" presName="node" presStyleLbl="node1" presStyleIdx="4" presStyleCnt="7" custScaleX="116659" custScaleY="132680" custLinFactNeighborX="1097" custLinFactNeighborY="-23767">
        <dgm:presLayoutVars>
          <dgm:bulletEnabled val="1"/>
        </dgm:presLayoutVars>
      </dgm:prSet>
      <dgm:spPr/>
    </dgm:pt>
    <dgm:pt modelId="{25F2A51B-1B06-4A0D-A375-2829406E2DDF}" type="pres">
      <dgm:prSet presAssocID="{FB789804-D156-496F-A729-25A9015AEF09}" presName="sibTrans" presStyleLbl="sibTrans2D1" presStyleIdx="4" presStyleCnt="6"/>
      <dgm:spPr/>
    </dgm:pt>
    <dgm:pt modelId="{A74FBC6B-0E1A-498D-AEBF-24792DD4ECE1}" type="pres">
      <dgm:prSet presAssocID="{FB789804-D156-496F-A729-25A9015AEF09}" presName="connectorText" presStyleLbl="sibTrans2D1" presStyleIdx="4" presStyleCnt="6"/>
      <dgm:spPr/>
    </dgm:pt>
    <dgm:pt modelId="{AA2ACD5B-1E12-4823-BC04-4BC9BB9B0D68}" type="pres">
      <dgm:prSet presAssocID="{59E3EB31-3F9B-4A41-AF94-89D2D470DC8A}" presName="node" presStyleLbl="node1" presStyleIdx="5" presStyleCnt="7" custScaleX="125825" custScaleY="125109" custLinFactNeighborX="-4012" custLinFactNeighborY="-25633">
        <dgm:presLayoutVars>
          <dgm:bulletEnabled val="1"/>
        </dgm:presLayoutVars>
      </dgm:prSet>
      <dgm:spPr/>
    </dgm:pt>
    <dgm:pt modelId="{C197291E-A0B1-444C-8602-9E6D8038171E}" type="pres">
      <dgm:prSet presAssocID="{4F8071F1-F455-4211-A193-BAE6E766A584}" presName="sibTrans" presStyleLbl="sibTrans2D1" presStyleIdx="5" presStyleCnt="6" custAng="139735"/>
      <dgm:spPr/>
    </dgm:pt>
    <dgm:pt modelId="{24D16BB3-FB99-46DB-BEA1-3FEE8A99D792}" type="pres">
      <dgm:prSet presAssocID="{4F8071F1-F455-4211-A193-BAE6E766A584}" presName="connectorText" presStyleLbl="sibTrans2D1" presStyleIdx="5" presStyleCnt="6"/>
      <dgm:spPr/>
    </dgm:pt>
    <dgm:pt modelId="{0749BDF7-0956-4F65-98F8-D7D9DE6DD615}" type="pres">
      <dgm:prSet presAssocID="{17110A86-5A17-4615-BC19-07FEF91DEE10}" presName="node" presStyleLbl="node1" presStyleIdx="6" presStyleCnt="7" custScaleX="139794" custScaleY="116363" custLinFactNeighborX="-6531" custLinFactNeighborY="-33822">
        <dgm:presLayoutVars>
          <dgm:bulletEnabled val="1"/>
        </dgm:presLayoutVars>
      </dgm:prSet>
      <dgm:spPr/>
    </dgm:pt>
  </dgm:ptLst>
  <dgm:cxnLst>
    <dgm:cxn modelId="{C1ED4B05-A24F-4E68-8C98-8023B6249ABF}" type="presOf" srcId="{B2AA04DE-CBB3-43C1-BA8D-585BE43BE84B}" destId="{212DDEBA-BD4C-4FC2-B465-1B8ACE0EC076}" srcOrd="1" destOrd="0" presId="urn:microsoft.com/office/officeart/2005/8/layout/process5"/>
    <dgm:cxn modelId="{57639E06-014A-4EA5-A5BD-87B8E9AC7B79}" type="presOf" srcId="{B2AA04DE-CBB3-43C1-BA8D-585BE43BE84B}" destId="{980568DE-9C85-4FF8-BD78-03E847F03BE4}" srcOrd="0" destOrd="0" presId="urn:microsoft.com/office/officeart/2005/8/layout/process5"/>
    <dgm:cxn modelId="{20ADCF0E-81D4-4156-AF27-8961E228BD78}" type="presOf" srcId="{59E3EB31-3F9B-4A41-AF94-89D2D470DC8A}" destId="{AA2ACD5B-1E12-4823-BC04-4BC9BB9B0D68}" srcOrd="0" destOrd="0" presId="urn:microsoft.com/office/officeart/2005/8/layout/process5"/>
    <dgm:cxn modelId="{E3A8B715-52A4-4E86-80A3-F7158C9C486F}" type="presOf" srcId="{4F8071F1-F455-4211-A193-BAE6E766A584}" destId="{24D16BB3-FB99-46DB-BEA1-3FEE8A99D792}" srcOrd="1" destOrd="0" presId="urn:microsoft.com/office/officeart/2005/8/layout/process5"/>
    <dgm:cxn modelId="{05AFBF34-D917-48BC-B75A-C7D332957394}" srcId="{9BF37570-05DF-40A2-8844-077C1A8EB3B5}" destId="{17110A86-5A17-4615-BC19-07FEF91DEE10}" srcOrd="6" destOrd="0" parTransId="{92D733D9-1E41-47EE-AA63-3474107DF53F}" sibTransId="{05AEF090-0654-4BB4-8328-BEDD95F50C2F}"/>
    <dgm:cxn modelId="{3055E647-E96D-4903-AB01-373668CF0DBF}" srcId="{9BF37570-05DF-40A2-8844-077C1A8EB3B5}" destId="{953986AC-68ED-43E5-8410-143EA81D5D2A}" srcOrd="3" destOrd="0" parTransId="{DD210873-3843-4C38-BE5C-D60583EE0A89}" sibTransId="{AE4925EE-232A-495D-9B3A-0B343FFE5EE2}"/>
    <dgm:cxn modelId="{F991F44E-D008-4D85-A2CE-136F5388FE65}" type="presOf" srcId="{FB789804-D156-496F-A729-25A9015AEF09}" destId="{25F2A51B-1B06-4A0D-A375-2829406E2DDF}" srcOrd="0" destOrd="0" presId="urn:microsoft.com/office/officeart/2005/8/layout/process5"/>
    <dgm:cxn modelId="{B45C3D75-56AA-4E3A-92EC-DE6917E0C7BC}" type="presOf" srcId="{AE4925EE-232A-495D-9B3A-0B343FFE5EE2}" destId="{303A7D31-D2F7-4701-A5D3-F097E69CBFC2}" srcOrd="1" destOrd="0" presId="urn:microsoft.com/office/officeart/2005/8/layout/process5"/>
    <dgm:cxn modelId="{3794697B-2942-43CF-A0E7-159E01B3416A}" srcId="{9BF37570-05DF-40A2-8844-077C1A8EB3B5}" destId="{59E3EB31-3F9B-4A41-AF94-89D2D470DC8A}" srcOrd="5" destOrd="0" parTransId="{426E6C87-857F-4689-AD93-65A23AD6C9FA}" sibTransId="{4F8071F1-F455-4211-A193-BAE6E766A584}"/>
    <dgm:cxn modelId="{B7300F7F-9C90-4585-948C-4DC6715409F5}" type="presOf" srcId="{AE4925EE-232A-495D-9B3A-0B343FFE5EE2}" destId="{18EC6934-A9D1-4406-A6C2-E6E17AC0CD98}" srcOrd="0" destOrd="0" presId="urn:microsoft.com/office/officeart/2005/8/layout/process5"/>
    <dgm:cxn modelId="{A702D688-46C4-4069-AA64-D695F82C771F}" srcId="{9BF37570-05DF-40A2-8844-077C1A8EB3B5}" destId="{5F188485-83A3-4008-BEA3-F665A0FE141D}" srcOrd="1" destOrd="0" parTransId="{95FBDD19-B76B-44F0-84F7-2DAA69ADF3A9}" sibTransId="{B2AA04DE-CBB3-43C1-BA8D-585BE43BE84B}"/>
    <dgm:cxn modelId="{FB565795-66E4-4DFF-B102-B63A510E6869}" type="presOf" srcId="{F7B83B79-1DD8-4C3E-AC35-10D087B7569E}" destId="{F2301B7D-880C-4553-A687-64E6A00EC80A}" srcOrd="0" destOrd="0" presId="urn:microsoft.com/office/officeart/2005/8/layout/process5"/>
    <dgm:cxn modelId="{4501019C-3DD0-48ED-8EE4-42946443F7DB}" type="presOf" srcId="{953986AC-68ED-43E5-8410-143EA81D5D2A}" destId="{1DE68D2B-A103-4F90-B8C3-2FB7664B6CE4}" srcOrd="0" destOrd="0" presId="urn:microsoft.com/office/officeart/2005/8/layout/process5"/>
    <dgm:cxn modelId="{20CE3AA2-80FB-43EE-BDFF-F51EA462CB0E}" srcId="{9BF37570-05DF-40A2-8844-077C1A8EB3B5}" destId="{F7B83B79-1DD8-4C3E-AC35-10D087B7569E}" srcOrd="0" destOrd="0" parTransId="{8EFECBBC-DDF8-486A-BCE7-BF8B1489AB8E}" sibTransId="{F2FC5D11-E005-487A-A32F-1C4DED32E559}"/>
    <dgm:cxn modelId="{22FC0FA7-E644-4ADE-ADB2-D97E163FDD80}" type="presOf" srcId="{F73797A0-CB75-4EAA-B3B9-A307F421779B}" destId="{D47CE41D-054C-4C58-A0DB-20F08B4835E5}" srcOrd="1" destOrd="0" presId="urn:microsoft.com/office/officeart/2005/8/layout/process5"/>
    <dgm:cxn modelId="{5BE3CEAB-9FF6-4176-80FD-F8D8389B42E0}" srcId="{9BF37570-05DF-40A2-8844-077C1A8EB3B5}" destId="{8E1D5F67-C438-4EBD-82E1-5711285C4023}" srcOrd="2" destOrd="0" parTransId="{DF2A4CAC-842C-44B8-83D9-CA1CC051D33E}" sibTransId="{F73797A0-CB75-4EAA-B3B9-A307F421779B}"/>
    <dgm:cxn modelId="{8A43C6B9-CEA3-4CD8-AB03-268F8E56B353}" type="presOf" srcId="{F2FC5D11-E005-487A-A32F-1C4DED32E559}" destId="{01C9F073-D64D-4837-99CD-5AD94D2EAC0E}" srcOrd="1" destOrd="0" presId="urn:microsoft.com/office/officeart/2005/8/layout/process5"/>
    <dgm:cxn modelId="{4338A7CE-38CA-4A11-BAE7-A995C035E906}" type="presOf" srcId="{5F188485-83A3-4008-BEA3-F665A0FE141D}" destId="{4A652647-43F6-488C-96CF-1A7AB757924F}" srcOrd="0" destOrd="0" presId="urn:microsoft.com/office/officeart/2005/8/layout/process5"/>
    <dgm:cxn modelId="{C53968D0-A1D0-4657-A13E-90F2F00F923F}" type="presOf" srcId="{6770629A-1D91-499D-AD9E-A9CFD4F3F003}" destId="{420E957D-C51C-48D1-A3D8-AE218CDE3AE1}" srcOrd="0" destOrd="0" presId="urn:microsoft.com/office/officeart/2005/8/layout/process5"/>
    <dgm:cxn modelId="{71E5A1D0-4114-48FA-A99A-B05D45BD2534}" type="presOf" srcId="{9BF37570-05DF-40A2-8844-077C1A8EB3B5}" destId="{9CEC6207-3384-422E-B345-615B7BB72FB8}" srcOrd="0" destOrd="0" presId="urn:microsoft.com/office/officeart/2005/8/layout/process5"/>
    <dgm:cxn modelId="{E483D3D9-418F-4956-BD5B-22A2CBD2A0FA}" type="presOf" srcId="{F73797A0-CB75-4EAA-B3B9-A307F421779B}" destId="{F9FE49D7-7986-497F-A9E0-77B33EC05437}" srcOrd="0" destOrd="0" presId="urn:microsoft.com/office/officeart/2005/8/layout/process5"/>
    <dgm:cxn modelId="{0D31B7DB-BDDA-43A2-A43E-F6C31571150C}" srcId="{9BF37570-05DF-40A2-8844-077C1A8EB3B5}" destId="{6770629A-1D91-499D-AD9E-A9CFD4F3F003}" srcOrd="4" destOrd="0" parTransId="{D8516475-EC29-4277-B55A-02C39AA1E6B5}" sibTransId="{FB789804-D156-496F-A729-25A9015AEF09}"/>
    <dgm:cxn modelId="{4C9A19E1-FDFE-4796-A66C-9145F028C9C6}" type="presOf" srcId="{FB789804-D156-496F-A729-25A9015AEF09}" destId="{A74FBC6B-0E1A-498D-AEBF-24792DD4ECE1}" srcOrd="1" destOrd="0" presId="urn:microsoft.com/office/officeart/2005/8/layout/process5"/>
    <dgm:cxn modelId="{4E838CEE-E596-43D4-AC22-70B10C045E4E}" type="presOf" srcId="{8E1D5F67-C438-4EBD-82E1-5711285C4023}" destId="{23C5EB5F-5AA8-4402-8BCA-BA8C60D09D58}" srcOrd="0" destOrd="0" presId="urn:microsoft.com/office/officeart/2005/8/layout/process5"/>
    <dgm:cxn modelId="{7F8E7DF5-7AAE-4C8B-8EBB-F7E295C164F2}" type="presOf" srcId="{17110A86-5A17-4615-BC19-07FEF91DEE10}" destId="{0749BDF7-0956-4F65-98F8-D7D9DE6DD615}" srcOrd="0" destOrd="0" presId="urn:microsoft.com/office/officeart/2005/8/layout/process5"/>
    <dgm:cxn modelId="{4ED2BAFB-EEBC-4CE8-ADBF-F18B6F9E4F9C}" type="presOf" srcId="{4F8071F1-F455-4211-A193-BAE6E766A584}" destId="{C197291E-A0B1-444C-8602-9E6D8038171E}" srcOrd="0" destOrd="0" presId="urn:microsoft.com/office/officeart/2005/8/layout/process5"/>
    <dgm:cxn modelId="{45753CFE-3E42-421B-B63E-242C6B734347}" type="presOf" srcId="{F2FC5D11-E005-487A-A32F-1C4DED32E559}" destId="{572BD72D-FA3C-4A68-A0D8-85A501016331}" srcOrd="0" destOrd="0" presId="urn:microsoft.com/office/officeart/2005/8/layout/process5"/>
    <dgm:cxn modelId="{49FA98CE-77B3-47C8-B3F1-8FC3115B3304}" type="presParOf" srcId="{9CEC6207-3384-422E-B345-615B7BB72FB8}" destId="{F2301B7D-880C-4553-A687-64E6A00EC80A}" srcOrd="0" destOrd="0" presId="urn:microsoft.com/office/officeart/2005/8/layout/process5"/>
    <dgm:cxn modelId="{F7D73A18-C153-429B-967C-CB6B1DCCFE69}" type="presParOf" srcId="{9CEC6207-3384-422E-B345-615B7BB72FB8}" destId="{572BD72D-FA3C-4A68-A0D8-85A501016331}" srcOrd="1" destOrd="0" presId="urn:microsoft.com/office/officeart/2005/8/layout/process5"/>
    <dgm:cxn modelId="{791E3036-2CE3-46AC-AE2B-3D3DA82C5CD4}" type="presParOf" srcId="{572BD72D-FA3C-4A68-A0D8-85A501016331}" destId="{01C9F073-D64D-4837-99CD-5AD94D2EAC0E}" srcOrd="0" destOrd="0" presId="urn:microsoft.com/office/officeart/2005/8/layout/process5"/>
    <dgm:cxn modelId="{7F997DAA-C1B6-44E7-999E-E78B16D30F2F}" type="presParOf" srcId="{9CEC6207-3384-422E-B345-615B7BB72FB8}" destId="{4A652647-43F6-488C-96CF-1A7AB757924F}" srcOrd="2" destOrd="0" presId="urn:microsoft.com/office/officeart/2005/8/layout/process5"/>
    <dgm:cxn modelId="{D027132C-E625-4790-AA3A-9E92FBB15075}" type="presParOf" srcId="{9CEC6207-3384-422E-B345-615B7BB72FB8}" destId="{980568DE-9C85-4FF8-BD78-03E847F03BE4}" srcOrd="3" destOrd="0" presId="urn:microsoft.com/office/officeart/2005/8/layout/process5"/>
    <dgm:cxn modelId="{669C0A65-49D3-48AD-81E8-3A6B06836728}" type="presParOf" srcId="{980568DE-9C85-4FF8-BD78-03E847F03BE4}" destId="{212DDEBA-BD4C-4FC2-B465-1B8ACE0EC076}" srcOrd="0" destOrd="0" presId="urn:microsoft.com/office/officeart/2005/8/layout/process5"/>
    <dgm:cxn modelId="{F4368F5C-57BC-4BF1-B3E1-D1275F35BDF6}" type="presParOf" srcId="{9CEC6207-3384-422E-B345-615B7BB72FB8}" destId="{23C5EB5F-5AA8-4402-8BCA-BA8C60D09D58}" srcOrd="4" destOrd="0" presId="urn:microsoft.com/office/officeart/2005/8/layout/process5"/>
    <dgm:cxn modelId="{1BC32CA5-7DED-402C-9823-C0B62C3A19CD}" type="presParOf" srcId="{9CEC6207-3384-422E-B345-615B7BB72FB8}" destId="{F9FE49D7-7986-497F-A9E0-77B33EC05437}" srcOrd="5" destOrd="0" presId="urn:microsoft.com/office/officeart/2005/8/layout/process5"/>
    <dgm:cxn modelId="{640CBDF2-CE55-409E-8BFE-DC3D4EABC181}" type="presParOf" srcId="{F9FE49D7-7986-497F-A9E0-77B33EC05437}" destId="{D47CE41D-054C-4C58-A0DB-20F08B4835E5}" srcOrd="0" destOrd="0" presId="urn:microsoft.com/office/officeart/2005/8/layout/process5"/>
    <dgm:cxn modelId="{9B73AA08-FA18-47B9-B006-E3D3333D2412}" type="presParOf" srcId="{9CEC6207-3384-422E-B345-615B7BB72FB8}" destId="{1DE68D2B-A103-4F90-B8C3-2FB7664B6CE4}" srcOrd="6" destOrd="0" presId="urn:microsoft.com/office/officeart/2005/8/layout/process5"/>
    <dgm:cxn modelId="{03904E99-7FA4-4ACB-A496-AD78931D254D}" type="presParOf" srcId="{9CEC6207-3384-422E-B345-615B7BB72FB8}" destId="{18EC6934-A9D1-4406-A6C2-E6E17AC0CD98}" srcOrd="7" destOrd="0" presId="urn:microsoft.com/office/officeart/2005/8/layout/process5"/>
    <dgm:cxn modelId="{683A9759-D7DD-4D70-82B4-A6F5BBF3CDFE}" type="presParOf" srcId="{18EC6934-A9D1-4406-A6C2-E6E17AC0CD98}" destId="{303A7D31-D2F7-4701-A5D3-F097E69CBFC2}" srcOrd="0" destOrd="0" presId="urn:microsoft.com/office/officeart/2005/8/layout/process5"/>
    <dgm:cxn modelId="{7DFF8DD6-807C-465B-BDE4-718CA62EEA23}" type="presParOf" srcId="{9CEC6207-3384-422E-B345-615B7BB72FB8}" destId="{420E957D-C51C-48D1-A3D8-AE218CDE3AE1}" srcOrd="8" destOrd="0" presId="urn:microsoft.com/office/officeart/2005/8/layout/process5"/>
    <dgm:cxn modelId="{95C87686-ECEB-4B49-9DC9-EE3BA4634F08}" type="presParOf" srcId="{9CEC6207-3384-422E-B345-615B7BB72FB8}" destId="{25F2A51B-1B06-4A0D-A375-2829406E2DDF}" srcOrd="9" destOrd="0" presId="urn:microsoft.com/office/officeart/2005/8/layout/process5"/>
    <dgm:cxn modelId="{A86921D0-C228-4D53-B497-732BE8E3E1ED}" type="presParOf" srcId="{25F2A51B-1B06-4A0D-A375-2829406E2DDF}" destId="{A74FBC6B-0E1A-498D-AEBF-24792DD4ECE1}" srcOrd="0" destOrd="0" presId="urn:microsoft.com/office/officeart/2005/8/layout/process5"/>
    <dgm:cxn modelId="{7A64D8BF-4044-4AD5-8967-E360E161B5E7}" type="presParOf" srcId="{9CEC6207-3384-422E-B345-615B7BB72FB8}" destId="{AA2ACD5B-1E12-4823-BC04-4BC9BB9B0D68}" srcOrd="10" destOrd="0" presId="urn:microsoft.com/office/officeart/2005/8/layout/process5"/>
    <dgm:cxn modelId="{3B79F58D-BA87-4CAC-9B0C-7874CD7D089A}" type="presParOf" srcId="{9CEC6207-3384-422E-B345-615B7BB72FB8}" destId="{C197291E-A0B1-444C-8602-9E6D8038171E}" srcOrd="11" destOrd="0" presId="urn:microsoft.com/office/officeart/2005/8/layout/process5"/>
    <dgm:cxn modelId="{E5B286E1-1A96-4AA1-9232-280BFF057754}" type="presParOf" srcId="{C197291E-A0B1-444C-8602-9E6D8038171E}" destId="{24D16BB3-FB99-46DB-BEA1-3FEE8A99D792}" srcOrd="0" destOrd="0" presId="urn:microsoft.com/office/officeart/2005/8/layout/process5"/>
    <dgm:cxn modelId="{DFC100F6-7A48-4FD0-A663-79B5F1FB7F50}" type="presParOf" srcId="{9CEC6207-3384-422E-B345-615B7BB72FB8}" destId="{0749BDF7-0956-4F65-98F8-D7D9DE6DD615}" srcOrd="12" destOrd="0" presId="urn:microsoft.com/office/officeart/2005/8/layout/process5"/>
  </dgm:cxnLst>
  <dgm:bg/>
  <dgm:whole/>
  <dgm:extLst>
    <a:ext uri="http://schemas.microsoft.com/office/drawing/2008/diagram">
      <dsp:dataModelExt xmlns:dsp="http://schemas.microsoft.com/office/drawing/2008/diagram" relId="rId14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6A76938C-D53B-410A-8BA0-693C3478D4C0}" type="doc">
      <dgm:prSet loTypeId="urn:microsoft.com/office/officeart/2008/layout/VerticalCurvedList" loCatId="list" qsTypeId="urn:microsoft.com/office/officeart/2005/8/quickstyle/simple1" qsCatId="simple" csTypeId="urn:microsoft.com/office/officeart/2005/8/colors/colorful2" csCatId="colorful" phldr="1"/>
      <dgm:spPr/>
      <dgm:t>
        <a:bodyPr/>
        <a:lstStyle/>
        <a:p>
          <a:endParaRPr lang="es-GT"/>
        </a:p>
      </dgm:t>
    </dgm:pt>
    <dgm:pt modelId="{FDBBB216-B302-4750-9E2C-53EADC1D1880}">
      <dgm:prSet phldrT="[Texto]" custT="1"/>
      <dgm:spPr>
        <a:xfrm>
          <a:off x="259921" y="168439"/>
          <a:ext cx="5177013" cy="336730"/>
        </a:xfrm>
        <a:prstGeom prst="rect">
          <a:avLst/>
        </a:prstGeom>
        <a:solidFill>
          <a:srgbClr val="ED7D31">
            <a:hueOff val="0"/>
            <a:satOff val="0"/>
            <a:lumOff val="0"/>
            <a:alphaOff val="0"/>
          </a:srgbClr>
        </a:solidFill>
        <a:ln w="3175" cap="flat" cmpd="sng" algn="ctr">
          <a:solidFill>
            <a:sysClr val="windowText" lastClr="000000"/>
          </a:solidFill>
          <a:prstDash val="solid"/>
          <a:miter lim="800000"/>
        </a:ln>
        <a:effectLst/>
      </dgm:spPr>
      <dgm:t>
        <a:bodyPr/>
        <a:lstStyle/>
        <a:p>
          <a:pPr algn="just">
            <a:buNone/>
          </a:pPr>
          <a:r>
            <a:rPr lang="es-GT" sz="1000">
              <a:solidFill>
                <a:sysClr val="window" lastClr="FFFFFF"/>
              </a:solidFill>
              <a:latin typeface="Times New Roman" panose="02020603050405020304" pitchFamily="18" charset="0"/>
              <a:ea typeface="+mn-ea"/>
              <a:cs typeface="Times New Roman" panose="02020603050405020304" pitchFamily="18" charset="0"/>
            </a:rPr>
            <a:t>Vincular la planificación con el presupuesto para responder a las prioridades nacionales de desarrollo</a:t>
          </a:r>
        </a:p>
      </dgm:t>
    </dgm:pt>
    <dgm:pt modelId="{839EC37D-BCD6-40D0-86D9-3A9EC403B740}" type="parTrans" cxnId="{D514FC36-C0B9-40FA-9648-766CF3AFFC9D}">
      <dgm:prSet/>
      <dgm:spPr/>
      <dgm:t>
        <a:bodyPr/>
        <a:lstStyle/>
        <a:p>
          <a:endParaRPr lang="es-GT" sz="1000">
            <a:latin typeface="Times New Roman" panose="02020603050405020304" pitchFamily="18" charset="0"/>
            <a:cs typeface="Times New Roman" panose="02020603050405020304" pitchFamily="18" charset="0"/>
          </a:endParaRPr>
        </a:p>
      </dgm:t>
    </dgm:pt>
    <dgm:pt modelId="{A9BC0124-4ED2-45F8-B539-ECBCCA88E731}" type="sibTrans" cxnId="{D514FC36-C0B9-40FA-9648-766CF3AFFC9D}">
      <dgm:prSet/>
      <dgm:spPr>
        <a:xfrm>
          <a:off x="-4188368" y="-642698"/>
          <a:ext cx="4990622" cy="4990622"/>
        </a:xfrm>
        <a:prstGeom prst="blockArc">
          <a:avLst>
            <a:gd name="adj1" fmla="val 18900000"/>
            <a:gd name="adj2" fmla="val 2700000"/>
            <a:gd name="adj3" fmla="val 433"/>
          </a:avLst>
        </a:prstGeom>
        <a:noFill/>
        <a:ln w="12700" cap="flat" cmpd="sng" algn="ctr">
          <a:solidFill>
            <a:srgbClr val="A5A5A5">
              <a:hueOff val="0"/>
              <a:satOff val="0"/>
              <a:lumOff val="0"/>
              <a:alphaOff val="0"/>
            </a:srgbClr>
          </a:solidFill>
          <a:prstDash val="solid"/>
          <a:miter lim="800000"/>
        </a:ln>
        <a:effectLst/>
      </dgm:spPr>
      <dgm:t>
        <a:bodyPr/>
        <a:lstStyle/>
        <a:p>
          <a:endParaRPr lang="es-GT" sz="1000">
            <a:latin typeface="Times New Roman" panose="02020603050405020304" pitchFamily="18" charset="0"/>
            <a:cs typeface="Times New Roman" panose="02020603050405020304" pitchFamily="18" charset="0"/>
          </a:endParaRPr>
        </a:p>
      </dgm:t>
    </dgm:pt>
    <dgm:pt modelId="{E0D852F4-9C48-4057-B09D-94596ECB3889}">
      <dgm:prSet phldrT="[Texto]" custT="1"/>
      <dgm:spPr>
        <a:xfrm>
          <a:off x="785322" y="1684247"/>
          <a:ext cx="4651612" cy="336730"/>
        </a:xfrm>
        <a:prstGeom prst="rect">
          <a:avLst/>
        </a:prstGeom>
        <a:solidFill>
          <a:srgbClr val="ED7D31">
            <a:hueOff val="-727682"/>
            <a:satOff val="-41964"/>
            <a:lumOff val="4314"/>
            <a:alphaOff val="0"/>
          </a:srgbClr>
        </a:solidFill>
        <a:ln w="3175" cap="flat" cmpd="sng" algn="ctr">
          <a:solidFill>
            <a:sysClr val="windowText" lastClr="000000"/>
          </a:solidFill>
          <a:prstDash val="solid"/>
          <a:miter lim="800000"/>
        </a:ln>
        <a:effectLst/>
      </dgm:spPr>
      <dgm:t>
        <a:bodyPr/>
        <a:lstStyle/>
        <a:p>
          <a:pPr algn="just">
            <a:buNone/>
          </a:pPr>
          <a:r>
            <a:rPr lang="es-GT" sz="1000">
              <a:solidFill>
                <a:sysClr val="window" lastClr="FFFFFF"/>
              </a:solidFill>
              <a:latin typeface="Times New Roman" panose="02020603050405020304" pitchFamily="18" charset="0"/>
              <a:ea typeface="+mn-ea"/>
              <a:cs typeface="Times New Roman" panose="02020603050405020304" pitchFamily="18" charset="0"/>
            </a:rPr>
            <a:t>Facilitar la coordinación intersectorial, interinstitucional y regional de la inversión</a:t>
          </a:r>
        </a:p>
      </dgm:t>
    </dgm:pt>
    <dgm:pt modelId="{293F1F95-EDB8-4A0C-BFC5-22C7821C5749}" type="parTrans" cxnId="{2119107F-6EB9-464C-981E-54899F6626ED}">
      <dgm:prSet/>
      <dgm:spPr/>
      <dgm:t>
        <a:bodyPr/>
        <a:lstStyle/>
        <a:p>
          <a:endParaRPr lang="es-GT" sz="1000">
            <a:latin typeface="Times New Roman" panose="02020603050405020304" pitchFamily="18" charset="0"/>
            <a:cs typeface="Times New Roman" panose="02020603050405020304" pitchFamily="18" charset="0"/>
          </a:endParaRPr>
        </a:p>
      </dgm:t>
    </dgm:pt>
    <dgm:pt modelId="{4D2229D7-E88B-4B6E-9560-EDCE42815E3C}" type="sibTrans" cxnId="{2119107F-6EB9-464C-981E-54899F6626ED}">
      <dgm:prSet/>
      <dgm:spPr/>
      <dgm:t>
        <a:bodyPr/>
        <a:lstStyle/>
        <a:p>
          <a:endParaRPr lang="es-GT" sz="1000">
            <a:latin typeface="Times New Roman" panose="02020603050405020304" pitchFamily="18" charset="0"/>
            <a:cs typeface="Times New Roman" panose="02020603050405020304" pitchFamily="18" charset="0"/>
          </a:endParaRPr>
        </a:p>
      </dgm:t>
    </dgm:pt>
    <dgm:pt modelId="{67B03442-2081-4CA4-94F0-B9CAF13587BA}">
      <dgm:prSet phldrT="[Texto]" custT="1"/>
      <dgm:spPr>
        <a:xfrm>
          <a:off x="259921" y="3200054"/>
          <a:ext cx="5177013" cy="336730"/>
        </a:xfrm>
        <a:prstGeom prst="rect">
          <a:avLst/>
        </a:prstGeom>
        <a:solidFill>
          <a:srgbClr val="ED7D31">
            <a:hueOff val="-1455363"/>
            <a:satOff val="-83928"/>
            <a:lumOff val="8628"/>
            <a:alphaOff val="0"/>
          </a:srgbClr>
        </a:solidFill>
        <a:ln w="3175" cap="flat" cmpd="sng" algn="ctr">
          <a:solidFill>
            <a:sysClr val="windowText" lastClr="000000"/>
          </a:solidFill>
          <a:prstDash val="solid"/>
          <a:miter lim="800000"/>
        </a:ln>
        <a:effectLst/>
      </dgm:spPr>
      <dgm:t>
        <a:bodyPr/>
        <a:lstStyle/>
        <a:p>
          <a:pPr>
            <a:buNone/>
          </a:pPr>
          <a:r>
            <a:rPr lang="es-GT" sz="1000">
              <a:solidFill>
                <a:sysClr val="window" lastClr="FFFFFF"/>
              </a:solidFill>
              <a:latin typeface="Times New Roman" panose="02020603050405020304" pitchFamily="18" charset="0"/>
              <a:ea typeface="+mn-ea"/>
              <a:cs typeface="Times New Roman" panose="02020603050405020304" pitchFamily="18" charset="0"/>
            </a:rPr>
            <a:t>Jerarquizar y priorizar el financiamiento de los proyectos que den respuesta a las necesidades sectoriales y regionales más apremiantes (brechas de infraestructura social y económica).</a:t>
          </a:r>
        </a:p>
      </dgm:t>
    </dgm:pt>
    <dgm:pt modelId="{1D532BEE-D80F-43C5-AF02-86E2C7DB09CA}" type="parTrans" cxnId="{BF5859DD-D33E-45B9-9FE9-CEEE7CAC3429}">
      <dgm:prSet/>
      <dgm:spPr/>
      <dgm:t>
        <a:bodyPr/>
        <a:lstStyle/>
        <a:p>
          <a:endParaRPr lang="es-GT" sz="1000">
            <a:latin typeface="Times New Roman" panose="02020603050405020304" pitchFamily="18" charset="0"/>
            <a:cs typeface="Times New Roman" panose="02020603050405020304" pitchFamily="18" charset="0"/>
          </a:endParaRPr>
        </a:p>
      </dgm:t>
    </dgm:pt>
    <dgm:pt modelId="{2FF1D052-7EA5-4308-971D-DF83178FDF0D}" type="sibTrans" cxnId="{BF5859DD-D33E-45B9-9FE9-CEEE7CAC3429}">
      <dgm:prSet/>
      <dgm:spPr/>
      <dgm:t>
        <a:bodyPr/>
        <a:lstStyle/>
        <a:p>
          <a:endParaRPr lang="es-GT" sz="1000">
            <a:latin typeface="Times New Roman" panose="02020603050405020304" pitchFamily="18" charset="0"/>
            <a:cs typeface="Times New Roman" panose="02020603050405020304" pitchFamily="18" charset="0"/>
          </a:endParaRPr>
        </a:p>
      </dgm:t>
    </dgm:pt>
    <dgm:pt modelId="{5AF33910-E03E-4F76-A7F9-683C07E73822}">
      <dgm:prSet custT="1"/>
      <dgm:spPr>
        <a:xfrm>
          <a:off x="564861" y="2694661"/>
          <a:ext cx="4872073" cy="336730"/>
        </a:xfrm>
        <a:prstGeom prst="rect">
          <a:avLst/>
        </a:prstGeom>
        <a:solidFill>
          <a:srgbClr val="ED7D31">
            <a:hueOff val="-1212803"/>
            <a:satOff val="-69940"/>
            <a:lumOff val="7190"/>
            <a:alphaOff val="0"/>
          </a:srgbClr>
        </a:solidFill>
        <a:ln w="3175" cap="flat" cmpd="sng" algn="ctr">
          <a:solidFill>
            <a:sysClr val="windowText" lastClr="000000"/>
          </a:solidFill>
          <a:prstDash val="solid"/>
          <a:miter lim="800000"/>
        </a:ln>
        <a:effectLst/>
      </dgm:spPr>
      <dgm:t>
        <a:bodyPr/>
        <a:lstStyle/>
        <a:p>
          <a:pPr algn="just">
            <a:buNone/>
          </a:pPr>
          <a:r>
            <a:rPr lang="es-GT" sz="1000">
              <a:solidFill>
                <a:sysClr val="window" lastClr="FFFFFF"/>
              </a:solidFill>
              <a:latin typeface="Times New Roman" panose="02020603050405020304" pitchFamily="18" charset="0"/>
              <a:ea typeface="+mn-ea"/>
              <a:cs typeface="Times New Roman" panose="02020603050405020304" pitchFamily="18" charset="0"/>
            </a:rPr>
            <a:t>Sentar la base para retroalimentar, en términos de inversión pública, la política socioeconómica.</a:t>
          </a:r>
        </a:p>
      </dgm:t>
    </dgm:pt>
    <dgm:pt modelId="{D476496A-BB87-46B8-BF4D-903C8671067B}" type="parTrans" cxnId="{6E4AF458-420E-456B-8BAA-15FF91CC2FCA}">
      <dgm:prSet/>
      <dgm:spPr/>
      <dgm:t>
        <a:bodyPr/>
        <a:lstStyle/>
        <a:p>
          <a:endParaRPr lang="es-GT" sz="1000">
            <a:latin typeface="Times New Roman" panose="02020603050405020304" pitchFamily="18" charset="0"/>
            <a:cs typeface="Times New Roman" panose="02020603050405020304" pitchFamily="18" charset="0"/>
          </a:endParaRPr>
        </a:p>
      </dgm:t>
    </dgm:pt>
    <dgm:pt modelId="{18D5FCEB-62A8-4B77-AB5C-CA30F3B7B6A3}" type="sibTrans" cxnId="{6E4AF458-420E-456B-8BAA-15FF91CC2FCA}">
      <dgm:prSet/>
      <dgm:spPr/>
      <dgm:t>
        <a:bodyPr/>
        <a:lstStyle/>
        <a:p>
          <a:endParaRPr lang="es-GT" sz="1000">
            <a:latin typeface="Times New Roman" panose="02020603050405020304" pitchFamily="18" charset="0"/>
            <a:cs typeface="Times New Roman" panose="02020603050405020304" pitchFamily="18" charset="0"/>
          </a:endParaRPr>
        </a:p>
      </dgm:t>
    </dgm:pt>
    <dgm:pt modelId="{2BDC0AD6-CBCC-4EF9-9764-0AA1F640BD1A}">
      <dgm:prSet custT="1"/>
      <dgm:spPr>
        <a:xfrm>
          <a:off x="731967" y="2189639"/>
          <a:ext cx="4704968" cy="336730"/>
        </a:xfrm>
        <a:prstGeom prst="rect">
          <a:avLst/>
        </a:prstGeom>
        <a:solidFill>
          <a:srgbClr val="ED7D31">
            <a:hueOff val="-970242"/>
            <a:satOff val="-55952"/>
            <a:lumOff val="5752"/>
            <a:alphaOff val="0"/>
          </a:srgbClr>
        </a:solidFill>
        <a:ln w="3175" cap="flat" cmpd="sng" algn="ctr">
          <a:solidFill>
            <a:sysClr val="windowText" lastClr="000000"/>
          </a:solidFill>
          <a:prstDash val="solid"/>
          <a:miter lim="800000"/>
        </a:ln>
        <a:effectLst/>
      </dgm:spPr>
      <dgm:t>
        <a:bodyPr/>
        <a:lstStyle/>
        <a:p>
          <a:pPr algn="just">
            <a:buNone/>
          </a:pPr>
          <a:r>
            <a:rPr lang="es-GT" sz="1000">
              <a:solidFill>
                <a:sysClr val="window" lastClr="FFFFFF"/>
              </a:solidFill>
              <a:latin typeface="Times New Roman" panose="02020603050405020304" pitchFamily="18" charset="0"/>
              <a:ea typeface="+mn-ea"/>
              <a:cs typeface="Times New Roman" panose="02020603050405020304" pitchFamily="18" charset="0"/>
            </a:rPr>
            <a:t>Orientar las actividades de pre inversión con pertinencia en los objetivos de la política pública.</a:t>
          </a:r>
        </a:p>
      </dgm:t>
    </dgm:pt>
    <dgm:pt modelId="{6FCD71F5-F499-4802-83CC-FE499FC1AB8C}" type="parTrans" cxnId="{41825E12-EB77-4259-B325-41F1F93CE914}">
      <dgm:prSet/>
      <dgm:spPr/>
      <dgm:t>
        <a:bodyPr/>
        <a:lstStyle/>
        <a:p>
          <a:endParaRPr lang="es-GT" sz="1000">
            <a:latin typeface="Times New Roman" panose="02020603050405020304" pitchFamily="18" charset="0"/>
            <a:cs typeface="Times New Roman" panose="02020603050405020304" pitchFamily="18" charset="0"/>
          </a:endParaRPr>
        </a:p>
      </dgm:t>
    </dgm:pt>
    <dgm:pt modelId="{D6404EC8-B690-43F0-883D-8CACE85B60EA}" type="sibTrans" cxnId="{41825E12-EB77-4259-B325-41F1F93CE914}">
      <dgm:prSet/>
      <dgm:spPr/>
      <dgm:t>
        <a:bodyPr/>
        <a:lstStyle/>
        <a:p>
          <a:endParaRPr lang="es-GT" sz="1000">
            <a:latin typeface="Times New Roman" panose="02020603050405020304" pitchFamily="18" charset="0"/>
            <a:cs typeface="Times New Roman" panose="02020603050405020304" pitchFamily="18" charset="0"/>
          </a:endParaRPr>
        </a:p>
      </dgm:t>
    </dgm:pt>
    <dgm:pt modelId="{F4F29A86-F31B-4D12-835D-C4668260264E}">
      <dgm:prSet custT="1"/>
      <dgm:spPr>
        <a:xfrm>
          <a:off x="564861" y="673832"/>
          <a:ext cx="4872073" cy="336730"/>
        </a:xfrm>
        <a:prstGeom prst="rect">
          <a:avLst/>
        </a:prstGeom>
        <a:solidFill>
          <a:srgbClr val="ED7D31">
            <a:hueOff val="-242561"/>
            <a:satOff val="-13988"/>
            <a:lumOff val="1438"/>
            <a:alphaOff val="0"/>
          </a:srgbClr>
        </a:solidFill>
        <a:ln w="3175" cap="flat" cmpd="sng" algn="ctr">
          <a:solidFill>
            <a:sysClr val="windowText" lastClr="000000"/>
          </a:solidFill>
          <a:prstDash val="solid"/>
          <a:miter lim="800000"/>
        </a:ln>
        <a:effectLst/>
      </dgm:spPr>
      <dgm:t>
        <a:bodyPr/>
        <a:lstStyle/>
        <a:p>
          <a:pPr algn="just">
            <a:buNone/>
          </a:pPr>
          <a:r>
            <a:rPr lang="es-GT" sz="1000">
              <a:solidFill>
                <a:sysClr val="window" lastClr="FFFFFF"/>
              </a:solidFill>
              <a:latin typeface="Times New Roman" panose="02020603050405020304" pitchFamily="18" charset="0"/>
              <a:ea typeface="+mn-ea"/>
              <a:cs typeface="Times New Roman" panose="02020603050405020304" pitchFamily="18" charset="0"/>
            </a:rPr>
            <a:t>Mejorar la calidad y eficacia de la inversión pública al elevar las posibilidades de su ejecución y evaluar su impacto</a:t>
          </a:r>
        </a:p>
      </dgm:t>
    </dgm:pt>
    <dgm:pt modelId="{A02D6FD4-F02D-4F00-8AEE-6D09533088E1}" type="parTrans" cxnId="{CF9070B1-69F6-47E8-9FD2-E5C9E3B79D8A}">
      <dgm:prSet/>
      <dgm:spPr/>
      <dgm:t>
        <a:bodyPr/>
        <a:lstStyle/>
        <a:p>
          <a:endParaRPr lang="es-GT"/>
        </a:p>
      </dgm:t>
    </dgm:pt>
    <dgm:pt modelId="{0A20DBE7-DED2-41C1-B858-8582E8C4A980}" type="sibTrans" cxnId="{CF9070B1-69F6-47E8-9FD2-E5C9E3B79D8A}">
      <dgm:prSet/>
      <dgm:spPr/>
      <dgm:t>
        <a:bodyPr/>
        <a:lstStyle/>
        <a:p>
          <a:endParaRPr lang="es-GT"/>
        </a:p>
      </dgm:t>
    </dgm:pt>
    <dgm:pt modelId="{FE8D1F57-B0DF-400C-BFC0-88AD8D344B47}">
      <dgm:prSet custT="1"/>
      <dgm:spPr>
        <a:xfrm>
          <a:off x="731967" y="1178854"/>
          <a:ext cx="4704968" cy="336730"/>
        </a:xfrm>
        <a:prstGeom prst="rect">
          <a:avLst/>
        </a:prstGeom>
        <a:solidFill>
          <a:srgbClr val="ED7D31">
            <a:hueOff val="-485121"/>
            <a:satOff val="-27976"/>
            <a:lumOff val="2876"/>
            <a:alphaOff val="0"/>
          </a:srgbClr>
        </a:solidFill>
        <a:ln w="3175" cap="flat" cmpd="sng" algn="ctr">
          <a:solidFill>
            <a:sysClr val="windowText" lastClr="000000"/>
          </a:solidFill>
          <a:prstDash val="solid"/>
          <a:miter lim="800000"/>
        </a:ln>
        <a:effectLst/>
      </dgm:spPr>
      <dgm:t>
        <a:bodyPr/>
        <a:lstStyle/>
        <a:p>
          <a:pPr>
            <a:buNone/>
          </a:pPr>
          <a:r>
            <a:rPr lang="es-GT" sz="1000">
              <a:solidFill>
                <a:sysClr val="window" lastClr="FFFFFF"/>
              </a:solidFill>
              <a:latin typeface="Times New Roman" panose="02020603050405020304" pitchFamily="18" charset="0"/>
              <a:ea typeface="+mn-ea"/>
              <a:cs typeface="Times New Roman" panose="02020603050405020304" pitchFamily="18" charset="0"/>
            </a:rPr>
            <a:t>Fortalecer los vínculos entre la inversión y la programación de las finanzas públicas.</a:t>
          </a:r>
        </a:p>
      </dgm:t>
    </dgm:pt>
    <dgm:pt modelId="{6FDDF76B-167F-496A-928D-4E66B4FC10DD}" type="parTrans" cxnId="{B55A3A64-FD2C-44B5-9E0A-09BF77CF1CEA}">
      <dgm:prSet/>
      <dgm:spPr/>
      <dgm:t>
        <a:bodyPr/>
        <a:lstStyle/>
        <a:p>
          <a:endParaRPr lang="es-GT"/>
        </a:p>
      </dgm:t>
    </dgm:pt>
    <dgm:pt modelId="{7F745F34-DC8C-4E7A-83B7-597387C05CA8}" type="sibTrans" cxnId="{B55A3A64-FD2C-44B5-9E0A-09BF77CF1CEA}">
      <dgm:prSet/>
      <dgm:spPr/>
      <dgm:t>
        <a:bodyPr/>
        <a:lstStyle/>
        <a:p>
          <a:endParaRPr lang="es-GT"/>
        </a:p>
      </dgm:t>
    </dgm:pt>
    <dgm:pt modelId="{49FD4A59-F491-4965-BC8C-ECACF1AD218C}" type="pres">
      <dgm:prSet presAssocID="{6A76938C-D53B-410A-8BA0-693C3478D4C0}" presName="Name0" presStyleCnt="0">
        <dgm:presLayoutVars>
          <dgm:chMax val="7"/>
          <dgm:chPref val="7"/>
          <dgm:dir/>
        </dgm:presLayoutVars>
      </dgm:prSet>
      <dgm:spPr/>
    </dgm:pt>
    <dgm:pt modelId="{3F099DFC-B119-4833-8E3B-893EEC367CE9}" type="pres">
      <dgm:prSet presAssocID="{6A76938C-D53B-410A-8BA0-693C3478D4C0}" presName="Name1" presStyleCnt="0"/>
      <dgm:spPr/>
    </dgm:pt>
    <dgm:pt modelId="{0CD95A62-9C22-48A7-87FC-2B1E81695EBD}" type="pres">
      <dgm:prSet presAssocID="{6A76938C-D53B-410A-8BA0-693C3478D4C0}" presName="cycle" presStyleCnt="0"/>
      <dgm:spPr/>
    </dgm:pt>
    <dgm:pt modelId="{461B6E31-24EB-43DA-9161-CF0D65540D62}" type="pres">
      <dgm:prSet presAssocID="{6A76938C-D53B-410A-8BA0-693C3478D4C0}" presName="srcNode" presStyleLbl="node1" presStyleIdx="0" presStyleCnt="7"/>
      <dgm:spPr/>
    </dgm:pt>
    <dgm:pt modelId="{B25081BC-97F4-4A08-97DB-0D7AF48EB1E2}" type="pres">
      <dgm:prSet presAssocID="{6A76938C-D53B-410A-8BA0-693C3478D4C0}" presName="conn" presStyleLbl="parChTrans1D2" presStyleIdx="0" presStyleCnt="1"/>
      <dgm:spPr/>
    </dgm:pt>
    <dgm:pt modelId="{4513D35C-F530-4A23-8E05-79349F09B297}" type="pres">
      <dgm:prSet presAssocID="{6A76938C-D53B-410A-8BA0-693C3478D4C0}" presName="extraNode" presStyleLbl="node1" presStyleIdx="0" presStyleCnt="7"/>
      <dgm:spPr/>
    </dgm:pt>
    <dgm:pt modelId="{39DB3C38-814A-4217-8B9F-AA884F53AA6E}" type="pres">
      <dgm:prSet presAssocID="{6A76938C-D53B-410A-8BA0-693C3478D4C0}" presName="dstNode" presStyleLbl="node1" presStyleIdx="0" presStyleCnt="7"/>
      <dgm:spPr/>
    </dgm:pt>
    <dgm:pt modelId="{0229202E-3A72-41B7-BD4C-E5E4795FE3E1}" type="pres">
      <dgm:prSet presAssocID="{FDBBB216-B302-4750-9E2C-53EADC1D1880}" presName="text_1" presStyleLbl="node1" presStyleIdx="0" presStyleCnt="7">
        <dgm:presLayoutVars>
          <dgm:bulletEnabled val="1"/>
        </dgm:presLayoutVars>
      </dgm:prSet>
      <dgm:spPr/>
    </dgm:pt>
    <dgm:pt modelId="{ECC4338A-1E71-4E06-BC03-E9E2E5681800}" type="pres">
      <dgm:prSet presAssocID="{FDBBB216-B302-4750-9E2C-53EADC1D1880}" presName="accent_1" presStyleCnt="0"/>
      <dgm:spPr/>
    </dgm:pt>
    <dgm:pt modelId="{953A579C-2E6F-4127-BC7B-889553A659C0}" type="pres">
      <dgm:prSet presAssocID="{FDBBB216-B302-4750-9E2C-53EADC1D1880}" presName="accentRepeatNode" presStyleLbl="solidFgAcc1" presStyleIdx="0" presStyleCnt="7"/>
      <dgm:spPr>
        <a:xfrm>
          <a:off x="49464" y="126348"/>
          <a:ext cx="420913" cy="420913"/>
        </a:xfrm>
        <a:prstGeom prst="ellipse">
          <a:avLst/>
        </a:prstGeom>
        <a:solidFill>
          <a:sysClr val="window" lastClr="FFFFFF">
            <a:hueOff val="0"/>
            <a:satOff val="0"/>
            <a:lumOff val="0"/>
            <a:alphaOff val="0"/>
          </a:sysClr>
        </a:solidFill>
        <a:ln w="12700" cap="flat" cmpd="sng" algn="ctr">
          <a:solidFill>
            <a:srgbClr val="ED7D31">
              <a:hueOff val="0"/>
              <a:satOff val="0"/>
              <a:lumOff val="0"/>
              <a:alphaOff val="0"/>
            </a:srgbClr>
          </a:solidFill>
          <a:prstDash val="solid"/>
          <a:miter lim="800000"/>
        </a:ln>
        <a:effectLst/>
      </dgm:spPr>
    </dgm:pt>
    <dgm:pt modelId="{8C46AA54-9B7D-478D-A210-45C2854A7DFE}" type="pres">
      <dgm:prSet presAssocID="{F4F29A86-F31B-4D12-835D-C4668260264E}" presName="text_2" presStyleLbl="node1" presStyleIdx="1" presStyleCnt="7">
        <dgm:presLayoutVars>
          <dgm:bulletEnabled val="1"/>
        </dgm:presLayoutVars>
      </dgm:prSet>
      <dgm:spPr/>
    </dgm:pt>
    <dgm:pt modelId="{0E229DE3-0D5A-47C8-B031-000A07FA6084}" type="pres">
      <dgm:prSet presAssocID="{F4F29A86-F31B-4D12-835D-C4668260264E}" presName="accent_2" presStyleCnt="0"/>
      <dgm:spPr/>
    </dgm:pt>
    <dgm:pt modelId="{FC7921AC-E4AA-4F73-98ED-8CA06A1DEFB8}" type="pres">
      <dgm:prSet presAssocID="{F4F29A86-F31B-4D12-835D-C4668260264E}" presName="accentRepeatNode" presStyleLbl="solidFgAcc1" presStyleIdx="1" presStyleCnt="7"/>
      <dgm:spPr>
        <a:xfrm>
          <a:off x="354404" y="631740"/>
          <a:ext cx="420913" cy="420913"/>
        </a:xfrm>
        <a:prstGeom prst="ellipse">
          <a:avLst/>
        </a:prstGeom>
        <a:solidFill>
          <a:sysClr val="window" lastClr="FFFFFF">
            <a:hueOff val="0"/>
            <a:satOff val="0"/>
            <a:lumOff val="0"/>
            <a:alphaOff val="0"/>
          </a:sysClr>
        </a:solidFill>
        <a:ln w="12700" cap="flat" cmpd="sng" algn="ctr">
          <a:solidFill>
            <a:srgbClr val="ED7D31">
              <a:hueOff val="-242561"/>
              <a:satOff val="-13988"/>
              <a:lumOff val="1438"/>
              <a:alphaOff val="0"/>
            </a:srgbClr>
          </a:solidFill>
          <a:prstDash val="solid"/>
          <a:miter lim="800000"/>
        </a:ln>
        <a:effectLst/>
      </dgm:spPr>
    </dgm:pt>
    <dgm:pt modelId="{EC3AC762-2E6D-4A33-9385-0D1865E47C8A}" type="pres">
      <dgm:prSet presAssocID="{FE8D1F57-B0DF-400C-BFC0-88AD8D344B47}" presName="text_3" presStyleLbl="node1" presStyleIdx="2" presStyleCnt="7">
        <dgm:presLayoutVars>
          <dgm:bulletEnabled val="1"/>
        </dgm:presLayoutVars>
      </dgm:prSet>
      <dgm:spPr/>
    </dgm:pt>
    <dgm:pt modelId="{C2F76F42-08E2-4534-BB56-CAE2BE6609BE}" type="pres">
      <dgm:prSet presAssocID="{FE8D1F57-B0DF-400C-BFC0-88AD8D344B47}" presName="accent_3" presStyleCnt="0"/>
      <dgm:spPr/>
    </dgm:pt>
    <dgm:pt modelId="{CE982E15-D333-4611-B6A0-2E5DB7697030}" type="pres">
      <dgm:prSet presAssocID="{FE8D1F57-B0DF-400C-BFC0-88AD8D344B47}" presName="accentRepeatNode" presStyleLbl="solidFgAcc1" presStyleIdx="2" presStyleCnt="7"/>
      <dgm:spPr>
        <a:xfrm>
          <a:off x="521510" y="1136763"/>
          <a:ext cx="420913" cy="420913"/>
        </a:xfrm>
        <a:prstGeom prst="ellipse">
          <a:avLst/>
        </a:prstGeom>
        <a:solidFill>
          <a:sysClr val="window" lastClr="FFFFFF">
            <a:hueOff val="0"/>
            <a:satOff val="0"/>
            <a:lumOff val="0"/>
            <a:alphaOff val="0"/>
          </a:sysClr>
        </a:solidFill>
        <a:ln w="12700" cap="flat" cmpd="sng" algn="ctr">
          <a:solidFill>
            <a:srgbClr val="ED7D31">
              <a:hueOff val="-485121"/>
              <a:satOff val="-27976"/>
              <a:lumOff val="2876"/>
              <a:alphaOff val="0"/>
            </a:srgbClr>
          </a:solidFill>
          <a:prstDash val="solid"/>
          <a:miter lim="800000"/>
        </a:ln>
        <a:effectLst/>
      </dgm:spPr>
    </dgm:pt>
    <dgm:pt modelId="{B52800F8-B91F-4E23-B516-3F6434B11DB4}" type="pres">
      <dgm:prSet presAssocID="{E0D852F4-9C48-4057-B09D-94596ECB3889}" presName="text_4" presStyleLbl="node1" presStyleIdx="3" presStyleCnt="7">
        <dgm:presLayoutVars>
          <dgm:bulletEnabled val="1"/>
        </dgm:presLayoutVars>
      </dgm:prSet>
      <dgm:spPr/>
    </dgm:pt>
    <dgm:pt modelId="{2C396F4B-DEF0-4D4F-8117-1ED6F1D5C151}" type="pres">
      <dgm:prSet presAssocID="{E0D852F4-9C48-4057-B09D-94596ECB3889}" presName="accent_4" presStyleCnt="0"/>
      <dgm:spPr/>
    </dgm:pt>
    <dgm:pt modelId="{8A204C66-13FF-4E4E-B44D-21C75536E87D}" type="pres">
      <dgm:prSet presAssocID="{E0D852F4-9C48-4057-B09D-94596ECB3889}" presName="accentRepeatNode" presStyleLbl="solidFgAcc1" presStyleIdx="3" presStyleCnt="7"/>
      <dgm:spPr>
        <a:xfrm>
          <a:off x="574865" y="1642155"/>
          <a:ext cx="420913" cy="420913"/>
        </a:xfrm>
        <a:prstGeom prst="ellipse">
          <a:avLst/>
        </a:prstGeom>
        <a:solidFill>
          <a:sysClr val="window" lastClr="FFFFFF">
            <a:hueOff val="0"/>
            <a:satOff val="0"/>
            <a:lumOff val="0"/>
            <a:alphaOff val="0"/>
          </a:sysClr>
        </a:solidFill>
        <a:ln w="12700" cap="flat" cmpd="sng" algn="ctr">
          <a:solidFill>
            <a:srgbClr val="ED7D31">
              <a:hueOff val="-727682"/>
              <a:satOff val="-41964"/>
              <a:lumOff val="4314"/>
              <a:alphaOff val="0"/>
            </a:srgbClr>
          </a:solidFill>
          <a:prstDash val="solid"/>
          <a:miter lim="800000"/>
        </a:ln>
        <a:effectLst/>
      </dgm:spPr>
    </dgm:pt>
    <dgm:pt modelId="{0B5986E8-F523-4A41-BB24-4D2890D61D35}" type="pres">
      <dgm:prSet presAssocID="{2BDC0AD6-CBCC-4EF9-9764-0AA1F640BD1A}" presName="text_5" presStyleLbl="node1" presStyleIdx="4" presStyleCnt="7">
        <dgm:presLayoutVars>
          <dgm:bulletEnabled val="1"/>
        </dgm:presLayoutVars>
      </dgm:prSet>
      <dgm:spPr/>
    </dgm:pt>
    <dgm:pt modelId="{070D8610-3457-4A89-8BEF-4EDA76F62F13}" type="pres">
      <dgm:prSet presAssocID="{2BDC0AD6-CBCC-4EF9-9764-0AA1F640BD1A}" presName="accent_5" presStyleCnt="0"/>
      <dgm:spPr/>
    </dgm:pt>
    <dgm:pt modelId="{7984B5BF-0F19-4F09-AAFA-BC577584447C}" type="pres">
      <dgm:prSet presAssocID="{2BDC0AD6-CBCC-4EF9-9764-0AA1F640BD1A}" presName="accentRepeatNode" presStyleLbl="solidFgAcc1" presStyleIdx="4" presStyleCnt="7"/>
      <dgm:spPr>
        <a:xfrm>
          <a:off x="521510" y="2147548"/>
          <a:ext cx="420913" cy="420913"/>
        </a:xfrm>
        <a:prstGeom prst="ellipse">
          <a:avLst/>
        </a:prstGeom>
        <a:solidFill>
          <a:sysClr val="window" lastClr="FFFFFF">
            <a:hueOff val="0"/>
            <a:satOff val="0"/>
            <a:lumOff val="0"/>
            <a:alphaOff val="0"/>
          </a:sysClr>
        </a:solidFill>
        <a:ln w="12700" cap="flat" cmpd="sng" algn="ctr">
          <a:solidFill>
            <a:srgbClr val="ED7D31">
              <a:hueOff val="-970242"/>
              <a:satOff val="-55952"/>
              <a:lumOff val="5752"/>
              <a:alphaOff val="0"/>
            </a:srgbClr>
          </a:solidFill>
          <a:prstDash val="solid"/>
          <a:miter lim="800000"/>
        </a:ln>
        <a:effectLst/>
      </dgm:spPr>
    </dgm:pt>
    <dgm:pt modelId="{4D9B1178-4537-4847-8469-1FE15BE48C4C}" type="pres">
      <dgm:prSet presAssocID="{5AF33910-E03E-4F76-A7F9-683C07E73822}" presName="text_6" presStyleLbl="node1" presStyleIdx="5" presStyleCnt="7">
        <dgm:presLayoutVars>
          <dgm:bulletEnabled val="1"/>
        </dgm:presLayoutVars>
      </dgm:prSet>
      <dgm:spPr/>
    </dgm:pt>
    <dgm:pt modelId="{6DC93D34-3ED8-4122-BBE4-5A144CC6E04D}" type="pres">
      <dgm:prSet presAssocID="{5AF33910-E03E-4F76-A7F9-683C07E73822}" presName="accent_6" presStyleCnt="0"/>
      <dgm:spPr/>
    </dgm:pt>
    <dgm:pt modelId="{47835778-E539-4D1A-BCB9-1009C3E6D5C8}" type="pres">
      <dgm:prSet presAssocID="{5AF33910-E03E-4F76-A7F9-683C07E73822}" presName="accentRepeatNode" presStyleLbl="solidFgAcc1" presStyleIdx="5" presStyleCnt="7"/>
      <dgm:spPr>
        <a:xfrm>
          <a:off x="354404" y="2652570"/>
          <a:ext cx="420913" cy="420913"/>
        </a:xfrm>
        <a:prstGeom prst="ellipse">
          <a:avLst/>
        </a:prstGeom>
        <a:solidFill>
          <a:sysClr val="window" lastClr="FFFFFF">
            <a:hueOff val="0"/>
            <a:satOff val="0"/>
            <a:lumOff val="0"/>
            <a:alphaOff val="0"/>
          </a:sysClr>
        </a:solidFill>
        <a:ln w="12700" cap="flat" cmpd="sng" algn="ctr">
          <a:solidFill>
            <a:srgbClr val="ED7D31">
              <a:hueOff val="-1212803"/>
              <a:satOff val="-69940"/>
              <a:lumOff val="7190"/>
              <a:alphaOff val="0"/>
            </a:srgbClr>
          </a:solidFill>
          <a:prstDash val="solid"/>
          <a:miter lim="800000"/>
        </a:ln>
        <a:effectLst/>
      </dgm:spPr>
    </dgm:pt>
    <dgm:pt modelId="{88423B43-101C-4009-A261-CCE3F6F6AF01}" type="pres">
      <dgm:prSet presAssocID="{67B03442-2081-4CA4-94F0-B9CAF13587BA}" presName="text_7" presStyleLbl="node1" presStyleIdx="6" presStyleCnt="7">
        <dgm:presLayoutVars>
          <dgm:bulletEnabled val="1"/>
        </dgm:presLayoutVars>
      </dgm:prSet>
      <dgm:spPr/>
    </dgm:pt>
    <dgm:pt modelId="{A2D8C0D4-FD39-4DFC-8D82-9C34C31F6DD0}" type="pres">
      <dgm:prSet presAssocID="{67B03442-2081-4CA4-94F0-B9CAF13587BA}" presName="accent_7" presStyleCnt="0"/>
      <dgm:spPr/>
    </dgm:pt>
    <dgm:pt modelId="{0A4C2D18-CB36-4F9C-866C-63CD631CB65C}" type="pres">
      <dgm:prSet presAssocID="{67B03442-2081-4CA4-94F0-B9CAF13587BA}" presName="accentRepeatNode" presStyleLbl="solidFgAcc1" presStyleIdx="6" presStyleCnt="7"/>
      <dgm:spPr>
        <a:xfrm>
          <a:off x="49464" y="3157963"/>
          <a:ext cx="420913" cy="420913"/>
        </a:xfrm>
        <a:prstGeom prst="ellipse">
          <a:avLst/>
        </a:prstGeom>
        <a:solidFill>
          <a:sysClr val="window" lastClr="FFFFFF">
            <a:hueOff val="0"/>
            <a:satOff val="0"/>
            <a:lumOff val="0"/>
            <a:alphaOff val="0"/>
          </a:sysClr>
        </a:solidFill>
        <a:ln w="12700" cap="flat" cmpd="sng" algn="ctr">
          <a:solidFill>
            <a:srgbClr val="ED7D31">
              <a:hueOff val="-1455363"/>
              <a:satOff val="-83928"/>
              <a:lumOff val="8628"/>
              <a:alphaOff val="0"/>
            </a:srgbClr>
          </a:solidFill>
          <a:prstDash val="solid"/>
          <a:miter lim="800000"/>
        </a:ln>
        <a:effectLst/>
      </dgm:spPr>
    </dgm:pt>
  </dgm:ptLst>
  <dgm:cxnLst>
    <dgm:cxn modelId="{41825E12-EB77-4259-B325-41F1F93CE914}" srcId="{6A76938C-D53B-410A-8BA0-693C3478D4C0}" destId="{2BDC0AD6-CBCC-4EF9-9764-0AA1F640BD1A}" srcOrd="4" destOrd="0" parTransId="{6FCD71F5-F499-4802-83CC-FE499FC1AB8C}" sibTransId="{D6404EC8-B690-43F0-883D-8CACE85B60EA}"/>
    <dgm:cxn modelId="{CF745120-8C92-4500-A7A0-E377C25A751A}" type="presOf" srcId="{A9BC0124-4ED2-45F8-B539-ECBCCA88E731}" destId="{B25081BC-97F4-4A08-97DB-0D7AF48EB1E2}" srcOrd="0" destOrd="0" presId="urn:microsoft.com/office/officeart/2008/layout/VerticalCurvedList"/>
    <dgm:cxn modelId="{D514FC36-C0B9-40FA-9648-766CF3AFFC9D}" srcId="{6A76938C-D53B-410A-8BA0-693C3478D4C0}" destId="{FDBBB216-B302-4750-9E2C-53EADC1D1880}" srcOrd="0" destOrd="0" parTransId="{839EC37D-BCD6-40D0-86D9-3A9EC403B740}" sibTransId="{A9BC0124-4ED2-45F8-B539-ECBCCA88E731}"/>
    <dgm:cxn modelId="{564FB663-3E35-4B25-A92B-BEC449D4E6E4}" type="presOf" srcId="{6A76938C-D53B-410A-8BA0-693C3478D4C0}" destId="{49FD4A59-F491-4965-BC8C-ECACF1AD218C}" srcOrd="0" destOrd="0" presId="urn:microsoft.com/office/officeart/2008/layout/VerticalCurvedList"/>
    <dgm:cxn modelId="{B55A3A64-FD2C-44B5-9E0A-09BF77CF1CEA}" srcId="{6A76938C-D53B-410A-8BA0-693C3478D4C0}" destId="{FE8D1F57-B0DF-400C-BFC0-88AD8D344B47}" srcOrd="2" destOrd="0" parTransId="{6FDDF76B-167F-496A-928D-4E66B4FC10DD}" sibTransId="{7F745F34-DC8C-4E7A-83B7-597387C05CA8}"/>
    <dgm:cxn modelId="{F3734069-BF5C-43AB-8699-1E346CD8F506}" type="presOf" srcId="{E0D852F4-9C48-4057-B09D-94596ECB3889}" destId="{B52800F8-B91F-4E23-B516-3F6434B11DB4}" srcOrd="0" destOrd="0" presId="urn:microsoft.com/office/officeart/2008/layout/VerticalCurvedList"/>
    <dgm:cxn modelId="{041A7A6A-0806-4C1E-BAEB-63E6B7AB5FB0}" type="presOf" srcId="{FDBBB216-B302-4750-9E2C-53EADC1D1880}" destId="{0229202E-3A72-41B7-BD4C-E5E4795FE3E1}" srcOrd="0" destOrd="0" presId="urn:microsoft.com/office/officeart/2008/layout/VerticalCurvedList"/>
    <dgm:cxn modelId="{01BE954A-3D75-4652-BC52-427554991BB0}" type="presOf" srcId="{FE8D1F57-B0DF-400C-BFC0-88AD8D344B47}" destId="{EC3AC762-2E6D-4A33-9385-0D1865E47C8A}" srcOrd="0" destOrd="0" presId="urn:microsoft.com/office/officeart/2008/layout/VerticalCurvedList"/>
    <dgm:cxn modelId="{29D5666C-CB4B-402A-8618-77907575DE3E}" type="presOf" srcId="{5AF33910-E03E-4F76-A7F9-683C07E73822}" destId="{4D9B1178-4537-4847-8469-1FE15BE48C4C}" srcOrd="0" destOrd="0" presId="urn:microsoft.com/office/officeart/2008/layout/VerticalCurvedList"/>
    <dgm:cxn modelId="{6E4AF458-420E-456B-8BAA-15FF91CC2FCA}" srcId="{6A76938C-D53B-410A-8BA0-693C3478D4C0}" destId="{5AF33910-E03E-4F76-A7F9-683C07E73822}" srcOrd="5" destOrd="0" parTransId="{D476496A-BB87-46B8-BF4D-903C8671067B}" sibTransId="{18D5FCEB-62A8-4B77-AB5C-CA30F3B7B6A3}"/>
    <dgm:cxn modelId="{2119107F-6EB9-464C-981E-54899F6626ED}" srcId="{6A76938C-D53B-410A-8BA0-693C3478D4C0}" destId="{E0D852F4-9C48-4057-B09D-94596ECB3889}" srcOrd="3" destOrd="0" parTransId="{293F1F95-EDB8-4A0C-BFC5-22C7821C5749}" sibTransId="{4D2229D7-E88B-4B6E-9560-EDCE42815E3C}"/>
    <dgm:cxn modelId="{CF9070B1-69F6-47E8-9FD2-E5C9E3B79D8A}" srcId="{6A76938C-D53B-410A-8BA0-693C3478D4C0}" destId="{F4F29A86-F31B-4D12-835D-C4668260264E}" srcOrd="1" destOrd="0" parTransId="{A02D6FD4-F02D-4F00-8AEE-6D09533088E1}" sibTransId="{0A20DBE7-DED2-41C1-B858-8582E8C4A980}"/>
    <dgm:cxn modelId="{BF5859DD-D33E-45B9-9FE9-CEEE7CAC3429}" srcId="{6A76938C-D53B-410A-8BA0-693C3478D4C0}" destId="{67B03442-2081-4CA4-94F0-B9CAF13587BA}" srcOrd="6" destOrd="0" parTransId="{1D532BEE-D80F-43C5-AF02-86E2C7DB09CA}" sibTransId="{2FF1D052-7EA5-4308-971D-DF83178FDF0D}"/>
    <dgm:cxn modelId="{B3DB10ED-1137-4AA2-9C2B-D5A762B3E695}" type="presOf" srcId="{2BDC0AD6-CBCC-4EF9-9764-0AA1F640BD1A}" destId="{0B5986E8-F523-4A41-BB24-4D2890D61D35}" srcOrd="0" destOrd="0" presId="urn:microsoft.com/office/officeart/2008/layout/VerticalCurvedList"/>
    <dgm:cxn modelId="{124EF4F1-8C19-40AA-A546-E46BAA733E41}" type="presOf" srcId="{67B03442-2081-4CA4-94F0-B9CAF13587BA}" destId="{88423B43-101C-4009-A261-CCE3F6F6AF01}" srcOrd="0" destOrd="0" presId="urn:microsoft.com/office/officeart/2008/layout/VerticalCurvedList"/>
    <dgm:cxn modelId="{84E251F2-3F75-4084-A58B-F90321288606}" type="presOf" srcId="{F4F29A86-F31B-4D12-835D-C4668260264E}" destId="{8C46AA54-9B7D-478D-A210-45C2854A7DFE}" srcOrd="0" destOrd="0" presId="urn:microsoft.com/office/officeart/2008/layout/VerticalCurvedList"/>
    <dgm:cxn modelId="{42D9525B-B24B-4698-95F4-5325BB36419A}" type="presParOf" srcId="{49FD4A59-F491-4965-BC8C-ECACF1AD218C}" destId="{3F099DFC-B119-4833-8E3B-893EEC367CE9}" srcOrd="0" destOrd="0" presId="urn:microsoft.com/office/officeart/2008/layout/VerticalCurvedList"/>
    <dgm:cxn modelId="{503AA7EB-2C2D-483C-B47B-B53CD2EBEE77}" type="presParOf" srcId="{3F099DFC-B119-4833-8E3B-893EEC367CE9}" destId="{0CD95A62-9C22-48A7-87FC-2B1E81695EBD}" srcOrd="0" destOrd="0" presId="urn:microsoft.com/office/officeart/2008/layout/VerticalCurvedList"/>
    <dgm:cxn modelId="{267C350D-27A1-4006-BF2B-C2B4002DFEE1}" type="presParOf" srcId="{0CD95A62-9C22-48A7-87FC-2B1E81695EBD}" destId="{461B6E31-24EB-43DA-9161-CF0D65540D62}" srcOrd="0" destOrd="0" presId="urn:microsoft.com/office/officeart/2008/layout/VerticalCurvedList"/>
    <dgm:cxn modelId="{BFE21C0F-E3C8-4EBC-BE83-49DC796DC656}" type="presParOf" srcId="{0CD95A62-9C22-48A7-87FC-2B1E81695EBD}" destId="{B25081BC-97F4-4A08-97DB-0D7AF48EB1E2}" srcOrd="1" destOrd="0" presId="urn:microsoft.com/office/officeart/2008/layout/VerticalCurvedList"/>
    <dgm:cxn modelId="{BFFF8E8B-3629-4E95-8D10-C01417466FDF}" type="presParOf" srcId="{0CD95A62-9C22-48A7-87FC-2B1E81695EBD}" destId="{4513D35C-F530-4A23-8E05-79349F09B297}" srcOrd="2" destOrd="0" presId="urn:microsoft.com/office/officeart/2008/layout/VerticalCurvedList"/>
    <dgm:cxn modelId="{1B9BC099-40FF-42E0-955D-BDEBBDB5B5DC}" type="presParOf" srcId="{0CD95A62-9C22-48A7-87FC-2B1E81695EBD}" destId="{39DB3C38-814A-4217-8B9F-AA884F53AA6E}" srcOrd="3" destOrd="0" presId="urn:microsoft.com/office/officeart/2008/layout/VerticalCurvedList"/>
    <dgm:cxn modelId="{0D760B5F-EC84-4983-AC1A-66F47BA5770C}" type="presParOf" srcId="{3F099DFC-B119-4833-8E3B-893EEC367CE9}" destId="{0229202E-3A72-41B7-BD4C-E5E4795FE3E1}" srcOrd="1" destOrd="0" presId="urn:microsoft.com/office/officeart/2008/layout/VerticalCurvedList"/>
    <dgm:cxn modelId="{5CE384CA-2FBE-4879-9AD2-48665DD17EB0}" type="presParOf" srcId="{3F099DFC-B119-4833-8E3B-893EEC367CE9}" destId="{ECC4338A-1E71-4E06-BC03-E9E2E5681800}" srcOrd="2" destOrd="0" presId="urn:microsoft.com/office/officeart/2008/layout/VerticalCurvedList"/>
    <dgm:cxn modelId="{35F95EBF-7B76-44BB-A362-B1613ECA8A00}" type="presParOf" srcId="{ECC4338A-1E71-4E06-BC03-E9E2E5681800}" destId="{953A579C-2E6F-4127-BC7B-889553A659C0}" srcOrd="0" destOrd="0" presId="urn:microsoft.com/office/officeart/2008/layout/VerticalCurvedList"/>
    <dgm:cxn modelId="{ED1BE013-355D-4E44-99F3-EACE21072929}" type="presParOf" srcId="{3F099DFC-B119-4833-8E3B-893EEC367CE9}" destId="{8C46AA54-9B7D-478D-A210-45C2854A7DFE}" srcOrd="3" destOrd="0" presId="urn:microsoft.com/office/officeart/2008/layout/VerticalCurvedList"/>
    <dgm:cxn modelId="{AB2A44D2-1D07-41D7-878B-FEED84DCD7A4}" type="presParOf" srcId="{3F099DFC-B119-4833-8E3B-893EEC367CE9}" destId="{0E229DE3-0D5A-47C8-B031-000A07FA6084}" srcOrd="4" destOrd="0" presId="urn:microsoft.com/office/officeart/2008/layout/VerticalCurvedList"/>
    <dgm:cxn modelId="{AF8D1AF6-F1B5-4AFB-9039-5EF3CA13A673}" type="presParOf" srcId="{0E229DE3-0D5A-47C8-B031-000A07FA6084}" destId="{FC7921AC-E4AA-4F73-98ED-8CA06A1DEFB8}" srcOrd="0" destOrd="0" presId="urn:microsoft.com/office/officeart/2008/layout/VerticalCurvedList"/>
    <dgm:cxn modelId="{A8A18BFF-18A8-4109-8D83-F4F8D8DEB09B}" type="presParOf" srcId="{3F099DFC-B119-4833-8E3B-893EEC367CE9}" destId="{EC3AC762-2E6D-4A33-9385-0D1865E47C8A}" srcOrd="5" destOrd="0" presId="urn:microsoft.com/office/officeart/2008/layout/VerticalCurvedList"/>
    <dgm:cxn modelId="{10C17639-16BF-46AC-8831-A3A2DC32978B}" type="presParOf" srcId="{3F099DFC-B119-4833-8E3B-893EEC367CE9}" destId="{C2F76F42-08E2-4534-BB56-CAE2BE6609BE}" srcOrd="6" destOrd="0" presId="urn:microsoft.com/office/officeart/2008/layout/VerticalCurvedList"/>
    <dgm:cxn modelId="{E3F6C6E4-FC3D-4694-8B97-45CA9F69C921}" type="presParOf" srcId="{C2F76F42-08E2-4534-BB56-CAE2BE6609BE}" destId="{CE982E15-D333-4611-B6A0-2E5DB7697030}" srcOrd="0" destOrd="0" presId="urn:microsoft.com/office/officeart/2008/layout/VerticalCurvedList"/>
    <dgm:cxn modelId="{AB475A7B-2E2D-44D2-B27E-01492E879CF5}" type="presParOf" srcId="{3F099DFC-B119-4833-8E3B-893EEC367CE9}" destId="{B52800F8-B91F-4E23-B516-3F6434B11DB4}" srcOrd="7" destOrd="0" presId="urn:microsoft.com/office/officeart/2008/layout/VerticalCurvedList"/>
    <dgm:cxn modelId="{18786D7E-4524-4128-BA0B-D37AE4717082}" type="presParOf" srcId="{3F099DFC-B119-4833-8E3B-893EEC367CE9}" destId="{2C396F4B-DEF0-4D4F-8117-1ED6F1D5C151}" srcOrd="8" destOrd="0" presId="urn:microsoft.com/office/officeart/2008/layout/VerticalCurvedList"/>
    <dgm:cxn modelId="{C988425C-1423-4E85-8803-F08A84441096}" type="presParOf" srcId="{2C396F4B-DEF0-4D4F-8117-1ED6F1D5C151}" destId="{8A204C66-13FF-4E4E-B44D-21C75536E87D}" srcOrd="0" destOrd="0" presId="urn:microsoft.com/office/officeart/2008/layout/VerticalCurvedList"/>
    <dgm:cxn modelId="{0161E763-5D5F-4137-AAAF-CAB538F4156E}" type="presParOf" srcId="{3F099DFC-B119-4833-8E3B-893EEC367CE9}" destId="{0B5986E8-F523-4A41-BB24-4D2890D61D35}" srcOrd="9" destOrd="0" presId="urn:microsoft.com/office/officeart/2008/layout/VerticalCurvedList"/>
    <dgm:cxn modelId="{F38A3823-B3AF-4D68-BD59-4BEE18CF5A9F}" type="presParOf" srcId="{3F099DFC-B119-4833-8E3B-893EEC367CE9}" destId="{070D8610-3457-4A89-8BEF-4EDA76F62F13}" srcOrd="10" destOrd="0" presId="urn:microsoft.com/office/officeart/2008/layout/VerticalCurvedList"/>
    <dgm:cxn modelId="{50319FD7-2641-4A40-A8B9-BB12ECF39592}" type="presParOf" srcId="{070D8610-3457-4A89-8BEF-4EDA76F62F13}" destId="{7984B5BF-0F19-4F09-AAFA-BC577584447C}" srcOrd="0" destOrd="0" presId="urn:microsoft.com/office/officeart/2008/layout/VerticalCurvedList"/>
    <dgm:cxn modelId="{6AB60C90-A2F0-4B29-89EC-58C4D11099EC}" type="presParOf" srcId="{3F099DFC-B119-4833-8E3B-893EEC367CE9}" destId="{4D9B1178-4537-4847-8469-1FE15BE48C4C}" srcOrd="11" destOrd="0" presId="urn:microsoft.com/office/officeart/2008/layout/VerticalCurvedList"/>
    <dgm:cxn modelId="{9EC82FED-844D-4677-AA55-495D7462C50B}" type="presParOf" srcId="{3F099DFC-B119-4833-8E3B-893EEC367CE9}" destId="{6DC93D34-3ED8-4122-BBE4-5A144CC6E04D}" srcOrd="12" destOrd="0" presId="urn:microsoft.com/office/officeart/2008/layout/VerticalCurvedList"/>
    <dgm:cxn modelId="{6EB79C50-2728-47BA-B822-EFD2AC28C7A4}" type="presParOf" srcId="{6DC93D34-3ED8-4122-BBE4-5A144CC6E04D}" destId="{47835778-E539-4D1A-BCB9-1009C3E6D5C8}" srcOrd="0" destOrd="0" presId="urn:microsoft.com/office/officeart/2008/layout/VerticalCurvedList"/>
    <dgm:cxn modelId="{B2081ABD-C22B-43C6-B8E0-0CF874E20C3E}" type="presParOf" srcId="{3F099DFC-B119-4833-8E3B-893EEC367CE9}" destId="{88423B43-101C-4009-A261-CCE3F6F6AF01}" srcOrd="13" destOrd="0" presId="urn:microsoft.com/office/officeart/2008/layout/VerticalCurvedList"/>
    <dgm:cxn modelId="{6E6FC42D-A1CA-4D0F-B273-2383422AA59F}" type="presParOf" srcId="{3F099DFC-B119-4833-8E3B-893EEC367CE9}" destId="{A2D8C0D4-FD39-4DFC-8D82-9C34C31F6DD0}" srcOrd="14" destOrd="0" presId="urn:microsoft.com/office/officeart/2008/layout/VerticalCurvedList"/>
    <dgm:cxn modelId="{D076E8D3-8F81-4519-8125-486CCE17BC75}" type="presParOf" srcId="{A2D8C0D4-FD39-4DFC-8D82-9C34C31F6DD0}" destId="{0A4C2D18-CB36-4F9C-866C-63CD631CB65C}" srcOrd="0" destOrd="0" presId="urn:microsoft.com/office/officeart/2008/layout/VerticalCurvedList"/>
  </dgm:cxnLst>
  <dgm:bg/>
  <dgm:whole/>
  <dgm:extLst>
    <a:ext uri="http://schemas.microsoft.com/office/drawing/2008/diagram">
      <dsp:dataModelExt xmlns:dsp="http://schemas.microsoft.com/office/drawing/2008/diagram" relId="rId17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D681C0B2-2EA8-40C5-A6BA-B48D6A1A6D43}" type="doc">
      <dgm:prSet loTypeId="urn:microsoft.com/office/officeart/2009/3/layout/HorizontalOrganizationChart" loCatId="hierarchy" qsTypeId="urn:microsoft.com/office/officeart/2005/8/quickstyle/simple1" qsCatId="simple" csTypeId="urn:microsoft.com/office/officeart/2005/8/colors/colorful4" csCatId="colorful" phldr="1"/>
      <dgm:spPr/>
      <dgm:t>
        <a:bodyPr/>
        <a:lstStyle/>
        <a:p>
          <a:endParaRPr lang="es-ES"/>
        </a:p>
      </dgm:t>
    </dgm:pt>
    <dgm:pt modelId="{7A80290F-F723-432A-AD4F-4F7D47BF18A6}">
      <dgm:prSet phldrT="[Texto]" custT="1"/>
      <dgm:spPr>
        <a:xfrm>
          <a:off x="270518" y="1034135"/>
          <a:ext cx="874326" cy="266669"/>
        </a:xfrm>
        <a:prstGeom prst="rect">
          <a:avLst/>
        </a:prstGeom>
        <a:solidFill>
          <a:srgbClr val="A5A5A5">
            <a:hueOff val="0"/>
            <a:satOff val="0"/>
            <a:lumOff val="0"/>
            <a:alphaOff val="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gm:spPr>
      <dgm:t>
        <a:bodyPr/>
        <a:lstStyle/>
        <a:p>
          <a:pPr>
            <a:buNone/>
          </a:pPr>
          <a:r>
            <a:rPr lang="es-ES" sz="800">
              <a:solidFill>
                <a:sysClr val="window" lastClr="FFFFFF"/>
              </a:solidFill>
              <a:latin typeface="Times New Roman" panose="02020603050405020304" pitchFamily="18" charset="0"/>
              <a:ea typeface="+mn-ea"/>
              <a:cs typeface="Times New Roman" panose="02020603050405020304" pitchFamily="18" charset="0"/>
            </a:rPr>
            <a:t>Sector Público</a:t>
          </a:r>
        </a:p>
      </dgm:t>
    </dgm:pt>
    <dgm:pt modelId="{1F1683BE-9315-4255-B400-9BF4AC7A9A1A}" type="parTrans" cxnId="{C78FEE63-483B-4BF4-8FD7-CD636B5B8A54}">
      <dgm:prSet/>
      <dgm:spPr/>
      <dgm:t>
        <a:bodyPr/>
        <a:lstStyle/>
        <a:p>
          <a:endParaRPr lang="es-ES" sz="800">
            <a:latin typeface="Times New Roman" panose="02020603050405020304" pitchFamily="18" charset="0"/>
            <a:cs typeface="Times New Roman" panose="02020603050405020304" pitchFamily="18" charset="0"/>
          </a:endParaRPr>
        </a:p>
      </dgm:t>
    </dgm:pt>
    <dgm:pt modelId="{946A2467-F1C9-4A22-B60E-A720D674450F}" type="sibTrans" cxnId="{C78FEE63-483B-4BF4-8FD7-CD636B5B8A54}">
      <dgm:prSet/>
      <dgm:spPr/>
      <dgm:t>
        <a:bodyPr/>
        <a:lstStyle/>
        <a:p>
          <a:endParaRPr lang="es-ES" sz="800">
            <a:latin typeface="Times New Roman" panose="02020603050405020304" pitchFamily="18" charset="0"/>
            <a:cs typeface="Times New Roman" panose="02020603050405020304" pitchFamily="18" charset="0"/>
          </a:endParaRPr>
        </a:p>
      </dgm:t>
    </dgm:pt>
    <dgm:pt modelId="{8B890290-C711-4278-9C0F-810D40A8CBA9}">
      <dgm:prSet phldrT="[Texto]" custT="1"/>
      <dgm:spPr>
        <a:xfrm>
          <a:off x="1341577" y="607921"/>
          <a:ext cx="874326" cy="266669"/>
        </a:xfrm>
        <a:prstGeom prst="rect">
          <a:avLst/>
        </a:prstGeom>
        <a:solidFill>
          <a:srgbClr val="4472C4">
            <a:hueOff val="0"/>
            <a:satOff val="0"/>
            <a:lumOff val="0"/>
            <a:alphaOff val="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gm:spPr>
      <dgm:t>
        <a:bodyPr/>
        <a:lstStyle/>
        <a:p>
          <a:pPr>
            <a:buNone/>
          </a:pPr>
          <a:r>
            <a:rPr lang="es-ES" sz="800">
              <a:solidFill>
                <a:sysClr val="window" lastClr="FFFFFF"/>
              </a:solidFill>
              <a:latin typeface="Times New Roman" panose="02020603050405020304" pitchFamily="18" charset="0"/>
              <a:ea typeface="+mn-ea"/>
              <a:cs typeface="Times New Roman" panose="02020603050405020304" pitchFamily="18" charset="0"/>
            </a:rPr>
            <a:t>Gobierno General</a:t>
          </a:r>
        </a:p>
      </dgm:t>
    </dgm:pt>
    <dgm:pt modelId="{A8703346-FEE3-492F-B8B3-8E7F3B9860C8}" type="parTrans" cxnId="{9C78567F-242A-4E5B-B790-E7655DAE0CD5}">
      <dgm:prSet/>
      <dgm:spPr>
        <a:xfrm>
          <a:off x="1144845" y="741256"/>
          <a:ext cx="196732" cy="426213"/>
        </a:xfrm>
        <a:custGeom>
          <a:avLst/>
          <a:gdLst/>
          <a:ahLst/>
          <a:cxnLst/>
          <a:rect l="0" t="0" r="0" b="0"/>
          <a:pathLst>
            <a:path>
              <a:moveTo>
                <a:pt x="0" y="426213"/>
              </a:moveTo>
              <a:lnTo>
                <a:pt x="109299" y="426213"/>
              </a:lnTo>
              <a:lnTo>
                <a:pt x="109299" y="0"/>
              </a:lnTo>
              <a:lnTo>
                <a:pt x="196732" y="0"/>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es-ES" sz="800">
            <a:latin typeface="Times New Roman" panose="02020603050405020304" pitchFamily="18" charset="0"/>
            <a:cs typeface="Times New Roman" panose="02020603050405020304" pitchFamily="18" charset="0"/>
          </a:endParaRPr>
        </a:p>
      </dgm:t>
    </dgm:pt>
    <dgm:pt modelId="{D19BDAA3-C51A-4D7D-B6F9-C2C87C7A9145}" type="sibTrans" cxnId="{9C78567F-242A-4E5B-B790-E7655DAE0CD5}">
      <dgm:prSet/>
      <dgm:spPr/>
      <dgm:t>
        <a:bodyPr/>
        <a:lstStyle/>
        <a:p>
          <a:endParaRPr lang="es-ES" sz="800">
            <a:latin typeface="Times New Roman" panose="02020603050405020304" pitchFamily="18" charset="0"/>
            <a:cs typeface="Times New Roman" panose="02020603050405020304" pitchFamily="18" charset="0"/>
          </a:endParaRPr>
        </a:p>
      </dgm:t>
    </dgm:pt>
    <dgm:pt modelId="{749A17C7-FF49-4F8F-918A-3614BC07C9AD}">
      <dgm:prSet phldrT="[Texto]" custT="1"/>
      <dgm:spPr>
        <a:xfrm>
          <a:off x="2368901" y="188224"/>
          <a:ext cx="874326" cy="266669"/>
        </a:xfrm>
        <a:prstGeom prst="rect">
          <a:avLst/>
        </a:prstGeom>
        <a:solidFill>
          <a:srgbClr val="70AD47">
            <a:hueOff val="0"/>
            <a:satOff val="0"/>
            <a:lumOff val="0"/>
            <a:alphaOff val="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gm:spPr>
      <dgm:t>
        <a:bodyPr/>
        <a:lstStyle/>
        <a:p>
          <a:pPr>
            <a:buNone/>
          </a:pPr>
          <a:r>
            <a:rPr lang="es-ES" sz="800">
              <a:solidFill>
                <a:sysClr val="window" lastClr="FFFFFF"/>
              </a:solidFill>
              <a:latin typeface="Times New Roman" panose="02020603050405020304" pitchFamily="18" charset="0"/>
              <a:ea typeface="+mn-ea"/>
              <a:cs typeface="Times New Roman" panose="02020603050405020304" pitchFamily="18" charset="0"/>
            </a:rPr>
            <a:t>Gobierno Central</a:t>
          </a:r>
        </a:p>
      </dgm:t>
    </dgm:pt>
    <dgm:pt modelId="{D5E5A1DB-4AAD-4710-B9DA-A4EB5BA77E76}" type="parTrans" cxnId="{A8780999-31C7-4EE8-9E2D-056D651C88B7}">
      <dgm:prSet/>
      <dgm:spPr>
        <a:xfrm>
          <a:off x="2215903" y="321559"/>
          <a:ext cx="152998" cy="419696"/>
        </a:xfrm>
        <a:custGeom>
          <a:avLst/>
          <a:gdLst/>
          <a:ahLst/>
          <a:cxnLst/>
          <a:rect l="0" t="0" r="0" b="0"/>
          <a:pathLst>
            <a:path>
              <a:moveTo>
                <a:pt x="0" y="419696"/>
              </a:moveTo>
              <a:lnTo>
                <a:pt x="65565" y="419696"/>
              </a:lnTo>
              <a:lnTo>
                <a:pt x="65565" y="0"/>
              </a:lnTo>
              <a:lnTo>
                <a:pt x="152998" y="0"/>
              </a:lnTo>
            </a:path>
          </a:pathLst>
        </a:custGeom>
        <a:noFill/>
        <a:ln w="12700" cap="flat" cmpd="sng" algn="ctr">
          <a:solidFill>
            <a:srgbClr val="70AD47">
              <a:hueOff val="0"/>
              <a:satOff val="0"/>
              <a:lumOff val="0"/>
              <a:alphaOff val="0"/>
            </a:srgbClr>
          </a:solidFill>
          <a:prstDash val="solid"/>
          <a:miter lim="800000"/>
        </a:ln>
        <a:effectLst/>
      </dgm:spPr>
      <dgm:t>
        <a:bodyPr/>
        <a:lstStyle/>
        <a:p>
          <a:endParaRPr lang="es-ES" sz="800">
            <a:latin typeface="Times New Roman" panose="02020603050405020304" pitchFamily="18" charset="0"/>
            <a:cs typeface="Times New Roman" panose="02020603050405020304" pitchFamily="18" charset="0"/>
          </a:endParaRPr>
        </a:p>
      </dgm:t>
    </dgm:pt>
    <dgm:pt modelId="{4F9B0E16-7AFC-447D-87C0-19D9204D5B39}" type="sibTrans" cxnId="{A8780999-31C7-4EE8-9E2D-056D651C88B7}">
      <dgm:prSet/>
      <dgm:spPr/>
      <dgm:t>
        <a:bodyPr/>
        <a:lstStyle/>
        <a:p>
          <a:endParaRPr lang="es-ES" sz="800">
            <a:latin typeface="Times New Roman" panose="02020603050405020304" pitchFamily="18" charset="0"/>
            <a:cs typeface="Times New Roman" panose="02020603050405020304" pitchFamily="18" charset="0"/>
          </a:endParaRPr>
        </a:p>
      </dgm:t>
    </dgm:pt>
    <dgm:pt modelId="{C66FEA0C-BE51-4437-9032-158E4B88A06C}">
      <dgm:prSet phldrT="[Texto]" custT="1"/>
      <dgm:spPr>
        <a:xfrm>
          <a:off x="2368901" y="564184"/>
          <a:ext cx="874326" cy="266669"/>
        </a:xfrm>
        <a:prstGeom prst="rect">
          <a:avLst/>
        </a:prstGeom>
        <a:solidFill>
          <a:srgbClr val="70AD47">
            <a:hueOff val="0"/>
            <a:satOff val="0"/>
            <a:lumOff val="0"/>
            <a:alphaOff val="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gm:spPr>
      <dgm:t>
        <a:bodyPr/>
        <a:lstStyle/>
        <a:p>
          <a:pPr>
            <a:buNone/>
          </a:pPr>
          <a:r>
            <a:rPr lang="es-ES" sz="800">
              <a:solidFill>
                <a:sysClr val="window" lastClr="FFFFFF"/>
              </a:solidFill>
              <a:latin typeface="Times New Roman" panose="02020603050405020304" pitchFamily="18" charset="0"/>
              <a:ea typeface="+mn-ea"/>
              <a:cs typeface="Times New Roman" panose="02020603050405020304" pitchFamily="18" charset="0"/>
            </a:rPr>
            <a:t>Gobierno Locales</a:t>
          </a:r>
        </a:p>
      </dgm:t>
    </dgm:pt>
    <dgm:pt modelId="{AEF87CCA-F7E3-48EB-B011-CA779D93D72E}" type="parTrans" cxnId="{33ADCFF1-1DC3-4B66-80DF-0ED44B8B6ACD}">
      <dgm:prSet/>
      <dgm:spPr>
        <a:xfrm>
          <a:off x="2215903" y="651799"/>
          <a:ext cx="152998" cy="91440"/>
        </a:xfrm>
        <a:custGeom>
          <a:avLst/>
          <a:gdLst/>
          <a:ahLst/>
          <a:cxnLst/>
          <a:rect l="0" t="0" r="0" b="0"/>
          <a:pathLst>
            <a:path>
              <a:moveTo>
                <a:pt x="0" y="89456"/>
              </a:moveTo>
              <a:lnTo>
                <a:pt x="65565" y="89456"/>
              </a:lnTo>
              <a:lnTo>
                <a:pt x="65565" y="45720"/>
              </a:lnTo>
              <a:lnTo>
                <a:pt x="152998" y="45720"/>
              </a:lnTo>
            </a:path>
          </a:pathLst>
        </a:custGeom>
        <a:noFill/>
        <a:ln w="12700" cap="flat" cmpd="sng" algn="ctr">
          <a:solidFill>
            <a:srgbClr val="70AD47">
              <a:hueOff val="0"/>
              <a:satOff val="0"/>
              <a:lumOff val="0"/>
              <a:alphaOff val="0"/>
            </a:srgbClr>
          </a:solidFill>
          <a:prstDash val="solid"/>
          <a:miter lim="800000"/>
        </a:ln>
        <a:effectLst/>
      </dgm:spPr>
      <dgm:t>
        <a:bodyPr/>
        <a:lstStyle/>
        <a:p>
          <a:endParaRPr lang="es-ES" sz="800">
            <a:latin typeface="Times New Roman" panose="02020603050405020304" pitchFamily="18" charset="0"/>
            <a:cs typeface="Times New Roman" panose="02020603050405020304" pitchFamily="18" charset="0"/>
          </a:endParaRPr>
        </a:p>
      </dgm:t>
    </dgm:pt>
    <dgm:pt modelId="{F1C2C07B-1F04-4BA5-91AD-EF309EB33C4F}" type="sibTrans" cxnId="{33ADCFF1-1DC3-4B66-80DF-0ED44B8B6ACD}">
      <dgm:prSet/>
      <dgm:spPr/>
      <dgm:t>
        <a:bodyPr/>
        <a:lstStyle/>
        <a:p>
          <a:endParaRPr lang="es-ES" sz="800">
            <a:latin typeface="Times New Roman" panose="02020603050405020304" pitchFamily="18" charset="0"/>
            <a:cs typeface="Times New Roman" panose="02020603050405020304" pitchFamily="18" charset="0"/>
          </a:endParaRPr>
        </a:p>
      </dgm:t>
    </dgm:pt>
    <dgm:pt modelId="{37665383-F808-496E-A886-FCD23A382442}">
      <dgm:prSet phldrT="[Texto]" custT="1"/>
      <dgm:spPr>
        <a:xfrm>
          <a:off x="2368901" y="1316105"/>
          <a:ext cx="874326" cy="266669"/>
        </a:xfrm>
        <a:prstGeom prst="rect">
          <a:avLst/>
        </a:prstGeom>
        <a:solidFill>
          <a:srgbClr val="70AD47">
            <a:hueOff val="0"/>
            <a:satOff val="0"/>
            <a:lumOff val="0"/>
            <a:alphaOff val="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gm:spPr>
      <dgm:t>
        <a:bodyPr/>
        <a:lstStyle/>
        <a:p>
          <a:pPr>
            <a:buNone/>
          </a:pPr>
          <a:r>
            <a:rPr lang="es-ES" sz="800">
              <a:solidFill>
                <a:sysClr val="window" lastClr="FFFFFF"/>
              </a:solidFill>
              <a:latin typeface="Times New Roman" panose="02020603050405020304" pitchFamily="18" charset="0"/>
              <a:ea typeface="+mn-ea"/>
              <a:cs typeface="Times New Roman" panose="02020603050405020304" pitchFamily="18" charset="0"/>
            </a:rPr>
            <a:t>No financieras</a:t>
          </a:r>
        </a:p>
      </dgm:t>
    </dgm:pt>
    <dgm:pt modelId="{F3F23B5D-511A-4971-8759-B142278FB6E5}" type="parTrans" cxnId="{CBDBE37A-CC18-46EF-B332-8A8CEF16C275}">
      <dgm:prSet/>
      <dgm:spPr>
        <a:xfrm>
          <a:off x="2217013" y="1449440"/>
          <a:ext cx="151887" cy="187980"/>
        </a:xfrm>
        <a:custGeom>
          <a:avLst/>
          <a:gdLst/>
          <a:ahLst/>
          <a:cxnLst/>
          <a:rect l="0" t="0" r="0" b="0"/>
          <a:pathLst>
            <a:path>
              <a:moveTo>
                <a:pt x="0" y="187980"/>
              </a:moveTo>
              <a:lnTo>
                <a:pt x="64455" y="187980"/>
              </a:lnTo>
              <a:lnTo>
                <a:pt x="64455" y="0"/>
              </a:lnTo>
              <a:lnTo>
                <a:pt x="151887" y="0"/>
              </a:lnTo>
            </a:path>
          </a:pathLst>
        </a:custGeom>
        <a:noFill/>
        <a:ln w="12700" cap="flat" cmpd="sng" algn="ctr">
          <a:solidFill>
            <a:srgbClr val="70AD47">
              <a:hueOff val="0"/>
              <a:satOff val="0"/>
              <a:lumOff val="0"/>
              <a:alphaOff val="0"/>
            </a:srgbClr>
          </a:solidFill>
          <a:prstDash val="solid"/>
          <a:miter lim="800000"/>
        </a:ln>
        <a:effectLst/>
      </dgm:spPr>
      <dgm:t>
        <a:bodyPr/>
        <a:lstStyle/>
        <a:p>
          <a:endParaRPr lang="es-ES" sz="800">
            <a:latin typeface="Times New Roman" panose="02020603050405020304" pitchFamily="18" charset="0"/>
            <a:cs typeface="Times New Roman" panose="02020603050405020304" pitchFamily="18" charset="0"/>
          </a:endParaRPr>
        </a:p>
      </dgm:t>
    </dgm:pt>
    <dgm:pt modelId="{96F0C225-0EE9-48EE-A2CD-2DFD084E9551}" type="sibTrans" cxnId="{CBDBE37A-CC18-46EF-B332-8A8CEF16C275}">
      <dgm:prSet/>
      <dgm:spPr/>
      <dgm:t>
        <a:bodyPr/>
        <a:lstStyle/>
        <a:p>
          <a:endParaRPr lang="es-ES" sz="800">
            <a:latin typeface="Times New Roman" panose="02020603050405020304" pitchFamily="18" charset="0"/>
            <a:cs typeface="Times New Roman" panose="02020603050405020304" pitchFamily="18" charset="0"/>
          </a:endParaRPr>
        </a:p>
      </dgm:t>
    </dgm:pt>
    <dgm:pt modelId="{4CBC2F9A-FA95-4886-BE3B-544D55F769C7}">
      <dgm:prSet phldrT="[Texto]" custT="1"/>
      <dgm:spPr>
        <a:xfrm>
          <a:off x="2368901" y="1692065"/>
          <a:ext cx="874326" cy="266669"/>
        </a:xfrm>
        <a:prstGeom prst="rect">
          <a:avLst/>
        </a:prstGeom>
        <a:solidFill>
          <a:srgbClr val="70AD47">
            <a:hueOff val="0"/>
            <a:satOff val="0"/>
            <a:lumOff val="0"/>
            <a:alphaOff val="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gm:spPr>
      <dgm:t>
        <a:bodyPr/>
        <a:lstStyle/>
        <a:p>
          <a:pPr>
            <a:buNone/>
          </a:pPr>
          <a:r>
            <a:rPr lang="es-ES" sz="800">
              <a:solidFill>
                <a:sysClr val="window" lastClr="FFFFFF"/>
              </a:solidFill>
              <a:latin typeface="Times New Roman" panose="02020603050405020304" pitchFamily="18" charset="0"/>
              <a:ea typeface="+mn-ea"/>
              <a:cs typeface="Times New Roman" panose="02020603050405020304" pitchFamily="18" charset="0"/>
            </a:rPr>
            <a:t>Financieras</a:t>
          </a:r>
        </a:p>
      </dgm:t>
    </dgm:pt>
    <dgm:pt modelId="{EB8329EE-98BF-4AEE-8B35-A2C4DA43A9EA}" type="parTrans" cxnId="{9AB1C6E8-040C-4E22-9F2C-B1A0FDF64E0C}">
      <dgm:prSet/>
      <dgm:spPr>
        <a:xfrm>
          <a:off x="2217013" y="1637420"/>
          <a:ext cx="151887" cy="187980"/>
        </a:xfrm>
        <a:custGeom>
          <a:avLst/>
          <a:gdLst/>
          <a:ahLst/>
          <a:cxnLst/>
          <a:rect l="0" t="0" r="0" b="0"/>
          <a:pathLst>
            <a:path>
              <a:moveTo>
                <a:pt x="0" y="0"/>
              </a:moveTo>
              <a:lnTo>
                <a:pt x="64455" y="0"/>
              </a:lnTo>
              <a:lnTo>
                <a:pt x="64455" y="187980"/>
              </a:lnTo>
              <a:lnTo>
                <a:pt x="151887" y="187980"/>
              </a:lnTo>
            </a:path>
          </a:pathLst>
        </a:custGeom>
        <a:noFill/>
        <a:ln w="12700" cap="flat" cmpd="sng" algn="ctr">
          <a:solidFill>
            <a:srgbClr val="70AD47">
              <a:hueOff val="0"/>
              <a:satOff val="0"/>
              <a:lumOff val="0"/>
              <a:alphaOff val="0"/>
            </a:srgbClr>
          </a:solidFill>
          <a:prstDash val="solid"/>
          <a:miter lim="800000"/>
        </a:ln>
        <a:effectLst/>
      </dgm:spPr>
      <dgm:t>
        <a:bodyPr/>
        <a:lstStyle/>
        <a:p>
          <a:endParaRPr lang="es-ES" sz="800">
            <a:latin typeface="Times New Roman" panose="02020603050405020304" pitchFamily="18" charset="0"/>
            <a:cs typeface="Times New Roman" panose="02020603050405020304" pitchFamily="18" charset="0"/>
          </a:endParaRPr>
        </a:p>
      </dgm:t>
    </dgm:pt>
    <dgm:pt modelId="{DEBE0399-1F49-4677-AAA9-6C48391FBAD2}" type="sibTrans" cxnId="{9AB1C6E8-040C-4E22-9F2C-B1A0FDF64E0C}">
      <dgm:prSet/>
      <dgm:spPr/>
      <dgm:t>
        <a:bodyPr/>
        <a:lstStyle/>
        <a:p>
          <a:endParaRPr lang="es-ES" sz="800">
            <a:latin typeface="Times New Roman" panose="02020603050405020304" pitchFamily="18" charset="0"/>
            <a:cs typeface="Times New Roman" panose="02020603050405020304" pitchFamily="18" charset="0"/>
          </a:endParaRPr>
        </a:p>
      </dgm:t>
    </dgm:pt>
    <dgm:pt modelId="{7FD84D5B-2308-4A2C-A067-2EDC4BE32B99}">
      <dgm:prSet phldrT="[Texto]" custT="1"/>
      <dgm:spPr>
        <a:xfrm>
          <a:off x="3418093" y="23050"/>
          <a:ext cx="874326" cy="266669"/>
        </a:xfrm>
        <a:prstGeom prst="rect">
          <a:avLst/>
        </a:prstGeom>
        <a:solidFill>
          <a:srgbClr val="FFC000">
            <a:lumMod val="20000"/>
            <a:lumOff val="80000"/>
          </a:srgbClr>
        </a:solidFill>
        <a:ln w="25400" cap="flat" cmpd="sng" algn="ctr">
          <a:solidFill>
            <a:srgbClr val="FF0000"/>
          </a:solidFill>
          <a:prstDash val="sysDash"/>
          <a:miter lim="800000"/>
        </a:ln>
        <a:effectLst>
          <a:outerShdw blurRad="50800" dist="38100" dir="18900000" algn="bl" rotWithShape="0">
            <a:prstClr val="black">
              <a:alpha val="40000"/>
            </a:prstClr>
          </a:outerShdw>
          <a:reflection blurRad="6350" stA="52000" endA="300" endPos="35000" dir="5400000" sy="-100000" algn="bl" rotWithShape="0"/>
        </a:effectLst>
      </dgm:spPr>
      <dgm:t>
        <a:bodyPr/>
        <a:lstStyle/>
        <a:p>
          <a:pPr>
            <a:buNone/>
          </a:pPr>
          <a:r>
            <a:rPr lang="es-ES" sz="800">
              <a:solidFill>
                <a:sysClr val="windowText" lastClr="000000"/>
              </a:solidFill>
              <a:latin typeface="Times New Roman" panose="02020603050405020304" pitchFamily="18" charset="0"/>
              <a:ea typeface="+mn-ea"/>
              <a:cs typeface="Times New Roman" panose="02020603050405020304" pitchFamily="18" charset="0"/>
            </a:rPr>
            <a:t>Presupuestario</a:t>
          </a:r>
        </a:p>
      </dgm:t>
    </dgm:pt>
    <dgm:pt modelId="{9473C394-755B-4F60-9E08-CD6D5C14CF46}" type="parTrans" cxnId="{6D4935D6-4373-4252-922C-D5ADDDF31213}">
      <dgm:prSet/>
      <dgm:spPr>
        <a:xfrm>
          <a:off x="3243228" y="156384"/>
          <a:ext cx="174865" cy="165174"/>
        </a:xfrm>
        <a:custGeom>
          <a:avLst/>
          <a:gdLst/>
          <a:ahLst/>
          <a:cxnLst/>
          <a:rect l="0" t="0" r="0" b="0"/>
          <a:pathLst>
            <a:path>
              <a:moveTo>
                <a:pt x="0" y="165174"/>
              </a:moveTo>
              <a:lnTo>
                <a:pt x="87432" y="165174"/>
              </a:lnTo>
              <a:lnTo>
                <a:pt x="87432" y="0"/>
              </a:lnTo>
              <a:lnTo>
                <a:pt x="174865" y="0"/>
              </a:lnTo>
            </a:path>
          </a:pathLst>
        </a:custGeom>
        <a:noFill/>
        <a:ln w="12700" cap="flat" cmpd="sng" algn="ctr">
          <a:solidFill>
            <a:srgbClr val="5B9BD5">
              <a:hueOff val="0"/>
              <a:satOff val="0"/>
              <a:lumOff val="0"/>
              <a:alphaOff val="0"/>
            </a:srgbClr>
          </a:solidFill>
          <a:prstDash val="solid"/>
          <a:miter lim="800000"/>
        </a:ln>
        <a:effectLst/>
      </dgm:spPr>
      <dgm:t>
        <a:bodyPr/>
        <a:lstStyle/>
        <a:p>
          <a:endParaRPr lang="es-ES" sz="800">
            <a:latin typeface="Times New Roman" panose="02020603050405020304" pitchFamily="18" charset="0"/>
            <a:cs typeface="Times New Roman" panose="02020603050405020304" pitchFamily="18" charset="0"/>
          </a:endParaRPr>
        </a:p>
      </dgm:t>
    </dgm:pt>
    <dgm:pt modelId="{97CE79FC-A527-4B00-B6C7-4DBC8B8B9BE5}" type="sibTrans" cxnId="{6D4935D6-4373-4252-922C-D5ADDDF31213}">
      <dgm:prSet/>
      <dgm:spPr/>
      <dgm:t>
        <a:bodyPr/>
        <a:lstStyle/>
        <a:p>
          <a:endParaRPr lang="es-ES" sz="800">
            <a:latin typeface="Times New Roman" panose="02020603050405020304" pitchFamily="18" charset="0"/>
            <a:cs typeface="Times New Roman" panose="02020603050405020304" pitchFamily="18" charset="0"/>
          </a:endParaRPr>
        </a:p>
      </dgm:t>
    </dgm:pt>
    <dgm:pt modelId="{4416514E-C43C-4E86-B2FB-0FCC10ADE048}">
      <dgm:prSet phldrT="[Texto]" custT="1"/>
      <dgm:spPr>
        <a:xfrm>
          <a:off x="3418093" y="376204"/>
          <a:ext cx="874326" cy="266669"/>
        </a:xfrm>
        <a:prstGeom prst="rect">
          <a:avLst/>
        </a:prstGeom>
        <a:solidFill>
          <a:srgbClr val="5B9BD5">
            <a:hueOff val="0"/>
            <a:satOff val="0"/>
            <a:lumOff val="0"/>
            <a:alphaOff val="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gm:spPr>
      <dgm:t>
        <a:bodyPr/>
        <a:lstStyle/>
        <a:p>
          <a:pPr>
            <a:buNone/>
          </a:pPr>
          <a:r>
            <a:rPr lang="es-ES" sz="800">
              <a:solidFill>
                <a:sysClr val="window" lastClr="FFFFFF"/>
              </a:solidFill>
              <a:latin typeface="Times New Roman" panose="02020603050405020304" pitchFamily="18" charset="0"/>
              <a:ea typeface="+mn-ea"/>
              <a:cs typeface="Times New Roman" panose="02020603050405020304" pitchFamily="18" charset="0"/>
            </a:rPr>
            <a:t>Extrapresupuestario </a:t>
          </a:r>
        </a:p>
      </dgm:t>
    </dgm:pt>
    <dgm:pt modelId="{22FDBEB1-A98C-40F7-BDFE-78F3BC242C58}" type="parTrans" cxnId="{5CCF14AC-E2A7-4025-BAE6-354F781E93BE}">
      <dgm:prSet/>
      <dgm:spPr>
        <a:xfrm>
          <a:off x="3243228" y="321559"/>
          <a:ext cx="174865" cy="187980"/>
        </a:xfrm>
        <a:custGeom>
          <a:avLst/>
          <a:gdLst/>
          <a:ahLst/>
          <a:cxnLst/>
          <a:rect l="0" t="0" r="0" b="0"/>
          <a:pathLst>
            <a:path>
              <a:moveTo>
                <a:pt x="0" y="0"/>
              </a:moveTo>
              <a:lnTo>
                <a:pt x="87432" y="0"/>
              </a:lnTo>
              <a:lnTo>
                <a:pt x="87432" y="187980"/>
              </a:lnTo>
              <a:lnTo>
                <a:pt x="174865" y="187980"/>
              </a:lnTo>
            </a:path>
          </a:pathLst>
        </a:custGeom>
        <a:noFill/>
        <a:ln w="12700" cap="flat" cmpd="sng" algn="ctr">
          <a:solidFill>
            <a:srgbClr val="5B9BD5">
              <a:hueOff val="0"/>
              <a:satOff val="0"/>
              <a:lumOff val="0"/>
              <a:alphaOff val="0"/>
            </a:srgbClr>
          </a:solidFill>
          <a:prstDash val="solid"/>
          <a:miter lim="800000"/>
        </a:ln>
        <a:effectLst/>
      </dgm:spPr>
      <dgm:t>
        <a:bodyPr/>
        <a:lstStyle/>
        <a:p>
          <a:endParaRPr lang="es-ES" sz="800">
            <a:latin typeface="Times New Roman" panose="02020603050405020304" pitchFamily="18" charset="0"/>
            <a:cs typeface="Times New Roman" panose="02020603050405020304" pitchFamily="18" charset="0"/>
          </a:endParaRPr>
        </a:p>
      </dgm:t>
    </dgm:pt>
    <dgm:pt modelId="{4D2681D1-1B20-4FE4-96F2-C9AF07CB3374}" type="sibTrans" cxnId="{5CCF14AC-E2A7-4025-BAE6-354F781E93BE}">
      <dgm:prSet/>
      <dgm:spPr/>
      <dgm:t>
        <a:bodyPr/>
        <a:lstStyle/>
        <a:p>
          <a:endParaRPr lang="es-ES" sz="800">
            <a:latin typeface="Times New Roman" panose="02020603050405020304" pitchFamily="18" charset="0"/>
            <a:cs typeface="Times New Roman" panose="02020603050405020304" pitchFamily="18" charset="0"/>
          </a:endParaRPr>
        </a:p>
      </dgm:t>
    </dgm:pt>
    <dgm:pt modelId="{A03B4039-2F9E-4251-9CAC-D9CB403361A5}">
      <dgm:prSet phldrT="[Texto]" custT="1"/>
      <dgm:spPr>
        <a:xfrm>
          <a:off x="3418093" y="1504085"/>
          <a:ext cx="874326" cy="266669"/>
        </a:xfrm>
        <a:prstGeom prst="rect">
          <a:avLst/>
        </a:prstGeom>
        <a:solidFill>
          <a:srgbClr val="5B9BD5">
            <a:hueOff val="0"/>
            <a:satOff val="0"/>
            <a:lumOff val="0"/>
            <a:alphaOff val="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gm:spPr>
      <dgm:t>
        <a:bodyPr/>
        <a:lstStyle/>
        <a:p>
          <a:pPr>
            <a:buNone/>
          </a:pPr>
          <a:r>
            <a:rPr lang="es-ES" sz="800">
              <a:solidFill>
                <a:sysClr val="window" lastClr="FFFFFF"/>
              </a:solidFill>
              <a:latin typeface="Times New Roman" panose="02020603050405020304" pitchFamily="18" charset="0"/>
              <a:ea typeface="+mn-ea"/>
              <a:cs typeface="Times New Roman" panose="02020603050405020304" pitchFamily="18" charset="0"/>
            </a:rPr>
            <a:t>De deposito</a:t>
          </a:r>
        </a:p>
      </dgm:t>
    </dgm:pt>
    <dgm:pt modelId="{ECDEF5A3-57FB-4DD0-A5FC-AFAF2C64C6A3}" type="parTrans" cxnId="{2E15E630-F9BD-46DE-80D3-E89DD2A86EA4}">
      <dgm:prSet/>
      <dgm:spPr>
        <a:xfrm>
          <a:off x="3243228" y="1637420"/>
          <a:ext cx="174865" cy="187980"/>
        </a:xfrm>
        <a:custGeom>
          <a:avLst/>
          <a:gdLst/>
          <a:ahLst/>
          <a:cxnLst/>
          <a:rect l="0" t="0" r="0" b="0"/>
          <a:pathLst>
            <a:path>
              <a:moveTo>
                <a:pt x="0" y="187980"/>
              </a:moveTo>
              <a:lnTo>
                <a:pt x="87432" y="187980"/>
              </a:lnTo>
              <a:lnTo>
                <a:pt x="87432" y="0"/>
              </a:lnTo>
              <a:lnTo>
                <a:pt x="174865" y="0"/>
              </a:lnTo>
            </a:path>
          </a:pathLst>
        </a:custGeom>
        <a:noFill/>
        <a:ln w="12700" cap="flat" cmpd="sng" algn="ctr">
          <a:solidFill>
            <a:srgbClr val="5B9BD5">
              <a:hueOff val="0"/>
              <a:satOff val="0"/>
              <a:lumOff val="0"/>
              <a:alphaOff val="0"/>
            </a:srgbClr>
          </a:solidFill>
          <a:prstDash val="solid"/>
          <a:miter lim="800000"/>
        </a:ln>
        <a:effectLst/>
      </dgm:spPr>
      <dgm:t>
        <a:bodyPr/>
        <a:lstStyle/>
        <a:p>
          <a:endParaRPr lang="es-ES" sz="800">
            <a:latin typeface="Times New Roman" panose="02020603050405020304" pitchFamily="18" charset="0"/>
            <a:cs typeface="Times New Roman" panose="02020603050405020304" pitchFamily="18" charset="0"/>
          </a:endParaRPr>
        </a:p>
      </dgm:t>
    </dgm:pt>
    <dgm:pt modelId="{1C7F6FDF-4081-40B2-9068-E772875ABE20}" type="sibTrans" cxnId="{2E15E630-F9BD-46DE-80D3-E89DD2A86EA4}">
      <dgm:prSet/>
      <dgm:spPr/>
      <dgm:t>
        <a:bodyPr/>
        <a:lstStyle/>
        <a:p>
          <a:endParaRPr lang="es-ES" sz="800">
            <a:latin typeface="Times New Roman" panose="02020603050405020304" pitchFamily="18" charset="0"/>
            <a:cs typeface="Times New Roman" panose="02020603050405020304" pitchFamily="18" charset="0"/>
          </a:endParaRPr>
        </a:p>
      </dgm:t>
    </dgm:pt>
    <dgm:pt modelId="{1212D7EE-AE55-4627-8584-507D5756A0D2}">
      <dgm:prSet phldrT="[Texto]" custT="1"/>
      <dgm:spPr>
        <a:xfrm>
          <a:off x="3418093" y="1880045"/>
          <a:ext cx="874326" cy="266669"/>
        </a:xfrm>
        <a:prstGeom prst="rect">
          <a:avLst/>
        </a:prstGeom>
        <a:solidFill>
          <a:srgbClr val="5B9BD5">
            <a:hueOff val="0"/>
            <a:satOff val="0"/>
            <a:lumOff val="0"/>
            <a:alphaOff val="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gm:spPr>
      <dgm:t>
        <a:bodyPr/>
        <a:lstStyle/>
        <a:p>
          <a:pPr>
            <a:buNone/>
          </a:pPr>
          <a:r>
            <a:rPr lang="es-ES" sz="800">
              <a:solidFill>
                <a:sysClr val="window" lastClr="FFFFFF"/>
              </a:solidFill>
              <a:latin typeface="Times New Roman" panose="02020603050405020304" pitchFamily="18" charset="0"/>
              <a:ea typeface="+mn-ea"/>
              <a:cs typeface="Times New Roman" panose="02020603050405020304" pitchFamily="18" charset="0"/>
            </a:rPr>
            <a:t>Otras sociedades públicas financieras</a:t>
          </a:r>
        </a:p>
      </dgm:t>
    </dgm:pt>
    <dgm:pt modelId="{6687F422-3A96-46A1-BD7C-B076209F75EB}" type="parTrans" cxnId="{80B7D812-8507-4436-A149-B034D4344D86}">
      <dgm:prSet/>
      <dgm:spPr>
        <a:xfrm>
          <a:off x="3243228" y="1825400"/>
          <a:ext cx="174865" cy="187980"/>
        </a:xfrm>
        <a:custGeom>
          <a:avLst/>
          <a:gdLst/>
          <a:ahLst/>
          <a:cxnLst/>
          <a:rect l="0" t="0" r="0" b="0"/>
          <a:pathLst>
            <a:path>
              <a:moveTo>
                <a:pt x="0" y="0"/>
              </a:moveTo>
              <a:lnTo>
                <a:pt x="87432" y="0"/>
              </a:lnTo>
              <a:lnTo>
                <a:pt x="87432" y="187980"/>
              </a:lnTo>
              <a:lnTo>
                <a:pt x="174865" y="187980"/>
              </a:lnTo>
            </a:path>
          </a:pathLst>
        </a:custGeom>
        <a:noFill/>
        <a:ln w="12700" cap="flat" cmpd="sng" algn="ctr">
          <a:solidFill>
            <a:srgbClr val="5B9BD5">
              <a:hueOff val="0"/>
              <a:satOff val="0"/>
              <a:lumOff val="0"/>
              <a:alphaOff val="0"/>
            </a:srgbClr>
          </a:solidFill>
          <a:prstDash val="solid"/>
          <a:miter lim="800000"/>
        </a:ln>
        <a:effectLst/>
      </dgm:spPr>
      <dgm:t>
        <a:bodyPr/>
        <a:lstStyle/>
        <a:p>
          <a:endParaRPr lang="es-ES" sz="800">
            <a:latin typeface="Times New Roman" panose="02020603050405020304" pitchFamily="18" charset="0"/>
            <a:cs typeface="Times New Roman" panose="02020603050405020304" pitchFamily="18" charset="0"/>
          </a:endParaRPr>
        </a:p>
      </dgm:t>
    </dgm:pt>
    <dgm:pt modelId="{9168B082-77BC-49D2-B1C4-5C3FAB645F74}" type="sibTrans" cxnId="{80B7D812-8507-4436-A149-B034D4344D86}">
      <dgm:prSet/>
      <dgm:spPr/>
      <dgm:t>
        <a:bodyPr/>
        <a:lstStyle/>
        <a:p>
          <a:endParaRPr lang="es-ES" sz="800">
            <a:latin typeface="Times New Roman" panose="02020603050405020304" pitchFamily="18" charset="0"/>
            <a:cs typeface="Times New Roman" panose="02020603050405020304" pitchFamily="18" charset="0"/>
          </a:endParaRPr>
        </a:p>
      </dgm:t>
    </dgm:pt>
    <dgm:pt modelId="{6C721F52-F250-4DF2-B82D-2E51E3E00B09}">
      <dgm:prSet phldrT="[Texto]" custT="1"/>
      <dgm:spPr>
        <a:xfrm>
          <a:off x="4467284" y="1316105"/>
          <a:ext cx="874326" cy="266669"/>
        </a:xfrm>
        <a:prstGeom prst="rect">
          <a:avLst/>
        </a:prstGeom>
        <a:solidFill>
          <a:srgbClr val="E7E6E6">
            <a:lumMod val="7500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gm:spPr>
      <dgm:t>
        <a:bodyPr/>
        <a:lstStyle/>
        <a:p>
          <a:pPr>
            <a:buNone/>
          </a:pPr>
          <a:r>
            <a:rPr lang="es-ES" sz="800">
              <a:solidFill>
                <a:sysClr val="window" lastClr="FFFFFF"/>
              </a:solidFill>
              <a:latin typeface="Times New Roman" panose="02020603050405020304" pitchFamily="18" charset="0"/>
              <a:ea typeface="+mn-ea"/>
              <a:cs typeface="Times New Roman" panose="02020603050405020304" pitchFamily="18" charset="0"/>
            </a:rPr>
            <a:t>Banco Central</a:t>
          </a:r>
        </a:p>
      </dgm:t>
    </dgm:pt>
    <dgm:pt modelId="{50B6BE6C-C6FF-40DB-BFEE-FDF74C70F023}" type="parTrans" cxnId="{8703AA4C-6684-4193-8240-28CB5520CE39}">
      <dgm:prSet/>
      <dgm:spPr>
        <a:xfrm>
          <a:off x="4292419" y="1449440"/>
          <a:ext cx="174865" cy="187980"/>
        </a:xfrm>
        <a:custGeom>
          <a:avLst/>
          <a:gdLst/>
          <a:ahLst/>
          <a:cxnLst/>
          <a:rect l="0" t="0" r="0" b="0"/>
          <a:pathLst>
            <a:path>
              <a:moveTo>
                <a:pt x="0" y="187980"/>
              </a:moveTo>
              <a:lnTo>
                <a:pt x="87432" y="187980"/>
              </a:lnTo>
              <a:lnTo>
                <a:pt x="87432" y="0"/>
              </a:lnTo>
              <a:lnTo>
                <a:pt x="174865" y="0"/>
              </a:lnTo>
            </a:path>
          </a:pathLst>
        </a:custGeom>
        <a:noFill/>
        <a:ln w="12700" cap="flat" cmpd="sng" algn="ctr">
          <a:solidFill>
            <a:srgbClr val="5B9BD5">
              <a:hueOff val="0"/>
              <a:satOff val="0"/>
              <a:lumOff val="0"/>
              <a:alphaOff val="0"/>
            </a:srgbClr>
          </a:solidFill>
          <a:prstDash val="solid"/>
          <a:miter lim="800000"/>
        </a:ln>
        <a:effectLst/>
      </dgm:spPr>
      <dgm:t>
        <a:bodyPr/>
        <a:lstStyle/>
        <a:p>
          <a:endParaRPr lang="es-ES" sz="800">
            <a:latin typeface="Times New Roman" panose="02020603050405020304" pitchFamily="18" charset="0"/>
            <a:cs typeface="Times New Roman" panose="02020603050405020304" pitchFamily="18" charset="0"/>
          </a:endParaRPr>
        </a:p>
      </dgm:t>
    </dgm:pt>
    <dgm:pt modelId="{9A761B00-AD44-48ED-A7F6-26CC29618C91}" type="sibTrans" cxnId="{8703AA4C-6684-4193-8240-28CB5520CE39}">
      <dgm:prSet/>
      <dgm:spPr/>
      <dgm:t>
        <a:bodyPr/>
        <a:lstStyle/>
        <a:p>
          <a:endParaRPr lang="es-ES" sz="800">
            <a:latin typeface="Times New Roman" panose="02020603050405020304" pitchFamily="18" charset="0"/>
            <a:cs typeface="Times New Roman" panose="02020603050405020304" pitchFamily="18" charset="0"/>
          </a:endParaRPr>
        </a:p>
      </dgm:t>
    </dgm:pt>
    <dgm:pt modelId="{26E5B6AE-6237-457C-BA45-F608C598A1A2}">
      <dgm:prSet phldrT="[Texto]" custT="1"/>
      <dgm:spPr>
        <a:xfrm>
          <a:off x="4467284" y="1692065"/>
          <a:ext cx="874326" cy="266669"/>
        </a:xfrm>
        <a:prstGeom prst="rect">
          <a:avLst/>
        </a:prstGeom>
        <a:solidFill>
          <a:srgbClr val="E7E6E6">
            <a:lumMod val="7500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gm:spPr>
      <dgm:t>
        <a:bodyPr/>
        <a:lstStyle/>
        <a:p>
          <a:pPr>
            <a:buNone/>
          </a:pPr>
          <a:r>
            <a:rPr lang="es-ES" sz="800">
              <a:solidFill>
                <a:sysClr val="window" lastClr="FFFFFF"/>
              </a:solidFill>
              <a:latin typeface="Times New Roman" panose="02020603050405020304" pitchFamily="18" charset="0"/>
              <a:ea typeface="+mn-ea"/>
              <a:cs typeface="Times New Roman" panose="02020603050405020304" pitchFamily="18" charset="0"/>
            </a:rPr>
            <a:t>De deposito distintas del Banco Central</a:t>
          </a:r>
        </a:p>
      </dgm:t>
    </dgm:pt>
    <dgm:pt modelId="{18B3CD19-0020-4C67-9584-FA5A4AA4B36D}" type="parTrans" cxnId="{97CFA0FE-D389-4D22-874C-BA22076E805C}">
      <dgm:prSet/>
      <dgm:spPr>
        <a:xfrm>
          <a:off x="4292419" y="1637420"/>
          <a:ext cx="174865" cy="187980"/>
        </a:xfrm>
        <a:custGeom>
          <a:avLst/>
          <a:gdLst/>
          <a:ahLst/>
          <a:cxnLst/>
          <a:rect l="0" t="0" r="0" b="0"/>
          <a:pathLst>
            <a:path>
              <a:moveTo>
                <a:pt x="0" y="0"/>
              </a:moveTo>
              <a:lnTo>
                <a:pt x="87432" y="0"/>
              </a:lnTo>
              <a:lnTo>
                <a:pt x="87432" y="187980"/>
              </a:lnTo>
              <a:lnTo>
                <a:pt x="174865" y="187980"/>
              </a:lnTo>
            </a:path>
          </a:pathLst>
        </a:custGeom>
        <a:noFill/>
        <a:ln w="12700" cap="flat" cmpd="sng" algn="ctr">
          <a:solidFill>
            <a:srgbClr val="5B9BD5">
              <a:hueOff val="0"/>
              <a:satOff val="0"/>
              <a:lumOff val="0"/>
              <a:alphaOff val="0"/>
            </a:srgbClr>
          </a:solidFill>
          <a:prstDash val="solid"/>
          <a:miter lim="800000"/>
        </a:ln>
        <a:effectLst/>
      </dgm:spPr>
      <dgm:t>
        <a:bodyPr/>
        <a:lstStyle/>
        <a:p>
          <a:endParaRPr lang="es-ES" sz="800">
            <a:latin typeface="Times New Roman" panose="02020603050405020304" pitchFamily="18" charset="0"/>
            <a:cs typeface="Times New Roman" panose="02020603050405020304" pitchFamily="18" charset="0"/>
          </a:endParaRPr>
        </a:p>
      </dgm:t>
    </dgm:pt>
    <dgm:pt modelId="{8D7B8DA7-F652-4C76-ADBC-7FFAA4A0B0CA}" type="sibTrans" cxnId="{97CFA0FE-D389-4D22-874C-BA22076E805C}">
      <dgm:prSet/>
      <dgm:spPr/>
      <dgm:t>
        <a:bodyPr/>
        <a:lstStyle/>
        <a:p>
          <a:endParaRPr lang="es-ES" sz="800">
            <a:latin typeface="Times New Roman" panose="02020603050405020304" pitchFamily="18" charset="0"/>
            <a:cs typeface="Times New Roman" panose="02020603050405020304" pitchFamily="18" charset="0"/>
          </a:endParaRPr>
        </a:p>
      </dgm:t>
    </dgm:pt>
    <dgm:pt modelId="{EF977685-AAB3-4B0D-9FAB-16494B0B4298}">
      <dgm:prSet phldrT="[Texto]" custT="1"/>
      <dgm:spPr>
        <a:xfrm>
          <a:off x="1342687" y="1504085"/>
          <a:ext cx="874326" cy="266669"/>
        </a:xfrm>
        <a:prstGeom prst="rect">
          <a:avLst/>
        </a:prstGeom>
        <a:solidFill>
          <a:srgbClr val="4472C4">
            <a:hueOff val="0"/>
            <a:satOff val="0"/>
            <a:lumOff val="0"/>
            <a:alphaOff val="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gm:spPr>
      <dgm:t>
        <a:bodyPr/>
        <a:lstStyle/>
        <a:p>
          <a:pPr>
            <a:buNone/>
          </a:pPr>
          <a:r>
            <a:rPr lang="es-ES" sz="800">
              <a:solidFill>
                <a:sysClr val="window" lastClr="FFFFFF"/>
              </a:solidFill>
              <a:latin typeface="Times New Roman" panose="02020603050405020304" pitchFamily="18" charset="0"/>
              <a:ea typeface="+mn-ea"/>
              <a:cs typeface="Times New Roman" panose="02020603050405020304" pitchFamily="18" charset="0"/>
            </a:rPr>
            <a:t>Sociedades Públicas</a:t>
          </a:r>
        </a:p>
      </dgm:t>
    </dgm:pt>
    <dgm:pt modelId="{05748153-11C5-408F-A69A-51687CD0541C}" type="sibTrans" cxnId="{709570A5-4A20-476F-BE25-7E618E839A3A}">
      <dgm:prSet/>
      <dgm:spPr/>
      <dgm:t>
        <a:bodyPr/>
        <a:lstStyle/>
        <a:p>
          <a:endParaRPr lang="es-ES" sz="800">
            <a:latin typeface="Times New Roman" panose="02020603050405020304" pitchFamily="18" charset="0"/>
            <a:cs typeface="Times New Roman" panose="02020603050405020304" pitchFamily="18" charset="0"/>
          </a:endParaRPr>
        </a:p>
      </dgm:t>
    </dgm:pt>
    <dgm:pt modelId="{6AF030DF-12F2-4F57-A02B-63E7EE6BD6C8}" type="parTrans" cxnId="{709570A5-4A20-476F-BE25-7E618E839A3A}">
      <dgm:prSet/>
      <dgm:spPr>
        <a:xfrm>
          <a:off x="1144845" y="1167470"/>
          <a:ext cx="197842" cy="469950"/>
        </a:xfrm>
        <a:custGeom>
          <a:avLst/>
          <a:gdLst/>
          <a:ahLst/>
          <a:cxnLst/>
          <a:rect l="0" t="0" r="0" b="0"/>
          <a:pathLst>
            <a:path>
              <a:moveTo>
                <a:pt x="0" y="0"/>
              </a:moveTo>
              <a:lnTo>
                <a:pt x="110409" y="0"/>
              </a:lnTo>
              <a:lnTo>
                <a:pt x="110409" y="469950"/>
              </a:lnTo>
              <a:lnTo>
                <a:pt x="197842" y="469950"/>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es-ES" sz="800">
            <a:latin typeface="Times New Roman" panose="02020603050405020304" pitchFamily="18" charset="0"/>
            <a:cs typeface="Times New Roman" panose="02020603050405020304" pitchFamily="18" charset="0"/>
          </a:endParaRPr>
        </a:p>
      </dgm:t>
    </dgm:pt>
    <dgm:pt modelId="{2D598BD1-8082-4599-B4C7-7DE2BDDFAD07}">
      <dgm:prSet phldrT="[Texto]" custT="1"/>
      <dgm:spPr>
        <a:xfrm>
          <a:off x="2368901" y="940145"/>
          <a:ext cx="874326" cy="266669"/>
        </a:xfrm>
        <a:prstGeom prst="rect">
          <a:avLst/>
        </a:prstGeom>
        <a:solidFill>
          <a:srgbClr val="70AD47">
            <a:hueOff val="0"/>
            <a:satOff val="0"/>
            <a:lumOff val="0"/>
            <a:alphaOff val="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gm:spPr>
      <dgm:t>
        <a:bodyPr/>
        <a:lstStyle/>
        <a:p>
          <a:pPr>
            <a:buNone/>
          </a:pPr>
          <a:r>
            <a:rPr lang="es-ES" sz="800">
              <a:solidFill>
                <a:sysClr val="window" lastClr="FFFFFF"/>
              </a:solidFill>
              <a:latin typeface="Times New Roman" panose="02020603050405020304" pitchFamily="18" charset="0"/>
              <a:ea typeface="+mn-ea"/>
              <a:cs typeface="Times New Roman" panose="02020603050405020304" pitchFamily="18" charset="0"/>
            </a:rPr>
            <a:t>Fondos de Seguridad Social</a:t>
          </a:r>
        </a:p>
      </dgm:t>
    </dgm:pt>
    <dgm:pt modelId="{A2954519-7A96-4331-B451-8017F60C5B14}" type="parTrans" cxnId="{C37F901F-AE6F-4049-96FA-E18B1E561482}">
      <dgm:prSet/>
      <dgm:spPr>
        <a:xfrm>
          <a:off x="2215903" y="741256"/>
          <a:ext cx="152998" cy="332223"/>
        </a:xfrm>
        <a:custGeom>
          <a:avLst/>
          <a:gdLst/>
          <a:ahLst/>
          <a:cxnLst/>
          <a:rect l="0" t="0" r="0" b="0"/>
          <a:pathLst>
            <a:path>
              <a:moveTo>
                <a:pt x="0" y="0"/>
              </a:moveTo>
              <a:lnTo>
                <a:pt x="65565" y="0"/>
              </a:lnTo>
              <a:lnTo>
                <a:pt x="65565" y="332223"/>
              </a:lnTo>
              <a:lnTo>
                <a:pt x="152998" y="332223"/>
              </a:lnTo>
            </a:path>
          </a:pathLst>
        </a:custGeom>
        <a:noFill/>
        <a:ln w="12700" cap="flat" cmpd="sng" algn="ctr">
          <a:solidFill>
            <a:srgbClr val="70AD47">
              <a:hueOff val="0"/>
              <a:satOff val="0"/>
              <a:lumOff val="0"/>
              <a:alphaOff val="0"/>
            </a:srgbClr>
          </a:solidFill>
          <a:prstDash val="solid"/>
          <a:miter lim="800000"/>
        </a:ln>
        <a:effectLst/>
      </dgm:spPr>
      <dgm:t>
        <a:bodyPr/>
        <a:lstStyle/>
        <a:p>
          <a:endParaRPr lang="es-GT" sz="800">
            <a:latin typeface="Times New Roman" panose="02020603050405020304" pitchFamily="18" charset="0"/>
            <a:cs typeface="Times New Roman" panose="02020603050405020304" pitchFamily="18" charset="0"/>
          </a:endParaRPr>
        </a:p>
      </dgm:t>
    </dgm:pt>
    <dgm:pt modelId="{FDFE5A17-6AA9-46BC-AC2B-62099EF4154E}" type="sibTrans" cxnId="{C37F901F-AE6F-4049-96FA-E18B1E561482}">
      <dgm:prSet/>
      <dgm:spPr/>
      <dgm:t>
        <a:bodyPr/>
        <a:lstStyle/>
        <a:p>
          <a:endParaRPr lang="es-GT" sz="800">
            <a:latin typeface="Times New Roman" panose="02020603050405020304" pitchFamily="18" charset="0"/>
            <a:cs typeface="Times New Roman" panose="02020603050405020304" pitchFamily="18" charset="0"/>
          </a:endParaRPr>
        </a:p>
      </dgm:t>
    </dgm:pt>
    <dgm:pt modelId="{8B13E9F7-7C1C-48E6-B0DF-490629487ADE}" type="pres">
      <dgm:prSet presAssocID="{D681C0B2-2EA8-40C5-A6BA-B48D6A1A6D43}" presName="hierChild1" presStyleCnt="0">
        <dgm:presLayoutVars>
          <dgm:orgChart val="1"/>
          <dgm:chPref val="1"/>
          <dgm:dir/>
          <dgm:animOne val="branch"/>
          <dgm:animLvl val="lvl"/>
          <dgm:resizeHandles/>
        </dgm:presLayoutVars>
      </dgm:prSet>
      <dgm:spPr/>
    </dgm:pt>
    <dgm:pt modelId="{D076E14A-C3DE-4E5E-BF66-C5B201F2EE79}" type="pres">
      <dgm:prSet presAssocID="{7A80290F-F723-432A-AD4F-4F7D47BF18A6}" presName="hierRoot1" presStyleCnt="0">
        <dgm:presLayoutVars>
          <dgm:hierBranch val="init"/>
        </dgm:presLayoutVars>
      </dgm:prSet>
      <dgm:spPr/>
    </dgm:pt>
    <dgm:pt modelId="{123ECE54-D00B-4838-8D97-E5CB60231E1C}" type="pres">
      <dgm:prSet presAssocID="{7A80290F-F723-432A-AD4F-4F7D47BF18A6}" presName="rootComposite1" presStyleCnt="0"/>
      <dgm:spPr/>
    </dgm:pt>
    <dgm:pt modelId="{E18B77E1-D918-44F8-9EFB-9C8FFAF46C71}" type="pres">
      <dgm:prSet presAssocID="{7A80290F-F723-432A-AD4F-4F7D47BF18A6}" presName="rootText1" presStyleLbl="node0" presStyleIdx="0" presStyleCnt="1">
        <dgm:presLayoutVars>
          <dgm:chPref val="3"/>
        </dgm:presLayoutVars>
      </dgm:prSet>
      <dgm:spPr/>
    </dgm:pt>
    <dgm:pt modelId="{506EBAA1-CBFC-4679-9702-07ED8E9101B5}" type="pres">
      <dgm:prSet presAssocID="{7A80290F-F723-432A-AD4F-4F7D47BF18A6}" presName="rootConnector1" presStyleLbl="node1" presStyleIdx="0" presStyleCnt="0"/>
      <dgm:spPr/>
    </dgm:pt>
    <dgm:pt modelId="{5BF44E3D-243A-4020-A201-0037E0B815B7}" type="pres">
      <dgm:prSet presAssocID="{7A80290F-F723-432A-AD4F-4F7D47BF18A6}" presName="hierChild2" presStyleCnt="0"/>
      <dgm:spPr/>
    </dgm:pt>
    <dgm:pt modelId="{7DAC3CED-1027-4BBC-B944-55C01DF9EF65}" type="pres">
      <dgm:prSet presAssocID="{A8703346-FEE3-492F-B8B3-8E7F3B9860C8}" presName="Name64" presStyleLbl="parChTrans1D2" presStyleIdx="0" presStyleCnt="2"/>
      <dgm:spPr/>
    </dgm:pt>
    <dgm:pt modelId="{C2A8DFB4-7A96-4C01-80B0-198E9A472CA8}" type="pres">
      <dgm:prSet presAssocID="{8B890290-C711-4278-9C0F-810D40A8CBA9}" presName="hierRoot2" presStyleCnt="0">
        <dgm:presLayoutVars>
          <dgm:hierBranch val="init"/>
        </dgm:presLayoutVars>
      </dgm:prSet>
      <dgm:spPr/>
    </dgm:pt>
    <dgm:pt modelId="{FDA00097-DCD4-4A84-8D1E-34A6BD2F4B56}" type="pres">
      <dgm:prSet presAssocID="{8B890290-C711-4278-9C0F-810D40A8CBA9}" presName="rootComposite" presStyleCnt="0"/>
      <dgm:spPr/>
    </dgm:pt>
    <dgm:pt modelId="{C2E37E83-D23E-4766-B5FC-A0C604557FDD}" type="pres">
      <dgm:prSet presAssocID="{8B890290-C711-4278-9C0F-810D40A8CBA9}" presName="rootText" presStyleLbl="node2" presStyleIdx="0" presStyleCnt="2" custLinFactNeighborX="2501" custLinFactNeighborY="16401">
        <dgm:presLayoutVars>
          <dgm:chPref val="3"/>
        </dgm:presLayoutVars>
      </dgm:prSet>
      <dgm:spPr/>
    </dgm:pt>
    <dgm:pt modelId="{D204D452-A5C0-4DD0-94BB-52A6370ACE61}" type="pres">
      <dgm:prSet presAssocID="{8B890290-C711-4278-9C0F-810D40A8CBA9}" presName="rootConnector" presStyleLbl="node2" presStyleIdx="0" presStyleCnt="2"/>
      <dgm:spPr/>
    </dgm:pt>
    <dgm:pt modelId="{75105966-18A5-4A44-8B38-9D63BE35A1DA}" type="pres">
      <dgm:prSet presAssocID="{8B890290-C711-4278-9C0F-810D40A8CBA9}" presName="hierChild4" presStyleCnt="0"/>
      <dgm:spPr/>
    </dgm:pt>
    <dgm:pt modelId="{6A6CECDF-39CF-475E-A21B-E1FC4508ACC6}" type="pres">
      <dgm:prSet presAssocID="{D5E5A1DB-4AAD-4710-B9DA-A4EB5BA77E76}" presName="Name64" presStyleLbl="parChTrans1D3" presStyleIdx="0" presStyleCnt="5"/>
      <dgm:spPr/>
    </dgm:pt>
    <dgm:pt modelId="{03412193-23FA-47E7-B717-49B2CAFE47E3}" type="pres">
      <dgm:prSet presAssocID="{749A17C7-FF49-4F8F-918A-3614BC07C9AD}" presName="hierRoot2" presStyleCnt="0">
        <dgm:presLayoutVars>
          <dgm:hierBranch val="init"/>
        </dgm:presLayoutVars>
      </dgm:prSet>
      <dgm:spPr/>
    </dgm:pt>
    <dgm:pt modelId="{0E625FB6-7C76-4CD6-9810-1947D509894B}" type="pres">
      <dgm:prSet presAssocID="{749A17C7-FF49-4F8F-918A-3614BC07C9AD}" presName="rootComposite" presStyleCnt="0"/>
      <dgm:spPr/>
    </dgm:pt>
    <dgm:pt modelId="{C00D715B-C124-4542-B479-98C28121950B}" type="pres">
      <dgm:prSet presAssocID="{749A17C7-FF49-4F8F-918A-3614BC07C9AD}" presName="rootText" presStyleLbl="node3" presStyleIdx="0" presStyleCnt="5">
        <dgm:presLayoutVars>
          <dgm:chPref val="3"/>
        </dgm:presLayoutVars>
      </dgm:prSet>
      <dgm:spPr/>
    </dgm:pt>
    <dgm:pt modelId="{813A1062-54AE-46E5-A654-5F0B0FBE59A3}" type="pres">
      <dgm:prSet presAssocID="{749A17C7-FF49-4F8F-918A-3614BC07C9AD}" presName="rootConnector" presStyleLbl="node3" presStyleIdx="0" presStyleCnt="5"/>
      <dgm:spPr/>
    </dgm:pt>
    <dgm:pt modelId="{D38B3FDC-9CA5-4886-A45F-7A6E2F4DBE03}" type="pres">
      <dgm:prSet presAssocID="{749A17C7-FF49-4F8F-918A-3614BC07C9AD}" presName="hierChild4" presStyleCnt="0"/>
      <dgm:spPr/>
    </dgm:pt>
    <dgm:pt modelId="{2B408CD7-063E-4396-A87B-24CB4997EAA6}" type="pres">
      <dgm:prSet presAssocID="{9473C394-755B-4F60-9E08-CD6D5C14CF46}" presName="Name64" presStyleLbl="parChTrans1D4" presStyleIdx="0" presStyleCnt="6"/>
      <dgm:spPr/>
    </dgm:pt>
    <dgm:pt modelId="{E6608DA3-BB3F-426E-9655-A0B088AB0CD7}" type="pres">
      <dgm:prSet presAssocID="{7FD84D5B-2308-4A2C-A067-2EDC4BE32B99}" presName="hierRoot2" presStyleCnt="0">
        <dgm:presLayoutVars>
          <dgm:hierBranch val="init"/>
        </dgm:presLayoutVars>
      </dgm:prSet>
      <dgm:spPr/>
    </dgm:pt>
    <dgm:pt modelId="{4DB82F5F-013F-49D9-B73E-463A4AF80F07}" type="pres">
      <dgm:prSet presAssocID="{7FD84D5B-2308-4A2C-A067-2EDC4BE32B99}" presName="rootComposite" presStyleCnt="0"/>
      <dgm:spPr/>
    </dgm:pt>
    <dgm:pt modelId="{064AA238-DCFD-449F-A6BF-A232C90F81AE}" type="pres">
      <dgm:prSet presAssocID="{7FD84D5B-2308-4A2C-A067-2EDC4BE32B99}" presName="rootText" presStyleLbl="node4" presStyleIdx="0" presStyleCnt="6" custLinFactNeighborX="0" custLinFactNeighborY="8552">
        <dgm:presLayoutVars>
          <dgm:chPref val="3"/>
        </dgm:presLayoutVars>
      </dgm:prSet>
      <dgm:spPr/>
    </dgm:pt>
    <dgm:pt modelId="{C79D10E1-A7B3-42FA-8FD9-A1CC58219907}" type="pres">
      <dgm:prSet presAssocID="{7FD84D5B-2308-4A2C-A067-2EDC4BE32B99}" presName="rootConnector" presStyleLbl="node4" presStyleIdx="0" presStyleCnt="6"/>
      <dgm:spPr/>
    </dgm:pt>
    <dgm:pt modelId="{EE456222-D57E-4139-9708-7915B98DC144}" type="pres">
      <dgm:prSet presAssocID="{7FD84D5B-2308-4A2C-A067-2EDC4BE32B99}" presName="hierChild4" presStyleCnt="0"/>
      <dgm:spPr/>
    </dgm:pt>
    <dgm:pt modelId="{E8765DF8-DFB8-4A33-AF62-8569A2827B5D}" type="pres">
      <dgm:prSet presAssocID="{7FD84D5B-2308-4A2C-A067-2EDC4BE32B99}" presName="hierChild5" presStyleCnt="0"/>
      <dgm:spPr/>
    </dgm:pt>
    <dgm:pt modelId="{1679104F-1A26-4774-9A3C-6239A6C532C8}" type="pres">
      <dgm:prSet presAssocID="{22FDBEB1-A98C-40F7-BDFE-78F3BC242C58}" presName="Name64" presStyleLbl="parChTrans1D4" presStyleIdx="1" presStyleCnt="6"/>
      <dgm:spPr/>
    </dgm:pt>
    <dgm:pt modelId="{D2EDA742-25E7-4488-834A-1E8980440247}" type="pres">
      <dgm:prSet presAssocID="{4416514E-C43C-4E86-B2FB-0FCC10ADE048}" presName="hierRoot2" presStyleCnt="0">
        <dgm:presLayoutVars>
          <dgm:hierBranch val="init"/>
        </dgm:presLayoutVars>
      </dgm:prSet>
      <dgm:spPr/>
    </dgm:pt>
    <dgm:pt modelId="{C8D6AD9D-7A79-401E-865F-CAB04ABB4889}" type="pres">
      <dgm:prSet presAssocID="{4416514E-C43C-4E86-B2FB-0FCC10ADE048}" presName="rootComposite" presStyleCnt="0"/>
      <dgm:spPr/>
    </dgm:pt>
    <dgm:pt modelId="{B77273A7-CA45-4B53-89BA-E5E48B2AA818}" type="pres">
      <dgm:prSet presAssocID="{4416514E-C43C-4E86-B2FB-0FCC10ADE048}" presName="rootText" presStyleLbl="node4" presStyleIdx="1" presStyleCnt="6">
        <dgm:presLayoutVars>
          <dgm:chPref val="3"/>
        </dgm:presLayoutVars>
      </dgm:prSet>
      <dgm:spPr/>
    </dgm:pt>
    <dgm:pt modelId="{23BEC719-C373-4211-8E8F-768E6CCB466D}" type="pres">
      <dgm:prSet presAssocID="{4416514E-C43C-4E86-B2FB-0FCC10ADE048}" presName="rootConnector" presStyleLbl="node4" presStyleIdx="1" presStyleCnt="6"/>
      <dgm:spPr/>
    </dgm:pt>
    <dgm:pt modelId="{BFC05F8D-BC1B-48F7-A2D6-7457C3422153}" type="pres">
      <dgm:prSet presAssocID="{4416514E-C43C-4E86-B2FB-0FCC10ADE048}" presName="hierChild4" presStyleCnt="0"/>
      <dgm:spPr/>
    </dgm:pt>
    <dgm:pt modelId="{DAD8C6B7-C0B5-45CA-A519-80534351A1DF}" type="pres">
      <dgm:prSet presAssocID="{4416514E-C43C-4E86-B2FB-0FCC10ADE048}" presName="hierChild5" presStyleCnt="0"/>
      <dgm:spPr/>
    </dgm:pt>
    <dgm:pt modelId="{403DFC19-6B04-4763-B05D-2F02B75CD170}" type="pres">
      <dgm:prSet presAssocID="{749A17C7-FF49-4F8F-918A-3614BC07C9AD}" presName="hierChild5" presStyleCnt="0"/>
      <dgm:spPr/>
    </dgm:pt>
    <dgm:pt modelId="{D590DF14-4555-4653-B2A5-EC57F25B4580}" type="pres">
      <dgm:prSet presAssocID="{AEF87CCA-F7E3-48EB-B011-CA779D93D72E}" presName="Name64" presStyleLbl="parChTrans1D3" presStyleIdx="1" presStyleCnt="5"/>
      <dgm:spPr/>
    </dgm:pt>
    <dgm:pt modelId="{261E42D6-081F-40D4-B26B-873838E847D1}" type="pres">
      <dgm:prSet presAssocID="{C66FEA0C-BE51-4437-9032-158E4B88A06C}" presName="hierRoot2" presStyleCnt="0">
        <dgm:presLayoutVars>
          <dgm:hierBranch val="init"/>
        </dgm:presLayoutVars>
      </dgm:prSet>
      <dgm:spPr/>
    </dgm:pt>
    <dgm:pt modelId="{4A98F2B6-4559-4C2F-9984-52B131CC56B3}" type="pres">
      <dgm:prSet presAssocID="{C66FEA0C-BE51-4437-9032-158E4B88A06C}" presName="rootComposite" presStyleCnt="0"/>
      <dgm:spPr/>
    </dgm:pt>
    <dgm:pt modelId="{CA4DB0E3-AF48-47D0-81BE-EA86C1A8AE09}" type="pres">
      <dgm:prSet presAssocID="{C66FEA0C-BE51-4437-9032-158E4B88A06C}" presName="rootText" presStyleLbl="node3" presStyleIdx="1" presStyleCnt="5">
        <dgm:presLayoutVars>
          <dgm:chPref val="3"/>
        </dgm:presLayoutVars>
      </dgm:prSet>
      <dgm:spPr/>
    </dgm:pt>
    <dgm:pt modelId="{474DFA6E-AA4B-4E48-A0DE-A456A231CBF4}" type="pres">
      <dgm:prSet presAssocID="{C66FEA0C-BE51-4437-9032-158E4B88A06C}" presName="rootConnector" presStyleLbl="node3" presStyleIdx="1" presStyleCnt="5"/>
      <dgm:spPr/>
    </dgm:pt>
    <dgm:pt modelId="{63026ED3-9AA9-44D0-8358-9300247BEC76}" type="pres">
      <dgm:prSet presAssocID="{C66FEA0C-BE51-4437-9032-158E4B88A06C}" presName="hierChild4" presStyleCnt="0"/>
      <dgm:spPr/>
    </dgm:pt>
    <dgm:pt modelId="{5420307B-9593-4498-9E7E-DCC0DE7C0F94}" type="pres">
      <dgm:prSet presAssocID="{C66FEA0C-BE51-4437-9032-158E4B88A06C}" presName="hierChild5" presStyleCnt="0"/>
      <dgm:spPr/>
    </dgm:pt>
    <dgm:pt modelId="{5FE86B7E-2210-4B31-94FC-022235CBEBAF}" type="pres">
      <dgm:prSet presAssocID="{A2954519-7A96-4331-B451-8017F60C5B14}" presName="Name64" presStyleLbl="parChTrans1D3" presStyleIdx="2" presStyleCnt="5"/>
      <dgm:spPr/>
    </dgm:pt>
    <dgm:pt modelId="{EC5C2168-9FC2-4D9A-A2A7-702AB213FCA2}" type="pres">
      <dgm:prSet presAssocID="{2D598BD1-8082-4599-B4C7-7DE2BDDFAD07}" presName="hierRoot2" presStyleCnt="0">
        <dgm:presLayoutVars>
          <dgm:hierBranch val="init"/>
        </dgm:presLayoutVars>
      </dgm:prSet>
      <dgm:spPr/>
    </dgm:pt>
    <dgm:pt modelId="{8A5DD1F6-57FB-4154-954D-FB09488D043F}" type="pres">
      <dgm:prSet presAssocID="{2D598BD1-8082-4599-B4C7-7DE2BDDFAD07}" presName="rootComposite" presStyleCnt="0"/>
      <dgm:spPr/>
    </dgm:pt>
    <dgm:pt modelId="{E8AE2972-A4F0-4BF3-84FA-BE7FB6D8608C}" type="pres">
      <dgm:prSet presAssocID="{2D598BD1-8082-4599-B4C7-7DE2BDDFAD07}" presName="rootText" presStyleLbl="node3" presStyleIdx="2" presStyleCnt="5">
        <dgm:presLayoutVars>
          <dgm:chPref val="3"/>
        </dgm:presLayoutVars>
      </dgm:prSet>
      <dgm:spPr/>
    </dgm:pt>
    <dgm:pt modelId="{3AEE0574-DF44-4CDD-8C86-1C8DD393BBDE}" type="pres">
      <dgm:prSet presAssocID="{2D598BD1-8082-4599-B4C7-7DE2BDDFAD07}" presName="rootConnector" presStyleLbl="node3" presStyleIdx="2" presStyleCnt="5"/>
      <dgm:spPr/>
    </dgm:pt>
    <dgm:pt modelId="{4AE1BF3C-27EC-4BA6-81BE-A971E2496437}" type="pres">
      <dgm:prSet presAssocID="{2D598BD1-8082-4599-B4C7-7DE2BDDFAD07}" presName="hierChild4" presStyleCnt="0"/>
      <dgm:spPr/>
    </dgm:pt>
    <dgm:pt modelId="{E512CB78-EAF5-4C5C-995E-9B7B64D168A4}" type="pres">
      <dgm:prSet presAssocID="{2D598BD1-8082-4599-B4C7-7DE2BDDFAD07}" presName="hierChild5" presStyleCnt="0"/>
      <dgm:spPr/>
    </dgm:pt>
    <dgm:pt modelId="{A4653B7A-0F4A-415D-ADAD-FD1096835B09}" type="pres">
      <dgm:prSet presAssocID="{8B890290-C711-4278-9C0F-810D40A8CBA9}" presName="hierChild5" presStyleCnt="0"/>
      <dgm:spPr/>
    </dgm:pt>
    <dgm:pt modelId="{FBF4DE84-CDE1-4559-B9C5-A7E0DB11BAEE}" type="pres">
      <dgm:prSet presAssocID="{6AF030DF-12F2-4F57-A02B-63E7EE6BD6C8}" presName="Name64" presStyleLbl="parChTrans1D2" presStyleIdx="1" presStyleCnt="2"/>
      <dgm:spPr/>
    </dgm:pt>
    <dgm:pt modelId="{3DBA6DAC-3944-4BB6-AC75-D71B2107F2E7}" type="pres">
      <dgm:prSet presAssocID="{EF977685-AAB3-4B0D-9FAB-16494B0B4298}" presName="hierRoot2" presStyleCnt="0">
        <dgm:presLayoutVars>
          <dgm:hierBranch val="init"/>
        </dgm:presLayoutVars>
      </dgm:prSet>
      <dgm:spPr/>
    </dgm:pt>
    <dgm:pt modelId="{3F96AE3A-654B-4652-9481-0D87599333E0}" type="pres">
      <dgm:prSet presAssocID="{EF977685-AAB3-4B0D-9FAB-16494B0B4298}" presName="rootComposite" presStyleCnt="0"/>
      <dgm:spPr/>
    </dgm:pt>
    <dgm:pt modelId="{C53339F6-34CF-4143-9420-20B347D1402D}" type="pres">
      <dgm:prSet presAssocID="{EF977685-AAB3-4B0D-9FAB-16494B0B4298}" presName="rootText" presStyleLbl="node2" presStyleIdx="1" presStyleCnt="2" custLinFactNeighborX="2628">
        <dgm:presLayoutVars>
          <dgm:chPref val="3"/>
        </dgm:presLayoutVars>
      </dgm:prSet>
      <dgm:spPr/>
    </dgm:pt>
    <dgm:pt modelId="{86DDC91E-5F32-49BC-ADA1-6C44229FD759}" type="pres">
      <dgm:prSet presAssocID="{EF977685-AAB3-4B0D-9FAB-16494B0B4298}" presName="rootConnector" presStyleLbl="node2" presStyleIdx="1" presStyleCnt="2"/>
      <dgm:spPr/>
    </dgm:pt>
    <dgm:pt modelId="{3A1DA897-5B77-4A8B-92C7-CFB9299350D3}" type="pres">
      <dgm:prSet presAssocID="{EF977685-AAB3-4B0D-9FAB-16494B0B4298}" presName="hierChild4" presStyleCnt="0"/>
      <dgm:spPr/>
    </dgm:pt>
    <dgm:pt modelId="{FFA0E9B9-D6DD-4B25-98BE-3A33D3B48ADC}" type="pres">
      <dgm:prSet presAssocID="{F3F23B5D-511A-4971-8759-B142278FB6E5}" presName="Name64" presStyleLbl="parChTrans1D3" presStyleIdx="3" presStyleCnt="5"/>
      <dgm:spPr/>
    </dgm:pt>
    <dgm:pt modelId="{4A024ADF-6F30-4CF7-8FC4-6784D8455D77}" type="pres">
      <dgm:prSet presAssocID="{37665383-F808-496E-A886-FCD23A382442}" presName="hierRoot2" presStyleCnt="0">
        <dgm:presLayoutVars>
          <dgm:hierBranch val="init"/>
        </dgm:presLayoutVars>
      </dgm:prSet>
      <dgm:spPr/>
    </dgm:pt>
    <dgm:pt modelId="{69D7BF58-C63C-4DF9-A1F2-BA510BD1601B}" type="pres">
      <dgm:prSet presAssocID="{37665383-F808-496E-A886-FCD23A382442}" presName="rootComposite" presStyleCnt="0"/>
      <dgm:spPr/>
    </dgm:pt>
    <dgm:pt modelId="{E98524A6-E30C-429E-BB49-2951905627FB}" type="pres">
      <dgm:prSet presAssocID="{37665383-F808-496E-A886-FCD23A382442}" presName="rootText" presStyleLbl="node3" presStyleIdx="3" presStyleCnt="5">
        <dgm:presLayoutVars>
          <dgm:chPref val="3"/>
        </dgm:presLayoutVars>
      </dgm:prSet>
      <dgm:spPr/>
    </dgm:pt>
    <dgm:pt modelId="{313BA963-BF97-47F7-9B3E-92269D2B4A49}" type="pres">
      <dgm:prSet presAssocID="{37665383-F808-496E-A886-FCD23A382442}" presName="rootConnector" presStyleLbl="node3" presStyleIdx="3" presStyleCnt="5"/>
      <dgm:spPr/>
    </dgm:pt>
    <dgm:pt modelId="{684267C3-44FE-4827-A0FC-D25CA7B3EB66}" type="pres">
      <dgm:prSet presAssocID="{37665383-F808-496E-A886-FCD23A382442}" presName="hierChild4" presStyleCnt="0"/>
      <dgm:spPr/>
    </dgm:pt>
    <dgm:pt modelId="{27830B76-F625-458A-B5A9-91813783F81A}" type="pres">
      <dgm:prSet presAssocID="{37665383-F808-496E-A886-FCD23A382442}" presName="hierChild5" presStyleCnt="0"/>
      <dgm:spPr/>
    </dgm:pt>
    <dgm:pt modelId="{4528BD30-3E14-484B-81DD-661B608069B0}" type="pres">
      <dgm:prSet presAssocID="{EB8329EE-98BF-4AEE-8B35-A2C4DA43A9EA}" presName="Name64" presStyleLbl="parChTrans1D3" presStyleIdx="4" presStyleCnt="5"/>
      <dgm:spPr/>
    </dgm:pt>
    <dgm:pt modelId="{C207AC9B-07C6-4A2F-A100-BD00B4655D2D}" type="pres">
      <dgm:prSet presAssocID="{4CBC2F9A-FA95-4886-BE3B-544D55F769C7}" presName="hierRoot2" presStyleCnt="0">
        <dgm:presLayoutVars>
          <dgm:hierBranch val="init"/>
        </dgm:presLayoutVars>
      </dgm:prSet>
      <dgm:spPr/>
    </dgm:pt>
    <dgm:pt modelId="{3621922C-7706-4FDE-8F37-F5A8E2B4B88B}" type="pres">
      <dgm:prSet presAssocID="{4CBC2F9A-FA95-4886-BE3B-544D55F769C7}" presName="rootComposite" presStyleCnt="0"/>
      <dgm:spPr/>
    </dgm:pt>
    <dgm:pt modelId="{FDAEFF29-6A7F-4B14-8172-865BFFC16BE3}" type="pres">
      <dgm:prSet presAssocID="{4CBC2F9A-FA95-4886-BE3B-544D55F769C7}" presName="rootText" presStyleLbl="node3" presStyleIdx="4" presStyleCnt="5">
        <dgm:presLayoutVars>
          <dgm:chPref val="3"/>
        </dgm:presLayoutVars>
      </dgm:prSet>
      <dgm:spPr/>
    </dgm:pt>
    <dgm:pt modelId="{50298AE8-184B-4D88-95D5-84FDC4557ADC}" type="pres">
      <dgm:prSet presAssocID="{4CBC2F9A-FA95-4886-BE3B-544D55F769C7}" presName="rootConnector" presStyleLbl="node3" presStyleIdx="4" presStyleCnt="5"/>
      <dgm:spPr/>
    </dgm:pt>
    <dgm:pt modelId="{BA6C0390-9C65-42EA-AE49-29545FE25B5E}" type="pres">
      <dgm:prSet presAssocID="{4CBC2F9A-FA95-4886-BE3B-544D55F769C7}" presName="hierChild4" presStyleCnt="0"/>
      <dgm:spPr/>
    </dgm:pt>
    <dgm:pt modelId="{46A81296-56FD-47B7-B3D9-9CE5D47FC1CE}" type="pres">
      <dgm:prSet presAssocID="{ECDEF5A3-57FB-4DD0-A5FC-AFAF2C64C6A3}" presName="Name64" presStyleLbl="parChTrans1D4" presStyleIdx="2" presStyleCnt="6"/>
      <dgm:spPr/>
    </dgm:pt>
    <dgm:pt modelId="{679AE4A7-0356-4780-864D-316B2CB09638}" type="pres">
      <dgm:prSet presAssocID="{A03B4039-2F9E-4251-9CAC-D9CB403361A5}" presName="hierRoot2" presStyleCnt="0">
        <dgm:presLayoutVars>
          <dgm:hierBranch val="init"/>
        </dgm:presLayoutVars>
      </dgm:prSet>
      <dgm:spPr/>
    </dgm:pt>
    <dgm:pt modelId="{B7275CAF-4DCA-46AA-A775-D20F43A00FD2}" type="pres">
      <dgm:prSet presAssocID="{A03B4039-2F9E-4251-9CAC-D9CB403361A5}" presName="rootComposite" presStyleCnt="0"/>
      <dgm:spPr/>
    </dgm:pt>
    <dgm:pt modelId="{A84E6B68-569E-4654-A0D7-2C3E0526497E}" type="pres">
      <dgm:prSet presAssocID="{A03B4039-2F9E-4251-9CAC-D9CB403361A5}" presName="rootText" presStyleLbl="node4" presStyleIdx="2" presStyleCnt="6">
        <dgm:presLayoutVars>
          <dgm:chPref val="3"/>
        </dgm:presLayoutVars>
      </dgm:prSet>
      <dgm:spPr/>
    </dgm:pt>
    <dgm:pt modelId="{CBD99398-6D7B-483C-AE7B-F39A6AE33802}" type="pres">
      <dgm:prSet presAssocID="{A03B4039-2F9E-4251-9CAC-D9CB403361A5}" presName="rootConnector" presStyleLbl="node4" presStyleIdx="2" presStyleCnt="6"/>
      <dgm:spPr/>
    </dgm:pt>
    <dgm:pt modelId="{F123952B-0B2D-4E9D-B7EF-101DC738789C}" type="pres">
      <dgm:prSet presAssocID="{A03B4039-2F9E-4251-9CAC-D9CB403361A5}" presName="hierChild4" presStyleCnt="0"/>
      <dgm:spPr/>
    </dgm:pt>
    <dgm:pt modelId="{CA223E9C-FBE6-4338-A105-A106869441DC}" type="pres">
      <dgm:prSet presAssocID="{50B6BE6C-C6FF-40DB-BFEE-FDF74C70F023}" presName="Name64" presStyleLbl="parChTrans1D4" presStyleIdx="3" presStyleCnt="6"/>
      <dgm:spPr/>
    </dgm:pt>
    <dgm:pt modelId="{AA9A4F45-5F1E-4FA9-BB7E-4416F82EE6B6}" type="pres">
      <dgm:prSet presAssocID="{6C721F52-F250-4DF2-B82D-2E51E3E00B09}" presName="hierRoot2" presStyleCnt="0">
        <dgm:presLayoutVars>
          <dgm:hierBranch val="init"/>
        </dgm:presLayoutVars>
      </dgm:prSet>
      <dgm:spPr/>
    </dgm:pt>
    <dgm:pt modelId="{DDDE7B49-3C8D-43D2-B89B-113ADE3062B6}" type="pres">
      <dgm:prSet presAssocID="{6C721F52-F250-4DF2-B82D-2E51E3E00B09}" presName="rootComposite" presStyleCnt="0"/>
      <dgm:spPr/>
    </dgm:pt>
    <dgm:pt modelId="{1A98B21A-74AF-44C4-BCE8-EA4AE4819FA0}" type="pres">
      <dgm:prSet presAssocID="{6C721F52-F250-4DF2-B82D-2E51E3E00B09}" presName="rootText" presStyleLbl="node4" presStyleIdx="3" presStyleCnt="6">
        <dgm:presLayoutVars>
          <dgm:chPref val="3"/>
        </dgm:presLayoutVars>
      </dgm:prSet>
      <dgm:spPr/>
    </dgm:pt>
    <dgm:pt modelId="{2B3BD7B8-1ECC-4D83-9A1F-BEA55644AAA5}" type="pres">
      <dgm:prSet presAssocID="{6C721F52-F250-4DF2-B82D-2E51E3E00B09}" presName="rootConnector" presStyleLbl="node4" presStyleIdx="3" presStyleCnt="6"/>
      <dgm:spPr/>
    </dgm:pt>
    <dgm:pt modelId="{E4638B37-3484-4EEE-AAFD-E924679E7F2F}" type="pres">
      <dgm:prSet presAssocID="{6C721F52-F250-4DF2-B82D-2E51E3E00B09}" presName="hierChild4" presStyleCnt="0"/>
      <dgm:spPr/>
    </dgm:pt>
    <dgm:pt modelId="{284129F9-EEA7-474E-AB52-14AEE957FE63}" type="pres">
      <dgm:prSet presAssocID="{6C721F52-F250-4DF2-B82D-2E51E3E00B09}" presName="hierChild5" presStyleCnt="0"/>
      <dgm:spPr/>
    </dgm:pt>
    <dgm:pt modelId="{ED70C387-B693-436A-B055-E34D5BD2CA6F}" type="pres">
      <dgm:prSet presAssocID="{18B3CD19-0020-4C67-9584-FA5A4AA4B36D}" presName="Name64" presStyleLbl="parChTrans1D4" presStyleIdx="4" presStyleCnt="6"/>
      <dgm:spPr/>
    </dgm:pt>
    <dgm:pt modelId="{A277577E-57C3-4EA6-A884-39707506E0FB}" type="pres">
      <dgm:prSet presAssocID="{26E5B6AE-6237-457C-BA45-F608C598A1A2}" presName="hierRoot2" presStyleCnt="0">
        <dgm:presLayoutVars>
          <dgm:hierBranch val="init"/>
        </dgm:presLayoutVars>
      </dgm:prSet>
      <dgm:spPr/>
    </dgm:pt>
    <dgm:pt modelId="{11454442-8852-4321-AB47-EC9FE72EA95F}" type="pres">
      <dgm:prSet presAssocID="{26E5B6AE-6237-457C-BA45-F608C598A1A2}" presName="rootComposite" presStyleCnt="0"/>
      <dgm:spPr/>
    </dgm:pt>
    <dgm:pt modelId="{D62CFA3B-B1E1-4F9D-B056-7DC377E1228E}" type="pres">
      <dgm:prSet presAssocID="{26E5B6AE-6237-457C-BA45-F608C598A1A2}" presName="rootText" presStyleLbl="node4" presStyleIdx="4" presStyleCnt="6">
        <dgm:presLayoutVars>
          <dgm:chPref val="3"/>
        </dgm:presLayoutVars>
      </dgm:prSet>
      <dgm:spPr/>
    </dgm:pt>
    <dgm:pt modelId="{96F0B95A-CA6F-44AD-A250-310351D30DFB}" type="pres">
      <dgm:prSet presAssocID="{26E5B6AE-6237-457C-BA45-F608C598A1A2}" presName="rootConnector" presStyleLbl="node4" presStyleIdx="4" presStyleCnt="6"/>
      <dgm:spPr/>
    </dgm:pt>
    <dgm:pt modelId="{BE79AE2C-C20F-49A7-9252-2A577CE492CF}" type="pres">
      <dgm:prSet presAssocID="{26E5B6AE-6237-457C-BA45-F608C598A1A2}" presName="hierChild4" presStyleCnt="0"/>
      <dgm:spPr/>
    </dgm:pt>
    <dgm:pt modelId="{3E544FAF-800C-4023-B5E3-E360E68F97AC}" type="pres">
      <dgm:prSet presAssocID="{26E5B6AE-6237-457C-BA45-F608C598A1A2}" presName="hierChild5" presStyleCnt="0"/>
      <dgm:spPr/>
    </dgm:pt>
    <dgm:pt modelId="{1BADEB0C-E429-42AA-B3A6-067061334BF6}" type="pres">
      <dgm:prSet presAssocID="{A03B4039-2F9E-4251-9CAC-D9CB403361A5}" presName="hierChild5" presStyleCnt="0"/>
      <dgm:spPr/>
    </dgm:pt>
    <dgm:pt modelId="{2E1E5B69-FF44-4818-B3B3-4F6D292A0BC5}" type="pres">
      <dgm:prSet presAssocID="{6687F422-3A96-46A1-BD7C-B076209F75EB}" presName="Name64" presStyleLbl="parChTrans1D4" presStyleIdx="5" presStyleCnt="6"/>
      <dgm:spPr/>
    </dgm:pt>
    <dgm:pt modelId="{EA057FF7-B65D-40F2-B953-16ACD7F51829}" type="pres">
      <dgm:prSet presAssocID="{1212D7EE-AE55-4627-8584-507D5756A0D2}" presName="hierRoot2" presStyleCnt="0">
        <dgm:presLayoutVars>
          <dgm:hierBranch val="init"/>
        </dgm:presLayoutVars>
      </dgm:prSet>
      <dgm:spPr/>
    </dgm:pt>
    <dgm:pt modelId="{C1CE07B2-7080-41CE-90CB-2B39592561C2}" type="pres">
      <dgm:prSet presAssocID="{1212D7EE-AE55-4627-8584-507D5756A0D2}" presName="rootComposite" presStyleCnt="0"/>
      <dgm:spPr/>
    </dgm:pt>
    <dgm:pt modelId="{F251FBAD-BE3B-4FBF-A3ED-B1A75F3E8976}" type="pres">
      <dgm:prSet presAssocID="{1212D7EE-AE55-4627-8584-507D5756A0D2}" presName="rootText" presStyleLbl="node4" presStyleIdx="5" presStyleCnt="6">
        <dgm:presLayoutVars>
          <dgm:chPref val="3"/>
        </dgm:presLayoutVars>
      </dgm:prSet>
      <dgm:spPr/>
    </dgm:pt>
    <dgm:pt modelId="{6271783C-BF93-4BF1-B9A3-CF1B8ACFD0D1}" type="pres">
      <dgm:prSet presAssocID="{1212D7EE-AE55-4627-8584-507D5756A0D2}" presName="rootConnector" presStyleLbl="node4" presStyleIdx="5" presStyleCnt="6"/>
      <dgm:spPr/>
    </dgm:pt>
    <dgm:pt modelId="{82BDD2DF-6103-4963-A321-0AECCA46D929}" type="pres">
      <dgm:prSet presAssocID="{1212D7EE-AE55-4627-8584-507D5756A0D2}" presName="hierChild4" presStyleCnt="0"/>
      <dgm:spPr/>
    </dgm:pt>
    <dgm:pt modelId="{688C65C0-F6DC-4230-BF92-7794F61B1303}" type="pres">
      <dgm:prSet presAssocID="{1212D7EE-AE55-4627-8584-507D5756A0D2}" presName="hierChild5" presStyleCnt="0"/>
      <dgm:spPr/>
    </dgm:pt>
    <dgm:pt modelId="{BD15454D-D3CC-469E-9318-341AECCA38BF}" type="pres">
      <dgm:prSet presAssocID="{4CBC2F9A-FA95-4886-BE3B-544D55F769C7}" presName="hierChild5" presStyleCnt="0"/>
      <dgm:spPr/>
    </dgm:pt>
    <dgm:pt modelId="{97813B70-D50A-4AA1-B870-9800B9333613}" type="pres">
      <dgm:prSet presAssocID="{EF977685-AAB3-4B0D-9FAB-16494B0B4298}" presName="hierChild5" presStyleCnt="0"/>
      <dgm:spPr/>
    </dgm:pt>
    <dgm:pt modelId="{41B9C6D2-BA0F-4645-8100-DC04F06149ED}" type="pres">
      <dgm:prSet presAssocID="{7A80290F-F723-432A-AD4F-4F7D47BF18A6}" presName="hierChild3" presStyleCnt="0"/>
      <dgm:spPr/>
    </dgm:pt>
  </dgm:ptLst>
  <dgm:cxnLst>
    <dgm:cxn modelId="{B0831301-0655-42FF-B47F-1A51BE5D6906}" type="presOf" srcId="{26E5B6AE-6237-457C-BA45-F608C598A1A2}" destId="{96F0B95A-CA6F-44AD-A250-310351D30DFB}" srcOrd="1" destOrd="0" presId="urn:microsoft.com/office/officeart/2009/3/layout/HorizontalOrganizationChart"/>
    <dgm:cxn modelId="{F2AF5508-C9F2-40A9-B5D0-9B3DE637A483}" type="presOf" srcId="{A8703346-FEE3-492F-B8B3-8E7F3B9860C8}" destId="{7DAC3CED-1027-4BBC-B944-55C01DF9EF65}" srcOrd="0" destOrd="0" presId="urn:microsoft.com/office/officeart/2009/3/layout/HorizontalOrganizationChart"/>
    <dgm:cxn modelId="{F9315A0B-A922-4587-8E95-685B2A1A073A}" type="presOf" srcId="{1212D7EE-AE55-4627-8584-507D5756A0D2}" destId="{F251FBAD-BE3B-4FBF-A3ED-B1A75F3E8976}" srcOrd="0" destOrd="0" presId="urn:microsoft.com/office/officeart/2009/3/layout/HorizontalOrganizationChart"/>
    <dgm:cxn modelId="{0BFCFF0B-1F02-40BA-A285-605040AA6B0C}" type="presOf" srcId="{A03B4039-2F9E-4251-9CAC-D9CB403361A5}" destId="{CBD99398-6D7B-483C-AE7B-F39A6AE33802}" srcOrd="1" destOrd="0" presId="urn:microsoft.com/office/officeart/2009/3/layout/HorizontalOrganizationChart"/>
    <dgm:cxn modelId="{2C6EE40C-5DAB-4652-A839-83BE83CF5FA3}" type="presOf" srcId="{A2954519-7A96-4331-B451-8017F60C5B14}" destId="{5FE86B7E-2210-4B31-94FC-022235CBEBAF}" srcOrd="0" destOrd="0" presId="urn:microsoft.com/office/officeart/2009/3/layout/HorizontalOrganizationChart"/>
    <dgm:cxn modelId="{0E03FA11-AABF-4BF1-94B9-0ECF41B02A52}" type="presOf" srcId="{C66FEA0C-BE51-4437-9032-158E4B88A06C}" destId="{474DFA6E-AA4B-4E48-A0DE-A456A231CBF4}" srcOrd="1" destOrd="0" presId="urn:microsoft.com/office/officeart/2009/3/layout/HorizontalOrganizationChart"/>
    <dgm:cxn modelId="{80B7D812-8507-4436-A149-B034D4344D86}" srcId="{4CBC2F9A-FA95-4886-BE3B-544D55F769C7}" destId="{1212D7EE-AE55-4627-8584-507D5756A0D2}" srcOrd="1" destOrd="0" parTransId="{6687F422-3A96-46A1-BD7C-B076209F75EB}" sibTransId="{9168B082-77BC-49D2-B1C4-5C3FAB645F74}"/>
    <dgm:cxn modelId="{B4DC1D19-D5F4-4FAE-83DD-F73BBC506BE3}" type="presOf" srcId="{7A80290F-F723-432A-AD4F-4F7D47BF18A6}" destId="{506EBAA1-CBFC-4679-9702-07ED8E9101B5}" srcOrd="1" destOrd="0" presId="urn:microsoft.com/office/officeart/2009/3/layout/HorizontalOrganizationChart"/>
    <dgm:cxn modelId="{6265041E-AABF-4EF8-BC02-9D43308E30F4}" type="presOf" srcId="{50B6BE6C-C6FF-40DB-BFEE-FDF74C70F023}" destId="{CA223E9C-FBE6-4338-A105-A106869441DC}" srcOrd="0" destOrd="0" presId="urn:microsoft.com/office/officeart/2009/3/layout/HorizontalOrganizationChart"/>
    <dgm:cxn modelId="{C37F901F-AE6F-4049-96FA-E18B1E561482}" srcId="{8B890290-C711-4278-9C0F-810D40A8CBA9}" destId="{2D598BD1-8082-4599-B4C7-7DE2BDDFAD07}" srcOrd="2" destOrd="0" parTransId="{A2954519-7A96-4331-B451-8017F60C5B14}" sibTransId="{FDFE5A17-6AA9-46BC-AC2B-62099EF4154E}"/>
    <dgm:cxn modelId="{B430DA24-5F5F-4E13-BE4F-3B0FEDDAABEB}" type="presOf" srcId="{D681C0B2-2EA8-40C5-A6BA-B48D6A1A6D43}" destId="{8B13E9F7-7C1C-48E6-B0DF-490629487ADE}" srcOrd="0" destOrd="0" presId="urn:microsoft.com/office/officeart/2009/3/layout/HorizontalOrganizationChart"/>
    <dgm:cxn modelId="{8B7BC526-5A1E-41C1-803A-ACB324918FFB}" type="presOf" srcId="{F3F23B5D-511A-4971-8759-B142278FB6E5}" destId="{FFA0E9B9-D6DD-4B25-98BE-3A33D3B48ADC}" srcOrd="0" destOrd="0" presId="urn:microsoft.com/office/officeart/2009/3/layout/HorizontalOrganizationChart"/>
    <dgm:cxn modelId="{30EE7B29-F53E-4C51-81D3-0F5BB195FAFC}" type="presOf" srcId="{22FDBEB1-A98C-40F7-BDFE-78F3BC242C58}" destId="{1679104F-1A26-4774-9A3C-6239A6C532C8}" srcOrd="0" destOrd="0" presId="urn:microsoft.com/office/officeart/2009/3/layout/HorizontalOrganizationChart"/>
    <dgm:cxn modelId="{8A638B2A-7178-44ED-99F0-0FF3D67258CE}" type="presOf" srcId="{C66FEA0C-BE51-4437-9032-158E4B88A06C}" destId="{CA4DB0E3-AF48-47D0-81BE-EA86C1A8AE09}" srcOrd="0" destOrd="0" presId="urn:microsoft.com/office/officeart/2009/3/layout/HorizontalOrganizationChart"/>
    <dgm:cxn modelId="{2E15E630-F9BD-46DE-80D3-E89DD2A86EA4}" srcId="{4CBC2F9A-FA95-4886-BE3B-544D55F769C7}" destId="{A03B4039-2F9E-4251-9CAC-D9CB403361A5}" srcOrd="0" destOrd="0" parTransId="{ECDEF5A3-57FB-4DD0-A5FC-AFAF2C64C6A3}" sibTransId="{1C7F6FDF-4081-40B2-9068-E772875ABE20}"/>
    <dgm:cxn modelId="{AA6FD335-5542-4852-B8DA-A7A0B76B998F}" type="presOf" srcId="{2D598BD1-8082-4599-B4C7-7DE2BDDFAD07}" destId="{3AEE0574-DF44-4CDD-8C86-1C8DD393BBDE}" srcOrd="1" destOrd="0" presId="urn:microsoft.com/office/officeart/2009/3/layout/HorizontalOrganizationChart"/>
    <dgm:cxn modelId="{C78FEE63-483B-4BF4-8FD7-CD636B5B8A54}" srcId="{D681C0B2-2EA8-40C5-A6BA-B48D6A1A6D43}" destId="{7A80290F-F723-432A-AD4F-4F7D47BF18A6}" srcOrd="0" destOrd="0" parTransId="{1F1683BE-9315-4255-B400-9BF4AC7A9A1A}" sibTransId="{946A2467-F1C9-4A22-B60E-A720D674450F}"/>
    <dgm:cxn modelId="{36BD4846-AFEA-4792-B77E-1A39C2EDA859}" type="presOf" srcId="{AEF87CCA-F7E3-48EB-B011-CA779D93D72E}" destId="{D590DF14-4555-4653-B2A5-EC57F25B4580}" srcOrd="0" destOrd="0" presId="urn:microsoft.com/office/officeart/2009/3/layout/HorizontalOrganizationChart"/>
    <dgm:cxn modelId="{7DF59066-F01D-4492-89A7-84553D312104}" type="presOf" srcId="{18B3CD19-0020-4C67-9584-FA5A4AA4B36D}" destId="{ED70C387-B693-436A-B055-E34D5BD2CA6F}" srcOrd="0" destOrd="0" presId="urn:microsoft.com/office/officeart/2009/3/layout/HorizontalOrganizationChart"/>
    <dgm:cxn modelId="{F37F176B-5C97-4054-9AC9-D37EE6F0C7E5}" type="presOf" srcId="{26E5B6AE-6237-457C-BA45-F608C598A1A2}" destId="{D62CFA3B-B1E1-4F9D-B056-7DC377E1228E}" srcOrd="0" destOrd="0" presId="urn:microsoft.com/office/officeart/2009/3/layout/HorizontalOrganizationChart"/>
    <dgm:cxn modelId="{EDA3754C-107E-4EDC-9DF6-DC7C6A164736}" type="presOf" srcId="{6C721F52-F250-4DF2-B82D-2E51E3E00B09}" destId="{2B3BD7B8-1ECC-4D83-9A1F-BEA55644AAA5}" srcOrd="1" destOrd="0" presId="urn:microsoft.com/office/officeart/2009/3/layout/HorizontalOrganizationChart"/>
    <dgm:cxn modelId="{8703AA4C-6684-4193-8240-28CB5520CE39}" srcId="{A03B4039-2F9E-4251-9CAC-D9CB403361A5}" destId="{6C721F52-F250-4DF2-B82D-2E51E3E00B09}" srcOrd="0" destOrd="0" parTransId="{50B6BE6C-C6FF-40DB-BFEE-FDF74C70F023}" sibTransId="{9A761B00-AD44-48ED-A7F6-26CC29618C91}"/>
    <dgm:cxn modelId="{CA282754-699D-408B-88D1-C64160569683}" type="presOf" srcId="{D5E5A1DB-4AAD-4710-B9DA-A4EB5BA77E76}" destId="{6A6CECDF-39CF-475E-A21B-E1FC4508ACC6}" srcOrd="0" destOrd="0" presId="urn:microsoft.com/office/officeart/2009/3/layout/HorizontalOrganizationChart"/>
    <dgm:cxn modelId="{53538B75-997A-49F9-9F9B-5C7830580F38}" type="presOf" srcId="{ECDEF5A3-57FB-4DD0-A5FC-AFAF2C64C6A3}" destId="{46A81296-56FD-47B7-B3D9-9CE5D47FC1CE}" srcOrd="0" destOrd="0" presId="urn:microsoft.com/office/officeart/2009/3/layout/HorizontalOrganizationChart"/>
    <dgm:cxn modelId="{0BC73957-C93B-4F41-9488-20E222E55174}" type="presOf" srcId="{7FD84D5B-2308-4A2C-A067-2EDC4BE32B99}" destId="{C79D10E1-A7B3-42FA-8FD9-A1CC58219907}" srcOrd="1" destOrd="0" presId="urn:microsoft.com/office/officeart/2009/3/layout/HorizontalOrganizationChart"/>
    <dgm:cxn modelId="{CBDBE37A-CC18-46EF-B332-8A8CEF16C275}" srcId="{EF977685-AAB3-4B0D-9FAB-16494B0B4298}" destId="{37665383-F808-496E-A886-FCD23A382442}" srcOrd="0" destOrd="0" parTransId="{F3F23B5D-511A-4971-8759-B142278FB6E5}" sibTransId="{96F0C225-0EE9-48EE-A2CD-2DFD084E9551}"/>
    <dgm:cxn modelId="{9C78567F-242A-4E5B-B790-E7655DAE0CD5}" srcId="{7A80290F-F723-432A-AD4F-4F7D47BF18A6}" destId="{8B890290-C711-4278-9C0F-810D40A8CBA9}" srcOrd="0" destOrd="0" parTransId="{A8703346-FEE3-492F-B8B3-8E7F3B9860C8}" sibTransId="{D19BDAA3-C51A-4D7D-B6F9-C2C87C7A9145}"/>
    <dgm:cxn modelId="{C4F17B85-1A96-4BBF-A297-9E7C6CB4FF42}" type="presOf" srcId="{1212D7EE-AE55-4627-8584-507D5756A0D2}" destId="{6271783C-BF93-4BF1-B9A3-CF1B8ACFD0D1}" srcOrd="1" destOrd="0" presId="urn:microsoft.com/office/officeart/2009/3/layout/HorizontalOrganizationChart"/>
    <dgm:cxn modelId="{15774391-6062-423B-A069-4E15D4651BF6}" type="presOf" srcId="{37665383-F808-496E-A886-FCD23A382442}" destId="{E98524A6-E30C-429E-BB49-2951905627FB}" srcOrd="0" destOrd="0" presId="urn:microsoft.com/office/officeart/2009/3/layout/HorizontalOrganizationChart"/>
    <dgm:cxn modelId="{856EA396-592A-412D-B8D6-93DDA0E962C9}" type="presOf" srcId="{37665383-F808-496E-A886-FCD23A382442}" destId="{313BA963-BF97-47F7-9B3E-92269D2B4A49}" srcOrd="1" destOrd="0" presId="urn:microsoft.com/office/officeart/2009/3/layout/HorizontalOrganizationChart"/>
    <dgm:cxn modelId="{A8780999-31C7-4EE8-9E2D-056D651C88B7}" srcId="{8B890290-C711-4278-9C0F-810D40A8CBA9}" destId="{749A17C7-FF49-4F8F-918A-3614BC07C9AD}" srcOrd="0" destOrd="0" parTransId="{D5E5A1DB-4AAD-4710-B9DA-A4EB5BA77E76}" sibTransId="{4F9B0E16-7AFC-447D-87C0-19D9204D5B39}"/>
    <dgm:cxn modelId="{3C30BE9C-CA6B-43ED-975D-F2F19D52978E}" type="presOf" srcId="{4CBC2F9A-FA95-4886-BE3B-544D55F769C7}" destId="{FDAEFF29-6A7F-4B14-8172-865BFFC16BE3}" srcOrd="0" destOrd="0" presId="urn:microsoft.com/office/officeart/2009/3/layout/HorizontalOrganizationChart"/>
    <dgm:cxn modelId="{27B47CA0-BC8D-4294-B0A2-A0B34B2212B7}" type="presOf" srcId="{A03B4039-2F9E-4251-9CAC-D9CB403361A5}" destId="{A84E6B68-569E-4654-A0D7-2C3E0526497E}" srcOrd="0" destOrd="0" presId="urn:microsoft.com/office/officeart/2009/3/layout/HorizontalOrganizationChart"/>
    <dgm:cxn modelId="{0FCBC8A0-D5A8-4B57-A4AA-91662E65CC71}" type="presOf" srcId="{6AF030DF-12F2-4F57-A02B-63E7EE6BD6C8}" destId="{FBF4DE84-CDE1-4559-B9C5-A7E0DB11BAEE}" srcOrd="0" destOrd="0" presId="urn:microsoft.com/office/officeart/2009/3/layout/HorizontalOrganizationChart"/>
    <dgm:cxn modelId="{709570A5-4A20-476F-BE25-7E618E839A3A}" srcId="{7A80290F-F723-432A-AD4F-4F7D47BF18A6}" destId="{EF977685-AAB3-4B0D-9FAB-16494B0B4298}" srcOrd="1" destOrd="0" parTransId="{6AF030DF-12F2-4F57-A02B-63E7EE6BD6C8}" sibTransId="{05748153-11C5-408F-A69A-51687CD0541C}"/>
    <dgm:cxn modelId="{BC260BA6-FDAA-4FBE-9303-36C6019D9392}" type="presOf" srcId="{8B890290-C711-4278-9C0F-810D40A8CBA9}" destId="{D204D452-A5C0-4DD0-94BB-52A6370ACE61}" srcOrd="1" destOrd="0" presId="urn:microsoft.com/office/officeart/2009/3/layout/HorizontalOrganizationChart"/>
    <dgm:cxn modelId="{5CCF14AC-E2A7-4025-BAE6-354F781E93BE}" srcId="{749A17C7-FF49-4F8F-918A-3614BC07C9AD}" destId="{4416514E-C43C-4E86-B2FB-0FCC10ADE048}" srcOrd="1" destOrd="0" parTransId="{22FDBEB1-A98C-40F7-BDFE-78F3BC242C58}" sibTransId="{4D2681D1-1B20-4FE4-96F2-C9AF07CB3374}"/>
    <dgm:cxn modelId="{0416A9AF-1A0A-4E55-A415-D2995CA67EB7}" type="presOf" srcId="{EF977685-AAB3-4B0D-9FAB-16494B0B4298}" destId="{C53339F6-34CF-4143-9420-20B347D1402D}" srcOrd="0" destOrd="0" presId="urn:microsoft.com/office/officeart/2009/3/layout/HorizontalOrganizationChart"/>
    <dgm:cxn modelId="{2E4FBCB9-8ACE-4CCC-8DFE-DAD0DE41B8D3}" type="presOf" srcId="{749A17C7-FF49-4F8F-918A-3614BC07C9AD}" destId="{C00D715B-C124-4542-B479-98C28121950B}" srcOrd="0" destOrd="0" presId="urn:microsoft.com/office/officeart/2009/3/layout/HorizontalOrganizationChart"/>
    <dgm:cxn modelId="{E89BAEBC-2C0A-4F72-90EE-6D3151D0BEC0}" type="presOf" srcId="{7A80290F-F723-432A-AD4F-4F7D47BF18A6}" destId="{E18B77E1-D918-44F8-9EFB-9C8FFAF46C71}" srcOrd="0" destOrd="0" presId="urn:microsoft.com/office/officeart/2009/3/layout/HorizontalOrganizationChart"/>
    <dgm:cxn modelId="{DF8D07BD-F1AE-469E-88CF-ED4AAB7C73CC}" type="presOf" srcId="{8B890290-C711-4278-9C0F-810D40A8CBA9}" destId="{C2E37E83-D23E-4766-B5FC-A0C604557FDD}" srcOrd="0" destOrd="0" presId="urn:microsoft.com/office/officeart/2009/3/layout/HorizontalOrganizationChart"/>
    <dgm:cxn modelId="{F51D12C2-E0B3-4335-9314-F28E16540056}" type="presOf" srcId="{7FD84D5B-2308-4A2C-A067-2EDC4BE32B99}" destId="{064AA238-DCFD-449F-A6BF-A232C90F81AE}" srcOrd="0" destOrd="0" presId="urn:microsoft.com/office/officeart/2009/3/layout/HorizontalOrganizationChart"/>
    <dgm:cxn modelId="{74EA69CA-5CA2-46C0-95CF-83D5E68FD788}" type="presOf" srcId="{4416514E-C43C-4E86-B2FB-0FCC10ADE048}" destId="{B77273A7-CA45-4B53-89BA-E5E48B2AA818}" srcOrd="0" destOrd="0" presId="urn:microsoft.com/office/officeart/2009/3/layout/HorizontalOrganizationChart"/>
    <dgm:cxn modelId="{EB7584CD-AE30-4FD1-AE98-54D3080D5F23}" type="presOf" srcId="{4416514E-C43C-4E86-B2FB-0FCC10ADE048}" destId="{23BEC719-C373-4211-8E8F-768E6CCB466D}" srcOrd="1" destOrd="0" presId="urn:microsoft.com/office/officeart/2009/3/layout/HorizontalOrganizationChart"/>
    <dgm:cxn modelId="{99E9BBD1-8CFD-4830-9A7D-F12B73A4A658}" type="presOf" srcId="{2D598BD1-8082-4599-B4C7-7DE2BDDFAD07}" destId="{E8AE2972-A4F0-4BF3-84FA-BE7FB6D8608C}" srcOrd="0" destOrd="0" presId="urn:microsoft.com/office/officeart/2009/3/layout/HorizontalOrganizationChart"/>
    <dgm:cxn modelId="{54557AD3-92B0-4AD1-85FF-BDEFEEA9AD5E}" type="presOf" srcId="{4CBC2F9A-FA95-4886-BE3B-544D55F769C7}" destId="{50298AE8-184B-4D88-95D5-84FDC4557ADC}" srcOrd="1" destOrd="0" presId="urn:microsoft.com/office/officeart/2009/3/layout/HorizontalOrganizationChart"/>
    <dgm:cxn modelId="{6D4935D6-4373-4252-922C-D5ADDDF31213}" srcId="{749A17C7-FF49-4F8F-918A-3614BC07C9AD}" destId="{7FD84D5B-2308-4A2C-A067-2EDC4BE32B99}" srcOrd="0" destOrd="0" parTransId="{9473C394-755B-4F60-9E08-CD6D5C14CF46}" sibTransId="{97CE79FC-A527-4B00-B6C7-4DBC8B8B9BE5}"/>
    <dgm:cxn modelId="{979DBBDD-E58C-48EE-92B4-2CD608400422}" type="presOf" srcId="{6C721F52-F250-4DF2-B82D-2E51E3E00B09}" destId="{1A98B21A-74AF-44C4-BCE8-EA4AE4819FA0}" srcOrd="0" destOrd="0" presId="urn:microsoft.com/office/officeart/2009/3/layout/HorizontalOrganizationChart"/>
    <dgm:cxn modelId="{C39CB3DF-76CA-4A0E-B825-518F9680FCF5}" type="presOf" srcId="{6687F422-3A96-46A1-BD7C-B076209F75EB}" destId="{2E1E5B69-FF44-4818-B3B3-4F6D292A0BC5}" srcOrd="0" destOrd="0" presId="urn:microsoft.com/office/officeart/2009/3/layout/HorizontalOrganizationChart"/>
    <dgm:cxn modelId="{557F30E6-81F3-4463-B215-0B5AB3C3EAA2}" type="presOf" srcId="{EB8329EE-98BF-4AEE-8B35-A2C4DA43A9EA}" destId="{4528BD30-3E14-484B-81DD-661B608069B0}" srcOrd="0" destOrd="0" presId="urn:microsoft.com/office/officeart/2009/3/layout/HorizontalOrganizationChart"/>
    <dgm:cxn modelId="{9AB1C6E8-040C-4E22-9F2C-B1A0FDF64E0C}" srcId="{EF977685-AAB3-4B0D-9FAB-16494B0B4298}" destId="{4CBC2F9A-FA95-4886-BE3B-544D55F769C7}" srcOrd="1" destOrd="0" parTransId="{EB8329EE-98BF-4AEE-8B35-A2C4DA43A9EA}" sibTransId="{DEBE0399-1F49-4677-AAA9-6C48391FBAD2}"/>
    <dgm:cxn modelId="{33ADCFF1-1DC3-4B66-80DF-0ED44B8B6ACD}" srcId="{8B890290-C711-4278-9C0F-810D40A8CBA9}" destId="{C66FEA0C-BE51-4437-9032-158E4B88A06C}" srcOrd="1" destOrd="0" parTransId="{AEF87CCA-F7E3-48EB-B011-CA779D93D72E}" sibTransId="{F1C2C07B-1F04-4BA5-91AD-EF309EB33C4F}"/>
    <dgm:cxn modelId="{D63789F2-F29F-40EF-B4AB-7C2151817928}" type="presOf" srcId="{EF977685-AAB3-4B0D-9FAB-16494B0B4298}" destId="{86DDC91E-5F32-49BC-ADA1-6C44229FD759}" srcOrd="1" destOrd="0" presId="urn:microsoft.com/office/officeart/2009/3/layout/HorizontalOrganizationChart"/>
    <dgm:cxn modelId="{4C6871F4-D6FA-423B-BE71-C419750B2B44}" type="presOf" srcId="{9473C394-755B-4F60-9E08-CD6D5C14CF46}" destId="{2B408CD7-063E-4396-A87B-24CB4997EAA6}" srcOrd="0" destOrd="0" presId="urn:microsoft.com/office/officeart/2009/3/layout/HorizontalOrganizationChart"/>
    <dgm:cxn modelId="{6087F7FB-7C9D-4B7E-8BEA-DB7F74EA11B8}" type="presOf" srcId="{749A17C7-FF49-4F8F-918A-3614BC07C9AD}" destId="{813A1062-54AE-46E5-A654-5F0B0FBE59A3}" srcOrd="1" destOrd="0" presId="urn:microsoft.com/office/officeart/2009/3/layout/HorizontalOrganizationChart"/>
    <dgm:cxn modelId="{97CFA0FE-D389-4D22-874C-BA22076E805C}" srcId="{A03B4039-2F9E-4251-9CAC-D9CB403361A5}" destId="{26E5B6AE-6237-457C-BA45-F608C598A1A2}" srcOrd="1" destOrd="0" parTransId="{18B3CD19-0020-4C67-9584-FA5A4AA4B36D}" sibTransId="{8D7B8DA7-F652-4C76-ADBC-7FFAA4A0B0CA}"/>
    <dgm:cxn modelId="{5B26E7A7-95E5-4F2B-AE6E-2887DD1ABB09}" type="presParOf" srcId="{8B13E9F7-7C1C-48E6-B0DF-490629487ADE}" destId="{D076E14A-C3DE-4E5E-BF66-C5B201F2EE79}" srcOrd="0" destOrd="0" presId="urn:microsoft.com/office/officeart/2009/3/layout/HorizontalOrganizationChart"/>
    <dgm:cxn modelId="{CF868EF2-82F9-4297-8863-8FEE29979A55}" type="presParOf" srcId="{D076E14A-C3DE-4E5E-BF66-C5B201F2EE79}" destId="{123ECE54-D00B-4838-8D97-E5CB60231E1C}" srcOrd="0" destOrd="0" presId="urn:microsoft.com/office/officeart/2009/3/layout/HorizontalOrganizationChart"/>
    <dgm:cxn modelId="{1F5F463A-3846-4480-9E2E-1DF0A434BECC}" type="presParOf" srcId="{123ECE54-D00B-4838-8D97-E5CB60231E1C}" destId="{E18B77E1-D918-44F8-9EFB-9C8FFAF46C71}" srcOrd="0" destOrd="0" presId="urn:microsoft.com/office/officeart/2009/3/layout/HorizontalOrganizationChart"/>
    <dgm:cxn modelId="{CC76BEF8-A8F0-4D8D-A6B8-A91906638F56}" type="presParOf" srcId="{123ECE54-D00B-4838-8D97-E5CB60231E1C}" destId="{506EBAA1-CBFC-4679-9702-07ED8E9101B5}" srcOrd="1" destOrd="0" presId="urn:microsoft.com/office/officeart/2009/3/layout/HorizontalOrganizationChart"/>
    <dgm:cxn modelId="{DD531B71-BA01-49A8-BB7A-DE59E70DF4DA}" type="presParOf" srcId="{D076E14A-C3DE-4E5E-BF66-C5B201F2EE79}" destId="{5BF44E3D-243A-4020-A201-0037E0B815B7}" srcOrd="1" destOrd="0" presId="urn:microsoft.com/office/officeart/2009/3/layout/HorizontalOrganizationChart"/>
    <dgm:cxn modelId="{A89BA815-3080-4ABD-8780-719E8DD9B8C7}" type="presParOf" srcId="{5BF44E3D-243A-4020-A201-0037E0B815B7}" destId="{7DAC3CED-1027-4BBC-B944-55C01DF9EF65}" srcOrd="0" destOrd="0" presId="urn:microsoft.com/office/officeart/2009/3/layout/HorizontalOrganizationChart"/>
    <dgm:cxn modelId="{D3038066-4FE3-4B37-87E6-747A3568D09E}" type="presParOf" srcId="{5BF44E3D-243A-4020-A201-0037E0B815B7}" destId="{C2A8DFB4-7A96-4C01-80B0-198E9A472CA8}" srcOrd="1" destOrd="0" presId="urn:microsoft.com/office/officeart/2009/3/layout/HorizontalOrganizationChart"/>
    <dgm:cxn modelId="{87D006EC-7CA0-4AA2-8E3E-C2AC90F0D325}" type="presParOf" srcId="{C2A8DFB4-7A96-4C01-80B0-198E9A472CA8}" destId="{FDA00097-DCD4-4A84-8D1E-34A6BD2F4B56}" srcOrd="0" destOrd="0" presId="urn:microsoft.com/office/officeart/2009/3/layout/HorizontalOrganizationChart"/>
    <dgm:cxn modelId="{C03DCCF7-F2DA-4CBE-8D57-10CC77877ECA}" type="presParOf" srcId="{FDA00097-DCD4-4A84-8D1E-34A6BD2F4B56}" destId="{C2E37E83-D23E-4766-B5FC-A0C604557FDD}" srcOrd="0" destOrd="0" presId="urn:microsoft.com/office/officeart/2009/3/layout/HorizontalOrganizationChart"/>
    <dgm:cxn modelId="{2570D884-3EBE-4087-9BD1-912265AE00E3}" type="presParOf" srcId="{FDA00097-DCD4-4A84-8D1E-34A6BD2F4B56}" destId="{D204D452-A5C0-4DD0-94BB-52A6370ACE61}" srcOrd="1" destOrd="0" presId="urn:microsoft.com/office/officeart/2009/3/layout/HorizontalOrganizationChart"/>
    <dgm:cxn modelId="{0CAD3266-B9BF-43D3-9C76-41C4D0359397}" type="presParOf" srcId="{C2A8DFB4-7A96-4C01-80B0-198E9A472CA8}" destId="{75105966-18A5-4A44-8B38-9D63BE35A1DA}" srcOrd="1" destOrd="0" presId="urn:microsoft.com/office/officeart/2009/3/layout/HorizontalOrganizationChart"/>
    <dgm:cxn modelId="{FEBBA968-7433-43B9-AA8F-C4B00534B911}" type="presParOf" srcId="{75105966-18A5-4A44-8B38-9D63BE35A1DA}" destId="{6A6CECDF-39CF-475E-A21B-E1FC4508ACC6}" srcOrd="0" destOrd="0" presId="urn:microsoft.com/office/officeart/2009/3/layout/HorizontalOrganizationChart"/>
    <dgm:cxn modelId="{2ACE9FE1-C704-4674-9E5F-15BA6BD48AF1}" type="presParOf" srcId="{75105966-18A5-4A44-8B38-9D63BE35A1DA}" destId="{03412193-23FA-47E7-B717-49B2CAFE47E3}" srcOrd="1" destOrd="0" presId="urn:microsoft.com/office/officeart/2009/3/layout/HorizontalOrganizationChart"/>
    <dgm:cxn modelId="{CF83D5C8-97EA-4FD9-85DB-CACBB47B1242}" type="presParOf" srcId="{03412193-23FA-47E7-B717-49B2CAFE47E3}" destId="{0E625FB6-7C76-4CD6-9810-1947D509894B}" srcOrd="0" destOrd="0" presId="urn:microsoft.com/office/officeart/2009/3/layout/HorizontalOrganizationChart"/>
    <dgm:cxn modelId="{95A0479C-18DF-4EA5-9431-E4F39067A220}" type="presParOf" srcId="{0E625FB6-7C76-4CD6-9810-1947D509894B}" destId="{C00D715B-C124-4542-B479-98C28121950B}" srcOrd="0" destOrd="0" presId="urn:microsoft.com/office/officeart/2009/3/layout/HorizontalOrganizationChart"/>
    <dgm:cxn modelId="{EC532F2C-6455-45AB-A211-AC5DBF52689A}" type="presParOf" srcId="{0E625FB6-7C76-4CD6-9810-1947D509894B}" destId="{813A1062-54AE-46E5-A654-5F0B0FBE59A3}" srcOrd="1" destOrd="0" presId="urn:microsoft.com/office/officeart/2009/3/layout/HorizontalOrganizationChart"/>
    <dgm:cxn modelId="{40F9D22B-2DA9-4267-87B2-3CED1B2945DD}" type="presParOf" srcId="{03412193-23FA-47E7-B717-49B2CAFE47E3}" destId="{D38B3FDC-9CA5-4886-A45F-7A6E2F4DBE03}" srcOrd="1" destOrd="0" presId="urn:microsoft.com/office/officeart/2009/3/layout/HorizontalOrganizationChart"/>
    <dgm:cxn modelId="{CE657819-513A-44ED-9302-33DB4985162B}" type="presParOf" srcId="{D38B3FDC-9CA5-4886-A45F-7A6E2F4DBE03}" destId="{2B408CD7-063E-4396-A87B-24CB4997EAA6}" srcOrd="0" destOrd="0" presId="urn:microsoft.com/office/officeart/2009/3/layout/HorizontalOrganizationChart"/>
    <dgm:cxn modelId="{54A18E14-605E-40E5-B360-4DBFAD5A7022}" type="presParOf" srcId="{D38B3FDC-9CA5-4886-A45F-7A6E2F4DBE03}" destId="{E6608DA3-BB3F-426E-9655-A0B088AB0CD7}" srcOrd="1" destOrd="0" presId="urn:microsoft.com/office/officeart/2009/3/layout/HorizontalOrganizationChart"/>
    <dgm:cxn modelId="{66D43422-1771-4531-9FA4-CE7489547078}" type="presParOf" srcId="{E6608DA3-BB3F-426E-9655-A0B088AB0CD7}" destId="{4DB82F5F-013F-49D9-B73E-463A4AF80F07}" srcOrd="0" destOrd="0" presId="urn:microsoft.com/office/officeart/2009/3/layout/HorizontalOrganizationChart"/>
    <dgm:cxn modelId="{B9040C89-89E8-49FD-A7C7-8DFC5260A32D}" type="presParOf" srcId="{4DB82F5F-013F-49D9-B73E-463A4AF80F07}" destId="{064AA238-DCFD-449F-A6BF-A232C90F81AE}" srcOrd="0" destOrd="0" presId="urn:microsoft.com/office/officeart/2009/3/layout/HorizontalOrganizationChart"/>
    <dgm:cxn modelId="{263460B6-3C0D-41A2-95C3-C3A80C0D8315}" type="presParOf" srcId="{4DB82F5F-013F-49D9-B73E-463A4AF80F07}" destId="{C79D10E1-A7B3-42FA-8FD9-A1CC58219907}" srcOrd="1" destOrd="0" presId="urn:microsoft.com/office/officeart/2009/3/layout/HorizontalOrganizationChart"/>
    <dgm:cxn modelId="{0F3EB44A-FC57-49D4-9669-DB8BBA43860F}" type="presParOf" srcId="{E6608DA3-BB3F-426E-9655-A0B088AB0CD7}" destId="{EE456222-D57E-4139-9708-7915B98DC144}" srcOrd="1" destOrd="0" presId="urn:microsoft.com/office/officeart/2009/3/layout/HorizontalOrganizationChart"/>
    <dgm:cxn modelId="{EA6DC783-2F07-4E08-A32D-10ED02FE5C52}" type="presParOf" srcId="{E6608DA3-BB3F-426E-9655-A0B088AB0CD7}" destId="{E8765DF8-DFB8-4A33-AF62-8569A2827B5D}" srcOrd="2" destOrd="0" presId="urn:microsoft.com/office/officeart/2009/3/layout/HorizontalOrganizationChart"/>
    <dgm:cxn modelId="{E61371DE-28F6-4BE5-8AFF-8C7CF090A0CD}" type="presParOf" srcId="{D38B3FDC-9CA5-4886-A45F-7A6E2F4DBE03}" destId="{1679104F-1A26-4774-9A3C-6239A6C532C8}" srcOrd="2" destOrd="0" presId="urn:microsoft.com/office/officeart/2009/3/layout/HorizontalOrganizationChart"/>
    <dgm:cxn modelId="{D113B713-9FA1-4D85-9BF3-0D1C7C696A62}" type="presParOf" srcId="{D38B3FDC-9CA5-4886-A45F-7A6E2F4DBE03}" destId="{D2EDA742-25E7-4488-834A-1E8980440247}" srcOrd="3" destOrd="0" presId="urn:microsoft.com/office/officeart/2009/3/layout/HorizontalOrganizationChart"/>
    <dgm:cxn modelId="{1820ECCB-DC90-4C0E-8695-841BE3771830}" type="presParOf" srcId="{D2EDA742-25E7-4488-834A-1E8980440247}" destId="{C8D6AD9D-7A79-401E-865F-CAB04ABB4889}" srcOrd="0" destOrd="0" presId="urn:microsoft.com/office/officeart/2009/3/layout/HorizontalOrganizationChart"/>
    <dgm:cxn modelId="{F85F6EAD-3292-4AEE-8B6B-F478BA9DD577}" type="presParOf" srcId="{C8D6AD9D-7A79-401E-865F-CAB04ABB4889}" destId="{B77273A7-CA45-4B53-89BA-E5E48B2AA818}" srcOrd="0" destOrd="0" presId="urn:microsoft.com/office/officeart/2009/3/layout/HorizontalOrganizationChart"/>
    <dgm:cxn modelId="{8E6AD84A-EFE2-446B-B6F3-FC9ED3AE374D}" type="presParOf" srcId="{C8D6AD9D-7A79-401E-865F-CAB04ABB4889}" destId="{23BEC719-C373-4211-8E8F-768E6CCB466D}" srcOrd="1" destOrd="0" presId="urn:microsoft.com/office/officeart/2009/3/layout/HorizontalOrganizationChart"/>
    <dgm:cxn modelId="{AEE20165-C288-421D-90AD-2199D725898B}" type="presParOf" srcId="{D2EDA742-25E7-4488-834A-1E8980440247}" destId="{BFC05F8D-BC1B-48F7-A2D6-7457C3422153}" srcOrd="1" destOrd="0" presId="urn:microsoft.com/office/officeart/2009/3/layout/HorizontalOrganizationChart"/>
    <dgm:cxn modelId="{CE771E35-D934-488C-B5B2-2435B8AB0301}" type="presParOf" srcId="{D2EDA742-25E7-4488-834A-1E8980440247}" destId="{DAD8C6B7-C0B5-45CA-A519-80534351A1DF}" srcOrd="2" destOrd="0" presId="urn:microsoft.com/office/officeart/2009/3/layout/HorizontalOrganizationChart"/>
    <dgm:cxn modelId="{5B4C73AB-67DC-4072-9232-D578928D26F9}" type="presParOf" srcId="{03412193-23FA-47E7-B717-49B2CAFE47E3}" destId="{403DFC19-6B04-4763-B05D-2F02B75CD170}" srcOrd="2" destOrd="0" presId="urn:microsoft.com/office/officeart/2009/3/layout/HorizontalOrganizationChart"/>
    <dgm:cxn modelId="{56900FEE-FE50-4380-8DC8-E4CEB9F2260B}" type="presParOf" srcId="{75105966-18A5-4A44-8B38-9D63BE35A1DA}" destId="{D590DF14-4555-4653-B2A5-EC57F25B4580}" srcOrd="2" destOrd="0" presId="urn:microsoft.com/office/officeart/2009/3/layout/HorizontalOrganizationChart"/>
    <dgm:cxn modelId="{97D82DEA-5A7D-4FC7-AA46-4D4A6C3A7D17}" type="presParOf" srcId="{75105966-18A5-4A44-8B38-9D63BE35A1DA}" destId="{261E42D6-081F-40D4-B26B-873838E847D1}" srcOrd="3" destOrd="0" presId="urn:microsoft.com/office/officeart/2009/3/layout/HorizontalOrganizationChart"/>
    <dgm:cxn modelId="{282F4136-8281-4348-8DF3-324A9206D45E}" type="presParOf" srcId="{261E42D6-081F-40D4-B26B-873838E847D1}" destId="{4A98F2B6-4559-4C2F-9984-52B131CC56B3}" srcOrd="0" destOrd="0" presId="urn:microsoft.com/office/officeart/2009/3/layout/HorizontalOrganizationChart"/>
    <dgm:cxn modelId="{A2ED2187-7677-45ED-94DD-9BF6D6FF453E}" type="presParOf" srcId="{4A98F2B6-4559-4C2F-9984-52B131CC56B3}" destId="{CA4DB0E3-AF48-47D0-81BE-EA86C1A8AE09}" srcOrd="0" destOrd="0" presId="urn:microsoft.com/office/officeart/2009/3/layout/HorizontalOrganizationChart"/>
    <dgm:cxn modelId="{96CF0910-EB69-40A0-960A-3872876339BA}" type="presParOf" srcId="{4A98F2B6-4559-4C2F-9984-52B131CC56B3}" destId="{474DFA6E-AA4B-4E48-A0DE-A456A231CBF4}" srcOrd="1" destOrd="0" presId="urn:microsoft.com/office/officeart/2009/3/layout/HorizontalOrganizationChart"/>
    <dgm:cxn modelId="{AB8D5347-295A-4422-8345-1A4745FB7993}" type="presParOf" srcId="{261E42D6-081F-40D4-B26B-873838E847D1}" destId="{63026ED3-9AA9-44D0-8358-9300247BEC76}" srcOrd="1" destOrd="0" presId="urn:microsoft.com/office/officeart/2009/3/layout/HorizontalOrganizationChart"/>
    <dgm:cxn modelId="{DBF23E29-4757-45CC-B9DD-0BC87520798C}" type="presParOf" srcId="{261E42D6-081F-40D4-B26B-873838E847D1}" destId="{5420307B-9593-4498-9E7E-DCC0DE7C0F94}" srcOrd="2" destOrd="0" presId="urn:microsoft.com/office/officeart/2009/3/layout/HorizontalOrganizationChart"/>
    <dgm:cxn modelId="{EBE5CA26-0D0A-4273-893E-273D66C9E7C7}" type="presParOf" srcId="{75105966-18A5-4A44-8B38-9D63BE35A1DA}" destId="{5FE86B7E-2210-4B31-94FC-022235CBEBAF}" srcOrd="4" destOrd="0" presId="urn:microsoft.com/office/officeart/2009/3/layout/HorizontalOrganizationChart"/>
    <dgm:cxn modelId="{05CAC320-56F9-4B76-AB92-65796E509E25}" type="presParOf" srcId="{75105966-18A5-4A44-8B38-9D63BE35A1DA}" destId="{EC5C2168-9FC2-4D9A-A2A7-702AB213FCA2}" srcOrd="5" destOrd="0" presId="urn:microsoft.com/office/officeart/2009/3/layout/HorizontalOrganizationChart"/>
    <dgm:cxn modelId="{BA086DD3-984A-41AD-B644-44A445E77A4F}" type="presParOf" srcId="{EC5C2168-9FC2-4D9A-A2A7-702AB213FCA2}" destId="{8A5DD1F6-57FB-4154-954D-FB09488D043F}" srcOrd="0" destOrd="0" presId="urn:microsoft.com/office/officeart/2009/3/layout/HorizontalOrganizationChart"/>
    <dgm:cxn modelId="{165FADCA-B757-4D1E-BFA4-AA91E31173A8}" type="presParOf" srcId="{8A5DD1F6-57FB-4154-954D-FB09488D043F}" destId="{E8AE2972-A4F0-4BF3-84FA-BE7FB6D8608C}" srcOrd="0" destOrd="0" presId="urn:microsoft.com/office/officeart/2009/3/layout/HorizontalOrganizationChart"/>
    <dgm:cxn modelId="{CA2B7635-8E37-46A0-9F9A-7D7F9988D55E}" type="presParOf" srcId="{8A5DD1F6-57FB-4154-954D-FB09488D043F}" destId="{3AEE0574-DF44-4CDD-8C86-1C8DD393BBDE}" srcOrd="1" destOrd="0" presId="urn:microsoft.com/office/officeart/2009/3/layout/HorizontalOrganizationChart"/>
    <dgm:cxn modelId="{FD20A7D5-2D3C-4AB9-8386-AF6F699209E3}" type="presParOf" srcId="{EC5C2168-9FC2-4D9A-A2A7-702AB213FCA2}" destId="{4AE1BF3C-27EC-4BA6-81BE-A971E2496437}" srcOrd="1" destOrd="0" presId="urn:microsoft.com/office/officeart/2009/3/layout/HorizontalOrganizationChart"/>
    <dgm:cxn modelId="{C4F5EC3F-EFBC-4FAF-9BF9-DD49C5D315E7}" type="presParOf" srcId="{EC5C2168-9FC2-4D9A-A2A7-702AB213FCA2}" destId="{E512CB78-EAF5-4C5C-995E-9B7B64D168A4}" srcOrd="2" destOrd="0" presId="urn:microsoft.com/office/officeart/2009/3/layout/HorizontalOrganizationChart"/>
    <dgm:cxn modelId="{4748A7ED-2381-4175-95F0-4519BB5A02D1}" type="presParOf" srcId="{C2A8DFB4-7A96-4C01-80B0-198E9A472CA8}" destId="{A4653B7A-0F4A-415D-ADAD-FD1096835B09}" srcOrd="2" destOrd="0" presId="urn:microsoft.com/office/officeart/2009/3/layout/HorizontalOrganizationChart"/>
    <dgm:cxn modelId="{C6F6FBC6-7F6F-42AD-9094-B1C6F3E8AD7D}" type="presParOf" srcId="{5BF44E3D-243A-4020-A201-0037E0B815B7}" destId="{FBF4DE84-CDE1-4559-B9C5-A7E0DB11BAEE}" srcOrd="2" destOrd="0" presId="urn:microsoft.com/office/officeart/2009/3/layout/HorizontalOrganizationChart"/>
    <dgm:cxn modelId="{4A0FFAC7-D277-4AC4-86B6-337EC54291EC}" type="presParOf" srcId="{5BF44E3D-243A-4020-A201-0037E0B815B7}" destId="{3DBA6DAC-3944-4BB6-AC75-D71B2107F2E7}" srcOrd="3" destOrd="0" presId="urn:microsoft.com/office/officeart/2009/3/layout/HorizontalOrganizationChart"/>
    <dgm:cxn modelId="{8B4BE655-8974-47DD-8BFF-A9702E844F6A}" type="presParOf" srcId="{3DBA6DAC-3944-4BB6-AC75-D71B2107F2E7}" destId="{3F96AE3A-654B-4652-9481-0D87599333E0}" srcOrd="0" destOrd="0" presId="urn:microsoft.com/office/officeart/2009/3/layout/HorizontalOrganizationChart"/>
    <dgm:cxn modelId="{8B33921B-ECB0-4228-85EC-B0D93E99D50E}" type="presParOf" srcId="{3F96AE3A-654B-4652-9481-0D87599333E0}" destId="{C53339F6-34CF-4143-9420-20B347D1402D}" srcOrd="0" destOrd="0" presId="urn:microsoft.com/office/officeart/2009/3/layout/HorizontalOrganizationChart"/>
    <dgm:cxn modelId="{BF290D5B-3F74-4554-B23D-3CEF03B0A106}" type="presParOf" srcId="{3F96AE3A-654B-4652-9481-0D87599333E0}" destId="{86DDC91E-5F32-49BC-ADA1-6C44229FD759}" srcOrd="1" destOrd="0" presId="urn:microsoft.com/office/officeart/2009/3/layout/HorizontalOrganizationChart"/>
    <dgm:cxn modelId="{4C8DAF3B-4EFC-4732-BE20-9CD833FF1BB8}" type="presParOf" srcId="{3DBA6DAC-3944-4BB6-AC75-D71B2107F2E7}" destId="{3A1DA897-5B77-4A8B-92C7-CFB9299350D3}" srcOrd="1" destOrd="0" presId="urn:microsoft.com/office/officeart/2009/3/layout/HorizontalOrganizationChart"/>
    <dgm:cxn modelId="{D6238A69-4BC6-4CE8-A923-168B7F4A7060}" type="presParOf" srcId="{3A1DA897-5B77-4A8B-92C7-CFB9299350D3}" destId="{FFA0E9B9-D6DD-4B25-98BE-3A33D3B48ADC}" srcOrd="0" destOrd="0" presId="urn:microsoft.com/office/officeart/2009/3/layout/HorizontalOrganizationChart"/>
    <dgm:cxn modelId="{09FBEE99-F142-4BFF-B57A-941EF70B1025}" type="presParOf" srcId="{3A1DA897-5B77-4A8B-92C7-CFB9299350D3}" destId="{4A024ADF-6F30-4CF7-8FC4-6784D8455D77}" srcOrd="1" destOrd="0" presId="urn:microsoft.com/office/officeart/2009/3/layout/HorizontalOrganizationChart"/>
    <dgm:cxn modelId="{14C80673-60E0-4F9A-91B7-42710F31FC78}" type="presParOf" srcId="{4A024ADF-6F30-4CF7-8FC4-6784D8455D77}" destId="{69D7BF58-C63C-4DF9-A1F2-BA510BD1601B}" srcOrd="0" destOrd="0" presId="urn:microsoft.com/office/officeart/2009/3/layout/HorizontalOrganizationChart"/>
    <dgm:cxn modelId="{F8E0B820-4E27-43C6-BE16-E8B1E97FB0AE}" type="presParOf" srcId="{69D7BF58-C63C-4DF9-A1F2-BA510BD1601B}" destId="{E98524A6-E30C-429E-BB49-2951905627FB}" srcOrd="0" destOrd="0" presId="urn:microsoft.com/office/officeart/2009/3/layout/HorizontalOrganizationChart"/>
    <dgm:cxn modelId="{B1CACB03-DC48-444B-BD55-D8EBB1D614D0}" type="presParOf" srcId="{69D7BF58-C63C-4DF9-A1F2-BA510BD1601B}" destId="{313BA963-BF97-47F7-9B3E-92269D2B4A49}" srcOrd="1" destOrd="0" presId="urn:microsoft.com/office/officeart/2009/3/layout/HorizontalOrganizationChart"/>
    <dgm:cxn modelId="{7D5970F2-902D-49CF-BBBF-F96626259E1B}" type="presParOf" srcId="{4A024ADF-6F30-4CF7-8FC4-6784D8455D77}" destId="{684267C3-44FE-4827-A0FC-D25CA7B3EB66}" srcOrd="1" destOrd="0" presId="urn:microsoft.com/office/officeart/2009/3/layout/HorizontalOrganizationChart"/>
    <dgm:cxn modelId="{B08F1E85-3BB7-4C0A-893C-1D07BC02F3B6}" type="presParOf" srcId="{4A024ADF-6F30-4CF7-8FC4-6784D8455D77}" destId="{27830B76-F625-458A-B5A9-91813783F81A}" srcOrd="2" destOrd="0" presId="urn:microsoft.com/office/officeart/2009/3/layout/HorizontalOrganizationChart"/>
    <dgm:cxn modelId="{C730D923-BB81-4BA7-B116-3A236EB8C89A}" type="presParOf" srcId="{3A1DA897-5B77-4A8B-92C7-CFB9299350D3}" destId="{4528BD30-3E14-484B-81DD-661B608069B0}" srcOrd="2" destOrd="0" presId="urn:microsoft.com/office/officeart/2009/3/layout/HorizontalOrganizationChart"/>
    <dgm:cxn modelId="{9E09DED8-8D4C-45F4-A281-17790570E1ED}" type="presParOf" srcId="{3A1DA897-5B77-4A8B-92C7-CFB9299350D3}" destId="{C207AC9B-07C6-4A2F-A100-BD00B4655D2D}" srcOrd="3" destOrd="0" presId="urn:microsoft.com/office/officeart/2009/3/layout/HorizontalOrganizationChart"/>
    <dgm:cxn modelId="{F06F6FB6-E85F-4658-81A5-6C00A231BBA8}" type="presParOf" srcId="{C207AC9B-07C6-4A2F-A100-BD00B4655D2D}" destId="{3621922C-7706-4FDE-8F37-F5A8E2B4B88B}" srcOrd="0" destOrd="0" presId="urn:microsoft.com/office/officeart/2009/3/layout/HorizontalOrganizationChart"/>
    <dgm:cxn modelId="{D13C35C1-5622-4728-8086-69F0412B0270}" type="presParOf" srcId="{3621922C-7706-4FDE-8F37-F5A8E2B4B88B}" destId="{FDAEFF29-6A7F-4B14-8172-865BFFC16BE3}" srcOrd="0" destOrd="0" presId="urn:microsoft.com/office/officeart/2009/3/layout/HorizontalOrganizationChart"/>
    <dgm:cxn modelId="{674FA2A1-3657-4A75-A5EE-9AD4E83D8406}" type="presParOf" srcId="{3621922C-7706-4FDE-8F37-F5A8E2B4B88B}" destId="{50298AE8-184B-4D88-95D5-84FDC4557ADC}" srcOrd="1" destOrd="0" presId="urn:microsoft.com/office/officeart/2009/3/layout/HorizontalOrganizationChart"/>
    <dgm:cxn modelId="{1F3EDDB1-983D-40AF-953A-F01C1E95ECAE}" type="presParOf" srcId="{C207AC9B-07C6-4A2F-A100-BD00B4655D2D}" destId="{BA6C0390-9C65-42EA-AE49-29545FE25B5E}" srcOrd="1" destOrd="0" presId="urn:microsoft.com/office/officeart/2009/3/layout/HorizontalOrganizationChart"/>
    <dgm:cxn modelId="{E9502501-5B45-4D64-A640-FB5DBD64F242}" type="presParOf" srcId="{BA6C0390-9C65-42EA-AE49-29545FE25B5E}" destId="{46A81296-56FD-47B7-B3D9-9CE5D47FC1CE}" srcOrd="0" destOrd="0" presId="urn:microsoft.com/office/officeart/2009/3/layout/HorizontalOrganizationChart"/>
    <dgm:cxn modelId="{135EC76D-E341-43DE-A565-30C92572EB09}" type="presParOf" srcId="{BA6C0390-9C65-42EA-AE49-29545FE25B5E}" destId="{679AE4A7-0356-4780-864D-316B2CB09638}" srcOrd="1" destOrd="0" presId="urn:microsoft.com/office/officeart/2009/3/layout/HorizontalOrganizationChart"/>
    <dgm:cxn modelId="{0E82DE7E-0D0D-4AA4-BEF7-0037D5707B00}" type="presParOf" srcId="{679AE4A7-0356-4780-864D-316B2CB09638}" destId="{B7275CAF-4DCA-46AA-A775-D20F43A00FD2}" srcOrd="0" destOrd="0" presId="urn:microsoft.com/office/officeart/2009/3/layout/HorizontalOrganizationChart"/>
    <dgm:cxn modelId="{3F4C5254-DF49-452C-A0C5-4BAD0BA4DCFA}" type="presParOf" srcId="{B7275CAF-4DCA-46AA-A775-D20F43A00FD2}" destId="{A84E6B68-569E-4654-A0D7-2C3E0526497E}" srcOrd="0" destOrd="0" presId="urn:microsoft.com/office/officeart/2009/3/layout/HorizontalOrganizationChart"/>
    <dgm:cxn modelId="{443B2602-476C-4ACC-B259-7C4C5E386369}" type="presParOf" srcId="{B7275CAF-4DCA-46AA-A775-D20F43A00FD2}" destId="{CBD99398-6D7B-483C-AE7B-F39A6AE33802}" srcOrd="1" destOrd="0" presId="urn:microsoft.com/office/officeart/2009/3/layout/HorizontalOrganizationChart"/>
    <dgm:cxn modelId="{9752BE9D-EE0F-446B-B8EE-C072244ABEEC}" type="presParOf" srcId="{679AE4A7-0356-4780-864D-316B2CB09638}" destId="{F123952B-0B2D-4E9D-B7EF-101DC738789C}" srcOrd="1" destOrd="0" presId="urn:microsoft.com/office/officeart/2009/3/layout/HorizontalOrganizationChart"/>
    <dgm:cxn modelId="{3BBB195A-3292-4379-A9F3-87EEED61D6BD}" type="presParOf" srcId="{F123952B-0B2D-4E9D-B7EF-101DC738789C}" destId="{CA223E9C-FBE6-4338-A105-A106869441DC}" srcOrd="0" destOrd="0" presId="urn:microsoft.com/office/officeart/2009/3/layout/HorizontalOrganizationChart"/>
    <dgm:cxn modelId="{C582999F-7077-48CF-8F2F-2EA891DFA96B}" type="presParOf" srcId="{F123952B-0B2D-4E9D-B7EF-101DC738789C}" destId="{AA9A4F45-5F1E-4FA9-BB7E-4416F82EE6B6}" srcOrd="1" destOrd="0" presId="urn:microsoft.com/office/officeart/2009/3/layout/HorizontalOrganizationChart"/>
    <dgm:cxn modelId="{BDC4C51E-0D47-47AF-BAC5-F05C9E7CE632}" type="presParOf" srcId="{AA9A4F45-5F1E-4FA9-BB7E-4416F82EE6B6}" destId="{DDDE7B49-3C8D-43D2-B89B-113ADE3062B6}" srcOrd="0" destOrd="0" presId="urn:microsoft.com/office/officeart/2009/3/layout/HorizontalOrganizationChart"/>
    <dgm:cxn modelId="{0D159904-982E-4D5E-AE73-F475FE6726A8}" type="presParOf" srcId="{DDDE7B49-3C8D-43D2-B89B-113ADE3062B6}" destId="{1A98B21A-74AF-44C4-BCE8-EA4AE4819FA0}" srcOrd="0" destOrd="0" presId="urn:microsoft.com/office/officeart/2009/3/layout/HorizontalOrganizationChart"/>
    <dgm:cxn modelId="{1ED7F469-C8AC-465A-B3B0-20BA5634FBAD}" type="presParOf" srcId="{DDDE7B49-3C8D-43D2-B89B-113ADE3062B6}" destId="{2B3BD7B8-1ECC-4D83-9A1F-BEA55644AAA5}" srcOrd="1" destOrd="0" presId="urn:microsoft.com/office/officeart/2009/3/layout/HorizontalOrganizationChart"/>
    <dgm:cxn modelId="{3B86BF1F-B707-4A18-9C2B-C36F7F895653}" type="presParOf" srcId="{AA9A4F45-5F1E-4FA9-BB7E-4416F82EE6B6}" destId="{E4638B37-3484-4EEE-AAFD-E924679E7F2F}" srcOrd="1" destOrd="0" presId="urn:microsoft.com/office/officeart/2009/3/layout/HorizontalOrganizationChart"/>
    <dgm:cxn modelId="{B1B1E8F4-0663-4E91-84EA-FBCAB032EFDC}" type="presParOf" srcId="{AA9A4F45-5F1E-4FA9-BB7E-4416F82EE6B6}" destId="{284129F9-EEA7-474E-AB52-14AEE957FE63}" srcOrd="2" destOrd="0" presId="urn:microsoft.com/office/officeart/2009/3/layout/HorizontalOrganizationChart"/>
    <dgm:cxn modelId="{ADA23BCD-ECD8-4A05-9689-E1ED2B79E759}" type="presParOf" srcId="{F123952B-0B2D-4E9D-B7EF-101DC738789C}" destId="{ED70C387-B693-436A-B055-E34D5BD2CA6F}" srcOrd="2" destOrd="0" presId="urn:microsoft.com/office/officeart/2009/3/layout/HorizontalOrganizationChart"/>
    <dgm:cxn modelId="{B0FE54C3-5082-4469-80FD-864D0978B48C}" type="presParOf" srcId="{F123952B-0B2D-4E9D-B7EF-101DC738789C}" destId="{A277577E-57C3-4EA6-A884-39707506E0FB}" srcOrd="3" destOrd="0" presId="urn:microsoft.com/office/officeart/2009/3/layout/HorizontalOrganizationChart"/>
    <dgm:cxn modelId="{9AE1D34B-9D0D-466A-902E-B1AA647BCD53}" type="presParOf" srcId="{A277577E-57C3-4EA6-A884-39707506E0FB}" destId="{11454442-8852-4321-AB47-EC9FE72EA95F}" srcOrd="0" destOrd="0" presId="urn:microsoft.com/office/officeart/2009/3/layout/HorizontalOrganizationChart"/>
    <dgm:cxn modelId="{4F333EF3-2EB8-48F3-B11C-8746B36CC2E8}" type="presParOf" srcId="{11454442-8852-4321-AB47-EC9FE72EA95F}" destId="{D62CFA3B-B1E1-4F9D-B056-7DC377E1228E}" srcOrd="0" destOrd="0" presId="urn:microsoft.com/office/officeart/2009/3/layout/HorizontalOrganizationChart"/>
    <dgm:cxn modelId="{9E52C420-E3E5-4302-B258-C6834EE9EA44}" type="presParOf" srcId="{11454442-8852-4321-AB47-EC9FE72EA95F}" destId="{96F0B95A-CA6F-44AD-A250-310351D30DFB}" srcOrd="1" destOrd="0" presId="urn:microsoft.com/office/officeart/2009/3/layout/HorizontalOrganizationChart"/>
    <dgm:cxn modelId="{E45BB0CF-5824-4A86-9343-1AA0460F5288}" type="presParOf" srcId="{A277577E-57C3-4EA6-A884-39707506E0FB}" destId="{BE79AE2C-C20F-49A7-9252-2A577CE492CF}" srcOrd="1" destOrd="0" presId="urn:microsoft.com/office/officeart/2009/3/layout/HorizontalOrganizationChart"/>
    <dgm:cxn modelId="{1F880674-7D24-4E54-B8A4-93BDDBCAABE4}" type="presParOf" srcId="{A277577E-57C3-4EA6-A884-39707506E0FB}" destId="{3E544FAF-800C-4023-B5E3-E360E68F97AC}" srcOrd="2" destOrd="0" presId="urn:microsoft.com/office/officeart/2009/3/layout/HorizontalOrganizationChart"/>
    <dgm:cxn modelId="{AEBAEDF7-D0D6-46C1-8EC3-73EB21CA8E25}" type="presParOf" srcId="{679AE4A7-0356-4780-864D-316B2CB09638}" destId="{1BADEB0C-E429-42AA-B3A6-067061334BF6}" srcOrd="2" destOrd="0" presId="urn:microsoft.com/office/officeart/2009/3/layout/HorizontalOrganizationChart"/>
    <dgm:cxn modelId="{37E98519-71A8-4807-ADC8-7FD71A6165E4}" type="presParOf" srcId="{BA6C0390-9C65-42EA-AE49-29545FE25B5E}" destId="{2E1E5B69-FF44-4818-B3B3-4F6D292A0BC5}" srcOrd="2" destOrd="0" presId="urn:microsoft.com/office/officeart/2009/3/layout/HorizontalOrganizationChart"/>
    <dgm:cxn modelId="{F48D9718-1B77-4B74-B609-75EC0492B1F5}" type="presParOf" srcId="{BA6C0390-9C65-42EA-AE49-29545FE25B5E}" destId="{EA057FF7-B65D-40F2-B953-16ACD7F51829}" srcOrd="3" destOrd="0" presId="urn:microsoft.com/office/officeart/2009/3/layout/HorizontalOrganizationChart"/>
    <dgm:cxn modelId="{53FA6A7C-57A2-47E9-836B-AD7656F8CF33}" type="presParOf" srcId="{EA057FF7-B65D-40F2-B953-16ACD7F51829}" destId="{C1CE07B2-7080-41CE-90CB-2B39592561C2}" srcOrd="0" destOrd="0" presId="urn:microsoft.com/office/officeart/2009/3/layout/HorizontalOrganizationChart"/>
    <dgm:cxn modelId="{58009D11-23EA-4D60-B43C-7EDAE193AFD9}" type="presParOf" srcId="{C1CE07B2-7080-41CE-90CB-2B39592561C2}" destId="{F251FBAD-BE3B-4FBF-A3ED-B1A75F3E8976}" srcOrd="0" destOrd="0" presId="urn:microsoft.com/office/officeart/2009/3/layout/HorizontalOrganizationChart"/>
    <dgm:cxn modelId="{F925339F-ED64-48DF-8641-FBFBA1316164}" type="presParOf" srcId="{C1CE07B2-7080-41CE-90CB-2B39592561C2}" destId="{6271783C-BF93-4BF1-B9A3-CF1B8ACFD0D1}" srcOrd="1" destOrd="0" presId="urn:microsoft.com/office/officeart/2009/3/layout/HorizontalOrganizationChart"/>
    <dgm:cxn modelId="{AF690AD6-D0E8-47D5-82A0-4312E998855A}" type="presParOf" srcId="{EA057FF7-B65D-40F2-B953-16ACD7F51829}" destId="{82BDD2DF-6103-4963-A321-0AECCA46D929}" srcOrd="1" destOrd="0" presId="urn:microsoft.com/office/officeart/2009/3/layout/HorizontalOrganizationChart"/>
    <dgm:cxn modelId="{DCC87405-5A3F-450D-B716-281F438C7012}" type="presParOf" srcId="{EA057FF7-B65D-40F2-B953-16ACD7F51829}" destId="{688C65C0-F6DC-4230-BF92-7794F61B1303}" srcOrd="2" destOrd="0" presId="urn:microsoft.com/office/officeart/2009/3/layout/HorizontalOrganizationChart"/>
    <dgm:cxn modelId="{5F1A67CF-574E-497D-8996-DEB855118B30}" type="presParOf" srcId="{C207AC9B-07C6-4A2F-A100-BD00B4655D2D}" destId="{BD15454D-D3CC-469E-9318-341AECCA38BF}" srcOrd="2" destOrd="0" presId="urn:microsoft.com/office/officeart/2009/3/layout/HorizontalOrganizationChart"/>
    <dgm:cxn modelId="{0BA422AD-43B2-4D9F-B111-41B313F65638}" type="presParOf" srcId="{3DBA6DAC-3944-4BB6-AC75-D71B2107F2E7}" destId="{97813B70-D50A-4AA1-B870-9800B9333613}" srcOrd="2" destOrd="0" presId="urn:microsoft.com/office/officeart/2009/3/layout/HorizontalOrganizationChart"/>
    <dgm:cxn modelId="{E66AA387-B885-4CD1-9D89-EA7CF3A044FB}" type="presParOf" srcId="{D076E14A-C3DE-4E5E-BF66-C5B201F2EE79}" destId="{41B9C6D2-BA0F-4645-8100-DC04F06149ED}" srcOrd="2" destOrd="0" presId="urn:microsoft.com/office/officeart/2009/3/layout/HorizontalOrganizationChart"/>
  </dgm:cxnLst>
  <dgm:bg/>
  <dgm:whole>
    <a:ln w="9525" cap="flat" cmpd="sng" algn="ctr">
      <a:noFill/>
      <a:prstDash val="solid"/>
      <a:round/>
      <a:headEnd type="none" w="med" len="med"/>
      <a:tailEnd type="none" w="med" len="med"/>
      <a:extLst>
        <a:ext uri="{C807C97D-BFC1-408E-A445-0C87EB9F89A2}">
          <ask:lineSketchStyleProps xmlns:ask="http://schemas.microsoft.com/office/drawing/2018/sketchyshapes">
            <ask:type>
              <ask:lineSketchCurved/>
            </ask:type>
          </ask:lineSketchStyleProps>
        </a:ext>
      </a:extLst>
    </a:ln>
  </dgm:whole>
  <dgm:extLst>
    <a:ext uri="http://schemas.microsoft.com/office/drawing/2008/diagram">
      <dsp:dataModelExt xmlns:dsp="http://schemas.microsoft.com/office/drawing/2008/diagram" relId="rId18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36DD45-7613-4E03-AAB1-37C5240C8000}">
      <dsp:nvSpPr>
        <dsp:cNvPr id="0" name=""/>
        <dsp:cNvSpPr/>
      </dsp:nvSpPr>
      <dsp:spPr>
        <a:xfrm rot="5400000">
          <a:off x="494611" y="815643"/>
          <a:ext cx="360640" cy="368295"/>
        </a:xfrm>
        <a:prstGeom prst="bentUpArrow">
          <a:avLst>
            <a:gd name="adj1" fmla="val 32840"/>
            <a:gd name="adj2" fmla="val 25000"/>
            <a:gd name="adj3" fmla="val 35780"/>
          </a:avLst>
        </a:prstGeom>
        <a:solidFill>
          <a:schemeClr val="accent2">
            <a:tint val="50000"/>
            <a:hueOff val="0"/>
            <a:satOff val="0"/>
            <a:lumOff val="0"/>
            <a:alphaOff val="0"/>
          </a:schemeClr>
        </a:solidFill>
        <a:ln w="3175"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sp>
    <dsp:sp modelId="{1873106A-FF11-45EB-AADC-BC884EBB79D6}">
      <dsp:nvSpPr>
        <dsp:cNvPr id="0" name=""/>
        <dsp:cNvSpPr/>
      </dsp:nvSpPr>
      <dsp:spPr>
        <a:xfrm>
          <a:off x="0" y="250260"/>
          <a:ext cx="1250635" cy="548380"/>
        </a:xfrm>
        <a:prstGeom prst="roundRect">
          <a:avLst>
            <a:gd name="adj" fmla="val 16670"/>
          </a:avLst>
        </a:prstGeom>
        <a:solidFill>
          <a:schemeClr val="accent2">
            <a:hueOff val="0"/>
            <a:satOff val="0"/>
            <a:lumOff val="0"/>
            <a:alphaOff val="0"/>
          </a:schemeClr>
        </a:solidFill>
        <a:ln w="317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GT" sz="700" b="1" kern="1200">
              <a:latin typeface="Times New Roman" panose="02020603050405020304" pitchFamily="18" charset="0"/>
              <a:cs typeface="Times New Roman" panose="02020603050405020304" pitchFamily="18" charset="0"/>
            </a:rPr>
            <a:t>Ampliacion en el Ministerio de Agricultura, Ganadería y Alimentacion por Q78.7 millones</a:t>
          </a:r>
        </a:p>
      </dsp:txBody>
      <dsp:txXfrm>
        <a:off x="26775" y="277035"/>
        <a:ext cx="1197085" cy="494830"/>
      </dsp:txXfrm>
    </dsp:sp>
    <dsp:sp modelId="{59364924-D17A-47C4-83CC-8965040456B2}">
      <dsp:nvSpPr>
        <dsp:cNvPr id="0" name=""/>
        <dsp:cNvSpPr/>
      </dsp:nvSpPr>
      <dsp:spPr>
        <a:xfrm>
          <a:off x="0" y="2831668"/>
          <a:ext cx="1052063" cy="818362"/>
        </a:xfrm>
        <a:prstGeom prst="rect">
          <a:avLst/>
        </a:prstGeom>
        <a:noFill/>
        <a:ln>
          <a:noFill/>
        </a:ln>
        <a:effectLst/>
      </dsp:spPr>
      <dsp:style>
        <a:lnRef idx="0">
          <a:scrgbClr r="0" g="0" b="0"/>
        </a:lnRef>
        <a:fillRef idx="0">
          <a:scrgbClr r="0" g="0" b="0"/>
        </a:fillRef>
        <a:effectRef idx="0">
          <a:scrgbClr r="0" g="0" b="0"/>
        </a:effectRef>
        <a:fontRef idx="minor"/>
      </dsp:style>
    </dsp:sp>
    <dsp:sp modelId="{8C752374-D818-4318-A0DD-8B8891C8100E}">
      <dsp:nvSpPr>
        <dsp:cNvPr id="0" name=""/>
        <dsp:cNvSpPr/>
      </dsp:nvSpPr>
      <dsp:spPr>
        <a:xfrm rot="5400000">
          <a:off x="1350872" y="1581907"/>
          <a:ext cx="367703" cy="393896"/>
        </a:xfrm>
        <a:prstGeom prst="bentUpArrow">
          <a:avLst>
            <a:gd name="adj1" fmla="val 32840"/>
            <a:gd name="adj2" fmla="val 25000"/>
            <a:gd name="adj3" fmla="val 35780"/>
          </a:avLst>
        </a:prstGeom>
        <a:solidFill>
          <a:schemeClr val="accent2">
            <a:tint val="50000"/>
            <a:hueOff val="-293554"/>
            <a:satOff val="-25390"/>
            <a:lumOff val="2918"/>
            <a:alphaOff val="0"/>
          </a:schemeClr>
        </a:solidFill>
        <a:ln w="3175"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sp>
    <dsp:sp modelId="{27528871-5693-4E24-B05F-185EA8450425}">
      <dsp:nvSpPr>
        <dsp:cNvPr id="0" name=""/>
        <dsp:cNvSpPr/>
      </dsp:nvSpPr>
      <dsp:spPr>
        <a:xfrm>
          <a:off x="848321" y="813919"/>
          <a:ext cx="1230803" cy="767287"/>
        </a:xfrm>
        <a:prstGeom prst="roundRect">
          <a:avLst>
            <a:gd name="adj" fmla="val 16670"/>
          </a:avLst>
        </a:prstGeom>
        <a:solidFill>
          <a:schemeClr val="accent2">
            <a:hueOff val="-363841"/>
            <a:satOff val="-20982"/>
            <a:lumOff val="2157"/>
            <a:alphaOff val="0"/>
          </a:schemeClr>
        </a:solidFill>
        <a:ln w="317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GT" sz="800" b="1" kern="1200">
              <a:solidFill>
                <a:schemeClr val="bg1"/>
              </a:solidFill>
              <a:latin typeface="Times New Roman" panose="02020603050405020304" pitchFamily="18" charset="0"/>
              <a:cs typeface="Times New Roman" panose="02020603050405020304" pitchFamily="18" charset="0"/>
            </a:rPr>
            <a:t>Ampliación en el Ministerio de Comunicaciones, Infraestructura y Vivienda por Q3,203.6 millones</a:t>
          </a:r>
        </a:p>
      </dsp:txBody>
      <dsp:txXfrm>
        <a:off x="885784" y="851382"/>
        <a:ext cx="1155877" cy="692361"/>
      </dsp:txXfrm>
    </dsp:sp>
    <dsp:sp modelId="{F5FEE04F-CF51-451A-B7FD-91B4B83F7ADE}">
      <dsp:nvSpPr>
        <dsp:cNvPr id="0" name=""/>
        <dsp:cNvSpPr/>
      </dsp:nvSpPr>
      <dsp:spPr>
        <a:xfrm>
          <a:off x="2491565" y="1325154"/>
          <a:ext cx="1052063" cy="818362"/>
        </a:xfrm>
        <a:prstGeom prst="rect">
          <a:avLst/>
        </a:prstGeom>
        <a:noFill/>
        <a:ln>
          <a:noFill/>
        </a:ln>
        <a:effectLst/>
      </dsp:spPr>
      <dsp:style>
        <a:lnRef idx="0">
          <a:scrgbClr r="0" g="0" b="0"/>
        </a:lnRef>
        <a:fillRef idx="0">
          <a:scrgbClr r="0" g="0" b="0"/>
        </a:fillRef>
        <a:effectRef idx="0">
          <a:scrgbClr r="0" g="0" b="0"/>
        </a:effectRef>
        <a:fontRef idx="minor"/>
      </dsp:style>
    </dsp:sp>
    <dsp:sp modelId="{3831DAA5-9738-4080-A111-44533551CF1C}">
      <dsp:nvSpPr>
        <dsp:cNvPr id="0" name=""/>
        <dsp:cNvSpPr/>
      </dsp:nvSpPr>
      <dsp:spPr>
        <a:xfrm rot="5400000">
          <a:off x="2302263" y="2168352"/>
          <a:ext cx="304752" cy="437879"/>
        </a:xfrm>
        <a:prstGeom prst="bentUpArrow">
          <a:avLst>
            <a:gd name="adj1" fmla="val 32840"/>
            <a:gd name="adj2" fmla="val 25000"/>
            <a:gd name="adj3" fmla="val 35780"/>
          </a:avLst>
        </a:prstGeom>
        <a:solidFill>
          <a:schemeClr val="accent2">
            <a:tint val="50000"/>
            <a:hueOff val="-587108"/>
            <a:satOff val="-50780"/>
            <a:lumOff val="5837"/>
            <a:alphaOff val="0"/>
          </a:schemeClr>
        </a:solidFill>
        <a:ln w="3175"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sp>
    <dsp:sp modelId="{314EA230-488B-4D0E-8908-0D31675D24FF}">
      <dsp:nvSpPr>
        <dsp:cNvPr id="0" name=""/>
        <dsp:cNvSpPr/>
      </dsp:nvSpPr>
      <dsp:spPr>
        <a:xfrm>
          <a:off x="1758236" y="1605191"/>
          <a:ext cx="1129402" cy="626142"/>
        </a:xfrm>
        <a:prstGeom prst="roundRect">
          <a:avLst>
            <a:gd name="adj" fmla="val 16670"/>
          </a:avLst>
        </a:prstGeom>
        <a:solidFill>
          <a:schemeClr val="accent2">
            <a:hueOff val="-727682"/>
            <a:satOff val="-41964"/>
            <a:lumOff val="4314"/>
            <a:alphaOff val="0"/>
          </a:schemeClr>
        </a:solidFill>
        <a:ln w="317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GT" sz="800" b="1" kern="1200">
              <a:solidFill>
                <a:sysClr val="windowText" lastClr="000000"/>
              </a:solidFill>
              <a:latin typeface="Times New Roman" panose="02020603050405020304" pitchFamily="18" charset="0"/>
              <a:cs typeface="Times New Roman" panose="02020603050405020304" pitchFamily="18" charset="0"/>
            </a:rPr>
            <a:t>Ampliacion en el Ministerio de Energía y Minas por Q2,805 millones</a:t>
          </a:r>
        </a:p>
      </dsp:txBody>
      <dsp:txXfrm>
        <a:off x="1788807" y="1635762"/>
        <a:ext cx="1068260" cy="565000"/>
      </dsp:txXfrm>
    </dsp:sp>
    <dsp:sp modelId="{CAFD344C-CEB8-40B7-AE16-B90BEBC04FEB}">
      <dsp:nvSpPr>
        <dsp:cNvPr id="0" name=""/>
        <dsp:cNvSpPr/>
      </dsp:nvSpPr>
      <dsp:spPr>
        <a:xfrm>
          <a:off x="2757408" y="2042660"/>
          <a:ext cx="2641173" cy="818362"/>
        </a:xfrm>
        <a:prstGeom prst="rect">
          <a:avLst/>
        </a:prstGeom>
        <a:noFill/>
        <a:ln>
          <a:noFill/>
        </a:ln>
        <a:effectLst/>
      </dsp:spPr>
      <dsp:style>
        <a:lnRef idx="0">
          <a:scrgbClr r="0" g="0" b="0"/>
        </a:lnRef>
        <a:fillRef idx="0">
          <a:scrgbClr r="0" g="0" b="0"/>
        </a:fillRef>
        <a:effectRef idx="0">
          <a:scrgbClr r="0" g="0" b="0"/>
        </a:effectRef>
        <a:fontRef idx="minor"/>
      </dsp:style>
    </dsp:sp>
    <dsp:sp modelId="{E42AD823-B154-4F0F-BC0E-119D2815D7E5}">
      <dsp:nvSpPr>
        <dsp:cNvPr id="0" name=""/>
        <dsp:cNvSpPr/>
      </dsp:nvSpPr>
      <dsp:spPr>
        <a:xfrm rot="5400000">
          <a:off x="3065150" y="2689800"/>
          <a:ext cx="300997" cy="360362"/>
        </a:xfrm>
        <a:prstGeom prst="bentUpArrow">
          <a:avLst>
            <a:gd name="adj1" fmla="val 32840"/>
            <a:gd name="adj2" fmla="val 25000"/>
            <a:gd name="adj3" fmla="val 35780"/>
          </a:avLst>
        </a:prstGeom>
        <a:solidFill>
          <a:schemeClr val="accent2">
            <a:tint val="50000"/>
            <a:hueOff val="-880662"/>
            <a:satOff val="-76170"/>
            <a:lumOff val="8755"/>
            <a:alphaOff val="0"/>
          </a:schemeClr>
        </a:solidFill>
        <a:ln w="3175"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sp>
    <dsp:sp modelId="{1AAB5B56-86A2-4453-B9C1-60445F702A68}">
      <dsp:nvSpPr>
        <dsp:cNvPr id="0" name=""/>
        <dsp:cNvSpPr/>
      </dsp:nvSpPr>
      <dsp:spPr>
        <a:xfrm>
          <a:off x="2671883" y="2207297"/>
          <a:ext cx="950351" cy="483984"/>
        </a:xfrm>
        <a:prstGeom prst="roundRect">
          <a:avLst>
            <a:gd name="adj" fmla="val 16670"/>
          </a:avLst>
        </a:prstGeom>
        <a:solidFill>
          <a:schemeClr val="accent2">
            <a:hueOff val="-1091522"/>
            <a:satOff val="-62946"/>
            <a:lumOff val="6471"/>
            <a:alphaOff val="0"/>
          </a:schemeClr>
        </a:solidFill>
        <a:ln w="317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GT" sz="800" b="1" kern="1200">
              <a:solidFill>
                <a:sysClr val="windowText" lastClr="000000"/>
              </a:solidFill>
              <a:latin typeface="Times New Roman" panose="02020603050405020304" pitchFamily="18" charset="0"/>
              <a:cs typeface="Times New Roman" panose="02020603050405020304" pitchFamily="18" charset="0"/>
            </a:rPr>
            <a:t>Ampliaciones en las Obligaciones por Q570 millones</a:t>
          </a:r>
        </a:p>
      </dsp:txBody>
      <dsp:txXfrm>
        <a:off x="2695513" y="2230927"/>
        <a:ext cx="903091" cy="436724"/>
      </dsp:txXfrm>
    </dsp:sp>
    <dsp:sp modelId="{5A6ECE4B-54A3-4F0F-B1AE-55F959F67475}">
      <dsp:nvSpPr>
        <dsp:cNvPr id="0" name=""/>
        <dsp:cNvSpPr/>
      </dsp:nvSpPr>
      <dsp:spPr>
        <a:xfrm>
          <a:off x="4655956" y="2883754"/>
          <a:ext cx="1052063" cy="818362"/>
        </a:xfrm>
        <a:prstGeom prst="rect">
          <a:avLst/>
        </a:prstGeom>
        <a:noFill/>
        <a:ln>
          <a:noFill/>
        </a:ln>
        <a:effectLst/>
      </dsp:spPr>
      <dsp:style>
        <a:lnRef idx="0">
          <a:scrgbClr r="0" g="0" b="0"/>
        </a:lnRef>
        <a:fillRef idx="0">
          <a:scrgbClr r="0" g="0" b="0"/>
        </a:fillRef>
        <a:effectRef idx="0">
          <a:scrgbClr r="0" g="0" b="0"/>
        </a:effectRef>
        <a:fontRef idx="minor"/>
      </dsp:style>
    </dsp:sp>
    <dsp:sp modelId="{5AAF193D-B1A7-4079-87D1-FEF028422F28}">
      <dsp:nvSpPr>
        <dsp:cNvPr id="0" name=""/>
        <dsp:cNvSpPr/>
      </dsp:nvSpPr>
      <dsp:spPr>
        <a:xfrm>
          <a:off x="3423417" y="2714812"/>
          <a:ext cx="919019" cy="428903"/>
        </a:xfrm>
        <a:prstGeom prst="roundRect">
          <a:avLst>
            <a:gd name="adj" fmla="val 16670"/>
          </a:avLst>
        </a:prstGeom>
        <a:solidFill>
          <a:schemeClr val="accent2">
            <a:hueOff val="-1455363"/>
            <a:satOff val="-83928"/>
            <a:lumOff val="8628"/>
            <a:alphaOff val="0"/>
          </a:schemeClr>
        </a:solidFill>
        <a:ln w="317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GT" sz="800" b="1" kern="1200">
              <a:solidFill>
                <a:sysClr val="windowText" lastClr="000000"/>
              </a:solidFill>
              <a:latin typeface="Times New Roman" panose="02020603050405020304" pitchFamily="18" charset="0"/>
              <a:cs typeface="Times New Roman" panose="02020603050405020304" pitchFamily="18" charset="0"/>
            </a:rPr>
            <a:t>Otras ampliaciones por Q53.0 millones </a:t>
          </a:r>
        </a:p>
      </dsp:txBody>
      <dsp:txXfrm>
        <a:off x="3444358" y="2735753"/>
        <a:ext cx="877137" cy="38702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1B02D8-8A1D-42B6-9D65-A25EB00D6AA5}">
      <dsp:nvSpPr>
        <dsp:cNvPr id="0" name=""/>
        <dsp:cNvSpPr/>
      </dsp:nvSpPr>
      <dsp:spPr>
        <a:xfrm rot="5400000">
          <a:off x="-151059" y="151059"/>
          <a:ext cx="1007064" cy="704945"/>
        </a:xfrm>
        <a:prstGeom prst="chevron">
          <a:avLst/>
        </a:prstGeom>
        <a:solidFill>
          <a:srgbClr val="4472C4">
            <a:shade val="50000"/>
            <a:hueOff val="0"/>
            <a:satOff val="0"/>
            <a:lumOff val="0"/>
            <a:alphaOff val="0"/>
          </a:srgbClr>
        </a:solidFill>
        <a:ln w="12700" cap="flat" cmpd="sng" algn="ctr">
          <a:solidFill>
            <a:srgbClr val="5B9BD5">
              <a:lumMod val="5000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GT" sz="900" b="1" kern="1200">
              <a:solidFill>
                <a:sysClr val="window" lastClr="FFFFFF"/>
              </a:solidFill>
              <a:latin typeface="Times New Roman" panose="02020603050405020304" pitchFamily="18" charset="0"/>
              <a:ea typeface="+mn-ea"/>
              <a:cs typeface="Times New Roman" panose="02020603050405020304" pitchFamily="18" charset="0"/>
            </a:rPr>
            <a:t>Gas Propano (Q570 millones)</a:t>
          </a:r>
        </a:p>
      </dsp:txBody>
      <dsp:txXfrm rot="-5400000">
        <a:off x="1" y="352473"/>
        <a:ext cx="704945" cy="302119"/>
      </dsp:txXfrm>
    </dsp:sp>
    <dsp:sp modelId="{7F15AAFB-C41D-4E5C-8958-7E3A1351D8D6}">
      <dsp:nvSpPr>
        <dsp:cNvPr id="0" name=""/>
        <dsp:cNvSpPr/>
      </dsp:nvSpPr>
      <dsp:spPr>
        <a:xfrm rot="5400000">
          <a:off x="2691052" y="-1983816"/>
          <a:ext cx="654936" cy="4627149"/>
        </a:xfrm>
        <a:prstGeom prst="round2SameRect">
          <a:avLst/>
        </a:prstGeom>
        <a:solidFill>
          <a:sysClr val="window" lastClr="FFFFFF">
            <a:alpha val="90000"/>
            <a:hueOff val="0"/>
            <a:satOff val="0"/>
            <a:lumOff val="0"/>
            <a:alphaOff val="0"/>
          </a:sysClr>
        </a:solidFill>
        <a:ln w="12700" cap="flat" cmpd="sng" algn="ctr">
          <a:solidFill>
            <a:srgbClr val="4472C4">
              <a:shade val="5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784" tIns="4445" rIns="4445" bIns="4445" numCol="1" spcCol="1270" anchor="ctr" anchorCtr="0">
          <a:noAutofit/>
        </a:bodyPr>
        <a:lstStyle/>
        <a:p>
          <a:pPr marL="57150" lvl="1" indent="-57150" algn="just" defTabSz="311150">
            <a:lnSpc>
              <a:spcPct val="90000"/>
            </a:lnSpc>
            <a:spcBef>
              <a:spcPct val="0"/>
            </a:spcBef>
            <a:spcAft>
              <a:spcPct val="15000"/>
            </a:spcAft>
            <a:buChar char="•"/>
          </a:pPr>
          <a:r>
            <a:rPr lang="es-GT" sz="7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Se aprobaron 5 decretos (15-2021, 17-2022, 33-2022, 45-2022 y 55-2022) de apoyo temporal a los consumidores de gas propano, manteniéndose las condiciones del subsidio en cada decreto:</a:t>
          </a:r>
        </a:p>
        <a:p>
          <a:pPr marL="114300" lvl="2" indent="-57150" algn="just" defTabSz="311150">
            <a:lnSpc>
              <a:spcPct val="90000"/>
            </a:lnSpc>
            <a:spcBef>
              <a:spcPct val="0"/>
            </a:spcBef>
            <a:spcAft>
              <a:spcPct val="15000"/>
            </a:spcAft>
            <a:buChar char="•"/>
          </a:pPr>
          <a:r>
            <a:rPr lang="es-GT" sz="7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10 libras - Q8.00</a:t>
          </a:r>
        </a:p>
        <a:p>
          <a:pPr marL="114300" lvl="2" indent="-57150" algn="just" defTabSz="311150">
            <a:lnSpc>
              <a:spcPct val="90000"/>
            </a:lnSpc>
            <a:spcBef>
              <a:spcPct val="0"/>
            </a:spcBef>
            <a:spcAft>
              <a:spcPct val="15000"/>
            </a:spcAft>
            <a:buChar char="•"/>
          </a:pPr>
          <a:r>
            <a:rPr lang="es-GT" sz="7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20 libras - Q16.00</a:t>
          </a:r>
        </a:p>
        <a:p>
          <a:pPr marL="114300" lvl="2" indent="-57150" algn="just" defTabSz="311150">
            <a:lnSpc>
              <a:spcPct val="90000"/>
            </a:lnSpc>
            <a:spcBef>
              <a:spcPct val="0"/>
            </a:spcBef>
            <a:spcAft>
              <a:spcPct val="15000"/>
            </a:spcAft>
            <a:buChar char="•"/>
          </a:pPr>
          <a:r>
            <a:rPr lang="es-GT" sz="7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25 libras - Q20.00</a:t>
          </a:r>
        </a:p>
        <a:p>
          <a:pPr marL="114300" lvl="2" indent="-57150" algn="just" defTabSz="311150">
            <a:lnSpc>
              <a:spcPct val="90000"/>
            </a:lnSpc>
            <a:spcBef>
              <a:spcPct val="0"/>
            </a:spcBef>
            <a:spcAft>
              <a:spcPct val="15000"/>
            </a:spcAft>
            <a:buChar char="•"/>
          </a:pPr>
          <a:r>
            <a:rPr lang="es-GT" sz="7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35 libras - Q28.00</a:t>
          </a:r>
        </a:p>
      </dsp:txBody>
      <dsp:txXfrm rot="-5400000">
        <a:off x="704946" y="34261"/>
        <a:ext cx="4595178" cy="590994"/>
      </dsp:txXfrm>
    </dsp:sp>
    <dsp:sp modelId="{02854CE8-8D42-4870-A4B2-C197234DDB8D}">
      <dsp:nvSpPr>
        <dsp:cNvPr id="0" name=""/>
        <dsp:cNvSpPr/>
      </dsp:nvSpPr>
      <dsp:spPr>
        <a:xfrm rot="5400000">
          <a:off x="-151059" y="815267"/>
          <a:ext cx="1007064" cy="704945"/>
        </a:xfrm>
        <a:prstGeom prst="chevron">
          <a:avLst/>
        </a:prstGeom>
        <a:solidFill>
          <a:srgbClr val="4472C4">
            <a:shade val="50000"/>
            <a:hueOff val="268329"/>
            <a:satOff val="-6535"/>
            <a:lumOff val="28597"/>
            <a:alphaOff val="0"/>
          </a:srgbClr>
        </a:solidFill>
        <a:ln w="12700" cap="flat" cmpd="sng" algn="ctr">
          <a:solidFill>
            <a:srgbClr val="5B9BD5">
              <a:lumMod val="5000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GT" sz="800" b="1" kern="1200">
              <a:solidFill>
                <a:sysClr val="window" lastClr="FFFFFF"/>
              </a:solidFill>
              <a:latin typeface="Times New Roman" panose="02020603050405020304" pitchFamily="18" charset="0"/>
              <a:ea typeface="+mn-ea"/>
              <a:cs typeface="Times New Roman" panose="02020603050405020304" pitchFamily="18" charset="0"/>
            </a:rPr>
            <a:t>Combustibles (Q2,460 millones)</a:t>
          </a:r>
        </a:p>
      </dsp:txBody>
      <dsp:txXfrm rot="-5400000">
        <a:off x="1" y="1016681"/>
        <a:ext cx="704945" cy="302119"/>
      </dsp:txXfrm>
    </dsp:sp>
    <dsp:sp modelId="{29506806-400B-403D-8F74-34021F55C601}">
      <dsp:nvSpPr>
        <dsp:cNvPr id="0" name=""/>
        <dsp:cNvSpPr/>
      </dsp:nvSpPr>
      <dsp:spPr>
        <a:xfrm rot="5400000">
          <a:off x="2681081" y="-1335762"/>
          <a:ext cx="674877" cy="4627149"/>
        </a:xfrm>
        <a:prstGeom prst="round2SameRect">
          <a:avLst/>
        </a:prstGeom>
        <a:solidFill>
          <a:sysClr val="window" lastClr="FFFFFF">
            <a:alpha val="90000"/>
            <a:hueOff val="0"/>
            <a:satOff val="0"/>
            <a:lumOff val="0"/>
            <a:alphaOff val="0"/>
          </a:sysClr>
        </a:solidFill>
        <a:ln w="12700" cap="flat" cmpd="sng" algn="ctr">
          <a:solidFill>
            <a:srgbClr val="4472C4">
              <a:shade val="50000"/>
              <a:hueOff val="268329"/>
              <a:satOff val="-6535"/>
              <a:lumOff val="28597"/>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784" tIns="4445" rIns="4445" bIns="4445" numCol="1" spcCol="1270" anchor="ctr" anchorCtr="0">
          <a:noAutofit/>
        </a:bodyPr>
        <a:lstStyle/>
        <a:p>
          <a:pPr marL="57150" lvl="1" indent="-57150" algn="just" defTabSz="311150">
            <a:lnSpc>
              <a:spcPct val="90000"/>
            </a:lnSpc>
            <a:spcBef>
              <a:spcPct val="0"/>
            </a:spcBef>
            <a:spcAft>
              <a:spcPct val="15000"/>
            </a:spcAft>
            <a:buChar char="•"/>
          </a:pPr>
          <a:r>
            <a:rPr lang="es-GT" sz="7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Se aprobaron 3 decretos:</a:t>
          </a:r>
        </a:p>
        <a:p>
          <a:pPr marL="114300" lvl="2" indent="-57150" algn="just" defTabSz="311150">
            <a:lnSpc>
              <a:spcPct val="90000"/>
            </a:lnSpc>
            <a:spcBef>
              <a:spcPct val="0"/>
            </a:spcBef>
            <a:spcAft>
              <a:spcPct val="15000"/>
            </a:spcAft>
            <a:buChar char="•"/>
          </a:pPr>
          <a:r>
            <a:rPr lang="es-GT" sz="7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Decreto 20-2022 considero un subsidio a los consumidores de diésel siendo Q5.00 por galon y Q2.50 a los consumidores de gasolina regular</a:t>
          </a:r>
        </a:p>
        <a:p>
          <a:pPr marL="114300" lvl="2" indent="-57150" algn="just" defTabSz="311150">
            <a:lnSpc>
              <a:spcPct val="90000"/>
            </a:lnSpc>
            <a:spcBef>
              <a:spcPct val="0"/>
            </a:spcBef>
            <a:spcAft>
              <a:spcPct val="15000"/>
            </a:spcAft>
            <a:buChar char="•"/>
          </a:pPr>
          <a:r>
            <a:rPr lang="es-GT" sz="7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Decreto 28-2022, se amplió el apoyo temporal a los consumidores de diésel a Q7.00 por galón y gasolina regular Q5.00 por galón y se incluyó a la gasolina superior Q5.00 por galón</a:t>
          </a:r>
        </a:p>
        <a:p>
          <a:pPr marL="114300" lvl="2" indent="-57150" algn="just" defTabSz="311150">
            <a:lnSpc>
              <a:spcPct val="90000"/>
            </a:lnSpc>
            <a:spcBef>
              <a:spcPct val="0"/>
            </a:spcBef>
            <a:spcAft>
              <a:spcPct val="15000"/>
            </a:spcAft>
            <a:buChar char="•"/>
          </a:pPr>
          <a:r>
            <a:rPr lang="es-GT" sz="7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Decreto 42-2022, en este decreto unicamente se considera al combustible diésel (Q5.00 por galón)  </a:t>
          </a:r>
        </a:p>
      </dsp:txBody>
      <dsp:txXfrm rot="-5400000">
        <a:off x="704946" y="673318"/>
        <a:ext cx="4594204" cy="608987"/>
      </dsp:txXfrm>
    </dsp:sp>
    <dsp:sp modelId="{4E846E43-CFA7-42C4-9D36-63725B338952}">
      <dsp:nvSpPr>
        <dsp:cNvPr id="0" name=""/>
        <dsp:cNvSpPr/>
      </dsp:nvSpPr>
      <dsp:spPr>
        <a:xfrm rot="5400000">
          <a:off x="-151059" y="1528717"/>
          <a:ext cx="1007064" cy="704945"/>
        </a:xfrm>
        <a:prstGeom prst="chevron">
          <a:avLst/>
        </a:prstGeom>
        <a:solidFill>
          <a:srgbClr val="5B9BD5">
            <a:lumMod val="50000"/>
          </a:srgbClr>
        </a:solidFill>
        <a:ln w="12700" cap="flat" cmpd="sng" algn="ctr">
          <a:solidFill>
            <a:srgbClr val="5B9BD5">
              <a:lumMod val="5000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endParaRPr lang="es-GT" sz="1000" b="1" kern="1200">
            <a:solidFill>
              <a:sysClr val="window" lastClr="FFFFFF"/>
            </a:solidFill>
            <a:latin typeface="Calibri" panose="020F0502020204030204"/>
            <a:ea typeface="+mn-ea"/>
            <a:cs typeface="+mn-cs"/>
          </a:endParaRPr>
        </a:p>
        <a:p>
          <a:pPr marL="0" lvl="0" indent="0" algn="ctr" defTabSz="444500">
            <a:lnSpc>
              <a:spcPct val="90000"/>
            </a:lnSpc>
            <a:spcBef>
              <a:spcPct val="0"/>
            </a:spcBef>
            <a:spcAft>
              <a:spcPct val="35000"/>
            </a:spcAft>
            <a:buNone/>
          </a:pPr>
          <a:r>
            <a:rPr lang="es-GT" sz="800" b="1" kern="1200">
              <a:solidFill>
                <a:sysClr val="window" lastClr="FFFFFF"/>
              </a:solidFill>
              <a:latin typeface="Times New Roman" panose="02020603050405020304" pitchFamily="18" charset="0"/>
              <a:ea typeface="+mn-ea"/>
              <a:cs typeface="Times New Roman" panose="02020603050405020304" pitchFamily="18" charset="0"/>
            </a:rPr>
            <a:t>Tarifa Social Energía Eléctrica (Q227.5 millones)</a:t>
          </a:r>
        </a:p>
      </dsp:txBody>
      <dsp:txXfrm rot="-5400000">
        <a:off x="1" y="1730131"/>
        <a:ext cx="704945" cy="302119"/>
      </dsp:txXfrm>
    </dsp:sp>
    <dsp:sp modelId="{2C059829-FA43-4B35-828E-A42751D5BE0E}">
      <dsp:nvSpPr>
        <dsp:cNvPr id="0" name=""/>
        <dsp:cNvSpPr/>
      </dsp:nvSpPr>
      <dsp:spPr>
        <a:xfrm rot="5400000">
          <a:off x="2625660" y="-614042"/>
          <a:ext cx="785719" cy="4627149"/>
        </a:xfrm>
        <a:prstGeom prst="round2SameRect">
          <a:avLst/>
        </a:prstGeom>
        <a:solidFill>
          <a:sysClr val="window" lastClr="FFFFFF">
            <a:alpha val="90000"/>
            <a:hueOff val="0"/>
            <a:satOff val="0"/>
            <a:lumOff val="0"/>
            <a:alphaOff val="0"/>
          </a:sysClr>
        </a:solidFill>
        <a:ln w="12700" cap="flat" cmpd="sng" algn="ctr">
          <a:solidFill>
            <a:srgbClr val="4472C4">
              <a:shade val="50000"/>
              <a:hueOff val="268329"/>
              <a:satOff val="-6535"/>
              <a:lumOff val="28597"/>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784" tIns="4445" rIns="4445" bIns="4445" numCol="1" spcCol="1270" anchor="ctr" anchorCtr="0">
          <a:noAutofit/>
        </a:bodyPr>
        <a:lstStyle/>
        <a:p>
          <a:pPr marL="57150" lvl="1" indent="-57150" algn="just" defTabSz="311150">
            <a:lnSpc>
              <a:spcPct val="90000"/>
            </a:lnSpc>
            <a:spcBef>
              <a:spcPct val="0"/>
            </a:spcBef>
            <a:spcAft>
              <a:spcPct val="15000"/>
            </a:spcAft>
            <a:buChar char="•"/>
          </a:pPr>
          <a:r>
            <a:rPr lang="es-GT" sz="7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Se aprobaron 2 decretos para el fortalecimiento al aporte social de la tarifa eléctrica, anteriormente la tarifa social unicamente aplicaba a rangos de consumo de 1 a 88 kWh:</a:t>
          </a:r>
        </a:p>
        <a:p>
          <a:pPr marL="114300" lvl="2" indent="-57150" algn="just" defTabSz="311150">
            <a:lnSpc>
              <a:spcPct val="90000"/>
            </a:lnSpc>
            <a:spcBef>
              <a:spcPct val="0"/>
            </a:spcBef>
            <a:spcAft>
              <a:spcPct val="15000"/>
            </a:spcAft>
            <a:buChar char="•"/>
          </a:pPr>
          <a:r>
            <a:rPr lang="es-GT" sz="7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Decreto 25-2022, estuvo enfocado en usuarios regulados de distribución final de energía eléctrica que consuman mensualmente entre 89 kWh hasta 100 kWh al mes, pagando una tarifa de Q1.00 por kWh</a:t>
          </a:r>
        </a:p>
        <a:p>
          <a:pPr marL="114300" lvl="2" indent="-57150" algn="just" defTabSz="311150">
            <a:lnSpc>
              <a:spcPct val="90000"/>
            </a:lnSpc>
            <a:spcBef>
              <a:spcPct val="0"/>
            </a:spcBef>
            <a:spcAft>
              <a:spcPct val="15000"/>
            </a:spcAft>
            <a:buChar char="•"/>
          </a:pPr>
          <a:r>
            <a:rPr lang="es-GT" sz="7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Decreto 43-2022, amplia a los beneficiarios del aporte social a la energía eléctrica al cubrir a los usuarios regulados que consuman entre 101 kWh hasta 125 kWh. </a:t>
          </a:r>
        </a:p>
      </dsp:txBody>
      <dsp:txXfrm rot="-5400000">
        <a:off x="704945" y="1345029"/>
        <a:ext cx="4588793" cy="70900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301B7D-880C-4553-A687-64E6A00EC80A}">
      <dsp:nvSpPr>
        <dsp:cNvPr id="0" name=""/>
        <dsp:cNvSpPr/>
      </dsp:nvSpPr>
      <dsp:spPr>
        <a:xfrm>
          <a:off x="485573" y="0"/>
          <a:ext cx="1235018" cy="960195"/>
        </a:xfrm>
        <a:prstGeom prst="roundRect">
          <a:avLst>
            <a:gd name="adj" fmla="val 10000"/>
          </a:avLst>
        </a:prstGeom>
        <a:solidFill>
          <a:schemeClr val="accent1">
            <a:lumMod val="75000"/>
          </a:schemeClr>
        </a:solidFill>
        <a:ln w="635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endParaRPr lang="es-GT" sz="800" b="1" kern="1200">
            <a:latin typeface="Times New Roman" panose="02020603050405020304" pitchFamily="18" charset="0"/>
            <a:cs typeface="Times New Roman" panose="02020603050405020304" pitchFamily="18" charset="0"/>
          </a:endParaRPr>
        </a:p>
        <a:p>
          <a:pPr marL="0" lvl="0" indent="0" algn="ctr" defTabSz="355600">
            <a:lnSpc>
              <a:spcPct val="90000"/>
            </a:lnSpc>
            <a:spcBef>
              <a:spcPct val="0"/>
            </a:spcBef>
            <a:spcAft>
              <a:spcPct val="35000"/>
            </a:spcAft>
            <a:buNone/>
          </a:pPr>
          <a:r>
            <a:rPr lang="es-GT" sz="800" b="1" kern="1200">
              <a:latin typeface="Times New Roman" panose="02020603050405020304" pitchFamily="18" charset="0"/>
              <a:cs typeface="Times New Roman" panose="02020603050405020304" pitchFamily="18" charset="0"/>
            </a:rPr>
            <a:t>Q1,198.4 millones </a:t>
          </a:r>
        </a:p>
        <a:p>
          <a:pPr marL="0" lvl="0" indent="0" algn="ctr" defTabSz="355600">
            <a:lnSpc>
              <a:spcPct val="90000"/>
            </a:lnSpc>
            <a:spcBef>
              <a:spcPct val="0"/>
            </a:spcBef>
            <a:spcAft>
              <a:spcPct val="35000"/>
            </a:spcAft>
            <a:buNone/>
          </a:pPr>
          <a:r>
            <a:rPr lang="es-GT" sz="800" kern="1200">
              <a:latin typeface="Times New Roman" panose="02020603050405020304" pitchFamily="18" charset="0"/>
              <a:cs typeface="Times New Roman" panose="02020603050405020304" pitchFamily="18" charset="0"/>
            </a:rPr>
            <a:t>en el CIV por reprogramaciones para infraestructura estratégica y otros.</a:t>
          </a:r>
        </a:p>
        <a:p>
          <a:pPr marL="0" lvl="0" indent="0" algn="ctr" defTabSz="355600">
            <a:lnSpc>
              <a:spcPct val="90000"/>
            </a:lnSpc>
            <a:spcBef>
              <a:spcPct val="0"/>
            </a:spcBef>
            <a:spcAft>
              <a:spcPct val="35000"/>
            </a:spcAft>
            <a:buNone/>
          </a:pPr>
          <a:endParaRPr lang="es-GT" sz="800" kern="1200">
            <a:latin typeface="Times New Roman" panose="02020603050405020304" pitchFamily="18" charset="0"/>
            <a:cs typeface="Times New Roman" panose="02020603050405020304" pitchFamily="18" charset="0"/>
          </a:endParaRPr>
        </a:p>
      </dsp:txBody>
      <dsp:txXfrm>
        <a:off x="513696" y="28123"/>
        <a:ext cx="1178772" cy="903949"/>
      </dsp:txXfrm>
    </dsp:sp>
    <dsp:sp modelId="{572BD72D-FA3C-4A68-A0D8-85A501016331}">
      <dsp:nvSpPr>
        <dsp:cNvPr id="0" name=""/>
        <dsp:cNvSpPr/>
      </dsp:nvSpPr>
      <dsp:spPr>
        <a:xfrm rot="4192">
          <a:off x="1807230" y="355572"/>
          <a:ext cx="208719" cy="251021"/>
        </a:xfrm>
        <a:prstGeom prst="rightArrow">
          <a:avLst>
            <a:gd name="adj1" fmla="val 60000"/>
            <a:gd name="adj2" fmla="val 50000"/>
          </a:avLst>
        </a:prstGeom>
        <a:solidFill>
          <a:schemeClr val="accent1">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s-GT" sz="700" kern="1200"/>
        </a:p>
      </dsp:txBody>
      <dsp:txXfrm>
        <a:off x="1807230" y="405738"/>
        <a:ext cx="146103" cy="150613"/>
      </dsp:txXfrm>
    </dsp:sp>
    <dsp:sp modelId="{4A652647-43F6-488C-96CF-1A7AB757924F}">
      <dsp:nvSpPr>
        <dsp:cNvPr id="0" name=""/>
        <dsp:cNvSpPr/>
      </dsp:nvSpPr>
      <dsp:spPr>
        <a:xfrm>
          <a:off x="2114402" y="0"/>
          <a:ext cx="1134892" cy="964045"/>
        </a:xfrm>
        <a:prstGeom prst="roundRect">
          <a:avLst>
            <a:gd name="adj" fmla="val 10000"/>
          </a:avLst>
        </a:prstGeom>
        <a:solidFill>
          <a:schemeClr val="accent1">
            <a:lumMod val="75000"/>
          </a:schemeClr>
        </a:solidFill>
        <a:ln w="635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GT" sz="800" b="1" kern="1200">
              <a:latin typeface="Times New Roman" panose="02020603050405020304" pitchFamily="18" charset="0"/>
              <a:cs typeface="Times New Roman" panose="02020603050405020304" pitchFamily="18" charset="0"/>
            </a:rPr>
            <a:t>Q150 millones </a:t>
          </a:r>
        </a:p>
        <a:p>
          <a:pPr marL="0" lvl="0" indent="0" algn="ctr" defTabSz="355600">
            <a:lnSpc>
              <a:spcPct val="90000"/>
            </a:lnSpc>
            <a:spcBef>
              <a:spcPct val="0"/>
            </a:spcBef>
            <a:spcAft>
              <a:spcPct val="35000"/>
            </a:spcAft>
            <a:buNone/>
          </a:pPr>
          <a:r>
            <a:rPr lang="es-GT" sz="800" kern="1200">
              <a:latin typeface="Times New Roman" panose="02020603050405020304" pitchFamily="18" charset="0"/>
              <a:cs typeface="Times New Roman" panose="02020603050405020304" pitchFamily="18" charset="0"/>
            </a:rPr>
            <a:t>en el MEM para garantizar el apoyo social a los consumidores de gas propano Decreto 5-2023</a:t>
          </a:r>
        </a:p>
      </dsp:txBody>
      <dsp:txXfrm>
        <a:off x="2142638" y="28236"/>
        <a:ext cx="1078420" cy="907573"/>
      </dsp:txXfrm>
    </dsp:sp>
    <dsp:sp modelId="{980568DE-9C85-4FF8-BD78-03E847F03BE4}">
      <dsp:nvSpPr>
        <dsp:cNvPr id="0" name=""/>
        <dsp:cNvSpPr/>
      </dsp:nvSpPr>
      <dsp:spPr>
        <a:xfrm rot="9544">
          <a:off x="3341652" y="358652"/>
          <a:ext cx="222496" cy="251021"/>
        </a:xfrm>
        <a:prstGeom prst="rightArrow">
          <a:avLst>
            <a:gd name="adj1" fmla="val 60000"/>
            <a:gd name="adj2" fmla="val 50000"/>
          </a:avLst>
        </a:prstGeom>
        <a:solidFill>
          <a:schemeClr val="accent5">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s-GT" sz="700" kern="1200"/>
        </a:p>
      </dsp:txBody>
      <dsp:txXfrm>
        <a:off x="3341652" y="408763"/>
        <a:ext cx="155747" cy="150613"/>
      </dsp:txXfrm>
    </dsp:sp>
    <dsp:sp modelId="{23C5EB5F-5AA8-4402-8BCA-BA8C60D09D58}">
      <dsp:nvSpPr>
        <dsp:cNvPr id="0" name=""/>
        <dsp:cNvSpPr/>
      </dsp:nvSpPr>
      <dsp:spPr>
        <a:xfrm>
          <a:off x="3669099" y="0"/>
          <a:ext cx="1470735" cy="973611"/>
        </a:xfrm>
        <a:prstGeom prst="roundRect">
          <a:avLst>
            <a:gd name="adj" fmla="val 10000"/>
          </a:avLst>
        </a:prstGeom>
        <a:solidFill>
          <a:schemeClr val="accent5">
            <a:lumMod val="75000"/>
          </a:schemeClr>
        </a:solidFill>
        <a:ln w="635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endParaRPr lang="es-GT" sz="800" b="1" kern="1200">
            <a:latin typeface="Times New Roman" panose="02020603050405020304" pitchFamily="18" charset="0"/>
            <a:cs typeface="Times New Roman" panose="02020603050405020304" pitchFamily="18" charset="0"/>
          </a:endParaRPr>
        </a:p>
        <a:p>
          <a:pPr marL="0" lvl="0" indent="0" algn="ctr" defTabSz="355600">
            <a:lnSpc>
              <a:spcPct val="90000"/>
            </a:lnSpc>
            <a:spcBef>
              <a:spcPct val="0"/>
            </a:spcBef>
            <a:spcAft>
              <a:spcPct val="35000"/>
            </a:spcAft>
            <a:buNone/>
          </a:pPr>
          <a:r>
            <a:rPr lang="es-GT" sz="800" b="1" kern="1200">
              <a:latin typeface="Times New Roman" panose="02020603050405020304" pitchFamily="18" charset="0"/>
              <a:cs typeface="Times New Roman" panose="02020603050405020304" pitchFamily="18" charset="0"/>
            </a:rPr>
            <a:t>Q197 millones por </a:t>
          </a:r>
          <a:r>
            <a:rPr lang="es-GT" sz="800" kern="1200">
              <a:latin typeface="Times New Roman" panose="02020603050405020304" pitchFamily="18" charset="0"/>
              <a:cs typeface="Times New Roman" panose="02020603050405020304" pitchFamily="18" charset="0"/>
            </a:rPr>
            <a:t>ampliación de la tarifa social de energía eléctrica, </a:t>
          </a:r>
          <a:r>
            <a:rPr lang="es-GT" sz="800" b="1" kern="1200">
              <a:latin typeface="Times New Roman" panose="02020603050405020304" pitchFamily="18" charset="0"/>
              <a:cs typeface="Times New Roman" panose="02020603050405020304" pitchFamily="18" charset="0"/>
            </a:rPr>
            <a:t>Q200 millones</a:t>
          </a:r>
          <a:r>
            <a:rPr lang="es-GT" sz="800" kern="1200">
              <a:latin typeface="Times New Roman" panose="02020603050405020304" pitchFamily="18" charset="0"/>
              <a:cs typeface="Times New Roman" panose="02020603050405020304" pitchFamily="18" charset="0"/>
            </a:rPr>
            <a:t> por el incremento de jubilaciones y pensiones y </a:t>
          </a:r>
          <a:r>
            <a:rPr lang="es-GT" sz="800" b="1" kern="1200">
              <a:latin typeface="Times New Roman" panose="02020603050405020304" pitchFamily="18" charset="0"/>
              <a:cs typeface="Times New Roman" panose="02020603050405020304" pitchFamily="18" charset="0"/>
            </a:rPr>
            <a:t>Q329.0 millones</a:t>
          </a:r>
          <a:r>
            <a:rPr lang="es-GT" sz="800" kern="1200">
              <a:latin typeface="Times New Roman" panose="02020603050405020304" pitchFamily="18" charset="0"/>
              <a:cs typeface="Times New Roman" panose="02020603050405020304" pitchFamily="18" charset="0"/>
            </a:rPr>
            <a:t> a favor de CODEDES</a:t>
          </a:r>
        </a:p>
        <a:p>
          <a:pPr marL="0" lvl="0" indent="0" algn="ctr" defTabSz="355600">
            <a:lnSpc>
              <a:spcPct val="90000"/>
            </a:lnSpc>
            <a:spcBef>
              <a:spcPct val="0"/>
            </a:spcBef>
            <a:spcAft>
              <a:spcPct val="35000"/>
            </a:spcAft>
            <a:buNone/>
          </a:pPr>
          <a:endParaRPr lang="es-GT" sz="800" kern="1200">
            <a:latin typeface="Times New Roman" panose="02020603050405020304" pitchFamily="18" charset="0"/>
            <a:cs typeface="Times New Roman" panose="02020603050405020304" pitchFamily="18" charset="0"/>
          </a:endParaRPr>
        </a:p>
      </dsp:txBody>
      <dsp:txXfrm>
        <a:off x="3697615" y="28516"/>
        <a:ext cx="1413703" cy="916579"/>
      </dsp:txXfrm>
    </dsp:sp>
    <dsp:sp modelId="{F9FE49D7-7986-497F-A9E0-77B33EC05437}">
      <dsp:nvSpPr>
        <dsp:cNvPr id="0" name=""/>
        <dsp:cNvSpPr/>
      </dsp:nvSpPr>
      <dsp:spPr>
        <a:xfrm rot="5539541">
          <a:off x="4389275" y="973693"/>
          <a:ext cx="135628" cy="251021"/>
        </a:xfrm>
        <a:prstGeom prst="rightArrow">
          <a:avLst>
            <a:gd name="adj1" fmla="val 60000"/>
            <a:gd name="adj2" fmla="val 50000"/>
          </a:avLst>
        </a:prstGeom>
        <a:solidFill>
          <a:schemeClr val="tx2">
            <a:lumMod val="60000"/>
            <a:lumOff val="40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s-GT" sz="700" kern="1200"/>
        </a:p>
      </dsp:txBody>
      <dsp:txXfrm rot="-5400000">
        <a:off x="4382609" y="1031406"/>
        <a:ext cx="150613" cy="94940"/>
      </dsp:txXfrm>
    </dsp:sp>
    <dsp:sp modelId="{1DE68D2B-A103-4F90-B8C3-2FB7664B6CE4}">
      <dsp:nvSpPr>
        <dsp:cNvPr id="0" name=""/>
        <dsp:cNvSpPr/>
      </dsp:nvSpPr>
      <dsp:spPr>
        <a:xfrm>
          <a:off x="3754032" y="1229341"/>
          <a:ext cx="1384689" cy="801626"/>
        </a:xfrm>
        <a:prstGeom prst="roundRect">
          <a:avLst>
            <a:gd name="adj" fmla="val 10000"/>
          </a:avLst>
        </a:prstGeom>
        <a:solidFill>
          <a:schemeClr val="tx2">
            <a:lumMod val="60000"/>
            <a:lumOff val="40000"/>
          </a:schemeClr>
        </a:solidFill>
        <a:ln w="635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GT" sz="800" b="1" kern="1200">
              <a:latin typeface="Times New Roman" panose="02020603050405020304" pitchFamily="18" charset="0"/>
              <a:cs typeface="Times New Roman" panose="02020603050405020304" pitchFamily="18" charset="0"/>
            </a:rPr>
            <a:t>Q300 millones </a:t>
          </a:r>
          <a:r>
            <a:rPr lang="es-GT" sz="800" kern="1200">
              <a:latin typeface="Times New Roman" panose="02020603050405020304" pitchFamily="18" charset="0"/>
              <a:cs typeface="Times New Roman" panose="02020603050405020304" pitchFamily="18" charset="0"/>
            </a:rPr>
            <a:t>para beneficiarios del Decreto 51-2022 "Ley Temporal de Desarrollo Integral"</a:t>
          </a:r>
        </a:p>
      </dsp:txBody>
      <dsp:txXfrm>
        <a:off x="3777511" y="1252820"/>
        <a:ext cx="1337731" cy="754668"/>
      </dsp:txXfrm>
    </dsp:sp>
    <dsp:sp modelId="{18EC6934-A9D1-4406-A6C2-E6E17AC0CD98}">
      <dsp:nvSpPr>
        <dsp:cNvPr id="0" name=""/>
        <dsp:cNvSpPr/>
      </dsp:nvSpPr>
      <dsp:spPr>
        <a:xfrm rot="10782823">
          <a:off x="3458080" y="1509059"/>
          <a:ext cx="209140" cy="251021"/>
        </a:xfrm>
        <a:prstGeom prst="rightArrow">
          <a:avLst>
            <a:gd name="adj1" fmla="val 60000"/>
            <a:gd name="adj2" fmla="val 50000"/>
          </a:avLst>
        </a:prstGeom>
        <a:solidFill>
          <a:srgbClr val="00B0F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s-GT" sz="700" kern="1200"/>
        </a:p>
      </dsp:txBody>
      <dsp:txXfrm rot="10800000">
        <a:off x="3520822" y="1559106"/>
        <a:ext cx="146398" cy="150613"/>
      </dsp:txXfrm>
    </dsp:sp>
    <dsp:sp modelId="{420E957D-C51C-48D1-A3D8-AE218CDE3AE1}">
      <dsp:nvSpPr>
        <dsp:cNvPr id="0" name=""/>
        <dsp:cNvSpPr/>
      </dsp:nvSpPr>
      <dsp:spPr>
        <a:xfrm>
          <a:off x="2178626" y="1235645"/>
          <a:ext cx="1180805" cy="805780"/>
        </a:xfrm>
        <a:prstGeom prst="roundRect">
          <a:avLst>
            <a:gd name="adj" fmla="val 10000"/>
          </a:avLst>
        </a:prstGeom>
        <a:solidFill>
          <a:srgbClr val="00B0F0"/>
        </a:solidFill>
        <a:ln w="635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GT" sz="800" b="1" kern="1200">
              <a:latin typeface="Times New Roman" panose="02020603050405020304" pitchFamily="18" charset="0"/>
              <a:cs typeface="Times New Roman" panose="02020603050405020304" pitchFamily="18" charset="0"/>
            </a:rPr>
            <a:t>Q1.6 millones </a:t>
          </a:r>
          <a:r>
            <a:rPr lang="es-GT" sz="800" kern="1200">
              <a:latin typeface="Times New Roman" panose="02020603050405020304" pitchFamily="18" charset="0"/>
              <a:cs typeface="Times New Roman" panose="02020603050405020304" pitchFamily="18" charset="0"/>
            </a:rPr>
            <a:t>en la Secretaría Presidencial de la Mujer </a:t>
          </a:r>
        </a:p>
      </dsp:txBody>
      <dsp:txXfrm>
        <a:off x="2202226" y="1259245"/>
        <a:ext cx="1133605" cy="758580"/>
      </dsp:txXfrm>
    </dsp:sp>
    <dsp:sp modelId="{25F2A51B-1B06-4A0D-A375-2829406E2DDF}">
      <dsp:nvSpPr>
        <dsp:cNvPr id="0" name=""/>
        <dsp:cNvSpPr/>
      </dsp:nvSpPr>
      <dsp:spPr>
        <a:xfrm rot="10823137">
          <a:off x="1836183" y="1507560"/>
          <a:ext cx="241996" cy="251021"/>
        </a:xfrm>
        <a:prstGeom prst="rightArrow">
          <a:avLst>
            <a:gd name="adj1" fmla="val 60000"/>
            <a:gd name="adj2" fmla="val 50000"/>
          </a:avLst>
        </a:prstGeom>
        <a:solidFill>
          <a:schemeClr val="accent4">
            <a:hueOff val="7840713"/>
            <a:satOff val="-32622"/>
            <a:lumOff val="7686"/>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s-GT" sz="700" kern="1200"/>
        </a:p>
      </dsp:txBody>
      <dsp:txXfrm rot="10800000">
        <a:off x="1908781" y="1558008"/>
        <a:ext cx="169397" cy="150613"/>
      </dsp:txXfrm>
    </dsp:sp>
    <dsp:sp modelId="{AA2ACD5B-1E12-4823-BC04-4BC9BB9B0D68}">
      <dsp:nvSpPr>
        <dsp:cNvPr id="0" name=""/>
        <dsp:cNvSpPr/>
      </dsp:nvSpPr>
      <dsp:spPr>
        <a:xfrm>
          <a:off x="448456" y="1247302"/>
          <a:ext cx="1273582" cy="759801"/>
        </a:xfrm>
        <a:prstGeom prst="roundRect">
          <a:avLst>
            <a:gd name="adj" fmla="val 10000"/>
          </a:avLst>
        </a:prstGeom>
        <a:solidFill>
          <a:schemeClr val="tx2">
            <a:lumMod val="75000"/>
          </a:schemeClr>
        </a:solidFill>
        <a:ln w="317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GT" sz="800" b="1" kern="1200">
              <a:latin typeface="Times New Roman" panose="02020603050405020304" pitchFamily="18" charset="0"/>
              <a:cs typeface="Times New Roman" panose="02020603050405020304" pitchFamily="18" charset="0"/>
            </a:rPr>
            <a:t>Q339.9 millones </a:t>
          </a:r>
          <a:r>
            <a:rPr lang="es-GT" sz="800" b="0" kern="1200">
              <a:latin typeface="Times New Roman" panose="02020603050405020304" pitchFamily="18" charset="0"/>
              <a:cs typeface="Times New Roman" panose="02020603050405020304" pitchFamily="18" charset="0"/>
            </a:rPr>
            <a:t>a favor del Programa de Aporte Económico del Adulto Mayor según Decreto 10-2023</a:t>
          </a:r>
          <a:endParaRPr lang="es-GT" sz="800" b="1" kern="1200">
            <a:latin typeface="Times New Roman" panose="02020603050405020304" pitchFamily="18" charset="0"/>
            <a:cs typeface="Times New Roman" panose="02020603050405020304" pitchFamily="18" charset="0"/>
          </a:endParaRPr>
        </a:p>
      </dsp:txBody>
      <dsp:txXfrm>
        <a:off x="470710" y="1269556"/>
        <a:ext cx="1229074" cy="715293"/>
      </dsp:txXfrm>
    </dsp:sp>
    <dsp:sp modelId="{C197291E-A0B1-444C-8602-9E6D8038171E}">
      <dsp:nvSpPr>
        <dsp:cNvPr id="0" name=""/>
        <dsp:cNvSpPr/>
      </dsp:nvSpPr>
      <dsp:spPr>
        <a:xfrm rot="5400000">
          <a:off x="1007869" y="2064986"/>
          <a:ext cx="200575" cy="251021"/>
        </a:xfrm>
        <a:prstGeom prst="rightArrow">
          <a:avLst>
            <a:gd name="adj1" fmla="val 60000"/>
            <a:gd name="adj2" fmla="val 50000"/>
          </a:avLst>
        </a:prstGeom>
        <a:solidFill>
          <a:schemeClr val="accent4">
            <a:hueOff val="9800891"/>
            <a:satOff val="-40777"/>
            <a:lumOff val="9608"/>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s-GT" sz="1000" kern="1200"/>
        </a:p>
      </dsp:txBody>
      <dsp:txXfrm rot="-5400000">
        <a:off x="1032850" y="2090209"/>
        <a:ext cx="150613" cy="140403"/>
      </dsp:txXfrm>
    </dsp:sp>
    <dsp:sp modelId="{0749BDF7-0956-4F65-98F8-D7D9DE6DD615}">
      <dsp:nvSpPr>
        <dsp:cNvPr id="0" name=""/>
        <dsp:cNvSpPr/>
      </dsp:nvSpPr>
      <dsp:spPr>
        <a:xfrm>
          <a:off x="422960" y="2385234"/>
          <a:ext cx="1414974" cy="706685"/>
        </a:xfrm>
        <a:prstGeom prst="roundRect">
          <a:avLst>
            <a:gd name="adj" fmla="val 10000"/>
          </a:avLst>
        </a:prstGeom>
        <a:solidFill>
          <a:schemeClr val="accent4">
            <a:hueOff val="9800891"/>
            <a:satOff val="-40777"/>
            <a:lumOff val="9608"/>
            <a:alphaOff val="0"/>
          </a:schemeClr>
        </a:solidFill>
        <a:ln w="635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GT" sz="1000" kern="1200">
              <a:latin typeface="Times New Roman" panose="02020603050405020304" pitchFamily="18" charset="0"/>
              <a:cs typeface="Times New Roman" panose="02020603050405020304" pitchFamily="18" charset="0"/>
            </a:rPr>
            <a:t>Total ampliaciones a junio </a:t>
          </a:r>
        </a:p>
        <a:p>
          <a:pPr marL="0" lvl="0" indent="0" algn="ctr" defTabSz="444500">
            <a:lnSpc>
              <a:spcPct val="90000"/>
            </a:lnSpc>
            <a:spcBef>
              <a:spcPct val="0"/>
            </a:spcBef>
            <a:spcAft>
              <a:spcPct val="35000"/>
            </a:spcAft>
            <a:buNone/>
          </a:pPr>
          <a:r>
            <a:rPr lang="es-GT" sz="1000" b="1" kern="1200">
              <a:latin typeface="Times New Roman" panose="02020603050405020304" pitchFamily="18" charset="0"/>
              <a:cs typeface="Times New Roman" panose="02020603050405020304" pitchFamily="18" charset="0"/>
            </a:rPr>
            <a:t>Q2,716.0 millones</a:t>
          </a:r>
        </a:p>
      </dsp:txBody>
      <dsp:txXfrm>
        <a:off x="443658" y="2405932"/>
        <a:ext cx="1373578" cy="66528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25081BC-97F4-4A08-97DB-0D7AF48EB1E2}">
      <dsp:nvSpPr>
        <dsp:cNvPr id="0" name=""/>
        <dsp:cNvSpPr/>
      </dsp:nvSpPr>
      <dsp:spPr>
        <a:xfrm>
          <a:off x="-5356847" y="-820722"/>
          <a:ext cx="6381696" cy="6381696"/>
        </a:xfrm>
        <a:prstGeom prst="blockArc">
          <a:avLst>
            <a:gd name="adj1" fmla="val 18900000"/>
            <a:gd name="adj2" fmla="val 2700000"/>
            <a:gd name="adj3" fmla="val 433"/>
          </a:avLst>
        </a:prstGeom>
        <a:noFill/>
        <a:ln w="12700" cap="flat" cmpd="sng" algn="ctr">
          <a:solidFill>
            <a:srgbClr val="A5A5A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229202E-3A72-41B7-BD4C-E5E4795FE3E1}">
      <dsp:nvSpPr>
        <dsp:cNvPr id="0" name=""/>
        <dsp:cNvSpPr/>
      </dsp:nvSpPr>
      <dsp:spPr>
        <a:xfrm>
          <a:off x="332528" y="215491"/>
          <a:ext cx="5222262" cy="430793"/>
        </a:xfrm>
        <a:prstGeom prst="rect">
          <a:avLst/>
        </a:prstGeom>
        <a:solidFill>
          <a:srgbClr val="ED7D31">
            <a:hueOff val="0"/>
            <a:satOff val="0"/>
            <a:lumOff val="0"/>
            <a:alphaOff val="0"/>
          </a:srgbClr>
        </a:solidFill>
        <a:ln w="3175"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1943" tIns="25400" rIns="25400" bIns="25400" numCol="1" spcCol="1270" anchor="ctr" anchorCtr="0">
          <a:noAutofit/>
        </a:bodyPr>
        <a:lstStyle/>
        <a:p>
          <a:pPr marL="0" lvl="0" indent="0" algn="just" defTabSz="444500">
            <a:lnSpc>
              <a:spcPct val="90000"/>
            </a:lnSpc>
            <a:spcBef>
              <a:spcPct val="0"/>
            </a:spcBef>
            <a:spcAft>
              <a:spcPct val="35000"/>
            </a:spcAft>
            <a:buNone/>
          </a:pPr>
          <a:r>
            <a:rPr lang="es-GT" sz="1000" kern="1200">
              <a:solidFill>
                <a:sysClr val="window" lastClr="FFFFFF"/>
              </a:solidFill>
              <a:latin typeface="Times New Roman" panose="02020603050405020304" pitchFamily="18" charset="0"/>
              <a:ea typeface="+mn-ea"/>
              <a:cs typeface="Times New Roman" panose="02020603050405020304" pitchFamily="18" charset="0"/>
            </a:rPr>
            <a:t>Vincular la planificación con el presupuesto para responder a las prioridades nacionales de desarrollo</a:t>
          </a:r>
        </a:p>
      </dsp:txBody>
      <dsp:txXfrm>
        <a:off x="332528" y="215491"/>
        <a:ext cx="5222262" cy="430793"/>
      </dsp:txXfrm>
    </dsp:sp>
    <dsp:sp modelId="{953A579C-2E6F-4127-BC7B-889553A659C0}">
      <dsp:nvSpPr>
        <dsp:cNvPr id="0" name=""/>
        <dsp:cNvSpPr/>
      </dsp:nvSpPr>
      <dsp:spPr>
        <a:xfrm>
          <a:off x="63282" y="161642"/>
          <a:ext cx="538492" cy="538492"/>
        </a:xfrm>
        <a:prstGeom prst="ellipse">
          <a:avLst/>
        </a:prstGeom>
        <a:solidFill>
          <a:sysClr val="window" lastClr="FFFFFF">
            <a:hueOff val="0"/>
            <a:satOff val="0"/>
            <a:lumOff val="0"/>
            <a:alphaOff val="0"/>
          </a:sysClr>
        </a:solidFill>
        <a:ln w="12700" cap="flat" cmpd="sng" algn="ctr">
          <a:solidFill>
            <a:srgbClr val="ED7D31">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8C46AA54-9B7D-478D-A210-45C2854A7DFE}">
      <dsp:nvSpPr>
        <dsp:cNvPr id="0" name=""/>
        <dsp:cNvSpPr/>
      </dsp:nvSpPr>
      <dsp:spPr>
        <a:xfrm>
          <a:off x="722651" y="862061"/>
          <a:ext cx="4832139" cy="430793"/>
        </a:xfrm>
        <a:prstGeom prst="rect">
          <a:avLst/>
        </a:prstGeom>
        <a:solidFill>
          <a:srgbClr val="ED7D31">
            <a:hueOff val="-242561"/>
            <a:satOff val="-13988"/>
            <a:lumOff val="1438"/>
            <a:alphaOff val="0"/>
          </a:srgbClr>
        </a:solidFill>
        <a:ln w="3175"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1943" tIns="25400" rIns="25400" bIns="25400" numCol="1" spcCol="1270" anchor="ctr" anchorCtr="0">
          <a:noAutofit/>
        </a:bodyPr>
        <a:lstStyle/>
        <a:p>
          <a:pPr marL="0" lvl="0" indent="0" algn="just" defTabSz="444500">
            <a:lnSpc>
              <a:spcPct val="90000"/>
            </a:lnSpc>
            <a:spcBef>
              <a:spcPct val="0"/>
            </a:spcBef>
            <a:spcAft>
              <a:spcPct val="35000"/>
            </a:spcAft>
            <a:buNone/>
          </a:pPr>
          <a:r>
            <a:rPr lang="es-GT" sz="1000" kern="1200">
              <a:solidFill>
                <a:sysClr val="window" lastClr="FFFFFF"/>
              </a:solidFill>
              <a:latin typeface="Times New Roman" panose="02020603050405020304" pitchFamily="18" charset="0"/>
              <a:ea typeface="+mn-ea"/>
              <a:cs typeface="Times New Roman" panose="02020603050405020304" pitchFamily="18" charset="0"/>
            </a:rPr>
            <a:t>Mejorar la calidad y eficacia de la inversión pública al elevar las posibilidades de su ejecución y evaluar su impacto</a:t>
          </a:r>
        </a:p>
      </dsp:txBody>
      <dsp:txXfrm>
        <a:off x="722651" y="862061"/>
        <a:ext cx="4832139" cy="430793"/>
      </dsp:txXfrm>
    </dsp:sp>
    <dsp:sp modelId="{FC7921AC-E4AA-4F73-98ED-8CA06A1DEFB8}">
      <dsp:nvSpPr>
        <dsp:cNvPr id="0" name=""/>
        <dsp:cNvSpPr/>
      </dsp:nvSpPr>
      <dsp:spPr>
        <a:xfrm>
          <a:off x="453404" y="808212"/>
          <a:ext cx="538492" cy="538492"/>
        </a:xfrm>
        <a:prstGeom prst="ellipse">
          <a:avLst/>
        </a:prstGeom>
        <a:solidFill>
          <a:sysClr val="window" lastClr="FFFFFF">
            <a:hueOff val="0"/>
            <a:satOff val="0"/>
            <a:lumOff val="0"/>
            <a:alphaOff val="0"/>
          </a:sysClr>
        </a:solidFill>
        <a:ln w="12700" cap="flat" cmpd="sng" algn="ctr">
          <a:solidFill>
            <a:srgbClr val="ED7D31">
              <a:hueOff val="-242561"/>
              <a:satOff val="-13988"/>
              <a:lumOff val="1438"/>
              <a:alphaOff val="0"/>
            </a:srgbClr>
          </a:solidFill>
          <a:prstDash val="solid"/>
          <a:miter lim="800000"/>
        </a:ln>
        <a:effectLst/>
      </dsp:spPr>
      <dsp:style>
        <a:lnRef idx="2">
          <a:scrgbClr r="0" g="0" b="0"/>
        </a:lnRef>
        <a:fillRef idx="1">
          <a:scrgbClr r="0" g="0" b="0"/>
        </a:fillRef>
        <a:effectRef idx="0">
          <a:scrgbClr r="0" g="0" b="0"/>
        </a:effectRef>
        <a:fontRef idx="minor"/>
      </dsp:style>
    </dsp:sp>
    <dsp:sp modelId="{EC3AC762-2E6D-4A33-9385-0D1865E47C8A}">
      <dsp:nvSpPr>
        <dsp:cNvPr id="0" name=""/>
        <dsp:cNvSpPr/>
      </dsp:nvSpPr>
      <dsp:spPr>
        <a:xfrm>
          <a:off x="936436" y="1508157"/>
          <a:ext cx="4618354" cy="430793"/>
        </a:xfrm>
        <a:prstGeom prst="rect">
          <a:avLst/>
        </a:prstGeom>
        <a:solidFill>
          <a:srgbClr val="ED7D31">
            <a:hueOff val="-485121"/>
            <a:satOff val="-27976"/>
            <a:lumOff val="2876"/>
            <a:alphaOff val="0"/>
          </a:srgbClr>
        </a:solidFill>
        <a:ln w="3175"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1943" tIns="25400" rIns="25400" bIns="25400" numCol="1" spcCol="1270" anchor="ctr" anchorCtr="0">
          <a:noAutofit/>
        </a:bodyPr>
        <a:lstStyle/>
        <a:p>
          <a:pPr marL="0" lvl="0" indent="0" algn="l" defTabSz="444500">
            <a:lnSpc>
              <a:spcPct val="90000"/>
            </a:lnSpc>
            <a:spcBef>
              <a:spcPct val="0"/>
            </a:spcBef>
            <a:spcAft>
              <a:spcPct val="35000"/>
            </a:spcAft>
            <a:buNone/>
          </a:pPr>
          <a:r>
            <a:rPr lang="es-GT" sz="1000" kern="1200">
              <a:solidFill>
                <a:sysClr val="window" lastClr="FFFFFF"/>
              </a:solidFill>
              <a:latin typeface="Times New Roman" panose="02020603050405020304" pitchFamily="18" charset="0"/>
              <a:ea typeface="+mn-ea"/>
              <a:cs typeface="Times New Roman" panose="02020603050405020304" pitchFamily="18" charset="0"/>
            </a:rPr>
            <a:t>Fortalecer los vínculos entre la inversión y la programación de las finanzas públicas.</a:t>
          </a:r>
        </a:p>
      </dsp:txBody>
      <dsp:txXfrm>
        <a:off x="936436" y="1508157"/>
        <a:ext cx="4618354" cy="430793"/>
      </dsp:txXfrm>
    </dsp:sp>
    <dsp:sp modelId="{CE982E15-D333-4611-B6A0-2E5DB7697030}">
      <dsp:nvSpPr>
        <dsp:cNvPr id="0" name=""/>
        <dsp:cNvSpPr/>
      </dsp:nvSpPr>
      <dsp:spPr>
        <a:xfrm>
          <a:off x="667190" y="1454308"/>
          <a:ext cx="538492" cy="538492"/>
        </a:xfrm>
        <a:prstGeom prst="ellipse">
          <a:avLst/>
        </a:prstGeom>
        <a:solidFill>
          <a:sysClr val="window" lastClr="FFFFFF">
            <a:hueOff val="0"/>
            <a:satOff val="0"/>
            <a:lumOff val="0"/>
            <a:alphaOff val="0"/>
          </a:sysClr>
        </a:solidFill>
        <a:ln w="12700" cap="flat" cmpd="sng" algn="ctr">
          <a:solidFill>
            <a:srgbClr val="ED7D31">
              <a:hueOff val="-485121"/>
              <a:satOff val="-27976"/>
              <a:lumOff val="2876"/>
              <a:alphaOff val="0"/>
            </a:srgbClr>
          </a:solidFill>
          <a:prstDash val="solid"/>
          <a:miter lim="800000"/>
        </a:ln>
        <a:effectLst/>
      </dsp:spPr>
      <dsp:style>
        <a:lnRef idx="2">
          <a:scrgbClr r="0" g="0" b="0"/>
        </a:lnRef>
        <a:fillRef idx="1">
          <a:scrgbClr r="0" g="0" b="0"/>
        </a:fillRef>
        <a:effectRef idx="0">
          <a:scrgbClr r="0" g="0" b="0"/>
        </a:effectRef>
        <a:fontRef idx="minor"/>
      </dsp:style>
    </dsp:sp>
    <dsp:sp modelId="{B52800F8-B91F-4E23-B516-3F6434B11DB4}">
      <dsp:nvSpPr>
        <dsp:cNvPr id="0" name=""/>
        <dsp:cNvSpPr/>
      </dsp:nvSpPr>
      <dsp:spPr>
        <a:xfrm>
          <a:off x="1004695" y="2154728"/>
          <a:ext cx="4550094" cy="430793"/>
        </a:xfrm>
        <a:prstGeom prst="rect">
          <a:avLst/>
        </a:prstGeom>
        <a:solidFill>
          <a:srgbClr val="ED7D31">
            <a:hueOff val="-727682"/>
            <a:satOff val="-41964"/>
            <a:lumOff val="4314"/>
            <a:alphaOff val="0"/>
          </a:srgbClr>
        </a:solidFill>
        <a:ln w="3175"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1943" tIns="25400" rIns="25400" bIns="25400" numCol="1" spcCol="1270" anchor="ctr" anchorCtr="0">
          <a:noAutofit/>
        </a:bodyPr>
        <a:lstStyle/>
        <a:p>
          <a:pPr marL="0" lvl="0" indent="0" algn="just" defTabSz="444500">
            <a:lnSpc>
              <a:spcPct val="90000"/>
            </a:lnSpc>
            <a:spcBef>
              <a:spcPct val="0"/>
            </a:spcBef>
            <a:spcAft>
              <a:spcPct val="35000"/>
            </a:spcAft>
            <a:buNone/>
          </a:pPr>
          <a:r>
            <a:rPr lang="es-GT" sz="1000" kern="1200">
              <a:solidFill>
                <a:sysClr val="window" lastClr="FFFFFF"/>
              </a:solidFill>
              <a:latin typeface="Times New Roman" panose="02020603050405020304" pitchFamily="18" charset="0"/>
              <a:ea typeface="+mn-ea"/>
              <a:cs typeface="Times New Roman" panose="02020603050405020304" pitchFamily="18" charset="0"/>
            </a:rPr>
            <a:t>Facilitar la coordinación intersectorial, interinstitucional y regional de la inversión</a:t>
          </a:r>
        </a:p>
      </dsp:txBody>
      <dsp:txXfrm>
        <a:off x="1004695" y="2154728"/>
        <a:ext cx="4550094" cy="430793"/>
      </dsp:txXfrm>
    </dsp:sp>
    <dsp:sp modelId="{8A204C66-13FF-4E4E-B44D-21C75536E87D}">
      <dsp:nvSpPr>
        <dsp:cNvPr id="0" name=""/>
        <dsp:cNvSpPr/>
      </dsp:nvSpPr>
      <dsp:spPr>
        <a:xfrm>
          <a:off x="735449" y="2100878"/>
          <a:ext cx="538492" cy="538492"/>
        </a:xfrm>
        <a:prstGeom prst="ellipse">
          <a:avLst/>
        </a:prstGeom>
        <a:solidFill>
          <a:sysClr val="window" lastClr="FFFFFF">
            <a:hueOff val="0"/>
            <a:satOff val="0"/>
            <a:lumOff val="0"/>
            <a:alphaOff val="0"/>
          </a:sysClr>
        </a:solidFill>
        <a:ln w="12700" cap="flat" cmpd="sng" algn="ctr">
          <a:solidFill>
            <a:srgbClr val="ED7D31">
              <a:hueOff val="-727682"/>
              <a:satOff val="-41964"/>
              <a:lumOff val="4314"/>
              <a:alphaOff val="0"/>
            </a:srgbClr>
          </a:solidFill>
          <a:prstDash val="solid"/>
          <a:miter lim="800000"/>
        </a:ln>
        <a:effectLst/>
      </dsp:spPr>
      <dsp:style>
        <a:lnRef idx="2">
          <a:scrgbClr r="0" g="0" b="0"/>
        </a:lnRef>
        <a:fillRef idx="1">
          <a:scrgbClr r="0" g="0" b="0"/>
        </a:fillRef>
        <a:effectRef idx="0">
          <a:scrgbClr r="0" g="0" b="0"/>
        </a:effectRef>
        <a:fontRef idx="minor"/>
      </dsp:style>
    </dsp:sp>
    <dsp:sp modelId="{0B5986E8-F523-4A41-BB24-4D2890D61D35}">
      <dsp:nvSpPr>
        <dsp:cNvPr id="0" name=""/>
        <dsp:cNvSpPr/>
      </dsp:nvSpPr>
      <dsp:spPr>
        <a:xfrm>
          <a:off x="936436" y="2801298"/>
          <a:ext cx="4618354" cy="430793"/>
        </a:xfrm>
        <a:prstGeom prst="rect">
          <a:avLst/>
        </a:prstGeom>
        <a:solidFill>
          <a:srgbClr val="ED7D31">
            <a:hueOff val="-970242"/>
            <a:satOff val="-55952"/>
            <a:lumOff val="5752"/>
            <a:alphaOff val="0"/>
          </a:srgbClr>
        </a:solidFill>
        <a:ln w="3175"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1943" tIns="25400" rIns="25400" bIns="25400" numCol="1" spcCol="1270" anchor="ctr" anchorCtr="0">
          <a:noAutofit/>
        </a:bodyPr>
        <a:lstStyle/>
        <a:p>
          <a:pPr marL="0" lvl="0" indent="0" algn="just" defTabSz="444500">
            <a:lnSpc>
              <a:spcPct val="90000"/>
            </a:lnSpc>
            <a:spcBef>
              <a:spcPct val="0"/>
            </a:spcBef>
            <a:spcAft>
              <a:spcPct val="35000"/>
            </a:spcAft>
            <a:buNone/>
          </a:pPr>
          <a:r>
            <a:rPr lang="es-GT" sz="1000" kern="1200">
              <a:solidFill>
                <a:sysClr val="window" lastClr="FFFFFF"/>
              </a:solidFill>
              <a:latin typeface="Times New Roman" panose="02020603050405020304" pitchFamily="18" charset="0"/>
              <a:ea typeface="+mn-ea"/>
              <a:cs typeface="Times New Roman" panose="02020603050405020304" pitchFamily="18" charset="0"/>
            </a:rPr>
            <a:t>Orientar las actividades de pre inversión con pertinencia en los objetivos de la política pública.</a:t>
          </a:r>
        </a:p>
      </dsp:txBody>
      <dsp:txXfrm>
        <a:off x="936436" y="2801298"/>
        <a:ext cx="4618354" cy="430793"/>
      </dsp:txXfrm>
    </dsp:sp>
    <dsp:sp modelId="{7984B5BF-0F19-4F09-AAFA-BC577584447C}">
      <dsp:nvSpPr>
        <dsp:cNvPr id="0" name=""/>
        <dsp:cNvSpPr/>
      </dsp:nvSpPr>
      <dsp:spPr>
        <a:xfrm>
          <a:off x="667190" y="2747448"/>
          <a:ext cx="538492" cy="538492"/>
        </a:xfrm>
        <a:prstGeom prst="ellipse">
          <a:avLst/>
        </a:prstGeom>
        <a:solidFill>
          <a:sysClr val="window" lastClr="FFFFFF">
            <a:hueOff val="0"/>
            <a:satOff val="0"/>
            <a:lumOff val="0"/>
            <a:alphaOff val="0"/>
          </a:sysClr>
        </a:solidFill>
        <a:ln w="12700" cap="flat" cmpd="sng" algn="ctr">
          <a:solidFill>
            <a:srgbClr val="ED7D31">
              <a:hueOff val="-970242"/>
              <a:satOff val="-55952"/>
              <a:lumOff val="5752"/>
              <a:alphaOff val="0"/>
            </a:srgbClr>
          </a:solidFill>
          <a:prstDash val="solid"/>
          <a:miter lim="800000"/>
        </a:ln>
        <a:effectLst/>
      </dsp:spPr>
      <dsp:style>
        <a:lnRef idx="2">
          <a:scrgbClr r="0" g="0" b="0"/>
        </a:lnRef>
        <a:fillRef idx="1">
          <a:scrgbClr r="0" g="0" b="0"/>
        </a:fillRef>
        <a:effectRef idx="0">
          <a:scrgbClr r="0" g="0" b="0"/>
        </a:effectRef>
        <a:fontRef idx="minor"/>
      </dsp:style>
    </dsp:sp>
    <dsp:sp modelId="{4D9B1178-4537-4847-8469-1FE15BE48C4C}">
      <dsp:nvSpPr>
        <dsp:cNvPr id="0" name=""/>
        <dsp:cNvSpPr/>
      </dsp:nvSpPr>
      <dsp:spPr>
        <a:xfrm>
          <a:off x="722651" y="3447394"/>
          <a:ext cx="4832139" cy="430793"/>
        </a:xfrm>
        <a:prstGeom prst="rect">
          <a:avLst/>
        </a:prstGeom>
        <a:solidFill>
          <a:srgbClr val="ED7D31">
            <a:hueOff val="-1212803"/>
            <a:satOff val="-69940"/>
            <a:lumOff val="7190"/>
            <a:alphaOff val="0"/>
          </a:srgbClr>
        </a:solidFill>
        <a:ln w="3175"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1943" tIns="25400" rIns="25400" bIns="25400" numCol="1" spcCol="1270" anchor="ctr" anchorCtr="0">
          <a:noAutofit/>
        </a:bodyPr>
        <a:lstStyle/>
        <a:p>
          <a:pPr marL="0" lvl="0" indent="0" algn="just" defTabSz="444500">
            <a:lnSpc>
              <a:spcPct val="90000"/>
            </a:lnSpc>
            <a:spcBef>
              <a:spcPct val="0"/>
            </a:spcBef>
            <a:spcAft>
              <a:spcPct val="35000"/>
            </a:spcAft>
            <a:buNone/>
          </a:pPr>
          <a:r>
            <a:rPr lang="es-GT" sz="1000" kern="1200">
              <a:solidFill>
                <a:sysClr val="window" lastClr="FFFFFF"/>
              </a:solidFill>
              <a:latin typeface="Times New Roman" panose="02020603050405020304" pitchFamily="18" charset="0"/>
              <a:ea typeface="+mn-ea"/>
              <a:cs typeface="Times New Roman" panose="02020603050405020304" pitchFamily="18" charset="0"/>
            </a:rPr>
            <a:t>Sentar la base para retroalimentar, en términos de inversión pública, la política socioeconómica.</a:t>
          </a:r>
        </a:p>
      </dsp:txBody>
      <dsp:txXfrm>
        <a:off x="722651" y="3447394"/>
        <a:ext cx="4832139" cy="430793"/>
      </dsp:txXfrm>
    </dsp:sp>
    <dsp:sp modelId="{47835778-E539-4D1A-BCB9-1009C3E6D5C8}">
      <dsp:nvSpPr>
        <dsp:cNvPr id="0" name=""/>
        <dsp:cNvSpPr/>
      </dsp:nvSpPr>
      <dsp:spPr>
        <a:xfrm>
          <a:off x="453404" y="3393544"/>
          <a:ext cx="538492" cy="538492"/>
        </a:xfrm>
        <a:prstGeom prst="ellipse">
          <a:avLst/>
        </a:prstGeom>
        <a:solidFill>
          <a:sysClr val="window" lastClr="FFFFFF">
            <a:hueOff val="0"/>
            <a:satOff val="0"/>
            <a:lumOff val="0"/>
            <a:alphaOff val="0"/>
          </a:sysClr>
        </a:solidFill>
        <a:ln w="12700" cap="flat" cmpd="sng" algn="ctr">
          <a:solidFill>
            <a:srgbClr val="ED7D31">
              <a:hueOff val="-1212803"/>
              <a:satOff val="-69940"/>
              <a:lumOff val="7190"/>
              <a:alphaOff val="0"/>
            </a:srgbClr>
          </a:solidFill>
          <a:prstDash val="solid"/>
          <a:miter lim="800000"/>
        </a:ln>
        <a:effectLst/>
      </dsp:spPr>
      <dsp:style>
        <a:lnRef idx="2">
          <a:scrgbClr r="0" g="0" b="0"/>
        </a:lnRef>
        <a:fillRef idx="1">
          <a:scrgbClr r="0" g="0" b="0"/>
        </a:fillRef>
        <a:effectRef idx="0">
          <a:scrgbClr r="0" g="0" b="0"/>
        </a:effectRef>
        <a:fontRef idx="minor"/>
      </dsp:style>
    </dsp:sp>
    <dsp:sp modelId="{88423B43-101C-4009-A261-CCE3F6F6AF01}">
      <dsp:nvSpPr>
        <dsp:cNvPr id="0" name=""/>
        <dsp:cNvSpPr/>
      </dsp:nvSpPr>
      <dsp:spPr>
        <a:xfrm>
          <a:off x="332528" y="4093964"/>
          <a:ext cx="5222262" cy="430793"/>
        </a:xfrm>
        <a:prstGeom prst="rect">
          <a:avLst/>
        </a:prstGeom>
        <a:solidFill>
          <a:srgbClr val="ED7D31">
            <a:hueOff val="-1455363"/>
            <a:satOff val="-83928"/>
            <a:lumOff val="8628"/>
            <a:alphaOff val="0"/>
          </a:srgbClr>
        </a:solidFill>
        <a:ln w="3175"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1943" tIns="25400" rIns="25400" bIns="25400" numCol="1" spcCol="1270" anchor="ctr" anchorCtr="0">
          <a:noAutofit/>
        </a:bodyPr>
        <a:lstStyle/>
        <a:p>
          <a:pPr marL="0" lvl="0" indent="0" algn="l" defTabSz="444500">
            <a:lnSpc>
              <a:spcPct val="90000"/>
            </a:lnSpc>
            <a:spcBef>
              <a:spcPct val="0"/>
            </a:spcBef>
            <a:spcAft>
              <a:spcPct val="35000"/>
            </a:spcAft>
            <a:buNone/>
          </a:pPr>
          <a:r>
            <a:rPr lang="es-GT" sz="1000" kern="1200">
              <a:solidFill>
                <a:sysClr val="window" lastClr="FFFFFF"/>
              </a:solidFill>
              <a:latin typeface="Times New Roman" panose="02020603050405020304" pitchFamily="18" charset="0"/>
              <a:ea typeface="+mn-ea"/>
              <a:cs typeface="Times New Roman" panose="02020603050405020304" pitchFamily="18" charset="0"/>
            </a:rPr>
            <a:t>Jerarquizar y priorizar el financiamiento de los proyectos que den respuesta a las necesidades sectoriales y regionales más apremiantes (brechas de infraestructura social y económica).</a:t>
          </a:r>
        </a:p>
      </dsp:txBody>
      <dsp:txXfrm>
        <a:off x="332528" y="4093964"/>
        <a:ext cx="5222262" cy="430793"/>
      </dsp:txXfrm>
    </dsp:sp>
    <dsp:sp modelId="{0A4C2D18-CB36-4F9C-866C-63CD631CB65C}">
      <dsp:nvSpPr>
        <dsp:cNvPr id="0" name=""/>
        <dsp:cNvSpPr/>
      </dsp:nvSpPr>
      <dsp:spPr>
        <a:xfrm>
          <a:off x="63282" y="4040115"/>
          <a:ext cx="538492" cy="538492"/>
        </a:xfrm>
        <a:prstGeom prst="ellipse">
          <a:avLst/>
        </a:prstGeom>
        <a:solidFill>
          <a:sysClr val="window" lastClr="FFFFFF">
            <a:hueOff val="0"/>
            <a:satOff val="0"/>
            <a:lumOff val="0"/>
            <a:alphaOff val="0"/>
          </a:sysClr>
        </a:solidFill>
        <a:ln w="12700" cap="flat" cmpd="sng" algn="ctr">
          <a:solidFill>
            <a:srgbClr val="ED7D31">
              <a:hueOff val="-1455363"/>
              <a:satOff val="-83928"/>
              <a:lumOff val="8628"/>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1E5B69-FF44-4818-B3B3-4F6D292A0BC5}">
      <dsp:nvSpPr>
        <dsp:cNvPr id="0" name=""/>
        <dsp:cNvSpPr/>
      </dsp:nvSpPr>
      <dsp:spPr>
        <a:xfrm>
          <a:off x="3215230" y="1827423"/>
          <a:ext cx="174969" cy="188092"/>
        </a:xfrm>
        <a:custGeom>
          <a:avLst/>
          <a:gdLst/>
          <a:ahLst/>
          <a:cxnLst/>
          <a:rect l="0" t="0" r="0" b="0"/>
          <a:pathLst>
            <a:path>
              <a:moveTo>
                <a:pt x="0" y="0"/>
              </a:moveTo>
              <a:lnTo>
                <a:pt x="87432" y="0"/>
              </a:lnTo>
              <a:lnTo>
                <a:pt x="87432" y="187980"/>
              </a:lnTo>
              <a:lnTo>
                <a:pt x="174865" y="187980"/>
              </a:lnTo>
            </a:path>
          </a:pathLst>
        </a:custGeom>
        <a:noFill/>
        <a:ln w="12700" cap="flat" cmpd="sng" algn="ctr">
          <a:solidFill>
            <a:srgbClr val="5B9BD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D70C387-B693-436A-B055-E34D5BD2CA6F}">
      <dsp:nvSpPr>
        <dsp:cNvPr id="0" name=""/>
        <dsp:cNvSpPr/>
      </dsp:nvSpPr>
      <dsp:spPr>
        <a:xfrm>
          <a:off x="4265046" y="1639331"/>
          <a:ext cx="174969" cy="188092"/>
        </a:xfrm>
        <a:custGeom>
          <a:avLst/>
          <a:gdLst/>
          <a:ahLst/>
          <a:cxnLst/>
          <a:rect l="0" t="0" r="0" b="0"/>
          <a:pathLst>
            <a:path>
              <a:moveTo>
                <a:pt x="0" y="0"/>
              </a:moveTo>
              <a:lnTo>
                <a:pt x="87432" y="0"/>
              </a:lnTo>
              <a:lnTo>
                <a:pt x="87432" y="187980"/>
              </a:lnTo>
              <a:lnTo>
                <a:pt x="174865" y="187980"/>
              </a:lnTo>
            </a:path>
          </a:pathLst>
        </a:custGeom>
        <a:noFill/>
        <a:ln w="12700" cap="flat" cmpd="sng" algn="ctr">
          <a:solidFill>
            <a:srgbClr val="5B9BD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A223E9C-FBE6-4338-A105-A106869441DC}">
      <dsp:nvSpPr>
        <dsp:cNvPr id="0" name=""/>
        <dsp:cNvSpPr/>
      </dsp:nvSpPr>
      <dsp:spPr>
        <a:xfrm>
          <a:off x="4265046" y="1451239"/>
          <a:ext cx="174969" cy="188092"/>
        </a:xfrm>
        <a:custGeom>
          <a:avLst/>
          <a:gdLst/>
          <a:ahLst/>
          <a:cxnLst/>
          <a:rect l="0" t="0" r="0" b="0"/>
          <a:pathLst>
            <a:path>
              <a:moveTo>
                <a:pt x="0" y="187980"/>
              </a:moveTo>
              <a:lnTo>
                <a:pt x="87432" y="187980"/>
              </a:lnTo>
              <a:lnTo>
                <a:pt x="87432" y="0"/>
              </a:lnTo>
              <a:lnTo>
                <a:pt x="174865" y="0"/>
              </a:lnTo>
            </a:path>
          </a:pathLst>
        </a:custGeom>
        <a:noFill/>
        <a:ln w="12700" cap="flat" cmpd="sng" algn="ctr">
          <a:solidFill>
            <a:srgbClr val="5B9BD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6A81296-56FD-47B7-B3D9-9CE5D47FC1CE}">
      <dsp:nvSpPr>
        <dsp:cNvPr id="0" name=""/>
        <dsp:cNvSpPr/>
      </dsp:nvSpPr>
      <dsp:spPr>
        <a:xfrm>
          <a:off x="3215230" y="1639331"/>
          <a:ext cx="174969" cy="188092"/>
        </a:xfrm>
        <a:custGeom>
          <a:avLst/>
          <a:gdLst/>
          <a:ahLst/>
          <a:cxnLst/>
          <a:rect l="0" t="0" r="0" b="0"/>
          <a:pathLst>
            <a:path>
              <a:moveTo>
                <a:pt x="0" y="187980"/>
              </a:moveTo>
              <a:lnTo>
                <a:pt x="87432" y="187980"/>
              </a:lnTo>
              <a:lnTo>
                <a:pt x="87432" y="0"/>
              </a:lnTo>
              <a:lnTo>
                <a:pt x="174865" y="0"/>
              </a:lnTo>
            </a:path>
          </a:pathLst>
        </a:custGeom>
        <a:noFill/>
        <a:ln w="12700" cap="flat" cmpd="sng" algn="ctr">
          <a:solidFill>
            <a:srgbClr val="5B9BD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528BD30-3E14-484B-81DD-661B608069B0}">
      <dsp:nvSpPr>
        <dsp:cNvPr id="0" name=""/>
        <dsp:cNvSpPr/>
      </dsp:nvSpPr>
      <dsp:spPr>
        <a:xfrm>
          <a:off x="2188405" y="1639331"/>
          <a:ext cx="151978" cy="188092"/>
        </a:xfrm>
        <a:custGeom>
          <a:avLst/>
          <a:gdLst/>
          <a:ahLst/>
          <a:cxnLst/>
          <a:rect l="0" t="0" r="0" b="0"/>
          <a:pathLst>
            <a:path>
              <a:moveTo>
                <a:pt x="0" y="0"/>
              </a:moveTo>
              <a:lnTo>
                <a:pt x="64455" y="0"/>
              </a:lnTo>
              <a:lnTo>
                <a:pt x="64455" y="187980"/>
              </a:lnTo>
              <a:lnTo>
                <a:pt x="151887" y="187980"/>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FA0E9B9-D6DD-4B25-98BE-3A33D3B48ADC}">
      <dsp:nvSpPr>
        <dsp:cNvPr id="0" name=""/>
        <dsp:cNvSpPr/>
      </dsp:nvSpPr>
      <dsp:spPr>
        <a:xfrm>
          <a:off x="2188405" y="1451239"/>
          <a:ext cx="151978" cy="188092"/>
        </a:xfrm>
        <a:custGeom>
          <a:avLst/>
          <a:gdLst/>
          <a:ahLst/>
          <a:cxnLst/>
          <a:rect l="0" t="0" r="0" b="0"/>
          <a:pathLst>
            <a:path>
              <a:moveTo>
                <a:pt x="0" y="187980"/>
              </a:moveTo>
              <a:lnTo>
                <a:pt x="64455" y="187980"/>
              </a:lnTo>
              <a:lnTo>
                <a:pt x="64455" y="0"/>
              </a:lnTo>
              <a:lnTo>
                <a:pt x="151887" y="0"/>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BF4DE84-CDE1-4559-B9C5-A7E0DB11BAEE}">
      <dsp:nvSpPr>
        <dsp:cNvPr id="0" name=""/>
        <dsp:cNvSpPr/>
      </dsp:nvSpPr>
      <dsp:spPr>
        <a:xfrm>
          <a:off x="1115598" y="1169101"/>
          <a:ext cx="197960" cy="470230"/>
        </a:xfrm>
        <a:custGeom>
          <a:avLst/>
          <a:gdLst/>
          <a:ahLst/>
          <a:cxnLst/>
          <a:rect l="0" t="0" r="0" b="0"/>
          <a:pathLst>
            <a:path>
              <a:moveTo>
                <a:pt x="0" y="0"/>
              </a:moveTo>
              <a:lnTo>
                <a:pt x="110409" y="0"/>
              </a:lnTo>
              <a:lnTo>
                <a:pt x="110409" y="469950"/>
              </a:lnTo>
              <a:lnTo>
                <a:pt x="197842" y="469950"/>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FE86B7E-2210-4B31-94FC-022235CBEBAF}">
      <dsp:nvSpPr>
        <dsp:cNvPr id="0" name=""/>
        <dsp:cNvSpPr/>
      </dsp:nvSpPr>
      <dsp:spPr>
        <a:xfrm>
          <a:off x="2187294" y="742633"/>
          <a:ext cx="153089" cy="332421"/>
        </a:xfrm>
        <a:custGeom>
          <a:avLst/>
          <a:gdLst/>
          <a:ahLst/>
          <a:cxnLst/>
          <a:rect l="0" t="0" r="0" b="0"/>
          <a:pathLst>
            <a:path>
              <a:moveTo>
                <a:pt x="0" y="0"/>
              </a:moveTo>
              <a:lnTo>
                <a:pt x="65565" y="0"/>
              </a:lnTo>
              <a:lnTo>
                <a:pt x="65565" y="332223"/>
              </a:lnTo>
              <a:lnTo>
                <a:pt x="152998" y="332223"/>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590DF14-4555-4653-B2A5-EC57F25B4580}">
      <dsp:nvSpPr>
        <dsp:cNvPr id="0" name=""/>
        <dsp:cNvSpPr/>
      </dsp:nvSpPr>
      <dsp:spPr>
        <a:xfrm>
          <a:off x="2187294" y="653150"/>
          <a:ext cx="153089" cy="91440"/>
        </a:xfrm>
        <a:custGeom>
          <a:avLst/>
          <a:gdLst/>
          <a:ahLst/>
          <a:cxnLst/>
          <a:rect l="0" t="0" r="0" b="0"/>
          <a:pathLst>
            <a:path>
              <a:moveTo>
                <a:pt x="0" y="89456"/>
              </a:moveTo>
              <a:lnTo>
                <a:pt x="65565" y="89456"/>
              </a:lnTo>
              <a:lnTo>
                <a:pt x="65565" y="45720"/>
              </a:lnTo>
              <a:lnTo>
                <a:pt x="152998" y="45720"/>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679104F-1A26-4774-9A3C-6239A6C532C8}">
      <dsp:nvSpPr>
        <dsp:cNvPr id="0" name=""/>
        <dsp:cNvSpPr/>
      </dsp:nvSpPr>
      <dsp:spPr>
        <a:xfrm>
          <a:off x="3215230" y="322686"/>
          <a:ext cx="174969" cy="188092"/>
        </a:xfrm>
        <a:custGeom>
          <a:avLst/>
          <a:gdLst/>
          <a:ahLst/>
          <a:cxnLst/>
          <a:rect l="0" t="0" r="0" b="0"/>
          <a:pathLst>
            <a:path>
              <a:moveTo>
                <a:pt x="0" y="0"/>
              </a:moveTo>
              <a:lnTo>
                <a:pt x="87432" y="0"/>
              </a:lnTo>
              <a:lnTo>
                <a:pt x="87432" y="187980"/>
              </a:lnTo>
              <a:lnTo>
                <a:pt x="174865" y="187980"/>
              </a:lnTo>
            </a:path>
          </a:pathLst>
        </a:custGeom>
        <a:noFill/>
        <a:ln w="12700" cap="flat" cmpd="sng" algn="ctr">
          <a:solidFill>
            <a:srgbClr val="5B9BD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B408CD7-063E-4396-A87B-24CB4997EAA6}">
      <dsp:nvSpPr>
        <dsp:cNvPr id="0" name=""/>
        <dsp:cNvSpPr/>
      </dsp:nvSpPr>
      <dsp:spPr>
        <a:xfrm>
          <a:off x="3215230" y="157414"/>
          <a:ext cx="174969" cy="165272"/>
        </a:xfrm>
        <a:custGeom>
          <a:avLst/>
          <a:gdLst/>
          <a:ahLst/>
          <a:cxnLst/>
          <a:rect l="0" t="0" r="0" b="0"/>
          <a:pathLst>
            <a:path>
              <a:moveTo>
                <a:pt x="0" y="165174"/>
              </a:moveTo>
              <a:lnTo>
                <a:pt x="87432" y="165174"/>
              </a:lnTo>
              <a:lnTo>
                <a:pt x="87432" y="0"/>
              </a:lnTo>
              <a:lnTo>
                <a:pt x="174865" y="0"/>
              </a:lnTo>
            </a:path>
          </a:pathLst>
        </a:custGeom>
        <a:noFill/>
        <a:ln w="12700" cap="flat" cmpd="sng" algn="ctr">
          <a:solidFill>
            <a:srgbClr val="5B9BD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A6CECDF-39CF-475E-A21B-E1FC4508ACC6}">
      <dsp:nvSpPr>
        <dsp:cNvPr id="0" name=""/>
        <dsp:cNvSpPr/>
      </dsp:nvSpPr>
      <dsp:spPr>
        <a:xfrm>
          <a:off x="2187294" y="322686"/>
          <a:ext cx="153089" cy="419946"/>
        </a:xfrm>
        <a:custGeom>
          <a:avLst/>
          <a:gdLst/>
          <a:ahLst/>
          <a:cxnLst/>
          <a:rect l="0" t="0" r="0" b="0"/>
          <a:pathLst>
            <a:path>
              <a:moveTo>
                <a:pt x="0" y="419696"/>
              </a:moveTo>
              <a:lnTo>
                <a:pt x="65565" y="419696"/>
              </a:lnTo>
              <a:lnTo>
                <a:pt x="65565" y="0"/>
              </a:lnTo>
              <a:lnTo>
                <a:pt x="152998" y="0"/>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DAC3CED-1027-4BBC-B944-55C01DF9EF65}">
      <dsp:nvSpPr>
        <dsp:cNvPr id="0" name=""/>
        <dsp:cNvSpPr/>
      </dsp:nvSpPr>
      <dsp:spPr>
        <a:xfrm>
          <a:off x="1115598" y="742633"/>
          <a:ext cx="196849" cy="426467"/>
        </a:xfrm>
        <a:custGeom>
          <a:avLst/>
          <a:gdLst/>
          <a:ahLst/>
          <a:cxnLst/>
          <a:rect l="0" t="0" r="0" b="0"/>
          <a:pathLst>
            <a:path>
              <a:moveTo>
                <a:pt x="0" y="426213"/>
              </a:moveTo>
              <a:lnTo>
                <a:pt x="109299" y="426213"/>
              </a:lnTo>
              <a:lnTo>
                <a:pt x="109299" y="0"/>
              </a:lnTo>
              <a:lnTo>
                <a:pt x="196732" y="0"/>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18B77E1-D918-44F8-9EFB-9C8FFAF46C71}">
      <dsp:nvSpPr>
        <dsp:cNvPr id="0" name=""/>
        <dsp:cNvSpPr/>
      </dsp:nvSpPr>
      <dsp:spPr>
        <a:xfrm>
          <a:off x="240752" y="1035686"/>
          <a:ext cx="874846" cy="266828"/>
        </a:xfrm>
        <a:prstGeom prst="rect">
          <a:avLst/>
        </a:prstGeom>
        <a:solidFill>
          <a:srgbClr val="A5A5A5">
            <a:hueOff val="0"/>
            <a:satOff val="0"/>
            <a:lumOff val="0"/>
            <a:alphaOff val="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ysClr val="window" lastClr="FFFFFF"/>
              </a:solidFill>
              <a:latin typeface="Times New Roman" panose="02020603050405020304" pitchFamily="18" charset="0"/>
              <a:ea typeface="+mn-ea"/>
              <a:cs typeface="Times New Roman" panose="02020603050405020304" pitchFamily="18" charset="0"/>
            </a:rPr>
            <a:t>Sector Público</a:t>
          </a:r>
        </a:p>
      </dsp:txBody>
      <dsp:txXfrm>
        <a:off x="240752" y="1035686"/>
        <a:ext cx="874846" cy="266828"/>
      </dsp:txXfrm>
    </dsp:sp>
    <dsp:sp modelId="{C2E37E83-D23E-4766-B5FC-A0C604557FDD}">
      <dsp:nvSpPr>
        <dsp:cNvPr id="0" name=""/>
        <dsp:cNvSpPr/>
      </dsp:nvSpPr>
      <dsp:spPr>
        <a:xfrm>
          <a:off x="1312448" y="609219"/>
          <a:ext cx="874846" cy="266828"/>
        </a:xfrm>
        <a:prstGeom prst="rect">
          <a:avLst/>
        </a:prstGeom>
        <a:solidFill>
          <a:srgbClr val="4472C4">
            <a:hueOff val="0"/>
            <a:satOff val="0"/>
            <a:lumOff val="0"/>
            <a:alphaOff val="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ysClr val="window" lastClr="FFFFFF"/>
              </a:solidFill>
              <a:latin typeface="Times New Roman" panose="02020603050405020304" pitchFamily="18" charset="0"/>
              <a:ea typeface="+mn-ea"/>
              <a:cs typeface="Times New Roman" panose="02020603050405020304" pitchFamily="18" charset="0"/>
            </a:rPr>
            <a:t>Gobierno General</a:t>
          </a:r>
        </a:p>
      </dsp:txBody>
      <dsp:txXfrm>
        <a:off x="1312448" y="609219"/>
        <a:ext cx="874846" cy="266828"/>
      </dsp:txXfrm>
    </dsp:sp>
    <dsp:sp modelId="{C00D715B-C124-4542-B479-98C28121950B}">
      <dsp:nvSpPr>
        <dsp:cNvPr id="0" name=""/>
        <dsp:cNvSpPr/>
      </dsp:nvSpPr>
      <dsp:spPr>
        <a:xfrm>
          <a:off x="2340384" y="189272"/>
          <a:ext cx="874846" cy="266828"/>
        </a:xfrm>
        <a:prstGeom prst="rect">
          <a:avLst/>
        </a:prstGeom>
        <a:solidFill>
          <a:srgbClr val="70AD47">
            <a:hueOff val="0"/>
            <a:satOff val="0"/>
            <a:lumOff val="0"/>
            <a:alphaOff val="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ysClr val="window" lastClr="FFFFFF"/>
              </a:solidFill>
              <a:latin typeface="Times New Roman" panose="02020603050405020304" pitchFamily="18" charset="0"/>
              <a:ea typeface="+mn-ea"/>
              <a:cs typeface="Times New Roman" panose="02020603050405020304" pitchFamily="18" charset="0"/>
            </a:rPr>
            <a:t>Gobierno Central</a:t>
          </a:r>
        </a:p>
      </dsp:txBody>
      <dsp:txXfrm>
        <a:off x="2340384" y="189272"/>
        <a:ext cx="874846" cy="266828"/>
      </dsp:txXfrm>
    </dsp:sp>
    <dsp:sp modelId="{064AA238-DCFD-449F-A6BF-A232C90F81AE}">
      <dsp:nvSpPr>
        <dsp:cNvPr id="0" name=""/>
        <dsp:cNvSpPr/>
      </dsp:nvSpPr>
      <dsp:spPr>
        <a:xfrm>
          <a:off x="3390200" y="23999"/>
          <a:ext cx="874846" cy="266828"/>
        </a:xfrm>
        <a:prstGeom prst="rect">
          <a:avLst/>
        </a:prstGeom>
        <a:solidFill>
          <a:srgbClr val="FFC000">
            <a:lumMod val="20000"/>
            <a:lumOff val="80000"/>
          </a:srgbClr>
        </a:solidFill>
        <a:ln w="25400" cap="flat" cmpd="sng" algn="ctr">
          <a:solidFill>
            <a:srgbClr val="FF0000"/>
          </a:solidFill>
          <a:prstDash val="sysDash"/>
          <a:miter lim="800000"/>
        </a:ln>
        <a:effectLst>
          <a:outerShdw blurRad="50800" dist="38100" dir="18900000" algn="bl" rotWithShape="0">
            <a:prstClr val="black">
              <a:alpha val="40000"/>
            </a:prstClr>
          </a:outerShdw>
          <a:reflection blurRad="6350" stA="52000" endA="300" endPos="35000" dir="5400000" sy="-100000" algn="bl" rotWithShape="0"/>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ysClr val="windowText" lastClr="000000"/>
              </a:solidFill>
              <a:latin typeface="Times New Roman" panose="02020603050405020304" pitchFamily="18" charset="0"/>
              <a:ea typeface="+mn-ea"/>
              <a:cs typeface="Times New Roman" panose="02020603050405020304" pitchFamily="18" charset="0"/>
            </a:rPr>
            <a:t>Presupuestario</a:t>
          </a:r>
        </a:p>
      </dsp:txBody>
      <dsp:txXfrm>
        <a:off x="3390200" y="23999"/>
        <a:ext cx="874846" cy="266828"/>
      </dsp:txXfrm>
    </dsp:sp>
    <dsp:sp modelId="{B77273A7-CA45-4B53-89BA-E5E48B2AA818}">
      <dsp:nvSpPr>
        <dsp:cNvPr id="0" name=""/>
        <dsp:cNvSpPr/>
      </dsp:nvSpPr>
      <dsp:spPr>
        <a:xfrm>
          <a:off x="3390200" y="377364"/>
          <a:ext cx="874846" cy="266828"/>
        </a:xfrm>
        <a:prstGeom prst="rect">
          <a:avLst/>
        </a:prstGeom>
        <a:solidFill>
          <a:srgbClr val="5B9BD5">
            <a:hueOff val="0"/>
            <a:satOff val="0"/>
            <a:lumOff val="0"/>
            <a:alphaOff val="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ysClr val="window" lastClr="FFFFFF"/>
              </a:solidFill>
              <a:latin typeface="Times New Roman" panose="02020603050405020304" pitchFamily="18" charset="0"/>
              <a:ea typeface="+mn-ea"/>
              <a:cs typeface="Times New Roman" panose="02020603050405020304" pitchFamily="18" charset="0"/>
            </a:rPr>
            <a:t>Extrapresupuestario </a:t>
          </a:r>
        </a:p>
      </dsp:txBody>
      <dsp:txXfrm>
        <a:off x="3390200" y="377364"/>
        <a:ext cx="874846" cy="266828"/>
      </dsp:txXfrm>
    </dsp:sp>
    <dsp:sp modelId="{CA4DB0E3-AF48-47D0-81BE-EA86C1A8AE09}">
      <dsp:nvSpPr>
        <dsp:cNvPr id="0" name=""/>
        <dsp:cNvSpPr/>
      </dsp:nvSpPr>
      <dsp:spPr>
        <a:xfrm>
          <a:off x="2340384" y="565456"/>
          <a:ext cx="874846" cy="266828"/>
        </a:xfrm>
        <a:prstGeom prst="rect">
          <a:avLst/>
        </a:prstGeom>
        <a:solidFill>
          <a:srgbClr val="70AD47">
            <a:hueOff val="0"/>
            <a:satOff val="0"/>
            <a:lumOff val="0"/>
            <a:alphaOff val="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ysClr val="window" lastClr="FFFFFF"/>
              </a:solidFill>
              <a:latin typeface="Times New Roman" panose="02020603050405020304" pitchFamily="18" charset="0"/>
              <a:ea typeface="+mn-ea"/>
              <a:cs typeface="Times New Roman" panose="02020603050405020304" pitchFamily="18" charset="0"/>
            </a:rPr>
            <a:t>Gobierno Locales</a:t>
          </a:r>
        </a:p>
      </dsp:txBody>
      <dsp:txXfrm>
        <a:off x="2340384" y="565456"/>
        <a:ext cx="874846" cy="266828"/>
      </dsp:txXfrm>
    </dsp:sp>
    <dsp:sp modelId="{E8AE2972-A4F0-4BF3-84FA-BE7FB6D8608C}">
      <dsp:nvSpPr>
        <dsp:cNvPr id="0" name=""/>
        <dsp:cNvSpPr/>
      </dsp:nvSpPr>
      <dsp:spPr>
        <a:xfrm>
          <a:off x="2340384" y="941640"/>
          <a:ext cx="874846" cy="266828"/>
        </a:xfrm>
        <a:prstGeom prst="rect">
          <a:avLst/>
        </a:prstGeom>
        <a:solidFill>
          <a:srgbClr val="70AD47">
            <a:hueOff val="0"/>
            <a:satOff val="0"/>
            <a:lumOff val="0"/>
            <a:alphaOff val="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ysClr val="window" lastClr="FFFFFF"/>
              </a:solidFill>
              <a:latin typeface="Times New Roman" panose="02020603050405020304" pitchFamily="18" charset="0"/>
              <a:ea typeface="+mn-ea"/>
              <a:cs typeface="Times New Roman" panose="02020603050405020304" pitchFamily="18" charset="0"/>
            </a:rPr>
            <a:t>Fondos de Seguridad Social</a:t>
          </a:r>
        </a:p>
      </dsp:txBody>
      <dsp:txXfrm>
        <a:off x="2340384" y="941640"/>
        <a:ext cx="874846" cy="266828"/>
      </dsp:txXfrm>
    </dsp:sp>
    <dsp:sp modelId="{C53339F6-34CF-4143-9420-20B347D1402D}">
      <dsp:nvSpPr>
        <dsp:cNvPr id="0" name=""/>
        <dsp:cNvSpPr/>
      </dsp:nvSpPr>
      <dsp:spPr>
        <a:xfrm>
          <a:off x="1313559" y="1505916"/>
          <a:ext cx="874846" cy="266828"/>
        </a:xfrm>
        <a:prstGeom prst="rect">
          <a:avLst/>
        </a:prstGeom>
        <a:solidFill>
          <a:srgbClr val="4472C4">
            <a:hueOff val="0"/>
            <a:satOff val="0"/>
            <a:lumOff val="0"/>
            <a:alphaOff val="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ysClr val="window" lastClr="FFFFFF"/>
              </a:solidFill>
              <a:latin typeface="Times New Roman" panose="02020603050405020304" pitchFamily="18" charset="0"/>
              <a:ea typeface="+mn-ea"/>
              <a:cs typeface="Times New Roman" panose="02020603050405020304" pitchFamily="18" charset="0"/>
            </a:rPr>
            <a:t>Sociedades Públicas</a:t>
          </a:r>
        </a:p>
      </dsp:txBody>
      <dsp:txXfrm>
        <a:off x="1313559" y="1505916"/>
        <a:ext cx="874846" cy="266828"/>
      </dsp:txXfrm>
    </dsp:sp>
    <dsp:sp modelId="{E98524A6-E30C-429E-BB49-2951905627FB}">
      <dsp:nvSpPr>
        <dsp:cNvPr id="0" name=""/>
        <dsp:cNvSpPr/>
      </dsp:nvSpPr>
      <dsp:spPr>
        <a:xfrm>
          <a:off x="2340384" y="1317824"/>
          <a:ext cx="874846" cy="266828"/>
        </a:xfrm>
        <a:prstGeom prst="rect">
          <a:avLst/>
        </a:prstGeom>
        <a:solidFill>
          <a:srgbClr val="70AD47">
            <a:hueOff val="0"/>
            <a:satOff val="0"/>
            <a:lumOff val="0"/>
            <a:alphaOff val="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ysClr val="window" lastClr="FFFFFF"/>
              </a:solidFill>
              <a:latin typeface="Times New Roman" panose="02020603050405020304" pitchFamily="18" charset="0"/>
              <a:ea typeface="+mn-ea"/>
              <a:cs typeface="Times New Roman" panose="02020603050405020304" pitchFamily="18" charset="0"/>
            </a:rPr>
            <a:t>No financieras</a:t>
          </a:r>
        </a:p>
      </dsp:txBody>
      <dsp:txXfrm>
        <a:off x="2340384" y="1317824"/>
        <a:ext cx="874846" cy="266828"/>
      </dsp:txXfrm>
    </dsp:sp>
    <dsp:sp modelId="{FDAEFF29-6A7F-4B14-8172-865BFFC16BE3}">
      <dsp:nvSpPr>
        <dsp:cNvPr id="0" name=""/>
        <dsp:cNvSpPr/>
      </dsp:nvSpPr>
      <dsp:spPr>
        <a:xfrm>
          <a:off x="2340384" y="1694008"/>
          <a:ext cx="874846" cy="266828"/>
        </a:xfrm>
        <a:prstGeom prst="rect">
          <a:avLst/>
        </a:prstGeom>
        <a:solidFill>
          <a:srgbClr val="70AD47">
            <a:hueOff val="0"/>
            <a:satOff val="0"/>
            <a:lumOff val="0"/>
            <a:alphaOff val="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ysClr val="window" lastClr="FFFFFF"/>
              </a:solidFill>
              <a:latin typeface="Times New Roman" panose="02020603050405020304" pitchFamily="18" charset="0"/>
              <a:ea typeface="+mn-ea"/>
              <a:cs typeface="Times New Roman" panose="02020603050405020304" pitchFamily="18" charset="0"/>
            </a:rPr>
            <a:t>Financieras</a:t>
          </a:r>
        </a:p>
      </dsp:txBody>
      <dsp:txXfrm>
        <a:off x="2340384" y="1694008"/>
        <a:ext cx="874846" cy="266828"/>
      </dsp:txXfrm>
    </dsp:sp>
    <dsp:sp modelId="{A84E6B68-569E-4654-A0D7-2C3E0526497E}">
      <dsp:nvSpPr>
        <dsp:cNvPr id="0" name=""/>
        <dsp:cNvSpPr/>
      </dsp:nvSpPr>
      <dsp:spPr>
        <a:xfrm>
          <a:off x="3390200" y="1505916"/>
          <a:ext cx="874846" cy="266828"/>
        </a:xfrm>
        <a:prstGeom prst="rect">
          <a:avLst/>
        </a:prstGeom>
        <a:solidFill>
          <a:srgbClr val="5B9BD5">
            <a:hueOff val="0"/>
            <a:satOff val="0"/>
            <a:lumOff val="0"/>
            <a:alphaOff val="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ysClr val="window" lastClr="FFFFFF"/>
              </a:solidFill>
              <a:latin typeface="Times New Roman" panose="02020603050405020304" pitchFamily="18" charset="0"/>
              <a:ea typeface="+mn-ea"/>
              <a:cs typeface="Times New Roman" panose="02020603050405020304" pitchFamily="18" charset="0"/>
            </a:rPr>
            <a:t>De deposito</a:t>
          </a:r>
        </a:p>
      </dsp:txBody>
      <dsp:txXfrm>
        <a:off x="3390200" y="1505916"/>
        <a:ext cx="874846" cy="266828"/>
      </dsp:txXfrm>
    </dsp:sp>
    <dsp:sp modelId="{1A98B21A-74AF-44C4-BCE8-EA4AE4819FA0}">
      <dsp:nvSpPr>
        <dsp:cNvPr id="0" name=""/>
        <dsp:cNvSpPr/>
      </dsp:nvSpPr>
      <dsp:spPr>
        <a:xfrm>
          <a:off x="4440016" y="1317824"/>
          <a:ext cx="874846" cy="266828"/>
        </a:xfrm>
        <a:prstGeom prst="rect">
          <a:avLst/>
        </a:prstGeom>
        <a:solidFill>
          <a:srgbClr val="E7E6E6">
            <a:lumMod val="7500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ysClr val="window" lastClr="FFFFFF"/>
              </a:solidFill>
              <a:latin typeface="Times New Roman" panose="02020603050405020304" pitchFamily="18" charset="0"/>
              <a:ea typeface="+mn-ea"/>
              <a:cs typeface="Times New Roman" panose="02020603050405020304" pitchFamily="18" charset="0"/>
            </a:rPr>
            <a:t>Banco Central</a:t>
          </a:r>
        </a:p>
      </dsp:txBody>
      <dsp:txXfrm>
        <a:off x="4440016" y="1317824"/>
        <a:ext cx="874846" cy="266828"/>
      </dsp:txXfrm>
    </dsp:sp>
    <dsp:sp modelId="{D62CFA3B-B1E1-4F9D-B056-7DC377E1228E}">
      <dsp:nvSpPr>
        <dsp:cNvPr id="0" name=""/>
        <dsp:cNvSpPr/>
      </dsp:nvSpPr>
      <dsp:spPr>
        <a:xfrm>
          <a:off x="4440016" y="1694008"/>
          <a:ext cx="874846" cy="266828"/>
        </a:xfrm>
        <a:prstGeom prst="rect">
          <a:avLst/>
        </a:prstGeom>
        <a:solidFill>
          <a:srgbClr val="E7E6E6">
            <a:lumMod val="7500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ysClr val="window" lastClr="FFFFFF"/>
              </a:solidFill>
              <a:latin typeface="Times New Roman" panose="02020603050405020304" pitchFamily="18" charset="0"/>
              <a:ea typeface="+mn-ea"/>
              <a:cs typeface="Times New Roman" panose="02020603050405020304" pitchFamily="18" charset="0"/>
            </a:rPr>
            <a:t>De deposito distintas del Banco Central</a:t>
          </a:r>
        </a:p>
      </dsp:txBody>
      <dsp:txXfrm>
        <a:off x="4440016" y="1694008"/>
        <a:ext cx="874846" cy="266828"/>
      </dsp:txXfrm>
    </dsp:sp>
    <dsp:sp modelId="{F251FBAD-BE3B-4FBF-A3ED-B1A75F3E8976}">
      <dsp:nvSpPr>
        <dsp:cNvPr id="0" name=""/>
        <dsp:cNvSpPr/>
      </dsp:nvSpPr>
      <dsp:spPr>
        <a:xfrm>
          <a:off x="3390200" y="1882100"/>
          <a:ext cx="874846" cy="266828"/>
        </a:xfrm>
        <a:prstGeom prst="rect">
          <a:avLst/>
        </a:prstGeom>
        <a:solidFill>
          <a:srgbClr val="5B9BD5">
            <a:hueOff val="0"/>
            <a:satOff val="0"/>
            <a:lumOff val="0"/>
            <a:alphaOff val="0"/>
          </a:srgbClr>
        </a:solidFill>
        <a:ln w="12700" cap="flat" cmpd="sng" algn="ctr">
          <a:solidFill>
            <a:sysClr val="windowText" lastClr="000000"/>
          </a:solidFill>
          <a:prstDash val="solid"/>
          <a:miter lim="800000"/>
        </a:ln>
        <a:effectLst>
          <a:outerShdw blurRad="50800" dist="38100" dir="18900000" algn="bl" rotWithShape="0">
            <a:prstClr val="black">
              <a:alpha val="40000"/>
            </a:prstClr>
          </a:outerShdw>
          <a:reflection blurRad="6350" stA="52000" endA="300" endPos="35000" dir="5400000" sy="-100000" algn="bl" rotWithShape="0"/>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ysClr val="window" lastClr="FFFFFF"/>
              </a:solidFill>
              <a:latin typeface="Times New Roman" panose="02020603050405020304" pitchFamily="18" charset="0"/>
              <a:ea typeface="+mn-ea"/>
              <a:cs typeface="Times New Roman" panose="02020603050405020304" pitchFamily="18" charset="0"/>
            </a:rPr>
            <a:t>Otras sociedades públicas financieras</a:t>
          </a:r>
        </a:p>
      </dsp:txBody>
      <dsp:txXfrm>
        <a:off x="3390200" y="1882100"/>
        <a:ext cx="874846" cy="266828"/>
      </dsp:txXfrm>
    </dsp:sp>
  </dsp:spTree>
</dsp:drawing>
</file>

<file path=word/diagrams/layout1.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5.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drawings/_rels/drawing6.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png"/></Relationships>
</file>

<file path=word/drawings/drawing1.xml><?xml version="1.0" encoding="utf-8"?>
<c:userShapes xmlns:c="http://schemas.openxmlformats.org/drawingml/2006/chart">
  <cdr:relSizeAnchor xmlns:cdr="http://schemas.openxmlformats.org/drawingml/2006/chartDrawing">
    <cdr:from>
      <cdr:x>0.66152</cdr:x>
      <cdr:y>0.64619</cdr:y>
    </cdr:from>
    <cdr:to>
      <cdr:x>0.77727</cdr:x>
      <cdr:y>0.75211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905000" y="1162050"/>
          <a:ext cx="333333" cy="190476"/>
        </a:xfrm>
        <a:prstGeom xmlns:a="http://schemas.openxmlformats.org/drawingml/2006/main" prst="rect">
          <a:avLst/>
        </a:prstGeom>
      </cdr:spPr>
    </cdr:pic>
  </cdr:relSizeAnchor>
  <cdr:relSizeAnchor xmlns:cdr="http://schemas.openxmlformats.org/drawingml/2006/chartDrawing">
    <cdr:from>
      <cdr:x>0.79052</cdr:x>
      <cdr:y>0.65148</cdr:y>
    </cdr:from>
    <cdr:to>
      <cdr:x>0.90958</cdr:x>
      <cdr:y>0.7574</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276475" y="1171575"/>
          <a:ext cx="342857" cy="190476"/>
        </a:xfrm>
        <a:prstGeom xmlns:a="http://schemas.openxmlformats.org/drawingml/2006/main" prst="rect">
          <a:avLst/>
        </a:prstGeom>
      </cdr:spPr>
    </cdr:pic>
  </cdr:relSizeAnchor>
</c:userShapes>
</file>

<file path=word/drawings/drawing10.xml><?xml version="1.0" encoding="utf-8"?>
<c:userShapes xmlns:c="http://schemas.openxmlformats.org/drawingml/2006/chart">
  <cdr:relSizeAnchor xmlns:cdr="http://schemas.openxmlformats.org/drawingml/2006/chartDrawing">
    <cdr:from>
      <cdr:x>0.19533</cdr:x>
      <cdr:y>0.24209</cdr:y>
    </cdr:from>
    <cdr:to>
      <cdr:x>0.19533</cdr:x>
      <cdr:y>0.81562</cdr:y>
    </cdr:to>
    <cdr:cxnSp macro="">
      <cdr:nvCxnSpPr>
        <cdr:cNvPr id="3" name="Conector recto 2"/>
        <cdr:cNvCxnSpPr/>
      </cdr:nvCxnSpPr>
      <cdr:spPr>
        <a:xfrm xmlns:a="http://schemas.openxmlformats.org/drawingml/2006/main">
          <a:off x="1092750" y="537131"/>
          <a:ext cx="0" cy="1272485"/>
        </a:xfrm>
        <a:prstGeom xmlns:a="http://schemas.openxmlformats.org/drawingml/2006/main" prst="line">
          <a:avLst/>
        </a:prstGeom>
        <a:ln xmlns:a="http://schemas.openxmlformats.org/drawingml/2006/main">
          <a:prstDash val="sys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userShapes>
</file>

<file path=word/drawings/drawing11.xml><?xml version="1.0" encoding="utf-8"?>
<c:userShapes xmlns:c="http://schemas.openxmlformats.org/drawingml/2006/chart">
  <cdr:relSizeAnchor xmlns:cdr="http://schemas.openxmlformats.org/drawingml/2006/chartDrawing">
    <cdr:from>
      <cdr:x>0.27401</cdr:x>
      <cdr:y>0.89659</cdr:y>
    </cdr:from>
    <cdr:to>
      <cdr:x>0.99625</cdr:x>
      <cdr:y>0.89982</cdr:y>
    </cdr:to>
    <cdr:cxnSp macro="">
      <cdr:nvCxnSpPr>
        <cdr:cNvPr id="3" name="Conector recto 2"/>
        <cdr:cNvCxnSpPr/>
      </cdr:nvCxnSpPr>
      <cdr:spPr>
        <a:xfrm xmlns:a="http://schemas.openxmlformats.org/drawingml/2006/main" flipV="1">
          <a:off x="1584730" y="3352800"/>
          <a:ext cx="4177162" cy="12072"/>
        </a:xfrm>
        <a:prstGeom xmlns:a="http://schemas.openxmlformats.org/drawingml/2006/main" prst="line">
          <a:avLst/>
        </a:prstGeom>
        <a:ln xmlns:a="http://schemas.openxmlformats.org/drawingml/2006/main">
          <a:prstDash val="sys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userShapes>
</file>

<file path=word/drawings/drawing12.xml><?xml version="1.0" encoding="utf-8"?>
<c:userShapes xmlns:c="http://schemas.openxmlformats.org/drawingml/2006/chart">
  <cdr:relSizeAnchor xmlns:cdr="http://schemas.openxmlformats.org/drawingml/2006/chartDrawing">
    <cdr:from>
      <cdr:x>0.39149</cdr:x>
      <cdr:y>0.92691</cdr:y>
    </cdr:from>
    <cdr:to>
      <cdr:x>0.99897</cdr:x>
      <cdr:y>0.92691</cdr:y>
    </cdr:to>
    <cdr:cxnSp macro="">
      <cdr:nvCxnSpPr>
        <cdr:cNvPr id="3" name="Conector recto 2"/>
        <cdr:cNvCxnSpPr/>
      </cdr:nvCxnSpPr>
      <cdr:spPr>
        <a:xfrm xmlns:a="http://schemas.openxmlformats.org/drawingml/2006/main">
          <a:off x="2230909" y="2509751"/>
          <a:ext cx="3461719" cy="0"/>
        </a:xfrm>
        <a:prstGeom xmlns:a="http://schemas.openxmlformats.org/drawingml/2006/main" prst="line">
          <a:avLst/>
        </a:prstGeom>
        <a:ln xmlns:a="http://schemas.openxmlformats.org/drawingml/2006/main">
          <a:prstDash val="sys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0.01628</cdr:x>
      <cdr:y>0.91406</cdr:y>
    </cdr:from>
    <cdr:to>
      <cdr:x>0.21167</cdr:x>
      <cdr:y>1</cdr:y>
    </cdr:to>
    <cdr:sp macro="" textlink="">
      <cdr:nvSpPr>
        <cdr:cNvPr id="2" name="CuadroTexto 1">
          <a:extLst xmlns:a="http://schemas.openxmlformats.org/drawingml/2006/main">
            <a:ext uri="{FF2B5EF4-FFF2-40B4-BE49-F238E27FC236}">
              <a16:creationId xmlns:a16="http://schemas.microsoft.com/office/drawing/2014/main" id="{3A162B4C-0739-94B8-1FED-6F4CC4999275}"/>
            </a:ext>
          </a:extLst>
        </cdr:cNvPr>
        <cdr:cNvSpPr txBox="1"/>
      </cdr:nvSpPr>
      <cdr:spPr>
        <a:xfrm xmlns:a="http://schemas.openxmlformats.org/drawingml/2006/main">
          <a:off x="76202" y="1974379"/>
          <a:ext cx="914400" cy="18561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GT" sz="900">
            <a:latin typeface="Times New Roman" panose="02020603050405020304" pitchFamily="18"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0.6598</cdr:x>
      <cdr:y>0.35753</cdr:y>
    </cdr:from>
    <cdr:to>
      <cdr:x>0.81063</cdr:x>
      <cdr:y>0.4685</cdr:y>
    </cdr:to>
    <cdr:sp macro="" textlink="">
      <cdr:nvSpPr>
        <cdr:cNvPr id="2" name="CuadroTexto 1">
          <a:extLst xmlns:a="http://schemas.openxmlformats.org/drawingml/2006/main">
            <a:ext uri="{FF2B5EF4-FFF2-40B4-BE49-F238E27FC236}">
              <a16:creationId xmlns:a16="http://schemas.microsoft.com/office/drawing/2014/main" id="{ED854ABE-CF36-4D52-9A01-475471D25907}"/>
            </a:ext>
          </a:extLst>
        </cdr:cNvPr>
        <cdr:cNvSpPr txBox="1"/>
      </cdr:nvSpPr>
      <cdr:spPr>
        <a:xfrm xmlns:a="http://schemas.openxmlformats.org/drawingml/2006/main">
          <a:off x="1900038" y="772134"/>
          <a:ext cx="434349" cy="23965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fld id="{D004F6D0-5CF4-4C8D-AFD2-C930284B947C}" type="TxLink">
            <a:rPr lang="en-US" sz="900" b="1" i="0" u="none" strike="noStrike">
              <a:solidFill>
                <a:schemeClr val="accent1"/>
              </a:solidFill>
              <a:latin typeface="Times New Roman" panose="02020603050405020304" pitchFamily="18" charset="0"/>
              <a:cs typeface="Times New Roman" panose="02020603050405020304" pitchFamily="18" charset="0"/>
            </a:rPr>
            <a:pPr/>
            <a:t> 11.83 </a:t>
          </a:fld>
          <a:endParaRPr lang="es-GT" sz="1000" b="1">
            <a:solidFill>
              <a:schemeClr val="accent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0.67041</cdr:x>
      <cdr:y>0.59015</cdr:y>
    </cdr:from>
    <cdr:to>
      <cdr:x>0.82123</cdr:x>
      <cdr:y>0.70112</cdr:y>
    </cdr:to>
    <cdr:sp macro="" textlink="">
      <cdr:nvSpPr>
        <cdr:cNvPr id="3" name="CuadroTexto 1">
          <a:extLst xmlns:a="http://schemas.openxmlformats.org/drawingml/2006/main">
            <a:ext uri="{FF2B5EF4-FFF2-40B4-BE49-F238E27FC236}">
              <a16:creationId xmlns:a16="http://schemas.microsoft.com/office/drawing/2014/main" id="{D8AF1943-05E0-498E-93A1-911C32237857}"/>
            </a:ext>
          </a:extLst>
        </cdr:cNvPr>
        <cdr:cNvSpPr txBox="1"/>
      </cdr:nvSpPr>
      <cdr:spPr>
        <a:xfrm xmlns:a="http://schemas.openxmlformats.org/drawingml/2006/main">
          <a:off x="1930603" y="1274512"/>
          <a:ext cx="434320" cy="23965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C7964DE7-96F6-42EA-AA95-5530CE622563}" type="TxLink">
            <a:rPr lang="en-US" sz="900" b="1" i="0" u="none" strike="noStrike">
              <a:solidFill>
                <a:srgbClr val="C00000"/>
              </a:solidFill>
              <a:latin typeface="Times New Roman" panose="02020603050405020304" pitchFamily="18" charset="0"/>
              <a:cs typeface="Times New Roman" panose="02020603050405020304" pitchFamily="18" charset="0"/>
            </a:rPr>
            <a:pPr/>
            <a:t> 3.95 </a:t>
          </a:fld>
          <a:endParaRPr lang="es-GT" sz="900" b="1">
            <a:solidFill>
              <a:srgbClr val="C00000"/>
            </a:solidFill>
            <a:latin typeface="Times New Roman" panose="02020603050405020304" pitchFamily="18"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0.33876</cdr:x>
      <cdr:y>0.00711</cdr:y>
    </cdr:from>
    <cdr:to>
      <cdr:x>0.97499</cdr:x>
      <cdr:y>0.97251</cdr:y>
    </cdr:to>
    <cdr:sp macro="" textlink="">
      <cdr:nvSpPr>
        <cdr:cNvPr id="2" name="Rectángulo 1"/>
        <cdr:cNvSpPr/>
      </cdr:nvSpPr>
      <cdr:spPr>
        <a:xfrm xmlns:a="http://schemas.openxmlformats.org/drawingml/2006/main">
          <a:off x="1585392" y="15138"/>
          <a:ext cx="2977515" cy="2055495"/>
        </a:xfrm>
        <a:prstGeom xmlns:a="http://schemas.openxmlformats.org/drawingml/2006/main" prst="rect">
          <a:avLst/>
        </a:prstGeom>
        <a:solidFill xmlns:a="http://schemas.openxmlformats.org/drawingml/2006/main">
          <a:schemeClr val="bg2">
            <a:lumMod val="90000"/>
            <a:alpha val="23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p xmlns:a="http://schemas.openxmlformats.org/drawingml/2006/main">
          <a:endParaRPr lang="es-GT"/>
        </a:p>
      </cdr:txBody>
    </cdr:sp>
  </cdr:relSizeAnchor>
</c:userShapes>
</file>

<file path=word/drawings/drawing5.xml><?xml version="1.0" encoding="utf-8"?>
<c:userShapes xmlns:c="http://schemas.openxmlformats.org/drawingml/2006/chart">
  <cdr:relSizeAnchor xmlns:cdr="http://schemas.openxmlformats.org/drawingml/2006/chartDrawing">
    <cdr:from>
      <cdr:x>0.62165</cdr:x>
      <cdr:y>0</cdr:y>
    </cdr:from>
    <cdr:to>
      <cdr:x>0.99633</cdr:x>
      <cdr:y>0.99931</cdr:y>
    </cdr:to>
    <cdr:sp macro="" textlink="">
      <cdr:nvSpPr>
        <cdr:cNvPr id="2" name="Rectángulo 1"/>
        <cdr:cNvSpPr/>
      </cdr:nvSpPr>
      <cdr:spPr>
        <a:xfrm xmlns:a="http://schemas.openxmlformats.org/drawingml/2006/main">
          <a:off x="3499035" y="0"/>
          <a:ext cx="2108934" cy="3144902"/>
        </a:xfrm>
        <a:prstGeom xmlns:a="http://schemas.openxmlformats.org/drawingml/2006/main" prst="rect">
          <a:avLst/>
        </a:prstGeom>
        <a:solidFill xmlns:a="http://schemas.openxmlformats.org/drawingml/2006/main">
          <a:srgbClr val="FFFF00">
            <a:alpha val="8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s-GT"/>
        </a:p>
      </cdr:txBody>
    </cdr:sp>
  </cdr:relSizeAnchor>
  <cdr:relSizeAnchor xmlns:cdr="http://schemas.openxmlformats.org/drawingml/2006/chartDrawing">
    <cdr:from>
      <cdr:x>0.57563</cdr:x>
      <cdr:y>0.23681</cdr:y>
    </cdr:from>
    <cdr:to>
      <cdr:x>0.80758</cdr:x>
      <cdr:y>0.29728</cdr:y>
    </cdr:to>
    <cdr:sp macro="" textlink="">
      <cdr:nvSpPr>
        <cdr:cNvPr id="3" name="Rectángulo 2"/>
        <cdr:cNvSpPr/>
      </cdr:nvSpPr>
      <cdr:spPr>
        <a:xfrm xmlns:a="http://schemas.openxmlformats.org/drawingml/2006/main">
          <a:off x="3240042" y="745264"/>
          <a:ext cx="1305531" cy="19028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es-GT" sz="800" b="1">
              <a:solidFill>
                <a:srgbClr val="0070C0"/>
              </a:solidFill>
              <a:latin typeface="Times New Roman" panose="02020603050405020304" pitchFamily="18" charset="0"/>
              <a:cs typeface="Times New Roman" panose="02020603050405020304" pitchFamily="18" charset="0"/>
            </a:rPr>
            <a:t>Pandemia </a:t>
          </a:r>
        </a:p>
      </cdr:txBody>
    </cdr:sp>
  </cdr:relSizeAnchor>
  <cdr:relSizeAnchor xmlns:cdr="http://schemas.openxmlformats.org/drawingml/2006/chartDrawing">
    <cdr:from>
      <cdr:x>0.83199</cdr:x>
      <cdr:y>0.06482</cdr:y>
    </cdr:from>
    <cdr:to>
      <cdr:x>1</cdr:x>
      <cdr:y>0.12528</cdr:y>
    </cdr:to>
    <cdr:sp macro="" textlink="">
      <cdr:nvSpPr>
        <cdr:cNvPr id="4" name="Rectángulo 3"/>
        <cdr:cNvSpPr/>
      </cdr:nvSpPr>
      <cdr:spPr>
        <a:xfrm xmlns:a="http://schemas.openxmlformats.org/drawingml/2006/main">
          <a:off x="4491194" y="158847"/>
          <a:ext cx="906941" cy="14815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es-GT" sz="800" b="1">
              <a:solidFill>
                <a:srgbClr val="00B0F0"/>
              </a:solidFill>
              <a:latin typeface="Times New Roman" panose="02020603050405020304" pitchFamily="18" charset="0"/>
              <a:cs typeface="Times New Roman" panose="02020603050405020304" pitchFamily="18" charset="0"/>
            </a:rPr>
            <a:t>Guerra</a:t>
          </a:r>
          <a:r>
            <a:rPr lang="es-GT" sz="800" b="1" baseline="0">
              <a:solidFill>
                <a:srgbClr val="00B0F0"/>
              </a:solidFill>
              <a:latin typeface="Times New Roman" panose="02020603050405020304" pitchFamily="18" charset="0"/>
              <a:cs typeface="Times New Roman" panose="02020603050405020304" pitchFamily="18" charset="0"/>
            </a:rPr>
            <a:t> Rusia y Ucrania</a:t>
          </a:r>
          <a:r>
            <a:rPr lang="es-GT" sz="800" b="1">
              <a:solidFill>
                <a:srgbClr val="00B0F0"/>
              </a:solidFill>
              <a:latin typeface="Times New Roman" panose="02020603050405020304" pitchFamily="18" charset="0"/>
              <a:cs typeface="Times New Roman" panose="02020603050405020304" pitchFamily="18" charset="0"/>
            </a:rPr>
            <a:t> </a:t>
          </a:r>
        </a:p>
      </cdr:txBody>
    </cdr:sp>
  </cdr:relSizeAnchor>
  <cdr:relSizeAnchor xmlns:cdr="http://schemas.openxmlformats.org/drawingml/2006/chartDrawing">
    <cdr:from>
      <cdr:x>0.06078</cdr:x>
      <cdr:y>0.33861</cdr:y>
    </cdr:from>
    <cdr:to>
      <cdr:x>0.18379</cdr:x>
      <cdr:y>0.39907</cdr:y>
    </cdr:to>
    <cdr:sp macro="" textlink="">
      <cdr:nvSpPr>
        <cdr:cNvPr id="5" name="Rectángulo 4"/>
        <cdr:cNvSpPr/>
      </cdr:nvSpPr>
      <cdr:spPr>
        <a:xfrm xmlns:a="http://schemas.openxmlformats.org/drawingml/2006/main">
          <a:off x="359568" y="922424"/>
          <a:ext cx="727764" cy="164703"/>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es-GT" sz="800" b="1">
              <a:solidFill>
                <a:srgbClr val="0070C0"/>
              </a:solidFill>
              <a:latin typeface="Times New Roman" panose="02020603050405020304" pitchFamily="18" charset="0"/>
              <a:cs typeface="Times New Roman" panose="02020603050405020304" pitchFamily="18" charset="0"/>
            </a:rPr>
            <a:t>Crisis 2009 </a:t>
          </a:r>
        </a:p>
      </cdr:txBody>
    </cdr:sp>
  </cdr:relSizeAnchor>
  <cdr:relSizeAnchor xmlns:cdr="http://schemas.openxmlformats.org/drawingml/2006/chartDrawing">
    <cdr:from>
      <cdr:x>0.04498</cdr:x>
      <cdr:y>0.00069</cdr:y>
    </cdr:from>
    <cdr:to>
      <cdr:x>0.1857</cdr:x>
      <cdr:y>1</cdr:y>
    </cdr:to>
    <cdr:sp macro="" textlink="">
      <cdr:nvSpPr>
        <cdr:cNvPr id="6" name="Rectángulo 5"/>
        <cdr:cNvSpPr/>
      </cdr:nvSpPr>
      <cdr:spPr>
        <a:xfrm xmlns:a="http://schemas.openxmlformats.org/drawingml/2006/main">
          <a:off x="266132" y="1880"/>
          <a:ext cx="832513" cy="2722270"/>
        </a:xfrm>
        <a:prstGeom xmlns:a="http://schemas.openxmlformats.org/drawingml/2006/main" prst="rect">
          <a:avLst/>
        </a:prstGeom>
        <a:solidFill xmlns:a="http://schemas.openxmlformats.org/drawingml/2006/main">
          <a:srgbClr val="FFFF00">
            <a:alpha val="8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s-GT"/>
        </a:p>
      </cdr:txBody>
    </cdr:sp>
  </cdr:relSizeAnchor>
</c:userShapes>
</file>

<file path=word/drawings/drawing6.xml><?xml version="1.0" encoding="utf-8"?>
<c:userShapes xmlns:c="http://schemas.openxmlformats.org/drawingml/2006/chart">
  <cdr:relSizeAnchor xmlns:cdr="http://schemas.openxmlformats.org/drawingml/2006/chartDrawing">
    <cdr:from>
      <cdr:x>0.09307</cdr:x>
      <cdr:y>0.94313</cdr:y>
    </cdr:from>
    <cdr:to>
      <cdr:x>0.93766</cdr:x>
      <cdr:y>1</cdr:y>
    </cdr:to>
    <cdr:grpSp>
      <cdr:nvGrpSpPr>
        <cdr:cNvPr id="8" name="Grupo 7"/>
        <cdr:cNvGrpSpPr/>
      </cdr:nvGrpSpPr>
      <cdr:grpSpPr>
        <a:xfrm xmlns:a="http://schemas.openxmlformats.org/drawingml/2006/main">
          <a:off x="510602" y="2927962"/>
          <a:ext cx="4633759" cy="176553"/>
          <a:chOff x="606120" y="3018399"/>
          <a:chExt cx="4633789" cy="182004"/>
        </a:xfrm>
      </cdr:grpSpPr>
      <cdr:pic>
        <cdr:nvPicPr>
          <cdr:cNvPr id="6" name="Imagen 5">
            <a:extLst xmlns:a="http://schemas.openxmlformats.org/drawingml/2006/main">
              <a:ext uri="{FF2B5EF4-FFF2-40B4-BE49-F238E27FC236}">
                <a16:creationId xmlns:a16="http://schemas.microsoft.com/office/drawing/2014/main" id="{0EE28340-7249-4B00-B9CF-ACECFACD31AB}"/>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419876" y="3020417"/>
            <a:ext cx="1820033" cy="132366"/>
          </a:xfrm>
          <a:prstGeom xmlns:a="http://schemas.openxmlformats.org/drawingml/2006/main" prst="rect">
            <a:avLst/>
          </a:prstGeom>
        </cdr:spPr>
      </cdr:pic>
      <cdr:pic>
        <cdr:nvPicPr>
          <cdr:cNvPr id="7" name="Imagen 6">
            <a:extLst xmlns:a="http://schemas.openxmlformats.org/drawingml/2006/main">
              <a:ext uri="{FF2B5EF4-FFF2-40B4-BE49-F238E27FC236}">
                <a16:creationId xmlns:a16="http://schemas.microsoft.com/office/drawing/2014/main" id="{7404F540-7F17-414D-8C7C-8181C4B7CD6C}"/>
              </a:ext>
            </a:extLst>
          </cdr:cNvPr>
          <cdr:cNvPicPr>
            <a:picLocks xmlns:a="http://schemas.openxmlformats.org/drawingml/2006/main" noChangeAspect="1"/>
          </cdr:cNvPicPr>
        </cdr:nvPicPr>
        <cdr:blipFill rotWithShape="1">
          <a:blip xmlns:a="http://schemas.openxmlformats.org/drawingml/2006/main" xmlns:r="http://schemas.openxmlformats.org/officeDocument/2006/relationships" r:embed="rId2"/>
          <a:srcRect xmlns:a="http://schemas.openxmlformats.org/drawingml/2006/main" l="-315" t="13638" r="315" b="-13638"/>
          <a:stretch xmlns:a="http://schemas.openxmlformats.org/drawingml/2006/main"/>
        </cdr:blipFill>
        <cdr:spPr>
          <a:xfrm xmlns:a="http://schemas.openxmlformats.org/drawingml/2006/main">
            <a:off x="606120" y="3018399"/>
            <a:ext cx="2622503" cy="182004"/>
          </a:xfrm>
          <a:prstGeom xmlns:a="http://schemas.openxmlformats.org/drawingml/2006/main" prst="rect">
            <a:avLst/>
          </a:prstGeom>
        </cdr:spPr>
      </cdr:pic>
    </cdr:grpSp>
  </cdr:relSizeAnchor>
</c:userShapes>
</file>

<file path=word/drawings/drawing7.xml><?xml version="1.0" encoding="utf-8"?>
<c:userShapes xmlns:c="http://schemas.openxmlformats.org/drawingml/2006/chart">
  <cdr:relSizeAnchor xmlns:cdr="http://schemas.openxmlformats.org/drawingml/2006/chartDrawing">
    <cdr:from>
      <cdr:x>0.06301</cdr:x>
      <cdr:y>0.09801</cdr:y>
    </cdr:from>
    <cdr:to>
      <cdr:x>0.25659</cdr:x>
      <cdr:y>0.19375</cdr:y>
    </cdr:to>
    <cdr:sp macro="" textlink="">
      <cdr:nvSpPr>
        <cdr:cNvPr id="2" name="CuadroTexto 1">
          <a:extLst xmlns:a="http://schemas.openxmlformats.org/drawingml/2006/main">
            <a:ext uri="{FF2B5EF4-FFF2-40B4-BE49-F238E27FC236}">
              <a16:creationId xmlns:a16="http://schemas.microsoft.com/office/drawing/2014/main" id="{8ECFEC50-D79E-4CE3-9F3F-44BA5CC7CC66}"/>
            </a:ext>
          </a:extLst>
        </cdr:cNvPr>
        <cdr:cNvSpPr txBox="1"/>
      </cdr:nvSpPr>
      <cdr:spPr>
        <a:xfrm xmlns:a="http://schemas.openxmlformats.org/drawingml/2006/main">
          <a:off x="362930" y="405757"/>
          <a:ext cx="1115021" cy="39636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GT" sz="900">
              <a:latin typeface="Times New Roman" panose="02020603050405020304" pitchFamily="18" charset="0"/>
              <a:cs typeface="Times New Roman" panose="02020603050405020304" pitchFamily="18" charset="0"/>
            </a:rPr>
            <a:t>(Como</a:t>
          </a:r>
          <a:r>
            <a:rPr lang="es-GT" sz="900" baseline="0">
              <a:latin typeface="Times New Roman" panose="02020603050405020304" pitchFamily="18" charset="0"/>
              <a:cs typeface="Times New Roman" panose="02020603050405020304" pitchFamily="18" charset="0"/>
            </a:rPr>
            <a:t> porcentaje del PIB)</a:t>
          </a:r>
          <a:endParaRPr lang="es-GT" sz="9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0.4642</cdr:x>
      <cdr:y>0.03258</cdr:y>
    </cdr:from>
    <cdr:to>
      <cdr:x>0.5504</cdr:x>
      <cdr:y>0.12832</cdr:y>
    </cdr:to>
    <cdr:sp macro="" textlink="">
      <cdr:nvSpPr>
        <cdr:cNvPr id="3" name="CuadroTexto 1">
          <a:extLst xmlns:a="http://schemas.openxmlformats.org/drawingml/2006/main">
            <a:ext uri="{FF2B5EF4-FFF2-40B4-BE49-F238E27FC236}">
              <a16:creationId xmlns:a16="http://schemas.microsoft.com/office/drawing/2014/main" id="{508CF774-3693-4F56-A95F-FC8CC2C58EE5}"/>
            </a:ext>
          </a:extLst>
        </cdr:cNvPr>
        <cdr:cNvSpPr txBox="1"/>
      </cdr:nvSpPr>
      <cdr:spPr>
        <a:xfrm xmlns:a="http://schemas.openxmlformats.org/drawingml/2006/main">
          <a:off x="2339590" y="82109"/>
          <a:ext cx="434448" cy="24126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GT" sz="1000">
              <a:latin typeface="Times New Roman" panose="02020603050405020304" pitchFamily="18" charset="0"/>
              <a:cs typeface="Times New Roman" panose="02020603050405020304" pitchFamily="18" charset="0"/>
            </a:rPr>
            <a:t>Proyección</a:t>
          </a:r>
        </a:p>
      </cdr:txBody>
    </cdr:sp>
  </cdr:relSizeAnchor>
  <cdr:relSizeAnchor xmlns:cdr="http://schemas.openxmlformats.org/drawingml/2006/chartDrawing">
    <cdr:from>
      <cdr:x>0.59698</cdr:x>
      <cdr:y>0.10677</cdr:y>
    </cdr:from>
    <cdr:to>
      <cdr:x>0.65079</cdr:x>
      <cdr:y>0.10677</cdr:y>
    </cdr:to>
    <cdr:cxnSp macro="">
      <cdr:nvCxnSpPr>
        <cdr:cNvPr id="5" name="Conector recto de flecha 4">
          <a:extLst xmlns:a="http://schemas.openxmlformats.org/drawingml/2006/main">
            <a:ext uri="{FF2B5EF4-FFF2-40B4-BE49-F238E27FC236}">
              <a16:creationId xmlns:a16="http://schemas.microsoft.com/office/drawing/2014/main" id="{4FA123A3-9CE3-4E54-8CAA-EF536972550C}"/>
            </a:ext>
          </a:extLst>
        </cdr:cNvPr>
        <cdr:cNvCxnSpPr/>
      </cdr:nvCxnSpPr>
      <cdr:spPr>
        <a:xfrm xmlns:a="http://schemas.openxmlformats.org/drawingml/2006/main">
          <a:off x="3003087" y="192177"/>
          <a:ext cx="270690" cy="0"/>
        </a:xfrm>
        <a:prstGeom xmlns:a="http://schemas.openxmlformats.org/drawingml/2006/main" prst="straightConnector1">
          <a:avLst/>
        </a:prstGeom>
        <a:ln xmlns:a="http://schemas.openxmlformats.org/drawingml/2006/main">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0.67262</cdr:x>
      <cdr:y>0.04071</cdr:y>
    </cdr:from>
    <cdr:to>
      <cdr:x>0.99111</cdr:x>
      <cdr:y>0.78154</cdr:y>
    </cdr:to>
    <cdr:sp macro="" textlink="">
      <cdr:nvSpPr>
        <cdr:cNvPr id="6" name="Rectángulo 5">
          <a:extLst xmlns:a="http://schemas.openxmlformats.org/drawingml/2006/main">
            <a:ext uri="{FF2B5EF4-FFF2-40B4-BE49-F238E27FC236}">
              <a16:creationId xmlns:a16="http://schemas.microsoft.com/office/drawing/2014/main" id="{00000000-0008-0000-0000-000003000000}"/>
            </a:ext>
          </a:extLst>
        </cdr:cNvPr>
        <cdr:cNvSpPr/>
      </cdr:nvSpPr>
      <cdr:spPr>
        <a:xfrm xmlns:a="http://schemas.openxmlformats.org/drawingml/2006/main">
          <a:off x="4529085" y="73270"/>
          <a:ext cx="2144520" cy="1333500"/>
        </a:xfrm>
        <a:prstGeom xmlns:a="http://schemas.openxmlformats.org/drawingml/2006/main" prst="rect">
          <a:avLst/>
        </a:prstGeom>
        <a:solidFill xmlns:a="http://schemas.openxmlformats.org/drawingml/2006/main">
          <a:schemeClr val="bg1">
            <a:lumMod val="50000"/>
            <a:alpha val="11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s-GT" sz="1100"/>
        </a:p>
      </cdr:txBody>
    </cdr:sp>
  </cdr:relSizeAnchor>
</c:userShapes>
</file>

<file path=word/drawings/drawing8.xml><?xml version="1.0" encoding="utf-8"?>
<c:userShapes xmlns:c="http://schemas.openxmlformats.org/drawingml/2006/chart">
  <cdr:relSizeAnchor xmlns:cdr="http://schemas.openxmlformats.org/drawingml/2006/chartDrawing">
    <cdr:from>
      <cdr:x>0.4812</cdr:x>
      <cdr:y>0.88379</cdr:y>
    </cdr:from>
    <cdr:to>
      <cdr:x>1</cdr:x>
      <cdr:y>0.88379</cdr:y>
    </cdr:to>
    <cdr:cxnSp macro="">
      <cdr:nvCxnSpPr>
        <cdr:cNvPr id="3" name="Conector recto 2"/>
        <cdr:cNvCxnSpPr/>
      </cdr:nvCxnSpPr>
      <cdr:spPr>
        <a:xfrm xmlns:a="http://schemas.openxmlformats.org/drawingml/2006/main">
          <a:off x="2640056" y="2325646"/>
          <a:ext cx="2846344" cy="0"/>
        </a:xfrm>
        <a:prstGeom xmlns:a="http://schemas.openxmlformats.org/drawingml/2006/main" prst="line">
          <a:avLst/>
        </a:prstGeom>
        <a:ln xmlns:a="http://schemas.openxmlformats.org/drawingml/2006/main" w="19050">
          <a:prstDash val="sys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userShapes>
</file>

<file path=word/drawings/drawing9.xml><?xml version="1.0" encoding="utf-8"?>
<c:userShapes xmlns:c="http://schemas.openxmlformats.org/drawingml/2006/chart">
  <cdr:relSizeAnchor xmlns:cdr="http://schemas.openxmlformats.org/drawingml/2006/chartDrawing">
    <cdr:from>
      <cdr:x>0.3697</cdr:x>
      <cdr:y>0.23509</cdr:y>
    </cdr:from>
    <cdr:to>
      <cdr:x>0.3697</cdr:x>
      <cdr:y>0.87325</cdr:y>
    </cdr:to>
    <cdr:cxnSp macro="">
      <cdr:nvCxnSpPr>
        <cdr:cNvPr id="3" name="Conector recto 2"/>
        <cdr:cNvCxnSpPr/>
      </cdr:nvCxnSpPr>
      <cdr:spPr>
        <a:xfrm xmlns:a="http://schemas.openxmlformats.org/drawingml/2006/main">
          <a:off x="2062107" y="559800"/>
          <a:ext cx="0" cy="1519619"/>
        </a:xfrm>
        <a:prstGeom xmlns:a="http://schemas.openxmlformats.org/drawingml/2006/main" prst="line">
          <a:avLst/>
        </a:prstGeom>
        <a:ln xmlns:a="http://schemas.openxmlformats.org/drawingml/2006/main">
          <a:prstDash val="sys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424B2F-7686-45EF-80A2-DE34532CD1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67105</Words>
  <Characters>369083</Characters>
  <Application>Microsoft Office Word</Application>
  <DocSecurity>0</DocSecurity>
  <Lines>3075</Lines>
  <Paragraphs>870</Paragraphs>
  <ScaleCrop>false</ScaleCrop>
  <HeadingPairs>
    <vt:vector size="2" baseType="variant">
      <vt:variant>
        <vt:lpstr>Título</vt:lpstr>
      </vt:variant>
      <vt:variant>
        <vt:i4>1</vt:i4>
      </vt:variant>
    </vt:vector>
  </HeadingPairs>
  <TitlesOfParts>
    <vt:vector size="1" baseType="lpstr">
      <vt:lpstr/>
    </vt:vector>
  </TitlesOfParts>
  <Company>DATAFLEX</Company>
  <LinksUpToDate>false</LinksUpToDate>
  <CharactersWithSpaces>435318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Saul Enrique De León Meneses</dc:creator>
  <cp:keywords/>
  <dc:description/>
  <cp:lastModifiedBy>Pablo Santizo</cp:lastModifiedBy>
  <cp:revision>4</cp:revision>
  <dcterms:created xsi:type="dcterms:W3CDTF">2023-09-13T18:06:00Z</dcterms:created>
  <dcterms:modified xsi:type="dcterms:W3CDTF">2023-09-13T18:08:00Z</dcterms:modified>
</cp:coreProperties>
</file>